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drawings/drawing1.xml" ContentType="application/vnd.openxmlformats-officedocument.drawingml.chartshapes+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40" w:rsidRPr="004B7295" w:rsidRDefault="003505DF" w:rsidP="00E67696">
      <w:pPr>
        <w:rPr>
          <w:lang w:eastAsia="ar-SA"/>
        </w:rPr>
        <w:sectPr w:rsidR="00A75E40" w:rsidRPr="004B7295" w:rsidSect="0085114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57728" behindDoc="0" locked="1" layoutInCell="1" allowOverlap="1">
                <wp:simplePos x="0" y="0"/>
                <wp:positionH relativeFrom="page">
                  <wp:posOffset>571500</wp:posOffset>
                </wp:positionH>
                <wp:positionV relativeFrom="page">
                  <wp:posOffset>466725</wp:posOffset>
                </wp:positionV>
                <wp:extent cx="2249805" cy="554355"/>
                <wp:effectExtent l="0" t="0" r="0" b="0"/>
                <wp:wrapSquare wrapText="bothSides"/>
                <wp:docPr id="98"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805" cy="554355"/>
                          <a:chOff x="567" y="851"/>
                          <a:chExt cx="2714" cy="667"/>
                        </a:xfrm>
                      </wpg:grpSpPr>
                      <wps:wsp>
                        <wps:cNvPr id="99"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5pt;margin-top:36.7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">
                <o:lock v:ext="edit" aspectratio="t"/>
                <v:rect id="Rectangle 9" o:spid="_x0000_s1027" style="position:absolute;left:1215;top:901;width:676;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7APsMA&#10;AADbAAAADwAAAGRycy9kb3ducmV2LnhtbESPT4vCMBTE74LfITzBm6Z68E/XKIsiCKsH64LXt83b&#10;NmzzUppou9/eCILHYWZ+w6w2na3EnRpvHCuYjBMQxLnThgsF35f9aAHCB2SNlWNS8E8eNut+b4Wp&#10;di2f6Z6FQkQI+xQVlCHUqZQ+L8miH7uaOHq/rrEYomwKqRtsI9xWcpokM2nRcFwosaZtSflfdrMK&#10;jDy2Njtddy651Rdznf8sfPhSajjoPj9ABOrCO/xqH7SC5RKeX+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7APsMAAADbAAAADwAAAAAAAAAAAAAAAACYAgAAZHJzL2Rv&#10;d25yZXYueG1sUEsFBgAAAAAEAAQA9QAAAIgDAAAAAA==&#10;" fillcolor="#0071bc" stroked="f">
                  <o:lock v:ext="edit" aspectratio="t"/>
                </v:rect>
                <v:rect id="Rectangle 10" o:spid="_x0000_s1028" style="position:absolute;left:567;top:1131;width:1324;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y8QA&#10;AADcAAAADwAAAGRycy9kb3ducmV2LnhtbESPQWsCMRCF74X+hzCF3mpSD1W2RiktQqF66Cp4nW7G&#10;3eBmsmyiu/575yD0NsN78943i9UYWnWhPvnIFl4nBhRxFZ3n2sJ+t36Zg0oZ2WEbmSxcKcFq+fiw&#10;wMLFgX/pUuZaSQinAi00OXeF1qlqKGCaxI5YtGPsA2ZZ+1q7HgcJD62eGvOmA3qWhgY7+myoOpXn&#10;YMHrzRDK7eErmnO384fZ3zzlH2ufn8aPd1CZxvxvvl9/O8E3gi/PyAR6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1q8vEAAAA3AAAAA8AAAAAAAAAAAAAAAAAmAIAAGRycy9k&#10;b3ducmV2LnhtbFBLBQYAAAAABAAEAPUAAACJAwAAAAA=&#10;" fillcolor="#0071bc" stroked="f">
                  <o:lock v:ext="edit" aspectratio="t"/>
                </v:rect>
                <v:rect id="Rectangle 11" o:spid="_x0000_s1029" style="position:absolute;left:1288;top:1361;width:60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OUMEA&#10;AADcAAAADwAAAGRycy9kb3ducmV2LnhtbERPTWsCMRC9C/0PYQq9aWIPVVajlJZCoXpwV/A6bsbd&#10;4GaybKK7/fdGELzN433Ocj24RlypC9azhulEgSAuvbFcadgXP+M5iBCRDTaeScM/BVivXkZLzIzv&#10;eUfXPFYihXDIUEMdY5tJGcqaHIaJb4kTd/Kdw5hgV0nTYZ/CXSPflfqQDi2nhhpb+qqpPOcXp8HK&#10;Te/y7eHbq0tb2MPsOA/xT+u31+FzASLSEJ/ih/vXpPlqCvdn0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5DlDBAAAA3AAAAA8AAAAAAAAAAAAAAAAAmAIAAGRycy9kb3du&#10;cmV2LnhtbFBLBQYAAAAABAAEAPUAAACGAwAAAAA=&#10;" fillcolor="#0071bc" stroked="f">
                  <o:lock v:ext="edit" aspectratio="t"/>
                </v:rect>
                <v:shape id="Freeform 12" o:spid="_x0000_s1030" style="position:absolute;left:1969;top:1311;width:600;height:207;visibility:visible;mso-wrap-style:square;v-text-anchor:top" coordsize="120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HhMAA&#10;AADcAAAADwAAAGRycy9kb3ducmV2LnhtbERPTWuDQBC9F/oflin01qzxUIrJJoiktOKpVu+DO3FF&#10;d1bcbWL/fTcQ6G0e73P2x9VO4kKLHxwr2G4SEMSd0wP3Cprv95c3ED4ga5wck4Jf8nA8PD7sMdPu&#10;yl90qUMvYgj7DBWYEOZMSt8Zsug3biaO3NktFkOESy/1gtcYbieZJsmrtDhwbDA4U2GoG+sfq+CU&#10;k6G8mYuay6n9aMcqHcpKqeenNd+BCLSGf/Hd/anj/CSF2zPxAn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THhMAAAADcAAAADwAAAAAAAAAAAAAAAACYAgAAZHJzL2Rvd25y&#10;ZXYueG1sUEsFBgAAAAAEAAQA9QAAAIUD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ab6cQA&#10;AADcAAAADwAAAGRycy9kb3ducmV2LnhtbERPTWvCQBC9C/0PywheSt2oICW6ilgEqRXU6MHbkJ0m&#10;odnZsLs18d93hYK3ebzPmS87U4sbOV9ZVjAaJiCIc6srLhScs83bOwgfkDXWlknBnTwsFy+9Oaba&#10;tnyk2ykUIoawT1FBGUKTSunzkgz6oW2II/dtncEQoSukdtjGcFPLcZJMpcGKY0OJDa1Lyn9Ov0bB&#10;OqsvbvLV7o7u9WP7ed0XMtsflBr0u9UMRKAuPMX/7q2O85MJPJ6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Gm+nEAAAA3AAAAA8AAAAAAAAAAAAAAAAAmAIAAGRycy9k&#10;b3ducmV2LnhtbFBLBQYAAAAABAAEAPUAAACJAw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g/L8IA&#10;AADcAAAADwAAAGRycy9kb3ducmV2LnhtbERPTWvCQBC9F/oflil4Ed0oIiW6iq2k9Sa1xfOYHZNg&#10;djburib+e1cQepvH+5z5sjO1uJLzlWUFo2ECgji3uuJCwd9vNngH4QOyxtoyKbiRh+Xi9WWOqbYt&#10;/9B1FwoRQ9inqKAMoUml9HlJBv3QNsSRO1pnMEToCqkdtjHc1HKcJFNpsOLYUGJDnyXlp93FKBhP&#10;94fvbFN8bOuvc9/p4zrrt2ulem/dagYiUBf+xU/3Rsf5yQQez8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D8vwgAAANwAAAAPAAAAAAAAAAAAAAAAAJgCAABkcnMvZG93&#10;bnJldi54bWxQSwUGAAAAAAQABAD1AAAAhwM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1705610</wp:posOffset>
                </wp:positionH>
                <wp:positionV relativeFrom="page">
                  <wp:posOffset>8173085</wp:posOffset>
                </wp:positionV>
                <wp:extent cx="5130165" cy="925195"/>
                <wp:effectExtent l="0" t="0" r="13335" b="8255"/>
                <wp:wrapNone/>
                <wp:docPr id="7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767" w:rsidRDefault="00560767" w:rsidP="00164B85">
                            <w:pPr>
                              <w:spacing w:after="0" w:line="240" w:lineRule="auto"/>
                            </w:pPr>
                            <w:r>
                              <w:t>Z</w:t>
                            </w:r>
                            <w:r w:rsidRPr="006C5577">
                              <w:t xml:space="preserve">pracoval: </w:t>
                            </w:r>
                            <w:r>
                              <w:t>Odbor statistik rozvoje společnosti</w:t>
                            </w:r>
                          </w:p>
                          <w:p w:rsidR="00560767" w:rsidRPr="006C5577" w:rsidRDefault="00560767" w:rsidP="00164B85">
                            <w:pPr>
                              <w:ind w:left="993"/>
                            </w:pPr>
                            <w:r>
                              <w:t xml:space="preserve">Božena </w:t>
                            </w:r>
                            <w:proofErr w:type="spellStart"/>
                            <w:r>
                              <w:t>Půbalová</w:t>
                            </w:r>
                            <w:proofErr w:type="spellEnd"/>
                          </w:p>
                          <w:p w:rsidR="00560767" w:rsidRPr="006C5577" w:rsidRDefault="00560767" w:rsidP="004924DC">
                            <w:r w:rsidRPr="006C5577">
                              <w:t xml:space="preserve">Ředitel odboru: </w:t>
                            </w:r>
                            <w:r>
                              <w:t>Martin Mana</w:t>
                            </w:r>
                          </w:p>
                          <w:p w:rsidR="00560767" w:rsidRPr="006C5577" w:rsidRDefault="00560767" w:rsidP="004924DC">
                            <w:r w:rsidRPr="006C5577">
                              <w:t xml:space="preserve">Kontaktní osoba: </w:t>
                            </w:r>
                            <w:r>
                              <w:t>Alena Kotrbatá</w:t>
                            </w:r>
                            <w:r w:rsidRPr="006C5577">
                              <w:t>,</w:t>
                            </w:r>
                            <w:r>
                              <w:t xml:space="preserve"> e-mail: alena.kotrbata@czso.cz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bcDtwIAAK8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" filled="f" stroked="f">
                <v:textbox inset="0,0,0,0">
                  <w:txbxContent>
                    <w:p w:rsidR="00560767" w:rsidRDefault="00560767" w:rsidP="00164B85">
                      <w:pPr>
                        <w:spacing w:after="0" w:line="240" w:lineRule="auto"/>
                      </w:pPr>
                      <w:r>
                        <w:t>Z</w:t>
                      </w:r>
                      <w:r w:rsidRPr="006C5577">
                        <w:t xml:space="preserve">pracoval: </w:t>
                      </w:r>
                      <w:r>
                        <w:t>Odbor statistik rozvoje společnosti</w:t>
                      </w:r>
                    </w:p>
                    <w:p w:rsidR="00560767" w:rsidRPr="006C5577" w:rsidRDefault="00560767" w:rsidP="00164B85">
                      <w:pPr>
                        <w:ind w:left="993"/>
                      </w:pPr>
                      <w:r>
                        <w:t xml:space="preserve">Božena </w:t>
                      </w:r>
                      <w:proofErr w:type="spellStart"/>
                      <w:r>
                        <w:t>Půbalová</w:t>
                      </w:r>
                      <w:proofErr w:type="spellEnd"/>
                    </w:p>
                    <w:p w:rsidR="00560767" w:rsidRPr="006C5577" w:rsidRDefault="00560767" w:rsidP="004924DC">
                      <w:r w:rsidRPr="006C5577">
                        <w:t xml:space="preserve">Ředitel odboru: </w:t>
                      </w:r>
                      <w:r>
                        <w:t>Martin Mana</w:t>
                      </w:r>
                    </w:p>
                    <w:p w:rsidR="00560767" w:rsidRPr="006C5577" w:rsidRDefault="00560767" w:rsidP="004924DC">
                      <w:r w:rsidRPr="006C5577">
                        <w:t xml:space="preserve">Kontaktní osoba: </w:t>
                      </w:r>
                      <w:r>
                        <w:t>Alena Kotrbatá</w:t>
                      </w:r>
                      <w:r w:rsidRPr="006C5577">
                        <w:t>,</w:t>
                      </w:r>
                      <w:r>
                        <w:t xml:space="preserve"> e-mail: alena.kotrbata@czso.cz</w:t>
                      </w: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1710055</wp:posOffset>
                </wp:positionH>
                <wp:positionV relativeFrom="page">
                  <wp:posOffset>4680585</wp:posOffset>
                </wp:positionV>
                <wp:extent cx="5129530" cy="1686560"/>
                <wp:effectExtent l="0" t="0" r="13970" b="8890"/>
                <wp:wrapNone/>
                <wp:docPr id="5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767" w:rsidRPr="004924DC" w:rsidRDefault="00560767" w:rsidP="004924DC">
                            <w:pPr>
                              <w:pStyle w:val="TLIdentifikace-sted"/>
                            </w:pPr>
                            <w:r>
                              <w:t>Lidé a společnost</w:t>
                            </w:r>
                          </w:p>
                          <w:p w:rsidR="00560767" w:rsidRPr="004924DC" w:rsidRDefault="00560767" w:rsidP="004924DC">
                            <w:pPr>
                              <w:pStyle w:val="TLIdentifikace-sted"/>
                            </w:pPr>
                            <w:r>
                              <w:t>Praha</w:t>
                            </w:r>
                            <w:r w:rsidRPr="004924DC">
                              <w:t xml:space="preserve">, </w:t>
                            </w:r>
                            <w:r>
                              <w:t>2018</w:t>
                            </w:r>
                          </w:p>
                          <w:p w:rsidR="00560767" w:rsidRPr="004924DC" w:rsidRDefault="00560767" w:rsidP="004924DC">
                            <w:pPr>
                              <w:pStyle w:val="TLIdentifikace-sted"/>
                            </w:pPr>
                            <w:r w:rsidRPr="004924DC">
                              <w:t xml:space="preserve">Kód publikace: </w:t>
                            </w:r>
                            <w:r>
                              <w:t>230053-18</w:t>
                            </w:r>
                          </w:p>
                          <w:p w:rsidR="00560767" w:rsidRPr="004924DC" w:rsidRDefault="00560767" w:rsidP="004924DC">
                            <w:pPr>
                              <w:pStyle w:val="TLIdentifikace-sted"/>
                            </w:pPr>
                            <w:r w:rsidRPr="004924DC">
                              <w:t xml:space="preserve">Č. j.: </w:t>
                            </w:r>
                            <w:r w:rsidRPr="00256DD2">
                              <w:t>713/2018 – 63</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4.65pt;margin-top:368.55pt;width:403.9pt;height:13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" filled="f" stroked="f">
                <v:textbox style="mso-fit-shape-to-text:t" inset="0,0,0,0">
                  <w:txbxContent>
                    <w:p w:rsidR="00560767" w:rsidRPr="004924DC" w:rsidRDefault="00560767" w:rsidP="004924DC">
                      <w:pPr>
                        <w:pStyle w:val="TLIdentifikace-sted"/>
                      </w:pPr>
                      <w:r>
                        <w:t>Lidé a společnost</w:t>
                      </w:r>
                    </w:p>
                    <w:p w:rsidR="00560767" w:rsidRPr="004924DC" w:rsidRDefault="00560767" w:rsidP="004924DC">
                      <w:pPr>
                        <w:pStyle w:val="TLIdentifikace-sted"/>
                      </w:pPr>
                      <w:r>
                        <w:t>Praha</w:t>
                      </w:r>
                      <w:r w:rsidRPr="004924DC">
                        <w:t xml:space="preserve">, </w:t>
                      </w:r>
                      <w:r>
                        <w:t>2018</w:t>
                      </w:r>
                    </w:p>
                    <w:p w:rsidR="00560767" w:rsidRPr="004924DC" w:rsidRDefault="00560767" w:rsidP="004924DC">
                      <w:pPr>
                        <w:pStyle w:val="TLIdentifikace-sted"/>
                      </w:pPr>
                      <w:r w:rsidRPr="004924DC">
                        <w:t xml:space="preserve">Kód publikace: </w:t>
                      </w:r>
                      <w:r>
                        <w:t>230053-18</w:t>
                      </w:r>
                    </w:p>
                    <w:p w:rsidR="00560767" w:rsidRPr="004924DC" w:rsidRDefault="00560767" w:rsidP="004924DC">
                      <w:pPr>
                        <w:pStyle w:val="TLIdentifikace-sted"/>
                      </w:pPr>
                      <w:r w:rsidRPr="004924DC">
                        <w:t xml:space="preserve">Č. j.: </w:t>
                      </w:r>
                      <w:r w:rsidRPr="00256DD2">
                        <w:t>713/2018 – 63</w:t>
                      </w: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1" allowOverlap="1">
                <wp:simplePos x="0" y="0"/>
                <wp:positionH relativeFrom="page">
                  <wp:posOffset>1710055</wp:posOffset>
                </wp:positionH>
                <wp:positionV relativeFrom="page">
                  <wp:posOffset>1476375</wp:posOffset>
                </wp:positionV>
                <wp:extent cx="5129530" cy="1471930"/>
                <wp:effectExtent l="0" t="0" r="13970" b="13970"/>
                <wp:wrapNone/>
                <wp:docPr id="5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767" w:rsidRPr="000E6FBD" w:rsidRDefault="00560767" w:rsidP="000E6FBD">
                            <w:pPr>
                              <w:pStyle w:val="Nzev"/>
                            </w:pPr>
                            <w:r>
                              <w:t>Vzdělávání dospělých v české republice</w:t>
                            </w:r>
                          </w:p>
                          <w:p w:rsidR="00560767" w:rsidRPr="0012192F" w:rsidRDefault="00560767" w:rsidP="0012192F">
                            <w:pPr>
                              <w:pStyle w:val="Podtitul"/>
                            </w:pPr>
                          </w:p>
                          <w:p w:rsidR="00560767" w:rsidRPr="0012192F" w:rsidRDefault="00560767" w:rsidP="0012192F">
                            <w:pPr>
                              <w:pStyle w:val="Podtitul"/>
                            </w:pPr>
                            <w:r>
                              <w:t xml:space="preserve">Výstupy z šetření </w:t>
                            </w:r>
                            <w:proofErr w:type="spellStart"/>
                            <w:r>
                              <w:t>Adult</w:t>
                            </w:r>
                            <w:proofErr w:type="spellEnd"/>
                            <w:r>
                              <w:t xml:space="preserve"> </w:t>
                            </w:r>
                            <w:proofErr w:type="spellStart"/>
                            <w:r>
                              <w:t>Education</w:t>
                            </w:r>
                            <w:proofErr w:type="spellEnd"/>
                            <w:r>
                              <w:t xml:space="preserve"> </w:t>
                            </w:r>
                            <w:proofErr w:type="spellStart"/>
                            <w:r>
                              <w:t>Survey</w:t>
                            </w:r>
                            <w:proofErr w:type="spellEnd"/>
                            <w:r>
                              <w:t xml:space="preserve"> 2016</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4.65pt;margin-top:116.25pt;width:403.9pt;height:115.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" filled="f" stroked="f">
                <v:textbox style="mso-fit-shape-to-text:t" inset="0,0,0,0">
                  <w:txbxContent>
                    <w:p w:rsidR="00560767" w:rsidRPr="000E6FBD" w:rsidRDefault="00560767" w:rsidP="000E6FBD">
                      <w:pPr>
                        <w:pStyle w:val="Nzev"/>
                      </w:pPr>
                      <w:r>
                        <w:t>Vzdělávání dospělých v české republice</w:t>
                      </w:r>
                    </w:p>
                    <w:p w:rsidR="00560767" w:rsidRPr="0012192F" w:rsidRDefault="00560767" w:rsidP="0012192F">
                      <w:pPr>
                        <w:pStyle w:val="Podtitul"/>
                      </w:pPr>
                    </w:p>
                    <w:p w:rsidR="00560767" w:rsidRPr="0012192F" w:rsidRDefault="00560767" w:rsidP="0012192F">
                      <w:pPr>
                        <w:pStyle w:val="Podtitul"/>
                      </w:pPr>
                      <w:r>
                        <w:t xml:space="preserve">Výstupy z šetření </w:t>
                      </w:r>
                      <w:proofErr w:type="spellStart"/>
                      <w:r>
                        <w:t>Adult</w:t>
                      </w:r>
                      <w:proofErr w:type="spellEnd"/>
                      <w:r>
                        <w:t xml:space="preserve"> </w:t>
                      </w:r>
                      <w:proofErr w:type="spellStart"/>
                      <w:r>
                        <w:t>Education</w:t>
                      </w:r>
                      <w:proofErr w:type="spellEnd"/>
                      <w:r>
                        <w:t xml:space="preserve"> </w:t>
                      </w:r>
                      <w:proofErr w:type="spellStart"/>
                      <w:r>
                        <w:t>Survey</w:t>
                      </w:r>
                      <w:proofErr w:type="spellEnd"/>
                      <w:r>
                        <w:t xml:space="preserve"> 2016</w:t>
                      </w:r>
                    </w:p>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1" layoutInCell="1" allowOverlap="1">
                <wp:simplePos x="0" y="0"/>
                <wp:positionH relativeFrom="page">
                  <wp:posOffset>1710055</wp:posOffset>
                </wp:positionH>
                <wp:positionV relativeFrom="page">
                  <wp:posOffset>9649460</wp:posOffset>
                </wp:positionV>
                <wp:extent cx="5130165" cy="179705"/>
                <wp:effectExtent l="0" t="0" r="13335" b="10795"/>
                <wp:wrapNone/>
                <wp:docPr id="3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767" w:rsidRPr="004924DC" w:rsidRDefault="00560767" w:rsidP="004924DC">
                            <w:r w:rsidRPr="004924DC">
                              <w:t xml:space="preserve">© Český statistický úřad, </w:t>
                            </w:r>
                            <w:r>
                              <w:t>Praha</w:t>
                            </w:r>
                            <w:r w:rsidRPr="004924DC">
                              <w:t xml:space="preserve">, </w:t>
                            </w:r>
                            <w:r>
                              <w:t>2018</w:t>
                            </w:r>
                          </w:p>
                          <w:p w:rsidR="00560767" w:rsidRPr="005251DD" w:rsidRDefault="00560767" w:rsidP="00665BA4"/>
                          <w:p w:rsidR="00560767" w:rsidRPr="005251DD" w:rsidRDefault="00560767" w:rsidP="00FC684B"/>
                          <w:p w:rsidR="00560767" w:rsidRDefault="00560767"/>
                          <w:p w:rsidR="00560767" w:rsidRPr="00097407" w:rsidRDefault="00560767"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rsidR="00560767" w:rsidRPr="005251DD" w:rsidRDefault="00560767" w:rsidP="00665BA4"/>
                          <w:p w:rsidR="00560767" w:rsidRPr="005251DD" w:rsidRDefault="00560767"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c0ugIAALY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" filled="f" stroked="f">
                <v:textbox inset="0,0,0,0">
                  <w:txbxContent>
                    <w:p w:rsidR="00560767" w:rsidRPr="004924DC" w:rsidRDefault="00560767" w:rsidP="004924DC">
                      <w:r w:rsidRPr="004924DC">
                        <w:t xml:space="preserve">© Český statistický úřad, </w:t>
                      </w:r>
                      <w:r>
                        <w:t>Praha</w:t>
                      </w:r>
                      <w:r w:rsidRPr="004924DC">
                        <w:t xml:space="preserve">, </w:t>
                      </w:r>
                      <w:r>
                        <w:t>2018</w:t>
                      </w:r>
                    </w:p>
                    <w:p w:rsidR="00560767" w:rsidRPr="005251DD" w:rsidRDefault="00560767" w:rsidP="00665BA4"/>
                    <w:p w:rsidR="00560767" w:rsidRPr="005251DD" w:rsidRDefault="00560767" w:rsidP="00FC684B"/>
                    <w:p w:rsidR="00560767" w:rsidRDefault="00560767"/>
                    <w:p w:rsidR="00560767" w:rsidRPr="00097407" w:rsidRDefault="00560767"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rsidR="00560767" w:rsidRPr="005251DD" w:rsidRDefault="00560767" w:rsidP="00665BA4"/>
                    <w:p w:rsidR="00560767" w:rsidRPr="005251DD" w:rsidRDefault="00560767" w:rsidP="00FC684B"/>
                  </w:txbxContent>
                </v:textbox>
                <w10:wrap anchorx="page" anchory="page"/>
                <w10:anchorlock/>
              </v:shape>
            </w:pict>
          </mc:Fallback>
        </mc:AlternateContent>
      </w:r>
      <w:r>
        <w:rPr>
          <w:noProof/>
        </w:rPr>
        <mc:AlternateContent>
          <mc:Choice Requires="wps">
            <w:drawing>
              <wp:anchor distT="4294967292" distB="4294967292" distL="114300" distR="114300" simplePos="0" relativeHeight="251653632" behindDoc="0" locked="1" layoutInCell="0" allowOverlap="1">
                <wp:simplePos x="0" y="0"/>
                <wp:positionH relativeFrom="page">
                  <wp:posOffset>1710055</wp:posOffset>
                </wp:positionH>
                <wp:positionV relativeFrom="page">
                  <wp:posOffset>9361169</wp:posOffset>
                </wp:positionV>
                <wp:extent cx="5130165" cy="0"/>
                <wp:effectExtent l="0" t="0" r="13335" b="19050"/>
                <wp:wrapNone/>
                <wp:docPr id="33"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Přímá spojnice 33" o:spid="_x0000_s1026" style="position:absolute;z-index:25165363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mc:Fallback>
        </mc:AlternateContent>
      </w:r>
      <w:r w:rsidR="00F63FB7" w:rsidRPr="004B7295">
        <w:br w:type="page"/>
      </w:r>
      <w:r w:rsidR="00016992" w:rsidRPr="004B7295">
        <w:lastRenderedPageBreak/>
        <w:br w:type="page"/>
      </w:r>
      <w:r>
        <w:rPr>
          <w:noProof/>
        </w:rPr>
        <mc:AlternateContent>
          <mc:Choice Requires="wps">
            <w:drawing>
              <wp:anchor distT="0" distB="0" distL="114300" distR="114300" simplePos="0" relativeHeight="251659776" behindDoc="0" locked="1" layoutInCell="1" allowOverlap="1">
                <wp:simplePos x="0" y="0"/>
                <wp:positionH relativeFrom="page">
                  <wp:posOffset>723900</wp:posOffset>
                </wp:positionH>
                <wp:positionV relativeFrom="page">
                  <wp:posOffset>1440180</wp:posOffset>
                </wp:positionV>
                <wp:extent cx="6119495" cy="7690485"/>
                <wp:effectExtent l="0" t="0" r="14605" b="5715"/>
                <wp:wrapNone/>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9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767" w:rsidRPr="006F5416" w:rsidRDefault="00560767" w:rsidP="000B30FA">
                            <w:pPr>
                              <w:pStyle w:val="TLKontaktyerven"/>
                            </w:pPr>
                            <w:r w:rsidRPr="006F5416">
                              <w:t>KONTAKTY V ÚSTŘEDÍ</w:t>
                            </w:r>
                          </w:p>
                          <w:p w:rsidR="00560767" w:rsidRPr="007D40DF" w:rsidRDefault="00560767" w:rsidP="000B30FA">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rsidR="00560767" w:rsidRPr="00D235B7" w:rsidRDefault="00560767" w:rsidP="000B30FA">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274 052 304, 274 052 451 | e-mail: infoservis@czso.cz</w:t>
                            </w:r>
                          </w:p>
                          <w:p w:rsidR="00560767" w:rsidRPr="00D235B7" w:rsidRDefault="00560767" w:rsidP="000B30FA">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274 052 361 | e-mail: prodejna@czso.cz</w:t>
                            </w:r>
                          </w:p>
                          <w:p w:rsidR="00560767" w:rsidRPr="00D235B7" w:rsidRDefault="00560767" w:rsidP="000B30FA">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274 052 347, 274 052 757 | e-mail: esds@czso.cz</w:t>
                            </w:r>
                          </w:p>
                          <w:p w:rsidR="00560767" w:rsidRPr="00D235B7" w:rsidRDefault="00560767" w:rsidP="000B30FA">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274 052 361 | e-mail: knihovna@czso.cz</w:t>
                            </w:r>
                          </w:p>
                          <w:p w:rsidR="00560767" w:rsidRPr="004A61C5" w:rsidRDefault="00560767" w:rsidP="000B30FA">
                            <w:pPr>
                              <w:pStyle w:val="TLKontakty"/>
                              <w:spacing w:after="80" w:line="240" w:lineRule="auto"/>
                              <w:contextualSpacing w:val="0"/>
                              <w:rPr>
                                <w:color w:val="auto"/>
                              </w:rPr>
                            </w:pPr>
                          </w:p>
                          <w:p w:rsidR="00560767" w:rsidRPr="00D66223" w:rsidRDefault="00560767" w:rsidP="000B30FA">
                            <w:pPr>
                              <w:pStyle w:val="TLKontaktyerven"/>
                            </w:pPr>
                            <w:r w:rsidRPr="00D66223">
                              <w:t>INFORMAČNÍ SLUŽBY V REGIONECH</w:t>
                            </w:r>
                          </w:p>
                          <w:p w:rsidR="00560767" w:rsidRPr="00992CF3" w:rsidRDefault="00560767" w:rsidP="000B30FA">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274 054 223</w:t>
                            </w:r>
                          </w:p>
                          <w:p w:rsidR="00560767" w:rsidRPr="00992CF3" w:rsidRDefault="00560767" w:rsidP="000B30FA">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rsidR="00560767" w:rsidRPr="004A61C5" w:rsidRDefault="00560767" w:rsidP="000B30FA">
                            <w:pPr>
                              <w:pStyle w:val="TLKontakty"/>
                              <w:spacing w:after="80" w:line="240" w:lineRule="auto"/>
                              <w:rPr>
                                <w:color w:val="auto"/>
                              </w:rPr>
                            </w:pPr>
                          </w:p>
                          <w:p w:rsidR="00560767" w:rsidRPr="00992CF3" w:rsidRDefault="00560767" w:rsidP="000B30FA">
                            <w:pPr>
                              <w:pStyle w:val="TLKontakty"/>
                              <w:spacing w:after="80" w:line="240" w:lineRule="auto"/>
                              <w:rPr>
                                <w:b w:val="0"/>
                                <w:color w:val="auto"/>
                              </w:rPr>
                            </w:pPr>
                            <w:r w:rsidRPr="00D66223">
                              <w:t>Středočeský kraj</w:t>
                            </w:r>
                            <w:r w:rsidRPr="00992CF3">
                              <w:rPr>
                                <w:b w:val="0"/>
                                <w:color w:val="auto"/>
                              </w:rPr>
                              <w:t xml:space="preserve"> | Na padesátém 81, 100 82 Praha 10, tel.</w:t>
                            </w:r>
                            <w:r>
                              <w:rPr>
                                <w:b w:val="0"/>
                                <w:color w:val="auto"/>
                              </w:rPr>
                              <w:t xml:space="preserve">: </w:t>
                            </w:r>
                            <w:r w:rsidRPr="00992CF3">
                              <w:rPr>
                                <w:b w:val="0"/>
                                <w:color w:val="auto"/>
                              </w:rPr>
                              <w:t>274 054 175</w:t>
                            </w:r>
                          </w:p>
                          <w:p w:rsidR="00560767" w:rsidRPr="00992CF3" w:rsidRDefault="00560767" w:rsidP="000B30FA">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rsidR="00560767" w:rsidRPr="004A61C5" w:rsidRDefault="00560767" w:rsidP="000B30FA">
                            <w:pPr>
                              <w:pStyle w:val="TLKontakty"/>
                              <w:spacing w:after="80" w:line="240" w:lineRule="auto"/>
                              <w:rPr>
                                <w:color w:val="auto"/>
                              </w:rPr>
                            </w:pPr>
                          </w:p>
                          <w:p w:rsidR="00560767" w:rsidRPr="00992CF3" w:rsidRDefault="00560767" w:rsidP="000B30FA">
                            <w:pPr>
                              <w:pStyle w:val="TLKontakty"/>
                              <w:spacing w:after="80" w:line="240" w:lineRule="auto"/>
                              <w:rPr>
                                <w:b w:val="0"/>
                                <w:color w:val="auto"/>
                              </w:rPr>
                            </w:pPr>
                            <w:r w:rsidRPr="00D66223">
                              <w:t>České Budějovice</w:t>
                            </w:r>
                            <w:r w:rsidRPr="00992CF3">
                              <w:rPr>
                                <w:b w:val="0"/>
                                <w:color w:val="auto"/>
                              </w:rPr>
                              <w:t xml:space="preserve"> | Žižkova 1, 370 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386 718 440</w:t>
                            </w:r>
                          </w:p>
                          <w:p w:rsidR="00560767" w:rsidRPr="00992CF3" w:rsidRDefault="00560767" w:rsidP="000B30FA">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rsidR="00560767" w:rsidRPr="004A61C5" w:rsidRDefault="00560767" w:rsidP="000B30FA">
                            <w:pPr>
                              <w:pStyle w:val="TLKontakty"/>
                              <w:spacing w:after="80" w:line="240" w:lineRule="auto"/>
                              <w:rPr>
                                <w:color w:val="auto"/>
                              </w:rPr>
                            </w:pPr>
                          </w:p>
                          <w:p w:rsidR="00560767" w:rsidRPr="00BC731E" w:rsidRDefault="00560767" w:rsidP="000B30FA">
                            <w:pPr>
                              <w:pStyle w:val="TLKontakty"/>
                              <w:spacing w:after="80" w:line="240" w:lineRule="auto"/>
                              <w:rPr>
                                <w:b w:val="0"/>
                                <w:color w:val="auto"/>
                              </w:rPr>
                            </w:pPr>
                            <w:r w:rsidRPr="00D66223">
                              <w:t>Plzeň</w:t>
                            </w:r>
                            <w:r w:rsidRPr="004A61C5">
                              <w:rPr>
                                <w:b w:val="0"/>
                                <w:color w:val="auto"/>
                              </w:rPr>
                              <w:t xml:space="preserve"> | Slovanská alej 36, 326 64 Plzeň</w:t>
                            </w:r>
                            <w:r>
                              <w:rPr>
                                <w:b w:val="0"/>
                                <w:color w:val="auto"/>
                              </w:rPr>
                              <w:t xml:space="preserve">, </w:t>
                            </w:r>
                            <w:r w:rsidRPr="004A61C5">
                              <w:rPr>
                                <w:b w:val="0"/>
                                <w:color w:val="auto"/>
                              </w:rPr>
                              <w:t>tel.</w:t>
                            </w:r>
                            <w:r>
                              <w:rPr>
                                <w:b w:val="0"/>
                                <w:color w:val="auto"/>
                              </w:rPr>
                              <w:t xml:space="preserve">: </w:t>
                            </w:r>
                            <w:r w:rsidRPr="004A61C5">
                              <w:rPr>
                                <w:b w:val="0"/>
                                <w:color w:val="auto"/>
                              </w:rPr>
                              <w:t>377 612 108</w:t>
                            </w:r>
                            <w:r w:rsidRPr="00BC731E">
                              <w:rPr>
                                <w:b w:val="0"/>
                                <w:color w:val="auto"/>
                              </w:rPr>
                              <w:t>, 377 612 145</w:t>
                            </w:r>
                          </w:p>
                          <w:p w:rsidR="00560767" w:rsidRPr="004A61C5" w:rsidRDefault="00560767" w:rsidP="000B30FA">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rsidR="00560767" w:rsidRPr="004A61C5" w:rsidRDefault="00560767" w:rsidP="000B30FA">
                            <w:pPr>
                              <w:pStyle w:val="TLKontakty"/>
                              <w:spacing w:after="80" w:line="240" w:lineRule="auto"/>
                              <w:rPr>
                                <w:color w:val="auto"/>
                              </w:rPr>
                            </w:pPr>
                          </w:p>
                          <w:p w:rsidR="00560767" w:rsidRPr="004A61C5" w:rsidRDefault="00560767" w:rsidP="000B30FA">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 360/94, 360 06 Karlovy Vary</w:t>
                            </w:r>
                            <w:r w:rsidRPr="004A61C5">
                              <w:rPr>
                                <w:b w:val="0"/>
                                <w:color w:val="auto"/>
                              </w:rPr>
                              <w:t>, tel.</w:t>
                            </w:r>
                            <w:r>
                              <w:rPr>
                                <w:b w:val="0"/>
                                <w:color w:val="auto"/>
                              </w:rPr>
                              <w:t xml:space="preserve">: </w:t>
                            </w:r>
                            <w:r w:rsidRPr="004A61C5">
                              <w:rPr>
                                <w:b w:val="0"/>
                                <w:color w:val="auto"/>
                              </w:rPr>
                              <w:t>353 114 529, 353 114 525</w:t>
                            </w:r>
                          </w:p>
                          <w:p w:rsidR="00560767" w:rsidRPr="004A61C5" w:rsidRDefault="00560767" w:rsidP="000B30FA">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rsidR="00560767" w:rsidRPr="004A61C5" w:rsidRDefault="00560767" w:rsidP="000B30FA">
                            <w:pPr>
                              <w:pStyle w:val="TLKontakty"/>
                              <w:spacing w:after="80" w:line="240" w:lineRule="auto"/>
                              <w:rPr>
                                <w:color w:val="auto"/>
                              </w:rPr>
                            </w:pPr>
                          </w:p>
                          <w:p w:rsidR="00560767" w:rsidRPr="004A61C5" w:rsidRDefault="00560767" w:rsidP="000B30FA">
                            <w:pPr>
                              <w:pStyle w:val="TLKontakty"/>
                              <w:spacing w:after="80" w:line="240" w:lineRule="auto"/>
                              <w:rPr>
                                <w:b w:val="0"/>
                                <w:color w:val="auto"/>
                              </w:rPr>
                            </w:pPr>
                            <w:r w:rsidRPr="00D66223">
                              <w:t>Ústí nad Labem</w:t>
                            </w:r>
                            <w:r w:rsidRPr="004A61C5">
                              <w:rPr>
                                <w:b w:val="0"/>
                                <w:color w:val="auto"/>
                              </w:rPr>
                              <w:t xml:space="preserve"> | Špálova 2684, 400 11 Ústí nad Labem</w:t>
                            </w:r>
                            <w:r>
                              <w:rPr>
                                <w:b w:val="0"/>
                                <w:color w:val="auto"/>
                              </w:rPr>
                              <w:t xml:space="preserve">, </w:t>
                            </w:r>
                            <w:r w:rsidRPr="004A61C5">
                              <w:rPr>
                                <w:b w:val="0"/>
                                <w:color w:val="auto"/>
                              </w:rPr>
                              <w:t>tel.</w:t>
                            </w:r>
                            <w:r>
                              <w:rPr>
                                <w:b w:val="0"/>
                                <w:color w:val="auto"/>
                              </w:rPr>
                              <w:t xml:space="preserve">: </w:t>
                            </w:r>
                            <w:r w:rsidRPr="004A61C5">
                              <w:rPr>
                                <w:b w:val="0"/>
                                <w:color w:val="auto"/>
                              </w:rPr>
                              <w:t>472 706 176,</w:t>
                            </w:r>
                            <w:r>
                              <w:rPr>
                                <w:b w:val="0"/>
                                <w:color w:val="auto"/>
                              </w:rPr>
                              <w:t xml:space="preserve"> </w:t>
                            </w:r>
                            <w:r w:rsidRPr="004A61C5">
                              <w:rPr>
                                <w:b w:val="0"/>
                                <w:color w:val="auto"/>
                              </w:rPr>
                              <w:t>472 706 121</w:t>
                            </w:r>
                          </w:p>
                          <w:p w:rsidR="00560767" w:rsidRPr="004A61C5" w:rsidRDefault="00560767" w:rsidP="000B30FA">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rsidR="00560767" w:rsidRPr="004A61C5" w:rsidRDefault="00560767" w:rsidP="000B30FA">
                            <w:pPr>
                              <w:pStyle w:val="TLKontakty"/>
                              <w:spacing w:after="80" w:line="240" w:lineRule="auto"/>
                              <w:rPr>
                                <w:color w:val="auto"/>
                              </w:rPr>
                            </w:pPr>
                          </w:p>
                          <w:p w:rsidR="00560767" w:rsidRPr="004A61C5" w:rsidRDefault="00560767" w:rsidP="000B30FA">
                            <w:pPr>
                              <w:pStyle w:val="TLKontakty"/>
                              <w:spacing w:after="80" w:line="240" w:lineRule="auto"/>
                              <w:rPr>
                                <w:b w:val="0"/>
                                <w:color w:val="auto"/>
                              </w:rPr>
                            </w:pPr>
                            <w:r w:rsidRPr="00D66223">
                              <w:t>Liberec</w:t>
                            </w:r>
                            <w:r w:rsidRPr="004A61C5">
                              <w:rPr>
                                <w:b w:val="0"/>
                                <w:color w:val="auto"/>
                              </w:rPr>
                              <w:t xml:space="preserve"> | Nám. Dr. Edvarda Beneše 585/26, 460 01 Liberec 1, tel.</w:t>
                            </w:r>
                            <w:r>
                              <w:rPr>
                                <w:b w:val="0"/>
                                <w:color w:val="auto"/>
                              </w:rPr>
                              <w:t xml:space="preserve">: </w:t>
                            </w:r>
                            <w:r w:rsidRPr="004A61C5">
                              <w:rPr>
                                <w:b w:val="0"/>
                                <w:color w:val="auto"/>
                              </w:rPr>
                              <w:t>485 238 811</w:t>
                            </w:r>
                          </w:p>
                          <w:p w:rsidR="00560767" w:rsidRPr="004A61C5" w:rsidRDefault="00560767" w:rsidP="000B30FA">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rsidR="00560767" w:rsidRPr="004A61C5" w:rsidRDefault="00560767" w:rsidP="000B30FA">
                            <w:pPr>
                              <w:pStyle w:val="TLKontakty"/>
                              <w:spacing w:after="80" w:line="240" w:lineRule="auto"/>
                              <w:rPr>
                                <w:b w:val="0"/>
                                <w:color w:val="auto"/>
                              </w:rPr>
                            </w:pPr>
                          </w:p>
                          <w:p w:rsidR="00560767" w:rsidRPr="004A61C5" w:rsidRDefault="00560767" w:rsidP="000B30FA">
                            <w:pPr>
                              <w:pStyle w:val="TLKontakty"/>
                              <w:spacing w:after="80" w:line="240" w:lineRule="auto"/>
                              <w:rPr>
                                <w:b w:val="0"/>
                                <w:color w:val="auto"/>
                              </w:rPr>
                            </w:pPr>
                            <w:r w:rsidRPr="00D66223">
                              <w:t>Hradec Králové</w:t>
                            </w:r>
                            <w:r w:rsidRPr="004A61C5">
                              <w:rPr>
                                <w:b w:val="0"/>
                                <w:color w:val="auto"/>
                              </w:rPr>
                              <w:t xml:space="preserve"> | Myslivečkova 914, 500 03 Hradec Králové 3, </w:t>
                            </w:r>
                            <w:r>
                              <w:rPr>
                                <w:b w:val="0"/>
                                <w:color w:val="auto"/>
                              </w:rPr>
                              <w:t>tel.</w:t>
                            </w:r>
                            <w:r w:rsidRPr="007D40DF">
                              <w:rPr>
                                <w:b w:val="0"/>
                                <w:color w:val="auto"/>
                              </w:rPr>
                              <w:t>:</w:t>
                            </w:r>
                            <w:r>
                              <w:rPr>
                                <w:b w:val="0"/>
                                <w:color w:val="auto"/>
                              </w:rPr>
                              <w:t xml:space="preserve"> </w:t>
                            </w:r>
                            <w:r w:rsidRPr="004A61C5">
                              <w:rPr>
                                <w:b w:val="0"/>
                                <w:color w:val="auto"/>
                              </w:rPr>
                              <w:t>495 762 322,</w:t>
                            </w:r>
                            <w:r>
                              <w:rPr>
                                <w:b w:val="0"/>
                                <w:color w:val="auto"/>
                              </w:rPr>
                              <w:t xml:space="preserve"> </w:t>
                            </w:r>
                            <w:r w:rsidRPr="004A61C5">
                              <w:rPr>
                                <w:b w:val="0"/>
                                <w:color w:val="auto"/>
                              </w:rPr>
                              <w:t>495 762 317</w:t>
                            </w:r>
                          </w:p>
                          <w:p w:rsidR="00560767" w:rsidRPr="004A61C5" w:rsidRDefault="00560767" w:rsidP="000B30FA">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rsidR="00560767" w:rsidRPr="004A61C5" w:rsidRDefault="00560767" w:rsidP="000B30FA">
                            <w:pPr>
                              <w:pStyle w:val="TLKontakty"/>
                              <w:spacing w:after="80" w:line="240" w:lineRule="auto"/>
                              <w:rPr>
                                <w:color w:val="auto"/>
                              </w:rPr>
                            </w:pPr>
                          </w:p>
                          <w:p w:rsidR="00560767" w:rsidRPr="004A61C5" w:rsidRDefault="00560767" w:rsidP="000B30FA">
                            <w:pPr>
                              <w:pStyle w:val="TLKontakty"/>
                              <w:spacing w:after="80" w:line="240" w:lineRule="auto"/>
                              <w:rPr>
                                <w:b w:val="0"/>
                                <w:color w:val="auto"/>
                              </w:rPr>
                            </w:pPr>
                            <w:r w:rsidRPr="00D66223">
                              <w:t>Pardubice</w:t>
                            </w:r>
                            <w:r w:rsidRPr="004A61C5">
                              <w:rPr>
                                <w:b w:val="0"/>
                                <w:color w:val="auto"/>
                              </w:rPr>
                              <w:t xml:space="preserve"> | V Ráji 872, 531 53 Pardubice</w:t>
                            </w:r>
                            <w:r>
                              <w:rPr>
                                <w:b w:val="0"/>
                                <w:color w:val="auto"/>
                              </w:rPr>
                              <w:t xml:space="preserve">, </w:t>
                            </w:r>
                            <w:r w:rsidRPr="004A61C5">
                              <w:rPr>
                                <w:b w:val="0"/>
                                <w:color w:val="auto"/>
                              </w:rPr>
                              <w:t>tel.</w:t>
                            </w:r>
                            <w:r>
                              <w:rPr>
                                <w:b w:val="0"/>
                                <w:color w:val="auto"/>
                              </w:rPr>
                              <w:t>:</w:t>
                            </w:r>
                            <w:r w:rsidRPr="004A61C5">
                              <w:rPr>
                                <w:b w:val="0"/>
                                <w:color w:val="auto"/>
                              </w:rPr>
                              <w:t xml:space="preserve"> 466 743 480, 466 743 418</w:t>
                            </w:r>
                          </w:p>
                          <w:p w:rsidR="00560767" w:rsidRPr="004A61C5" w:rsidRDefault="00560767" w:rsidP="000B30FA">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rsidR="00560767" w:rsidRPr="004A61C5" w:rsidRDefault="00560767" w:rsidP="000B30FA">
                            <w:pPr>
                              <w:pStyle w:val="TLKontakty"/>
                              <w:spacing w:after="80" w:line="240" w:lineRule="auto"/>
                              <w:rPr>
                                <w:b w:val="0"/>
                                <w:color w:val="auto"/>
                              </w:rPr>
                            </w:pPr>
                          </w:p>
                          <w:p w:rsidR="00560767" w:rsidRPr="004A61C5" w:rsidRDefault="00560767" w:rsidP="000B30FA">
                            <w:pPr>
                              <w:pStyle w:val="TLKontakty"/>
                              <w:spacing w:after="80" w:line="240" w:lineRule="auto"/>
                              <w:rPr>
                                <w:b w:val="0"/>
                                <w:color w:val="auto"/>
                              </w:rPr>
                            </w:pPr>
                            <w:r w:rsidRPr="00D66223">
                              <w:t>Jihlava</w:t>
                            </w:r>
                            <w:r w:rsidRPr="004A61C5">
                              <w:rPr>
                                <w:b w:val="0"/>
                                <w:color w:val="auto"/>
                              </w:rPr>
                              <w:t xml:space="preserve"> | Ke Skalce 30,</w:t>
                            </w:r>
                            <w:r>
                              <w:rPr>
                                <w:b w:val="0"/>
                                <w:color w:val="auto"/>
                              </w:rPr>
                              <w:t xml:space="preserve"> 586 01 Jihlava, tel.: </w:t>
                            </w:r>
                            <w:r w:rsidRPr="004A61C5">
                              <w:rPr>
                                <w:b w:val="0"/>
                                <w:color w:val="auto"/>
                              </w:rPr>
                              <w:t xml:space="preserve">567 109 </w:t>
                            </w:r>
                            <w:r w:rsidRPr="00BC731E">
                              <w:rPr>
                                <w:b w:val="0"/>
                                <w:color w:val="auto"/>
                              </w:rPr>
                              <w:t>062, 567 109 073</w:t>
                            </w:r>
                          </w:p>
                          <w:p w:rsidR="00560767" w:rsidRPr="004A61C5" w:rsidRDefault="00560767" w:rsidP="000B30FA">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rsidR="00560767" w:rsidRDefault="00560767" w:rsidP="000B30FA">
                            <w:pPr>
                              <w:pStyle w:val="TLKontakty"/>
                              <w:spacing w:after="80" w:line="240" w:lineRule="auto"/>
                            </w:pPr>
                          </w:p>
                          <w:p w:rsidR="00560767" w:rsidRPr="00BC731E" w:rsidRDefault="00560767" w:rsidP="000B30FA">
                            <w:pPr>
                              <w:pStyle w:val="TLKontakty"/>
                              <w:spacing w:after="80" w:line="240" w:lineRule="auto"/>
                              <w:rPr>
                                <w:b w:val="0"/>
                                <w:color w:val="auto"/>
                              </w:rPr>
                            </w:pPr>
                            <w:r w:rsidRPr="00D66223">
                              <w:t>Brno</w:t>
                            </w:r>
                            <w:r w:rsidRPr="004A61C5">
                              <w:rPr>
                                <w:b w:val="0"/>
                                <w:color w:val="auto"/>
                              </w:rPr>
                              <w:t xml:space="preserve"> | Jezuitská 2, 601 59 Brno, </w:t>
                            </w:r>
                            <w:r>
                              <w:rPr>
                                <w:b w:val="0"/>
                                <w:color w:val="auto"/>
                              </w:rPr>
                              <w:t xml:space="preserve">tel: </w:t>
                            </w:r>
                            <w:r w:rsidRPr="004A61C5">
                              <w:rPr>
                                <w:b w:val="0"/>
                                <w:color w:val="auto"/>
                              </w:rPr>
                              <w:t xml:space="preserve">542 528 </w:t>
                            </w:r>
                            <w:r w:rsidRPr="00BC731E">
                              <w:rPr>
                                <w:b w:val="0"/>
                                <w:color w:val="auto"/>
                              </w:rPr>
                              <w:t>115, 542 528 200</w:t>
                            </w:r>
                          </w:p>
                          <w:p w:rsidR="00560767" w:rsidRPr="004A61C5" w:rsidRDefault="00560767" w:rsidP="000B30FA">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rsidR="00560767" w:rsidRPr="004A61C5" w:rsidRDefault="00560767" w:rsidP="000B30FA">
                            <w:pPr>
                              <w:pStyle w:val="TLKontakty"/>
                              <w:spacing w:after="80" w:line="240" w:lineRule="auto"/>
                              <w:rPr>
                                <w:b w:val="0"/>
                                <w:color w:val="auto"/>
                              </w:rPr>
                            </w:pPr>
                          </w:p>
                          <w:p w:rsidR="00560767" w:rsidRPr="005E7C78" w:rsidRDefault="00560767" w:rsidP="000B30FA">
                            <w:pPr>
                              <w:pStyle w:val="TLKontakty"/>
                              <w:spacing w:after="80" w:line="240" w:lineRule="auto"/>
                              <w:rPr>
                                <w:b w:val="0"/>
                                <w:color w:val="auto"/>
                              </w:rPr>
                            </w:pPr>
                            <w:r w:rsidRPr="00D66223">
                              <w:t>Olomouc</w:t>
                            </w:r>
                            <w:r w:rsidRPr="005E7C78">
                              <w:rPr>
                                <w:b w:val="0"/>
                                <w:color w:val="auto"/>
                              </w:rPr>
                              <w:t xml:space="preserve"> | Jeremenkova 1142/42, 772 11 Olomouc, </w:t>
                            </w:r>
                            <w:r>
                              <w:rPr>
                                <w:b w:val="0"/>
                                <w:color w:val="auto"/>
                              </w:rPr>
                              <w:t xml:space="preserve">tel.: </w:t>
                            </w:r>
                            <w:r w:rsidRPr="005E7C78">
                              <w:rPr>
                                <w:b w:val="0"/>
                                <w:color w:val="auto"/>
                              </w:rPr>
                              <w:t xml:space="preserve">585 731 </w:t>
                            </w:r>
                            <w:r w:rsidRPr="00BC731E">
                              <w:rPr>
                                <w:b w:val="0"/>
                                <w:color w:val="auto"/>
                              </w:rPr>
                              <w:t>516, 585 731 511</w:t>
                            </w:r>
                          </w:p>
                          <w:p w:rsidR="00560767" w:rsidRPr="005E7C78" w:rsidRDefault="00560767" w:rsidP="000B30FA">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rsidR="00560767" w:rsidRPr="005E7C78" w:rsidRDefault="00560767" w:rsidP="000B30FA">
                            <w:pPr>
                              <w:pStyle w:val="TLKontakty"/>
                              <w:spacing w:after="80" w:line="240" w:lineRule="auto"/>
                              <w:rPr>
                                <w:b w:val="0"/>
                                <w:color w:val="auto"/>
                              </w:rPr>
                            </w:pPr>
                          </w:p>
                          <w:p w:rsidR="00560767" w:rsidRPr="005E7C78" w:rsidRDefault="00560767" w:rsidP="000B30FA">
                            <w:pPr>
                              <w:pStyle w:val="TLKontakty"/>
                              <w:spacing w:after="80" w:line="240" w:lineRule="auto"/>
                              <w:rPr>
                                <w:b w:val="0"/>
                                <w:color w:val="auto"/>
                              </w:rPr>
                            </w:pPr>
                            <w:r w:rsidRPr="00D66223">
                              <w:t>Zlín</w:t>
                            </w:r>
                            <w:r w:rsidRPr="005E7C78">
                              <w:rPr>
                                <w:b w:val="0"/>
                                <w:color w:val="auto"/>
                              </w:rPr>
                              <w:t xml:space="preserve"> | tř. Tomáše Bati 1565, 761 76 Zlín, </w:t>
                            </w:r>
                            <w:r w:rsidRPr="00BC731E">
                              <w:rPr>
                                <w:b w:val="0"/>
                                <w:color w:val="auto"/>
                              </w:rPr>
                              <w:t>tel.: 577 004 932, 5</w:t>
                            </w:r>
                            <w:r w:rsidRPr="005E7C78">
                              <w:rPr>
                                <w:b w:val="0"/>
                                <w:color w:val="auto"/>
                              </w:rPr>
                              <w:t>77 004 935</w:t>
                            </w:r>
                          </w:p>
                          <w:p w:rsidR="00560767" w:rsidRDefault="00560767" w:rsidP="000B30FA">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rsidR="00560767" w:rsidRPr="005E7C78" w:rsidRDefault="00560767" w:rsidP="000B30FA">
                            <w:pPr>
                              <w:pStyle w:val="TLKontakty"/>
                              <w:spacing w:after="80" w:line="240" w:lineRule="auto"/>
                              <w:rPr>
                                <w:b w:val="0"/>
                                <w:color w:val="auto"/>
                              </w:rPr>
                            </w:pPr>
                          </w:p>
                          <w:p w:rsidR="00560767" w:rsidRPr="005E7C78" w:rsidRDefault="00560767" w:rsidP="000B30FA">
                            <w:pPr>
                              <w:pStyle w:val="TLKontakty"/>
                              <w:spacing w:after="80" w:line="240" w:lineRule="auto"/>
                              <w:rPr>
                                <w:b w:val="0"/>
                                <w:color w:val="auto"/>
                              </w:rPr>
                            </w:pPr>
                            <w:r w:rsidRPr="00D66223">
                              <w:t>Ostrava</w:t>
                            </w:r>
                            <w:r w:rsidRPr="005E7C78">
                              <w:rPr>
                                <w:b w:val="0"/>
                                <w:color w:val="auto"/>
                              </w:rPr>
                              <w:t xml:space="preserve"> | Repinova 17, 702 03 Ostrava,</w:t>
                            </w:r>
                            <w:r>
                              <w:rPr>
                                <w:b w:val="0"/>
                                <w:color w:val="auto"/>
                              </w:rPr>
                              <w:t xml:space="preserve"> tel: </w:t>
                            </w:r>
                            <w:r w:rsidRPr="005E7C78">
                              <w:rPr>
                                <w:b w:val="0"/>
                                <w:color w:val="auto"/>
                              </w:rPr>
                              <w:t>595 131 230, 595 131 232</w:t>
                            </w:r>
                          </w:p>
                          <w:p w:rsidR="00560767" w:rsidRPr="0010437D" w:rsidRDefault="00560767"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7pt;margin-top:113.4pt;width:481.85pt;height:605.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" filled="f" stroked="f">
                <v:textbox style="mso-fit-shape-to-text:t" inset="0,0,0,0">
                  <w:txbxContent>
                    <w:p w:rsidR="00560767" w:rsidRPr="006F5416" w:rsidRDefault="00560767" w:rsidP="000B30FA">
                      <w:pPr>
                        <w:pStyle w:val="TLKontaktyerven"/>
                      </w:pPr>
                      <w:r w:rsidRPr="006F5416">
                        <w:t>KONTAKTY V ÚSTŘEDÍ</w:t>
                      </w:r>
                    </w:p>
                    <w:p w:rsidR="00560767" w:rsidRPr="007D40DF" w:rsidRDefault="00560767" w:rsidP="000B30FA">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rsidR="00560767" w:rsidRPr="00D235B7" w:rsidRDefault="00560767" w:rsidP="000B30FA">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274 052 304, 274 052 451 | e-mail: infoservis@czso.cz</w:t>
                      </w:r>
                    </w:p>
                    <w:p w:rsidR="00560767" w:rsidRPr="00D235B7" w:rsidRDefault="00560767" w:rsidP="000B30FA">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274 052 361 | e-mail: prodejna@czso.cz</w:t>
                      </w:r>
                    </w:p>
                    <w:p w:rsidR="00560767" w:rsidRPr="00D235B7" w:rsidRDefault="00560767" w:rsidP="000B30FA">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274 052 347, 274 052 757 | e-mail: esds@czso.cz</w:t>
                      </w:r>
                    </w:p>
                    <w:p w:rsidR="00560767" w:rsidRPr="00D235B7" w:rsidRDefault="00560767" w:rsidP="000B30FA">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274 052 361 | e-mail: knihovna@czso.cz</w:t>
                      </w:r>
                    </w:p>
                    <w:p w:rsidR="00560767" w:rsidRPr="004A61C5" w:rsidRDefault="00560767" w:rsidP="000B30FA">
                      <w:pPr>
                        <w:pStyle w:val="TLKontakty"/>
                        <w:spacing w:after="80" w:line="240" w:lineRule="auto"/>
                        <w:contextualSpacing w:val="0"/>
                        <w:rPr>
                          <w:color w:val="auto"/>
                        </w:rPr>
                      </w:pPr>
                    </w:p>
                    <w:p w:rsidR="00560767" w:rsidRPr="00D66223" w:rsidRDefault="00560767" w:rsidP="000B30FA">
                      <w:pPr>
                        <w:pStyle w:val="TLKontaktyerven"/>
                      </w:pPr>
                      <w:r w:rsidRPr="00D66223">
                        <w:t>INFORMAČNÍ SLUŽBY V REGIONECH</w:t>
                      </w:r>
                    </w:p>
                    <w:p w:rsidR="00560767" w:rsidRPr="00992CF3" w:rsidRDefault="00560767" w:rsidP="000B30FA">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274 054 223</w:t>
                      </w:r>
                    </w:p>
                    <w:p w:rsidR="00560767" w:rsidRPr="00992CF3" w:rsidRDefault="00560767" w:rsidP="000B30FA">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rsidR="00560767" w:rsidRPr="004A61C5" w:rsidRDefault="00560767" w:rsidP="000B30FA">
                      <w:pPr>
                        <w:pStyle w:val="TLKontakty"/>
                        <w:spacing w:after="80" w:line="240" w:lineRule="auto"/>
                        <w:rPr>
                          <w:color w:val="auto"/>
                        </w:rPr>
                      </w:pPr>
                    </w:p>
                    <w:p w:rsidR="00560767" w:rsidRPr="00992CF3" w:rsidRDefault="00560767" w:rsidP="000B30FA">
                      <w:pPr>
                        <w:pStyle w:val="TLKontakty"/>
                        <w:spacing w:after="80" w:line="240" w:lineRule="auto"/>
                        <w:rPr>
                          <w:b w:val="0"/>
                          <w:color w:val="auto"/>
                        </w:rPr>
                      </w:pPr>
                      <w:r w:rsidRPr="00D66223">
                        <w:t>Středočeský kraj</w:t>
                      </w:r>
                      <w:r w:rsidRPr="00992CF3">
                        <w:rPr>
                          <w:b w:val="0"/>
                          <w:color w:val="auto"/>
                        </w:rPr>
                        <w:t xml:space="preserve"> | Na padesátém 81, 100 82 Praha 10, tel.</w:t>
                      </w:r>
                      <w:r>
                        <w:rPr>
                          <w:b w:val="0"/>
                          <w:color w:val="auto"/>
                        </w:rPr>
                        <w:t xml:space="preserve">: </w:t>
                      </w:r>
                      <w:r w:rsidRPr="00992CF3">
                        <w:rPr>
                          <w:b w:val="0"/>
                          <w:color w:val="auto"/>
                        </w:rPr>
                        <w:t>274 054 175</w:t>
                      </w:r>
                    </w:p>
                    <w:p w:rsidR="00560767" w:rsidRPr="00992CF3" w:rsidRDefault="00560767" w:rsidP="000B30FA">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rsidR="00560767" w:rsidRPr="004A61C5" w:rsidRDefault="00560767" w:rsidP="000B30FA">
                      <w:pPr>
                        <w:pStyle w:val="TLKontakty"/>
                        <w:spacing w:after="80" w:line="240" w:lineRule="auto"/>
                        <w:rPr>
                          <w:color w:val="auto"/>
                        </w:rPr>
                      </w:pPr>
                    </w:p>
                    <w:p w:rsidR="00560767" w:rsidRPr="00992CF3" w:rsidRDefault="00560767" w:rsidP="000B30FA">
                      <w:pPr>
                        <w:pStyle w:val="TLKontakty"/>
                        <w:spacing w:after="80" w:line="240" w:lineRule="auto"/>
                        <w:rPr>
                          <w:b w:val="0"/>
                          <w:color w:val="auto"/>
                        </w:rPr>
                      </w:pPr>
                      <w:r w:rsidRPr="00D66223">
                        <w:t>České Budějovice</w:t>
                      </w:r>
                      <w:r w:rsidRPr="00992CF3">
                        <w:rPr>
                          <w:b w:val="0"/>
                          <w:color w:val="auto"/>
                        </w:rPr>
                        <w:t xml:space="preserve"> | Žižkova 1, 370 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386 718 440</w:t>
                      </w:r>
                    </w:p>
                    <w:p w:rsidR="00560767" w:rsidRPr="00992CF3" w:rsidRDefault="00560767" w:rsidP="000B30FA">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rsidR="00560767" w:rsidRPr="004A61C5" w:rsidRDefault="00560767" w:rsidP="000B30FA">
                      <w:pPr>
                        <w:pStyle w:val="TLKontakty"/>
                        <w:spacing w:after="80" w:line="240" w:lineRule="auto"/>
                        <w:rPr>
                          <w:color w:val="auto"/>
                        </w:rPr>
                      </w:pPr>
                    </w:p>
                    <w:p w:rsidR="00560767" w:rsidRPr="00BC731E" w:rsidRDefault="00560767" w:rsidP="000B30FA">
                      <w:pPr>
                        <w:pStyle w:val="TLKontakty"/>
                        <w:spacing w:after="80" w:line="240" w:lineRule="auto"/>
                        <w:rPr>
                          <w:b w:val="0"/>
                          <w:color w:val="auto"/>
                        </w:rPr>
                      </w:pPr>
                      <w:r w:rsidRPr="00D66223">
                        <w:t>Plzeň</w:t>
                      </w:r>
                      <w:r w:rsidRPr="004A61C5">
                        <w:rPr>
                          <w:b w:val="0"/>
                          <w:color w:val="auto"/>
                        </w:rPr>
                        <w:t xml:space="preserve"> | Slovanská alej 36, 326 64 Plzeň</w:t>
                      </w:r>
                      <w:r>
                        <w:rPr>
                          <w:b w:val="0"/>
                          <w:color w:val="auto"/>
                        </w:rPr>
                        <w:t xml:space="preserve">, </w:t>
                      </w:r>
                      <w:r w:rsidRPr="004A61C5">
                        <w:rPr>
                          <w:b w:val="0"/>
                          <w:color w:val="auto"/>
                        </w:rPr>
                        <w:t>tel.</w:t>
                      </w:r>
                      <w:r>
                        <w:rPr>
                          <w:b w:val="0"/>
                          <w:color w:val="auto"/>
                        </w:rPr>
                        <w:t xml:space="preserve">: </w:t>
                      </w:r>
                      <w:r w:rsidRPr="004A61C5">
                        <w:rPr>
                          <w:b w:val="0"/>
                          <w:color w:val="auto"/>
                        </w:rPr>
                        <w:t>377 612 108</w:t>
                      </w:r>
                      <w:r w:rsidRPr="00BC731E">
                        <w:rPr>
                          <w:b w:val="0"/>
                          <w:color w:val="auto"/>
                        </w:rPr>
                        <w:t>, 377 612 145</w:t>
                      </w:r>
                    </w:p>
                    <w:p w:rsidR="00560767" w:rsidRPr="004A61C5" w:rsidRDefault="00560767" w:rsidP="000B30FA">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rsidR="00560767" w:rsidRPr="004A61C5" w:rsidRDefault="00560767" w:rsidP="000B30FA">
                      <w:pPr>
                        <w:pStyle w:val="TLKontakty"/>
                        <w:spacing w:after="80" w:line="240" w:lineRule="auto"/>
                        <w:rPr>
                          <w:color w:val="auto"/>
                        </w:rPr>
                      </w:pPr>
                    </w:p>
                    <w:p w:rsidR="00560767" w:rsidRPr="004A61C5" w:rsidRDefault="00560767" w:rsidP="000B30FA">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 360/94, 360 06 Karlovy Vary</w:t>
                      </w:r>
                      <w:r w:rsidRPr="004A61C5">
                        <w:rPr>
                          <w:b w:val="0"/>
                          <w:color w:val="auto"/>
                        </w:rPr>
                        <w:t>, tel.</w:t>
                      </w:r>
                      <w:r>
                        <w:rPr>
                          <w:b w:val="0"/>
                          <w:color w:val="auto"/>
                        </w:rPr>
                        <w:t xml:space="preserve">: </w:t>
                      </w:r>
                      <w:r w:rsidRPr="004A61C5">
                        <w:rPr>
                          <w:b w:val="0"/>
                          <w:color w:val="auto"/>
                        </w:rPr>
                        <w:t>353 114 529, 353 114 525</w:t>
                      </w:r>
                    </w:p>
                    <w:p w:rsidR="00560767" w:rsidRPr="004A61C5" w:rsidRDefault="00560767" w:rsidP="000B30FA">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rsidR="00560767" w:rsidRPr="004A61C5" w:rsidRDefault="00560767" w:rsidP="000B30FA">
                      <w:pPr>
                        <w:pStyle w:val="TLKontakty"/>
                        <w:spacing w:after="80" w:line="240" w:lineRule="auto"/>
                        <w:rPr>
                          <w:color w:val="auto"/>
                        </w:rPr>
                      </w:pPr>
                    </w:p>
                    <w:p w:rsidR="00560767" w:rsidRPr="004A61C5" w:rsidRDefault="00560767" w:rsidP="000B30FA">
                      <w:pPr>
                        <w:pStyle w:val="TLKontakty"/>
                        <w:spacing w:after="80" w:line="240" w:lineRule="auto"/>
                        <w:rPr>
                          <w:b w:val="0"/>
                          <w:color w:val="auto"/>
                        </w:rPr>
                      </w:pPr>
                      <w:r w:rsidRPr="00D66223">
                        <w:t>Ústí nad Labem</w:t>
                      </w:r>
                      <w:r w:rsidRPr="004A61C5">
                        <w:rPr>
                          <w:b w:val="0"/>
                          <w:color w:val="auto"/>
                        </w:rPr>
                        <w:t xml:space="preserve"> | Špálova 2684, 400 11 Ústí nad Labem</w:t>
                      </w:r>
                      <w:r>
                        <w:rPr>
                          <w:b w:val="0"/>
                          <w:color w:val="auto"/>
                        </w:rPr>
                        <w:t xml:space="preserve">, </w:t>
                      </w:r>
                      <w:r w:rsidRPr="004A61C5">
                        <w:rPr>
                          <w:b w:val="0"/>
                          <w:color w:val="auto"/>
                        </w:rPr>
                        <w:t>tel.</w:t>
                      </w:r>
                      <w:r>
                        <w:rPr>
                          <w:b w:val="0"/>
                          <w:color w:val="auto"/>
                        </w:rPr>
                        <w:t xml:space="preserve">: </w:t>
                      </w:r>
                      <w:r w:rsidRPr="004A61C5">
                        <w:rPr>
                          <w:b w:val="0"/>
                          <w:color w:val="auto"/>
                        </w:rPr>
                        <w:t>472 706 176,</w:t>
                      </w:r>
                      <w:r>
                        <w:rPr>
                          <w:b w:val="0"/>
                          <w:color w:val="auto"/>
                        </w:rPr>
                        <w:t xml:space="preserve"> </w:t>
                      </w:r>
                      <w:r w:rsidRPr="004A61C5">
                        <w:rPr>
                          <w:b w:val="0"/>
                          <w:color w:val="auto"/>
                        </w:rPr>
                        <w:t>472 706 121</w:t>
                      </w:r>
                    </w:p>
                    <w:p w:rsidR="00560767" w:rsidRPr="004A61C5" w:rsidRDefault="00560767" w:rsidP="000B30FA">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rsidR="00560767" w:rsidRPr="004A61C5" w:rsidRDefault="00560767" w:rsidP="000B30FA">
                      <w:pPr>
                        <w:pStyle w:val="TLKontakty"/>
                        <w:spacing w:after="80" w:line="240" w:lineRule="auto"/>
                        <w:rPr>
                          <w:color w:val="auto"/>
                        </w:rPr>
                      </w:pPr>
                    </w:p>
                    <w:p w:rsidR="00560767" w:rsidRPr="004A61C5" w:rsidRDefault="00560767" w:rsidP="000B30FA">
                      <w:pPr>
                        <w:pStyle w:val="TLKontakty"/>
                        <w:spacing w:after="80" w:line="240" w:lineRule="auto"/>
                        <w:rPr>
                          <w:b w:val="0"/>
                          <w:color w:val="auto"/>
                        </w:rPr>
                      </w:pPr>
                      <w:r w:rsidRPr="00D66223">
                        <w:t>Liberec</w:t>
                      </w:r>
                      <w:r w:rsidRPr="004A61C5">
                        <w:rPr>
                          <w:b w:val="0"/>
                          <w:color w:val="auto"/>
                        </w:rPr>
                        <w:t xml:space="preserve"> | Nám. Dr. Edvarda Beneše 585/26, 460 01 Liberec 1, tel.</w:t>
                      </w:r>
                      <w:r>
                        <w:rPr>
                          <w:b w:val="0"/>
                          <w:color w:val="auto"/>
                        </w:rPr>
                        <w:t xml:space="preserve">: </w:t>
                      </w:r>
                      <w:r w:rsidRPr="004A61C5">
                        <w:rPr>
                          <w:b w:val="0"/>
                          <w:color w:val="auto"/>
                        </w:rPr>
                        <w:t>485 238 811</w:t>
                      </w:r>
                    </w:p>
                    <w:p w:rsidR="00560767" w:rsidRPr="004A61C5" w:rsidRDefault="00560767" w:rsidP="000B30FA">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rsidR="00560767" w:rsidRPr="004A61C5" w:rsidRDefault="00560767" w:rsidP="000B30FA">
                      <w:pPr>
                        <w:pStyle w:val="TLKontakty"/>
                        <w:spacing w:after="80" w:line="240" w:lineRule="auto"/>
                        <w:rPr>
                          <w:b w:val="0"/>
                          <w:color w:val="auto"/>
                        </w:rPr>
                      </w:pPr>
                    </w:p>
                    <w:p w:rsidR="00560767" w:rsidRPr="004A61C5" w:rsidRDefault="00560767" w:rsidP="000B30FA">
                      <w:pPr>
                        <w:pStyle w:val="TLKontakty"/>
                        <w:spacing w:after="80" w:line="240" w:lineRule="auto"/>
                        <w:rPr>
                          <w:b w:val="0"/>
                          <w:color w:val="auto"/>
                        </w:rPr>
                      </w:pPr>
                      <w:r w:rsidRPr="00D66223">
                        <w:t>Hradec Králové</w:t>
                      </w:r>
                      <w:r w:rsidRPr="004A61C5">
                        <w:rPr>
                          <w:b w:val="0"/>
                          <w:color w:val="auto"/>
                        </w:rPr>
                        <w:t xml:space="preserve"> | Myslivečkova 914, 500 03 Hradec Králové 3, </w:t>
                      </w:r>
                      <w:r>
                        <w:rPr>
                          <w:b w:val="0"/>
                          <w:color w:val="auto"/>
                        </w:rPr>
                        <w:t>tel.</w:t>
                      </w:r>
                      <w:r w:rsidRPr="007D40DF">
                        <w:rPr>
                          <w:b w:val="0"/>
                          <w:color w:val="auto"/>
                        </w:rPr>
                        <w:t>:</w:t>
                      </w:r>
                      <w:r>
                        <w:rPr>
                          <w:b w:val="0"/>
                          <w:color w:val="auto"/>
                        </w:rPr>
                        <w:t xml:space="preserve"> </w:t>
                      </w:r>
                      <w:r w:rsidRPr="004A61C5">
                        <w:rPr>
                          <w:b w:val="0"/>
                          <w:color w:val="auto"/>
                        </w:rPr>
                        <w:t>495 762 322,</w:t>
                      </w:r>
                      <w:r>
                        <w:rPr>
                          <w:b w:val="0"/>
                          <w:color w:val="auto"/>
                        </w:rPr>
                        <w:t xml:space="preserve"> </w:t>
                      </w:r>
                      <w:r w:rsidRPr="004A61C5">
                        <w:rPr>
                          <w:b w:val="0"/>
                          <w:color w:val="auto"/>
                        </w:rPr>
                        <w:t>495 762 317</w:t>
                      </w:r>
                    </w:p>
                    <w:p w:rsidR="00560767" w:rsidRPr="004A61C5" w:rsidRDefault="00560767" w:rsidP="000B30FA">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rsidR="00560767" w:rsidRPr="004A61C5" w:rsidRDefault="00560767" w:rsidP="000B30FA">
                      <w:pPr>
                        <w:pStyle w:val="TLKontakty"/>
                        <w:spacing w:after="80" w:line="240" w:lineRule="auto"/>
                        <w:rPr>
                          <w:color w:val="auto"/>
                        </w:rPr>
                      </w:pPr>
                    </w:p>
                    <w:p w:rsidR="00560767" w:rsidRPr="004A61C5" w:rsidRDefault="00560767" w:rsidP="000B30FA">
                      <w:pPr>
                        <w:pStyle w:val="TLKontakty"/>
                        <w:spacing w:after="80" w:line="240" w:lineRule="auto"/>
                        <w:rPr>
                          <w:b w:val="0"/>
                          <w:color w:val="auto"/>
                        </w:rPr>
                      </w:pPr>
                      <w:r w:rsidRPr="00D66223">
                        <w:t>Pardubice</w:t>
                      </w:r>
                      <w:r w:rsidRPr="004A61C5">
                        <w:rPr>
                          <w:b w:val="0"/>
                          <w:color w:val="auto"/>
                        </w:rPr>
                        <w:t xml:space="preserve"> | V Ráji 872, 531 53 Pardubice</w:t>
                      </w:r>
                      <w:r>
                        <w:rPr>
                          <w:b w:val="0"/>
                          <w:color w:val="auto"/>
                        </w:rPr>
                        <w:t xml:space="preserve">, </w:t>
                      </w:r>
                      <w:r w:rsidRPr="004A61C5">
                        <w:rPr>
                          <w:b w:val="0"/>
                          <w:color w:val="auto"/>
                        </w:rPr>
                        <w:t>tel.</w:t>
                      </w:r>
                      <w:r>
                        <w:rPr>
                          <w:b w:val="0"/>
                          <w:color w:val="auto"/>
                        </w:rPr>
                        <w:t>:</w:t>
                      </w:r>
                      <w:r w:rsidRPr="004A61C5">
                        <w:rPr>
                          <w:b w:val="0"/>
                          <w:color w:val="auto"/>
                        </w:rPr>
                        <w:t xml:space="preserve"> 466 743 480, 466 743 418</w:t>
                      </w:r>
                    </w:p>
                    <w:p w:rsidR="00560767" w:rsidRPr="004A61C5" w:rsidRDefault="00560767" w:rsidP="000B30FA">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rsidR="00560767" w:rsidRPr="004A61C5" w:rsidRDefault="00560767" w:rsidP="000B30FA">
                      <w:pPr>
                        <w:pStyle w:val="TLKontakty"/>
                        <w:spacing w:after="80" w:line="240" w:lineRule="auto"/>
                        <w:rPr>
                          <w:b w:val="0"/>
                          <w:color w:val="auto"/>
                        </w:rPr>
                      </w:pPr>
                    </w:p>
                    <w:p w:rsidR="00560767" w:rsidRPr="004A61C5" w:rsidRDefault="00560767" w:rsidP="000B30FA">
                      <w:pPr>
                        <w:pStyle w:val="TLKontakty"/>
                        <w:spacing w:after="80" w:line="240" w:lineRule="auto"/>
                        <w:rPr>
                          <w:b w:val="0"/>
                          <w:color w:val="auto"/>
                        </w:rPr>
                      </w:pPr>
                      <w:r w:rsidRPr="00D66223">
                        <w:t>Jihlava</w:t>
                      </w:r>
                      <w:r w:rsidRPr="004A61C5">
                        <w:rPr>
                          <w:b w:val="0"/>
                          <w:color w:val="auto"/>
                        </w:rPr>
                        <w:t xml:space="preserve"> | Ke Skalce 30,</w:t>
                      </w:r>
                      <w:r>
                        <w:rPr>
                          <w:b w:val="0"/>
                          <w:color w:val="auto"/>
                        </w:rPr>
                        <w:t xml:space="preserve"> 586 01 Jihlava, tel.: </w:t>
                      </w:r>
                      <w:r w:rsidRPr="004A61C5">
                        <w:rPr>
                          <w:b w:val="0"/>
                          <w:color w:val="auto"/>
                        </w:rPr>
                        <w:t xml:space="preserve">567 109 </w:t>
                      </w:r>
                      <w:r w:rsidRPr="00BC731E">
                        <w:rPr>
                          <w:b w:val="0"/>
                          <w:color w:val="auto"/>
                        </w:rPr>
                        <w:t>062, 567 109 073</w:t>
                      </w:r>
                    </w:p>
                    <w:p w:rsidR="00560767" w:rsidRPr="004A61C5" w:rsidRDefault="00560767" w:rsidP="000B30FA">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rsidR="00560767" w:rsidRDefault="00560767" w:rsidP="000B30FA">
                      <w:pPr>
                        <w:pStyle w:val="TLKontakty"/>
                        <w:spacing w:after="80" w:line="240" w:lineRule="auto"/>
                      </w:pPr>
                    </w:p>
                    <w:p w:rsidR="00560767" w:rsidRPr="00BC731E" w:rsidRDefault="00560767" w:rsidP="000B30FA">
                      <w:pPr>
                        <w:pStyle w:val="TLKontakty"/>
                        <w:spacing w:after="80" w:line="240" w:lineRule="auto"/>
                        <w:rPr>
                          <w:b w:val="0"/>
                          <w:color w:val="auto"/>
                        </w:rPr>
                      </w:pPr>
                      <w:r w:rsidRPr="00D66223">
                        <w:t>Brno</w:t>
                      </w:r>
                      <w:r w:rsidRPr="004A61C5">
                        <w:rPr>
                          <w:b w:val="0"/>
                          <w:color w:val="auto"/>
                        </w:rPr>
                        <w:t xml:space="preserve"> | Jezuitská 2, 601 59 Brno, </w:t>
                      </w:r>
                      <w:r>
                        <w:rPr>
                          <w:b w:val="0"/>
                          <w:color w:val="auto"/>
                        </w:rPr>
                        <w:t xml:space="preserve">tel: </w:t>
                      </w:r>
                      <w:r w:rsidRPr="004A61C5">
                        <w:rPr>
                          <w:b w:val="0"/>
                          <w:color w:val="auto"/>
                        </w:rPr>
                        <w:t xml:space="preserve">542 528 </w:t>
                      </w:r>
                      <w:r w:rsidRPr="00BC731E">
                        <w:rPr>
                          <w:b w:val="0"/>
                          <w:color w:val="auto"/>
                        </w:rPr>
                        <w:t>115, 542 528 200</w:t>
                      </w:r>
                    </w:p>
                    <w:p w:rsidR="00560767" w:rsidRPr="004A61C5" w:rsidRDefault="00560767" w:rsidP="000B30FA">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rsidR="00560767" w:rsidRPr="004A61C5" w:rsidRDefault="00560767" w:rsidP="000B30FA">
                      <w:pPr>
                        <w:pStyle w:val="TLKontakty"/>
                        <w:spacing w:after="80" w:line="240" w:lineRule="auto"/>
                        <w:rPr>
                          <w:b w:val="0"/>
                          <w:color w:val="auto"/>
                        </w:rPr>
                      </w:pPr>
                    </w:p>
                    <w:p w:rsidR="00560767" w:rsidRPr="005E7C78" w:rsidRDefault="00560767" w:rsidP="000B30FA">
                      <w:pPr>
                        <w:pStyle w:val="TLKontakty"/>
                        <w:spacing w:after="80" w:line="240" w:lineRule="auto"/>
                        <w:rPr>
                          <w:b w:val="0"/>
                          <w:color w:val="auto"/>
                        </w:rPr>
                      </w:pPr>
                      <w:r w:rsidRPr="00D66223">
                        <w:t>Olomouc</w:t>
                      </w:r>
                      <w:r w:rsidRPr="005E7C78">
                        <w:rPr>
                          <w:b w:val="0"/>
                          <w:color w:val="auto"/>
                        </w:rPr>
                        <w:t xml:space="preserve"> | Jeremenkova 1142/42, 772 11 Olomouc, </w:t>
                      </w:r>
                      <w:r>
                        <w:rPr>
                          <w:b w:val="0"/>
                          <w:color w:val="auto"/>
                        </w:rPr>
                        <w:t xml:space="preserve">tel.: </w:t>
                      </w:r>
                      <w:r w:rsidRPr="005E7C78">
                        <w:rPr>
                          <w:b w:val="0"/>
                          <w:color w:val="auto"/>
                        </w:rPr>
                        <w:t xml:space="preserve">585 731 </w:t>
                      </w:r>
                      <w:r w:rsidRPr="00BC731E">
                        <w:rPr>
                          <w:b w:val="0"/>
                          <w:color w:val="auto"/>
                        </w:rPr>
                        <w:t>516, 585 731 511</w:t>
                      </w:r>
                    </w:p>
                    <w:p w:rsidR="00560767" w:rsidRPr="005E7C78" w:rsidRDefault="00560767" w:rsidP="000B30FA">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rsidR="00560767" w:rsidRPr="005E7C78" w:rsidRDefault="00560767" w:rsidP="000B30FA">
                      <w:pPr>
                        <w:pStyle w:val="TLKontakty"/>
                        <w:spacing w:after="80" w:line="240" w:lineRule="auto"/>
                        <w:rPr>
                          <w:b w:val="0"/>
                          <w:color w:val="auto"/>
                        </w:rPr>
                      </w:pPr>
                    </w:p>
                    <w:p w:rsidR="00560767" w:rsidRPr="005E7C78" w:rsidRDefault="00560767" w:rsidP="000B30FA">
                      <w:pPr>
                        <w:pStyle w:val="TLKontakty"/>
                        <w:spacing w:after="80" w:line="240" w:lineRule="auto"/>
                        <w:rPr>
                          <w:b w:val="0"/>
                          <w:color w:val="auto"/>
                        </w:rPr>
                      </w:pPr>
                      <w:r w:rsidRPr="00D66223">
                        <w:t>Zlín</w:t>
                      </w:r>
                      <w:r w:rsidRPr="005E7C78">
                        <w:rPr>
                          <w:b w:val="0"/>
                          <w:color w:val="auto"/>
                        </w:rPr>
                        <w:t xml:space="preserve"> | tř. Tomáše Bati 1565, 761 76 Zlín, </w:t>
                      </w:r>
                      <w:r w:rsidRPr="00BC731E">
                        <w:rPr>
                          <w:b w:val="0"/>
                          <w:color w:val="auto"/>
                        </w:rPr>
                        <w:t>tel.: 577 004 932, 5</w:t>
                      </w:r>
                      <w:r w:rsidRPr="005E7C78">
                        <w:rPr>
                          <w:b w:val="0"/>
                          <w:color w:val="auto"/>
                        </w:rPr>
                        <w:t>77 004 935</w:t>
                      </w:r>
                    </w:p>
                    <w:p w:rsidR="00560767" w:rsidRDefault="00560767" w:rsidP="000B30FA">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rsidR="00560767" w:rsidRPr="005E7C78" w:rsidRDefault="00560767" w:rsidP="000B30FA">
                      <w:pPr>
                        <w:pStyle w:val="TLKontakty"/>
                        <w:spacing w:after="80" w:line="240" w:lineRule="auto"/>
                        <w:rPr>
                          <w:b w:val="0"/>
                          <w:color w:val="auto"/>
                        </w:rPr>
                      </w:pPr>
                    </w:p>
                    <w:p w:rsidR="00560767" w:rsidRPr="005E7C78" w:rsidRDefault="00560767" w:rsidP="000B30FA">
                      <w:pPr>
                        <w:pStyle w:val="TLKontakty"/>
                        <w:spacing w:after="80" w:line="240" w:lineRule="auto"/>
                        <w:rPr>
                          <w:b w:val="0"/>
                          <w:color w:val="auto"/>
                        </w:rPr>
                      </w:pPr>
                      <w:r w:rsidRPr="00D66223">
                        <w:t>Ostrava</w:t>
                      </w:r>
                      <w:r w:rsidRPr="005E7C78">
                        <w:rPr>
                          <w:b w:val="0"/>
                          <w:color w:val="auto"/>
                        </w:rPr>
                        <w:t xml:space="preserve"> | Repinova 17, 702 03 Ostrava,</w:t>
                      </w:r>
                      <w:r>
                        <w:rPr>
                          <w:b w:val="0"/>
                          <w:color w:val="auto"/>
                        </w:rPr>
                        <w:t xml:space="preserve"> tel: </w:t>
                      </w:r>
                      <w:r w:rsidRPr="005E7C78">
                        <w:rPr>
                          <w:b w:val="0"/>
                          <w:color w:val="auto"/>
                        </w:rPr>
                        <w:t>595 131 230, 595 131 232</w:t>
                      </w:r>
                    </w:p>
                    <w:p w:rsidR="00560767" w:rsidRPr="0010437D" w:rsidRDefault="00560767"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Pr>
          <w:noProof/>
        </w:rPr>
        <mc:AlternateContent>
          <mc:Choice Requires="wps">
            <w:drawing>
              <wp:anchor distT="0" distB="0" distL="114300" distR="114300" simplePos="0" relativeHeight="251661824" behindDoc="0" locked="1" layoutInCell="1" allowOverlap="1">
                <wp:simplePos x="0" y="0"/>
                <wp:positionH relativeFrom="page">
                  <wp:posOffset>720090</wp:posOffset>
                </wp:positionH>
                <wp:positionV relativeFrom="page">
                  <wp:posOffset>9486900</wp:posOffset>
                </wp:positionV>
                <wp:extent cx="6120130" cy="360045"/>
                <wp:effectExtent l="0" t="0" r="13970" b="1905"/>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767" w:rsidRPr="00321924" w:rsidRDefault="00560767" w:rsidP="008F029B">
                            <w:r w:rsidRPr="00321924">
                              <w:rPr>
                                <w:szCs w:val="26"/>
                              </w:rPr>
                              <w:t xml:space="preserve">ISBN </w:t>
                            </w:r>
                            <w:r w:rsidRPr="00F258A3">
                              <w:rPr>
                                <w:rFonts w:cs="Arial"/>
                                <w:szCs w:val="20"/>
                              </w:rPr>
                              <w:t>978-80-250-2836-0</w:t>
                            </w:r>
                            <w:r w:rsidRPr="00321924">
                              <w:br/>
                              <w:t xml:space="preserve">© Český statistický úřad, </w:t>
                            </w:r>
                            <w:r>
                              <w:t>Praha</w:t>
                            </w:r>
                            <w:r w:rsidRPr="00321924">
                              <w:t xml:space="preserve">, </w:t>
                            </w:r>
                            <w:r>
                              <w:t>2018</w:t>
                            </w:r>
                          </w:p>
                          <w:p w:rsidR="00560767" w:rsidRDefault="00560767"/>
                          <w:p w:rsidR="00560767" w:rsidRPr="00841D9F" w:rsidRDefault="00560767" w:rsidP="000A3A2C">
                            <w:r w:rsidRPr="00841D9F">
                              <w:rPr>
                                <w:szCs w:val="26"/>
                              </w:rPr>
                              <w:t xml:space="preserve">ISBN XX-XXXX-XXX-X  </w:t>
                            </w:r>
                            <w:r w:rsidRPr="00841D9F">
                              <w:t>(pouze u nepravidelných a ročních publikací)</w:t>
                            </w:r>
                          </w:p>
                          <w:p w:rsidR="00560767" w:rsidRPr="00AF2852" w:rsidRDefault="00560767"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7qug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" filled="f" stroked="f">
                <v:textbox inset="0,0,0,0">
                  <w:txbxContent>
                    <w:p w:rsidR="00560767" w:rsidRPr="00321924" w:rsidRDefault="00560767" w:rsidP="008F029B">
                      <w:r w:rsidRPr="00321924">
                        <w:rPr>
                          <w:szCs w:val="26"/>
                        </w:rPr>
                        <w:t xml:space="preserve">ISBN </w:t>
                      </w:r>
                      <w:r w:rsidRPr="00F258A3">
                        <w:rPr>
                          <w:rFonts w:cs="Arial"/>
                          <w:szCs w:val="20"/>
                        </w:rPr>
                        <w:t>978-80-250-2836-0</w:t>
                      </w:r>
                      <w:r w:rsidRPr="00321924">
                        <w:br/>
                        <w:t xml:space="preserve">© Český statistický úřad, </w:t>
                      </w:r>
                      <w:r>
                        <w:t>Praha</w:t>
                      </w:r>
                      <w:r w:rsidRPr="00321924">
                        <w:t xml:space="preserve">, </w:t>
                      </w:r>
                      <w:r>
                        <w:t>2018</w:t>
                      </w:r>
                    </w:p>
                    <w:p w:rsidR="00560767" w:rsidRDefault="00560767"/>
                    <w:p w:rsidR="00560767" w:rsidRPr="00841D9F" w:rsidRDefault="00560767" w:rsidP="000A3A2C">
                      <w:r w:rsidRPr="00841D9F">
                        <w:rPr>
                          <w:szCs w:val="26"/>
                        </w:rPr>
                        <w:t xml:space="preserve">ISBN XX-XXXX-XXX-X  </w:t>
                      </w:r>
                      <w:r w:rsidRPr="00841D9F">
                        <w:t>(pouze u nepravidelných a ročních publikací)</w:t>
                      </w:r>
                    </w:p>
                    <w:p w:rsidR="00560767" w:rsidRPr="00AF2852" w:rsidRDefault="00560767"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mc:Fallback>
        </mc:AlternateContent>
      </w:r>
      <w:r>
        <w:rPr>
          <w:noProof/>
        </w:rPr>
        <mc:AlternateContent>
          <mc:Choice Requires="wps">
            <w:drawing>
              <wp:anchor distT="0" distB="0" distL="114300" distR="114300" simplePos="0" relativeHeight="251660800" behindDoc="0" locked="1" layoutInCell="1" allowOverlap="1">
                <wp:simplePos x="0" y="0"/>
                <wp:positionH relativeFrom="page">
                  <wp:posOffset>723265</wp:posOffset>
                </wp:positionH>
                <wp:positionV relativeFrom="page">
                  <wp:posOffset>723265</wp:posOffset>
                </wp:positionV>
                <wp:extent cx="6119495" cy="572770"/>
                <wp:effectExtent l="0" t="0" r="14605" b="17780"/>
                <wp:wrapNone/>
                <wp:docPr id="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767" w:rsidRPr="009A1902" w:rsidRDefault="00560767" w:rsidP="000A3A2C">
                            <w:pPr>
                              <w:rPr>
                                <w:b/>
                                <w:bCs/>
                                <w:i/>
                                <w:sz w:val="24"/>
                              </w:rPr>
                            </w:pPr>
                            <w:r w:rsidRPr="00B95F50">
                              <w:rPr>
                                <w:b/>
                                <w:color w:val="0071BC"/>
                                <w:sz w:val="24"/>
                              </w:rPr>
                              <w:t xml:space="preserve">Zajímají Vás nejnovější údaje o inflaci, HDP, obyvatelstvu, průměrných mzdách </w:t>
                            </w:r>
                            <w:r>
                              <w:rPr>
                                <w:b/>
                                <w:color w:val="0071BC"/>
                                <w:sz w:val="24"/>
                              </w:rPr>
                              <w:br/>
                            </w:r>
                            <w:r w:rsidRPr="00B95F50">
                              <w:rPr>
                                <w:b/>
                                <w:color w:val="0071BC"/>
                                <w:sz w:val="24"/>
                              </w:rPr>
                              <w:t xml:space="preserve">a mnohé další? Najdete je na stránkách ČSÚ na internetu: </w:t>
                            </w:r>
                            <w:r>
                              <w:rPr>
                                <w:b/>
                                <w:bCs/>
                                <w:sz w:val="24"/>
                              </w:rPr>
                              <w:t>www.czso.cz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6.95pt;margin-top:56.95pt;width:481.85pt;height:45.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" filled="f" stroked="f">
                <v:textbox style="mso-fit-shape-to-text:t" inset="0,0,0,0">
                  <w:txbxContent>
                    <w:p w:rsidR="00560767" w:rsidRPr="009A1902" w:rsidRDefault="00560767" w:rsidP="000A3A2C">
                      <w:pPr>
                        <w:rPr>
                          <w:b/>
                          <w:bCs/>
                          <w:i/>
                          <w:sz w:val="24"/>
                        </w:rPr>
                      </w:pPr>
                      <w:r w:rsidRPr="00B95F50">
                        <w:rPr>
                          <w:b/>
                          <w:color w:val="0071BC"/>
                          <w:sz w:val="24"/>
                        </w:rPr>
                        <w:t xml:space="preserve">Zajímají Vás nejnovější údaje o inflaci, HDP, obyvatelstvu, průměrných mzdách </w:t>
                      </w:r>
                      <w:r>
                        <w:rPr>
                          <w:b/>
                          <w:color w:val="0071BC"/>
                          <w:sz w:val="24"/>
                        </w:rPr>
                        <w:br/>
                      </w:r>
                      <w:r w:rsidRPr="00B95F50">
                        <w:rPr>
                          <w:b/>
                          <w:color w:val="0071BC"/>
                          <w:sz w:val="24"/>
                        </w:rPr>
                        <w:t xml:space="preserve">a mnohé další? Najdete je na stránkách ČSÚ na internetu: </w:t>
                      </w:r>
                      <w:r>
                        <w:rPr>
                          <w:b/>
                          <w:bCs/>
                          <w:sz w:val="24"/>
                        </w:rPr>
                        <w:t>www.czso.cz</w:t>
                      </w:r>
                    </w:p>
                  </w:txbxContent>
                </v:textbox>
                <w10:wrap anchorx="page" anchory="page"/>
                <w10:anchorlock/>
              </v:shape>
            </w:pict>
          </mc:Fallback>
        </mc:AlternateContent>
      </w:r>
    </w:p>
    <w:p w:rsidR="00EE4B1B" w:rsidRPr="004B7295" w:rsidRDefault="00EE4B1B" w:rsidP="006F5416">
      <w:pPr>
        <w:pStyle w:val="Obsah"/>
      </w:pPr>
      <w:r w:rsidRPr="004B7295">
        <w:lastRenderedPageBreak/>
        <w:t>Obsah</w:t>
      </w:r>
    </w:p>
    <w:p w:rsidR="002C1E4B" w:rsidRPr="003D4835" w:rsidRDefault="00465B1D">
      <w:pPr>
        <w:pStyle w:val="Obsah3"/>
        <w:rPr>
          <w:rFonts w:asciiTheme="minorHAnsi" w:eastAsiaTheme="minorEastAsia" w:hAnsiTheme="minorHAnsi" w:cstheme="minorBidi"/>
          <w:noProof/>
          <w:szCs w:val="20"/>
        </w:rPr>
      </w:pPr>
      <w:r>
        <w:fldChar w:fldCharType="begin"/>
      </w:r>
      <w:r w:rsidR="00A536A6">
        <w:instrText xml:space="preserve"> TOC \o "1-3" \h \z \u </w:instrText>
      </w:r>
      <w:r>
        <w:fldChar w:fldCharType="separate"/>
      </w:r>
      <w:hyperlink w:anchor="_Toc506969406" w:history="1">
        <w:r w:rsidR="002C1E4B" w:rsidRPr="003D4835">
          <w:rPr>
            <w:rStyle w:val="Hypertextovodkaz"/>
            <w:noProof/>
            <w:szCs w:val="20"/>
          </w:rPr>
          <w:t>Seznam grafů a tabulek</w:t>
        </w:r>
        <w:r w:rsidR="002C1E4B" w:rsidRPr="003D4835">
          <w:rPr>
            <w:noProof/>
            <w:webHidden/>
            <w:szCs w:val="20"/>
          </w:rPr>
          <w:tab/>
        </w:r>
        <w:r w:rsidR="002C1E4B" w:rsidRPr="003D4835">
          <w:rPr>
            <w:noProof/>
            <w:webHidden/>
            <w:szCs w:val="20"/>
          </w:rPr>
          <w:fldChar w:fldCharType="begin"/>
        </w:r>
        <w:r w:rsidR="002C1E4B" w:rsidRPr="003D4835">
          <w:rPr>
            <w:noProof/>
            <w:webHidden/>
            <w:szCs w:val="20"/>
          </w:rPr>
          <w:instrText xml:space="preserve"> PAGEREF _Toc506969406 \h </w:instrText>
        </w:r>
        <w:r w:rsidR="002C1E4B" w:rsidRPr="003D4835">
          <w:rPr>
            <w:noProof/>
            <w:webHidden/>
            <w:szCs w:val="20"/>
          </w:rPr>
        </w:r>
        <w:r w:rsidR="002C1E4B" w:rsidRPr="003D4835">
          <w:rPr>
            <w:noProof/>
            <w:webHidden/>
            <w:szCs w:val="20"/>
          </w:rPr>
          <w:fldChar w:fldCharType="separate"/>
        </w:r>
        <w:r w:rsidR="00A02152">
          <w:rPr>
            <w:noProof/>
            <w:webHidden/>
            <w:szCs w:val="20"/>
          </w:rPr>
          <w:t>4</w:t>
        </w:r>
        <w:r w:rsidR="002C1E4B" w:rsidRPr="003D4835">
          <w:rPr>
            <w:noProof/>
            <w:webHidden/>
            <w:szCs w:val="20"/>
          </w:rPr>
          <w:fldChar w:fldCharType="end"/>
        </w:r>
      </w:hyperlink>
    </w:p>
    <w:p w:rsidR="002C1E4B" w:rsidRPr="003D4835" w:rsidRDefault="00860F8E">
      <w:pPr>
        <w:pStyle w:val="Obsah1"/>
        <w:rPr>
          <w:rFonts w:asciiTheme="minorHAnsi" w:eastAsiaTheme="minorEastAsia" w:hAnsiTheme="minorHAnsi" w:cstheme="minorBidi"/>
          <w:sz w:val="20"/>
          <w:szCs w:val="20"/>
        </w:rPr>
      </w:pPr>
      <w:hyperlink w:anchor="_Toc506969407" w:history="1">
        <w:r w:rsidR="002C1E4B" w:rsidRPr="003D4835">
          <w:rPr>
            <w:rStyle w:val="Hypertextovodkaz"/>
            <w:sz w:val="20"/>
            <w:szCs w:val="20"/>
          </w:rPr>
          <w:t>Úvod</w:t>
        </w:r>
        <w:r w:rsidR="002C1E4B" w:rsidRPr="003D4835">
          <w:rPr>
            <w:webHidden/>
            <w:sz w:val="20"/>
            <w:szCs w:val="20"/>
          </w:rPr>
          <w:tab/>
        </w:r>
        <w:r w:rsidR="002C1E4B" w:rsidRPr="003D4835">
          <w:rPr>
            <w:webHidden/>
            <w:sz w:val="20"/>
            <w:szCs w:val="20"/>
          </w:rPr>
          <w:fldChar w:fldCharType="begin"/>
        </w:r>
        <w:r w:rsidR="002C1E4B" w:rsidRPr="003D4835">
          <w:rPr>
            <w:webHidden/>
            <w:sz w:val="20"/>
            <w:szCs w:val="20"/>
          </w:rPr>
          <w:instrText xml:space="preserve"> PAGEREF _Toc506969407 \h </w:instrText>
        </w:r>
        <w:r w:rsidR="002C1E4B" w:rsidRPr="003D4835">
          <w:rPr>
            <w:webHidden/>
            <w:sz w:val="20"/>
            <w:szCs w:val="20"/>
          </w:rPr>
        </w:r>
        <w:r w:rsidR="002C1E4B" w:rsidRPr="003D4835">
          <w:rPr>
            <w:webHidden/>
            <w:sz w:val="20"/>
            <w:szCs w:val="20"/>
          </w:rPr>
          <w:fldChar w:fldCharType="separate"/>
        </w:r>
        <w:r w:rsidR="00A02152">
          <w:rPr>
            <w:webHidden/>
            <w:sz w:val="20"/>
            <w:szCs w:val="20"/>
          </w:rPr>
          <w:t>5</w:t>
        </w:r>
        <w:r w:rsidR="002C1E4B" w:rsidRPr="003D4835">
          <w:rPr>
            <w:webHidden/>
            <w:sz w:val="20"/>
            <w:szCs w:val="20"/>
          </w:rPr>
          <w:fldChar w:fldCharType="end"/>
        </w:r>
      </w:hyperlink>
    </w:p>
    <w:p w:rsidR="002C1E4B" w:rsidRPr="003D4835" w:rsidRDefault="00860F8E">
      <w:pPr>
        <w:pStyle w:val="Obsah3"/>
        <w:rPr>
          <w:rFonts w:asciiTheme="minorHAnsi" w:eastAsiaTheme="minorEastAsia" w:hAnsiTheme="minorHAnsi" w:cstheme="minorBidi"/>
          <w:noProof/>
          <w:szCs w:val="20"/>
        </w:rPr>
      </w:pPr>
      <w:hyperlink w:anchor="_Toc506969408" w:history="1">
        <w:r w:rsidR="002C1E4B" w:rsidRPr="003D4835">
          <w:rPr>
            <w:rStyle w:val="Hypertextovodkaz"/>
            <w:noProof/>
            <w:szCs w:val="20"/>
          </w:rPr>
          <w:t>O šetření AES</w:t>
        </w:r>
        <w:r w:rsidR="002C1E4B" w:rsidRPr="003D4835">
          <w:rPr>
            <w:noProof/>
            <w:webHidden/>
            <w:szCs w:val="20"/>
          </w:rPr>
          <w:tab/>
        </w:r>
        <w:r w:rsidR="002C1E4B" w:rsidRPr="003D4835">
          <w:rPr>
            <w:noProof/>
            <w:webHidden/>
            <w:szCs w:val="20"/>
          </w:rPr>
          <w:fldChar w:fldCharType="begin"/>
        </w:r>
        <w:r w:rsidR="002C1E4B" w:rsidRPr="003D4835">
          <w:rPr>
            <w:noProof/>
            <w:webHidden/>
            <w:szCs w:val="20"/>
          </w:rPr>
          <w:instrText xml:space="preserve"> PAGEREF _Toc506969408 \h </w:instrText>
        </w:r>
        <w:r w:rsidR="002C1E4B" w:rsidRPr="003D4835">
          <w:rPr>
            <w:noProof/>
            <w:webHidden/>
            <w:szCs w:val="20"/>
          </w:rPr>
        </w:r>
        <w:r w:rsidR="002C1E4B" w:rsidRPr="003D4835">
          <w:rPr>
            <w:noProof/>
            <w:webHidden/>
            <w:szCs w:val="20"/>
          </w:rPr>
          <w:fldChar w:fldCharType="separate"/>
        </w:r>
        <w:r w:rsidR="00A02152">
          <w:rPr>
            <w:noProof/>
            <w:webHidden/>
            <w:szCs w:val="20"/>
          </w:rPr>
          <w:t>5</w:t>
        </w:r>
        <w:r w:rsidR="002C1E4B" w:rsidRPr="003D4835">
          <w:rPr>
            <w:noProof/>
            <w:webHidden/>
            <w:szCs w:val="20"/>
          </w:rPr>
          <w:fldChar w:fldCharType="end"/>
        </w:r>
      </w:hyperlink>
    </w:p>
    <w:p w:rsidR="002C1E4B" w:rsidRPr="003D4835" w:rsidRDefault="00860F8E">
      <w:pPr>
        <w:pStyle w:val="Obsah3"/>
        <w:rPr>
          <w:rFonts w:asciiTheme="minorHAnsi" w:eastAsiaTheme="minorEastAsia" w:hAnsiTheme="minorHAnsi" w:cstheme="minorBidi"/>
          <w:noProof/>
          <w:szCs w:val="20"/>
        </w:rPr>
      </w:pPr>
      <w:hyperlink w:anchor="_Toc506969409" w:history="1">
        <w:r w:rsidR="002C1E4B" w:rsidRPr="003D4835">
          <w:rPr>
            <w:rStyle w:val="Hypertextovodkaz"/>
            <w:noProof/>
            <w:szCs w:val="20"/>
          </w:rPr>
          <w:t>O publikaci a publikovaných údajích</w:t>
        </w:r>
        <w:r w:rsidR="002C1E4B" w:rsidRPr="003D4835">
          <w:rPr>
            <w:noProof/>
            <w:webHidden/>
            <w:szCs w:val="20"/>
          </w:rPr>
          <w:tab/>
        </w:r>
        <w:r w:rsidR="002C1E4B" w:rsidRPr="003D4835">
          <w:rPr>
            <w:noProof/>
            <w:webHidden/>
            <w:szCs w:val="20"/>
          </w:rPr>
          <w:fldChar w:fldCharType="begin"/>
        </w:r>
        <w:r w:rsidR="002C1E4B" w:rsidRPr="003D4835">
          <w:rPr>
            <w:noProof/>
            <w:webHidden/>
            <w:szCs w:val="20"/>
          </w:rPr>
          <w:instrText xml:space="preserve"> PAGEREF _Toc506969409 \h </w:instrText>
        </w:r>
        <w:r w:rsidR="002C1E4B" w:rsidRPr="003D4835">
          <w:rPr>
            <w:noProof/>
            <w:webHidden/>
            <w:szCs w:val="20"/>
          </w:rPr>
        </w:r>
        <w:r w:rsidR="002C1E4B" w:rsidRPr="003D4835">
          <w:rPr>
            <w:noProof/>
            <w:webHidden/>
            <w:szCs w:val="20"/>
          </w:rPr>
          <w:fldChar w:fldCharType="separate"/>
        </w:r>
        <w:r w:rsidR="00A02152">
          <w:rPr>
            <w:noProof/>
            <w:webHidden/>
            <w:szCs w:val="20"/>
          </w:rPr>
          <w:t>7</w:t>
        </w:r>
        <w:r w:rsidR="002C1E4B" w:rsidRPr="003D4835">
          <w:rPr>
            <w:noProof/>
            <w:webHidden/>
            <w:szCs w:val="20"/>
          </w:rPr>
          <w:fldChar w:fldCharType="end"/>
        </w:r>
      </w:hyperlink>
    </w:p>
    <w:p w:rsidR="002C1E4B" w:rsidRPr="003D4835" w:rsidRDefault="00860F8E">
      <w:pPr>
        <w:pStyle w:val="Obsah1"/>
        <w:rPr>
          <w:rFonts w:asciiTheme="minorHAnsi" w:eastAsiaTheme="minorEastAsia" w:hAnsiTheme="minorHAnsi" w:cstheme="minorBidi"/>
          <w:sz w:val="20"/>
          <w:szCs w:val="20"/>
        </w:rPr>
      </w:pPr>
      <w:hyperlink w:anchor="_Toc506969410" w:history="1">
        <w:r w:rsidR="002C1E4B" w:rsidRPr="003D4835">
          <w:rPr>
            <w:rStyle w:val="Hypertextovodkaz"/>
            <w:sz w:val="20"/>
            <w:szCs w:val="20"/>
          </w:rPr>
          <w:t>Formální vzdělávání</w:t>
        </w:r>
        <w:r w:rsidR="002C1E4B" w:rsidRPr="003D4835">
          <w:rPr>
            <w:webHidden/>
            <w:sz w:val="20"/>
            <w:szCs w:val="20"/>
          </w:rPr>
          <w:tab/>
        </w:r>
        <w:r w:rsidR="002C1E4B" w:rsidRPr="003D4835">
          <w:rPr>
            <w:webHidden/>
            <w:sz w:val="20"/>
            <w:szCs w:val="20"/>
          </w:rPr>
          <w:fldChar w:fldCharType="begin"/>
        </w:r>
        <w:r w:rsidR="002C1E4B" w:rsidRPr="003D4835">
          <w:rPr>
            <w:webHidden/>
            <w:sz w:val="20"/>
            <w:szCs w:val="20"/>
          </w:rPr>
          <w:instrText xml:space="preserve"> PAGEREF _Toc506969410 \h </w:instrText>
        </w:r>
        <w:r w:rsidR="002C1E4B" w:rsidRPr="003D4835">
          <w:rPr>
            <w:webHidden/>
            <w:sz w:val="20"/>
            <w:szCs w:val="20"/>
          </w:rPr>
        </w:r>
        <w:r w:rsidR="002C1E4B" w:rsidRPr="003D4835">
          <w:rPr>
            <w:webHidden/>
            <w:sz w:val="20"/>
            <w:szCs w:val="20"/>
          </w:rPr>
          <w:fldChar w:fldCharType="separate"/>
        </w:r>
        <w:r w:rsidR="00A02152">
          <w:rPr>
            <w:webHidden/>
            <w:sz w:val="20"/>
            <w:szCs w:val="20"/>
          </w:rPr>
          <w:t>8</w:t>
        </w:r>
        <w:r w:rsidR="002C1E4B" w:rsidRPr="003D4835">
          <w:rPr>
            <w:webHidden/>
            <w:sz w:val="20"/>
            <w:szCs w:val="20"/>
          </w:rPr>
          <w:fldChar w:fldCharType="end"/>
        </w:r>
      </w:hyperlink>
    </w:p>
    <w:p w:rsidR="002C1E4B" w:rsidRPr="003D4835" w:rsidRDefault="00860F8E">
      <w:pPr>
        <w:pStyle w:val="Obsah3"/>
        <w:rPr>
          <w:rFonts w:asciiTheme="minorHAnsi" w:eastAsiaTheme="minorEastAsia" w:hAnsiTheme="minorHAnsi" w:cstheme="minorBidi"/>
          <w:noProof/>
          <w:szCs w:val="20"/>
        </w:rPr>
      </w:pPr>
      <w:hyperlink w:anchor="_Toc506969411" w:history="1">
        <w:r w:rsidR="002C1E4B" w:rsidRPr="003D4835">
          <w:rPr>
            <w:rStyle w:val="Hypertextovodkaz"/>
            <w:noProof/>
            <w:szCs w:val="20"/>
          </w:rPr>
          <w:t>Střední vzdělávání</w:t>
        </w:r>
        <w:r w:rsidR="002C1E4B" w:rsidRPr="003D4835">
          <w:rPr>
            <w:noProof/>
            <w:webHidden/>
            <w:szCs w:val="20"/>
          </w:rPr>
          <w:tab/>
        </w:r>
        <w:r w:rsidR="002C1E4B" w:rsidRPr="003D4835">
          <w:rPr>
            <w:noProof/>
            <w:webHidden/>
            <w:szCs w:val="20"/>
          </w:rPr>
          <w:fldChar w:fldCharType="begin"/>
        </w:r>
        <w:r w:rsidR="002C1E4B" w:rsidRPr="003D4835">
          <w:rPr>
            <w:noProof/>
            <w:webHidden/>
            <w:szCs w:val="20"/>
          </w:rPr>
          <w:instrText xml:space="preserve"> PAGEREF _Toc506969411 \h </w:instrText>
        </w:r>
        <w:r w:rsidR="002C1E4B" w:rsidRPr="003D4835">
          <w:rPr>
            <w:noProof/>
            <w:webHidden/>
            <w:szCs w:val="20"/>
          </w:rPr>
        </w:r>
        <w:r w:rsidR="002C1E4B" w:rsidRPr="003D4835">
          <w:rPr>
            <w:noProof/>
            <w:webHidden/>
            <w:szCs w:val="20"/>
          </w:rPr>
          <w:fldChar w:fldCharType="separate"/>
        </w:r>
        <w:r w:rsidR="00A02152">
          <w:rPr>
            <w:noProof/>
            <w:webHidden/>
            <w:szCs w:val="20"/>
          </w:rPr>
          <w:t>8</w:t>
        </w:r>
        <w:r w:rsidR="002C1E4B" w:rsidRPr="003D4835">
          <w:rPr>
            <w:noProof/>
            <w:webHidden/>
            <w:szCs w:val="20"/>
          </w:rPr>
          <w:fldChar w:fldCharType="end"/>
        </w:r>
      </w:hyperlink>
    </w:p>
    <w:p w:rsidR="002C1E4B" w:rsidRPr="003D4835" w:rsidRDefault="00860F8E">
      <w:pPr>
        <w:pStyle w:val="Obsah3"/>
        <w:rPr>
          <w:rFonts w:asciiTheme="minorHAnsi" w:eastAsiaTheme="minorEastAsia" w:hAnsiTheme="minorHAnsi" w:cstheme="minorBidi"/>
          <w:noProof/>
          <w:szCs w:val="20"/>
        </w:rPr>
      </w:pPr>
      <w:hyperlink w:anchor="_Toc506969412" w:history="1">
        <w:r w:rsidR="002C1E4B" w:rsidRPr="003D4835">
          <w:rPr>
            <w:rStyle w:val="Hypertextovodkaz"/>
            <w:noProof/>
            <w:szCs w:val="20"/>
          </w:rPr>
          <w:t>Vysokoškolské vzdělávání</w:t>
        </w:r>
        <w:r w:rsidR="002C1E4B" w:rsidRPr="003D4835">
          <w:rPr>
            <w:noProof/>
            <w:webHidden/>
            <w:szCs w:val="20"/>
          </w:rPr>
          <w:tab/>
        </w:r>
        <w:r w:rsidR="002C1E4B" w:rsidRPr="003D4835">
          <w:rPr>
            <w:noProof/>
            <w:webHidden/>
            <w:szCs w:val="20"/>
          </w:rPr>
          <w:fldChar w:fldCharType="begin"/>
        </w:r>
        <w:r w:rsidR="002C1E4B" w:rsidRPr="003D4835">
          <w:rPr>
            <w:noProof/>
            <w:webHidden/>
            <w:szCs w:val="20"/>
          </w:rPr>
          <w:instrText xml:space="preserve"> PAGEREF _Toc506969412 \h </w:instrText>
        </w:r>
        <w:r w:rsidR="002C1E4B" w:rsidRPr="003D4835">
          <w:rPr>
            <w:noProof/>
            <w:webHidden/>
            <w:szCs w:val="20"/>
          </w:rPr>
        </w:r>
        <w:r w:rsidR="002C1E4B" w:rsidRPr="003D4835">
          <w:rPr>
            <w:noProof/>
            <w:webHidden/>
            <w:szCs w:val="20"/>
          </w:rPr>
          <w:fldChar w:fldCharType="separate"/>
        </w:r>
        <w:r w:rsidR="00A02152">
          <w:rPr>
            <w:noProof/>
            <w:webHidden/>
            <w:szCs w:val="20"/>
          </w:rPr>
          <w:t>11</w:t>
        </w:r>
        <w:r w:rsidR="002C1E4B" w:rsidRPr="003D4835">
          <w:rPr>
            <w:noProof/>
            <w:webHidden/>
            <w:szCs w:val="20"/>
          </w:rPr>
          <w:fldChar w:fldCharType="end"/>
        </w:r>
      </w:hyperlink>
    </w:p>
    <w:p w:rsidR="002C1E4B" w:rsidRPr="003D4835" w:rsidRDefault="00860F8E">
      <w:pPr>
        <w:pStyle w:val="Obsah2"/>
        <w:rPr>
          <w:rFonts w:asciiTheme="minorHAnsi" w:eastAsiaTheme="minorEastAsia" w:hAnsiTheme="minorHAnsi" w:cstheme="minorBidi"/>
          <w:noProof/>
          <w:szCs w:val="20"/>
        </w:rPr>
      </w:pPr>
      <w:hyperlink w:anchor="_Toc506969413" w:history="1">
        <w:r w:rsidR="002C1E4B" w:rsidRPr="003D4835">
          <w:rPr>
            <w:rStyle w:val="Hypertextovodkaz"/>
            <w:noProof/>
            <w:szCs w:val="20"/>
          </w:rPr>
          <w:t>Formální vzdělávání v AES</w:t>
        </w:r>
        <w:r w:rsidR="002C1E4B" w:rsidRPr="003D4835">
          <w:rPr>
            <w:noProof/>
            <w:webHidden/>
            <w:szCs w:val="20"/>
          </w:rPr>
          <w:tab/>
        </w:r>
        <w:r w:rsidR="002C1E4B" w:rsidRPr="003D4835">
          <w:rPr>
            <w:noProof/>
            <w:webHidden/>
            <w:szCs w:val="20"/>
          </w:rPr>
          <w:fldChar w:fldCharType="begin"/>
        </w:r>
        <w:r w:rsidR="002C1E4B" w:rsidRPr="003D4835">
          <w:rPr>
            <w:noProof/>
            <w:webHidden/>
            <w:szCs w:val="20"/>
          </w:rPr>
          <w:instrText xml:space="preserve"> PAGEREF _Toc506969413 \h </w:instrText>
        </w:r>
        <w:r w:rsidR="002C1E4B" w:rsidRPr="003D4835">
          <w:rPr>
            <w:noProof/>
            <w:webHidden/>
            <w:szCs w:val="20"/>
          </w:rPr>
        </w:r>
        <w:r w:rsidR="002C1E4B" w:rsidRPr="003D4835">
          <w:rPr>
            <w:noProof/>
            <w:webHidden/>
            <w:szCs w:val="20"/>
          </w:rPr>
          <w:fldChar w:fldCharType="separate"/>
        </w:r>
        <w:r w:rsidR="00A02152">
          <w:rPr>
            <w:noProof/>
            <w:webHidden/>
            <w:szCs w:val="20"/>
          </w:rPr>
          <w:t>14</w:t>
        </w:r>
        <w:r w:rsidR="002C1E4B" w:rsidRPr="003D4835">
          <w:rPr>
            <w:noProof/>
            <w:webHidden/>
            <w:szCs w:val="20"/>
          </w:rPr>
          <w:fldChar w:fldCharType="end"/>
        </w:r>
      </w:hyperlink>
    </w:p>
    <w:p w:rsidR="002C1E4B" w:rsidRPr="003D4835" w:rsidRDefault="00860F8E">
      <w:pPr>
        <w:pStyle w:val="Obsah3"/>
        <w:rPr>
          <w:rFonts w:asciiTheme="minorHAnsi" w:eastAsiaTheme="minorEastAsia" w:hAnsiTheme="minorHAnsi" w:cstheme="minorBidi"/>
          <w:noProof/>
          <w:szCs w:val="20"/>
        </w:rPr>
      </w:pPr>
      <w:hyperlink w:anchor="_Toc506969414" w:history="1">
        <w:r w:rsidR="002C1E4B" w:rsidRPr="003D4835">
          <w:rPr>
            <w:rStyle w:val="Hypertextovodkaz"/>
            <w:noProof/>
            <w:szCs w:val="20"/>
          </w:rPr>
          <w:t>Zapojení dospělých do formálního vzdělávání</w:t>
        </w:r>
        <w:r w:rsidR="002C1E4B" w:rsidRPr="003D4835">
          <w:rPr>
            <w:noProof/>
            <w:webHidden/>
            <w:szCs w:val="20"/>
          </w:rPr>
          <w:tab/>
        </w:r>
        <w:r w:rsidR="002C1E4B" w:rsidRPr="003D4835">
          <w:rPr>
            <w:noProof/>
            <w:webHidden/>
            <w:szCs w:val="20"/>
          </w:rPr>
          <w:fldChar w:fldCharType="begin"/>
        </w:r>
        <w:r w:rsidR="002C1E4B" w:rsidRPr="003D4835">
          <w:rPr>
            <w:noProof/>
            <w:webHidden/>
            <w:szCs w:val="20"/>
          </w:rPr>
          <w:instrText xml:space="preserve"> PAGEREF _Toc506969414 \h </w:instrText>
        </w:r>
        <w:r w:rsidR="002C1E4B" w:rsidRPr="003D4835">
          <w:rPr>
            <w:noProof/>
            <w:webHidden/>
            <w:szCs w:val="20"/>
          </w:rPr>
        </w:r>
        <w:r w:rsidR="002C1E4B" w:rsidRPr="003D4835">
          <w:rPr>
            <w:noProof/>
            <w:webHidden/>
            <w:szCs w:val="20"/>
          </w:rPr>
          <w:fldChar w:fldCharType="separate"/>
        </w:r>
        <w:r w:rsidR="00A02152">
          <w:rPr>
            <w:noProof/>
            <w:webHidden/>
            <w:szCs w:val="20"/>
          </w:rPr>
          <w:t>16</w:t>
        </w:r>
        <w:r w:rsidR="002C1E4B" w:rsidRPr="003D4835">
          <w:rPr>
            <w:noProof/>
            <w:webHidden/>
            <w:szCs w:val="20"/>
          </w:rPr>
          <w:fldChar w:fldCharType="end"/>
        </w:r>
      </w:hyperlink>
    </w:p>
    <w:p w:rsidR="002C1E4B" w:rsidRPr="003D4835" w:rsidRDefault="00860F8E">
      <w:pPr>
        <w:pStyle w:val="Obsah3"/>
        <w:rPr>
          <w:rFonts w:asciiTheme="minorHAnsi" w:eastAsiaTheme="minorEastAsia" w:hAnsiTheme="minorHAnsi" w:cstheme="minorBidi"/>
          <w:noProof/>
          <w:szCs w:val="20"/>
        </w:rPr>
      </w:pPr>
      <w:hyperlink w:anchor="_Toc506969415" w:history="1">
        <w:r w:rsidR="002C1E4B" w:rsidRPr="003D4835">
          <w:rPr>
            <w:rStyle w:val="Hypertextovodkaz"/>
            <w:noProof/>
            <w:szCs w:val="20"/>
          </w:rPr>
          <w:t>Charakteristika účastníků formálního vzdělávání</w:t>
        </w:r>
        <w:r w:rsidR="002C1E4B" w:rsidRPr="003D4835">
          <w:rPr>
            <w:noProof/>
            <w:webHidden/>
            <w:szCs w:val="20"/>
          </w:rPr>
          <w:tab/>
        </w:r>
        <w:r w:rsidR="002C1E4B" w:rsidRPr="003D4835">
          <w:rPr>
            <w:noProof/>
            <w:webHidden/>
            <w:szCs w:val="20"/>
          </w:rPr>
          <w:fldChar w:fldCharType="begin"/>
        </w:r>
        <w:r w:rsidR="002C1E4B" w:rsidRPr="003D4835">
          <w:rPr>
            <w:noProof/>
            <w:webHidden/>
            <w:szCs w:val="20"/>
          </w:rPr>
          <w:instrText xml:space="preserve"> PAGEREF _Toc506969415 \h </w:instrText>
        </w:r>
        <w:r w:rsidR="002C1E4B" w:rsidRPr="003D4835">
          <w:rPr>
            <w:noProof/>
            <w:webHidden/>
            <w:szCs w:val="20"/>
          </w:rPr>
        </w:r>
        <w:r w:rsidR="002C1E4B" w:rsidRPr="003D4835">
          <w:rPr>
            <w:noProof/>
            <w:webHidden/>
            <w:szCs w:val="20"/>
          </w:rPr>
          <w:fldChar w:fldCharType="separate"/>
        </w:r>
        <w:r w:rsidR="00A02152">
          <w:rPr>
            <w:noProof/>
            <w:webHidden/>
            <w:szCs w:val="20"/>
          </w:rPr>
          <w:t>17</w:t>
        </w:r>
        <w:r w:rsidR="002C1E4B" w:rsidRPr="003D4835">
          <w:rPr>
            <w:noProof/>
            <w:webHidden/>
            <w:szCs w:val="20"/>
          </w:rPr>
          <w:fldChar w:fldCharType="end"/>
        </w:r>
      </w:hyperlink>
    </w:p>
    <w:p w:rsidR="002C1E4B" w:rsidRPr="003D4835" w:rsidRDefault="00860F8E">
      <w:pPr>
        <w:pStyle w:val="Obsah3"/>
        <w:rPr>
          <w:rFonts w:asciiTheme="minorHAnsi" w:eastAsiaTheme="minorEastAsia" w:hAnsiTheme="minorHAnsi" w:cstheme="minorBidi"/>
          <w:noProof/>
          <w:szCs w:val="20"/>
        </w:rPr>
      </w:pPr>
      <w:hyperlink w:anchor="_Toc506969416" w:history="1">
        <w:r w:rsidR="002C1E4B" w:rsidRPr="003D4835">
          <w:rPr>
            <w:rStyle w:val="Hypertextovodkaz"/>
            <w:noProof/>
            <w:szCs w:val="20"/>
          </w:rPr>
          <w:t>Podoba formálního vzdělávání a organizace studia</w:t>
        </w:r>
        <w:r w:rsidR="002C1E4B" w:rsidRPr="003D4835">
          <w:rPr>
            <w:noProof/>
            <w:webHidden/>
            <w:szCs w:val="20"/>
          </w:rPr>
          <w:tab/>
        </w:r>
        <w:r w:rsidR="002C1E4B" w:rsidRPr="003D4835">
          <w:rPr>
            <w:noProof/>
            <w:webHidden/>
            <w:szCs w:val="20"/>
          </w:rPr>
          <w:fldChar w:fldCharType="begin"/>
        </w:r>
        <w:r w:rsidR="002C1E4B" w:rsidRPr="003D4835">
          <w:rPr>
            <w:noProof/>
            <w:webHidden/>
            <w:szCs w:val="20"/>
          </w:rPr>
          <w:instrText xml:space="preserve"> PAGEREF _Toc506969416 \h </w:instrText>
        </w:r>
        <w:r w:rsidR="002C1E4B" w:rsidRPr="003D4835">
          <w:rPr>
            <w:noProof/>
            <w:webHidden/>
            <w:szCs w:val="20"/>
          </w:rPr>
        </w:r>
        <w:r w:rsidR="002C1E4B" w:rsidRPr="003D4835">
          <w:rPr>
            <w:noProof/>
            <w:webHidden/>
            <w:szCs w:val="20"/>
          </w:rPr>
          <w:fldChar w:fldCharType="separate"/>
        </w:r>
        <w:r w:rsidR="00A02152">
          <w:rPr>
            <w:noProof/>
            <w:webHidden/>
            <w:szCs w:val="20"/>
          </w:rPr>
          <w:t>19</w:t>
        </w:r>
        <w:r w:rsidR="002C1E4B" w:rsidRPr="003D4835">
          <w:rPr>
            <w:noProof/>
            <w:webHidden/>
            <w:szCs w:val="20"/>
          </w:rPr>
          <w:fldChar w:fldCharType="end"/>
        </w:r>
      </w:hyperlink>
    </w:p>
    <w:p w:rsidR="002C1E4B" w:rsidRPr="003D4835" w:rsidRDefault="00860F8E">
      <w:pPr>
        <w:pStyle w:val="Obsah3"/>
        <w:rPr>
          <w:rFonts w:asciiTheme="minorHAnsi" w:eastAsiaTheme="minorEastAsia" w:hAnsiTheme="minorHAnsi" w:cstheme="minorBidi"/>
          <w:noProof/>
          <w:szCs w:val="20"/>
        </w:rPr>
      </w:pPr>
      <w:hyperlink w:anchor="_Toc506969417" w:history="1">
        <w:r w:rsidR="002C1E4B" w:rsidRPr="003D4835">
          <w:rPr>
            <w:rStyle w:val="Hypertextovodkaz"/>
            <w:noProof/>
            <w:szCs w:val="20"/>
          </w:rPr>
          <w:t>Motivace ke studiu a hodnocení studia</w:t>
        </w:r>
        <w:r w:rsidR="002C1E4B" w:rsidRPr="003D4835">
          <w:rPr>
            <w:noProof/>
            <w:webHidden/>
            <w:szCs w:val="20"/>
          </w:rPr>
          <w:tab/>
        </w:r>
        <w:r w:rsidR="002C1E4B" w:rsidRPr="003D4835">
          <w:rPr>
            <w:noProof/>
            <w:webHidden/>
            <w:szCs w:val="20"/>
          </w:rPr>
          <w:fldChar w:fldCharType="begin"/>
        </w:r>
        <w:r w:rsidR="002C1E4B" w:rsidRPr="003D4835">
          <w:rPr>
            <w:noProof/>
            <w:webHidden/>
            <w:szCs w:val="20"/>
          </w:rPr>
          <w:instrText xml:space="preserve"> PAGEREF _Toc506969417 \h </w:instrText>
        </w:r>
        <w:r w:rsidR="002C1E4B" w:rsidRPr="003D4835">
          <w:rPr>
            <w:noProof/>
            <w:webHidden/>
            <w:szCs w:val="20"/>
          </w:rPr>
        </w:r>
        <w:r w:rsidR="002C1E4B" w:rsidRPr="003D4835">
          <w:rPr>
            <w:noProof/>
            <w:webHidden/>
            <w:szCs w:val="20"/>
          </w:rPr>
          <w:fldChar w:fldCharType="separate"/>
        </w:r>
        <w:r w:rsidR="00A02152">
          <w:rPr>
            <w:noProof/>
            <w:webHidden/>
            <w:szCs w:val="20"/>
          </w:rPr>
          <w:t>22</w:t>
        </w:r>
        <w:r w:rsidR="002C1E4B" w:rsidRPr="003D4835">
          <w:rPr>
            <w:noProof/>
            <w:webHidden/>
            <w:szCs w:val="20"/>
          </w:rPr>
          <w:fldChar w:fldCharType="end"/>
        </w:r>
      </w:hyperlink>
    </w:p>
    <w:p w:rsidR="002C1E4B" w:rsidRPr="003D4835" w:rsidRDefault="00860F8E">
      <w:pPr>
        <w:pStyle w:val="Obsah1"/>
        <w:rPr>
          <w:rFonts w:asciiTheme="minorHAnsi" w:eastAsiaTheme="minorEastAsia" w:hAnsiTheme="minorHAnsi" w:cstheme="minorBidi"/>
          <w:sz w:val="20"/>
          <w:szCs w:val="20"/>
        </w:rPr>
      </w:pPr>
      <w:hyperlink w:anchor="_Toc506969418" w:history="1">
        <w:r w:rsidR="002C1E4B" w:rsidRPr="003D4835">
          <w:rPr>
            <w:rStyle w:val="Hypertextovodkaz"/>
            <w:sz w:val="20"/>
            <w:szCs w:val="20"/>
          </w:rPr>
          <w:t>Neformální vzdělávání</w:t>
        </w:r>
        <w:r w:rsidR="002C1E4B" w:rsidRPr="003D4835">
          <w:rPr>
            <w:webHidden/>
            <w:sz w:val="20"/>
            <w:szCs w:val="20"/>
          </w:rPr>
          <w:tab/>
        </w:r>
        <w:r w:rsidR="002C1E4B" w:rsidRPr="003D4835">
          <w:rPr>
            <w:webHidden/>
            <w:sz w:val="20"/>
            <w:szCs w:val="20"/>
          </w:rPr>
          <w:fldChar w:fldCharType="begin"/>
        </w:r>
        <w:r w:rsidR="002C1E4B" w:rsidRPr="003D4835">
          <w:rPr>
            <w:webHidden/>
            <w:sz w:val="20"/>
            <w:szCs w:val="20"/>
          </w:rPr>
          <w:instrText xml:space="preserve"> PAGEREF _Toc506969418 \h </w:instrText>
        </w:r>
        <w:r w:rsidR="002C1E4B" w:rsidRPr="003D4835">
          <w:rPr>
            <w:webHidden/>
            <w:sz w:val="20"/>
            <w:szCs w:val="20"/>
          </w:rPr>
        </w:r>
        <w:r w:rsidR="002C1E4B" w:rsidRPr="003D4835">
          <w:rPr>
            <w:webHidden/>
            <w:sz w:val="20"/>
            <w:szCs w:val="20"/>
          </w:rPr>
          <w:fldChar w:fldCharType="separate"/>
        </w:r>
        <w:r w:rsidR="00A02152">
          <w:rPr>
            <w:webHidden/>
            <w:sz w:val="20"/>
            <w:szCs w:val="20"/>
          </w:rPr>
          <w:t>24</w:t>
        </w:r>
        <w:r w:rsidR="002C1E4B" w:rsidRPr="003D4835">
          <w:rPr>
            <w:webHidden/>
            <w:sz w:val="20"/>
            <w:szCs w:val="20"/>
          </w:rPr>
          <w:fldChar w:fldCharType="end"/>
        </w:r>
      </w:hyperlink>
    </w:p>
    <w:p w:rsidR="002C1E4B" w:rsidRPr="003D4835" w:rsidRDefault="00860F8E">
      <w:pPr>
        <w:pStyle w:val="Obsah3"/>
        <w:rPr>
          <w:rFonts w:asciiTheme="minorHAnsi" w:eastAsiaTheme="minorEastAsia" w:hAnsiTheme="minorHAnsi" w:cstheme="minorBidi"/>
          <w:noProof/>
          <w:szCs w:val="20"/>
        </w:rPr>
      </w:pPr>
      <w:hyperlink w:anchor="_Toc506969419" w:history="1">
        <w:r w:rsidR="002C1E4B" w:rsidRPr="003D4835">
          <w:rPr>
            <w:rStyle w:val="Hypertextovodkaz"/>
            <w:noProof/>
            <w:szCs w:val="20"/>
          </w:rPr>
          <w:t>Zapojení dospělých do neformálního vzdělávání</w:t>
        </w:r>
        <w:r w:rsidR="002C1E4B" w:rsidRPr="003D4835">
          <w:rPr>
            <w:noProof/>
            <w:webHidden/>
            <w:szCs w:val="20"/>
          </w:rPr>
          <w:tab/>
        </w:r>
        <w:r w:rsidR="002C1E4B" w:rsidRPr="003D4835">
          <w:rPr>
            <w:noProof/>
            <w:webHidden/>
            <w:szCs w:val="20"/>
          </w:rPr>
          <w:fldChar w:fldCharType="begin"/>
        </w:r>
        <w:r w:rsidR="002C1E4B" w:rsidRPr="003D4835">
          <w:rPr>
            <w:noProof/>
            <w:webHidden/>
            <w:szCs w:val="20"/>
          </w:rPr>
          <w:instrText xml:space="preserve"> PAGEREF _Toc506969419 \h </w:instrText>
        </w:r>
        <w:r w:rsidR="002C1E4B" w:rsidRPr="003D4835">
          <w:rPr>
            <w:noProof/>
            <w:webHidden/>
            <w:szCs w:val="20"/>
          </w:rPr>
        </w:r>
        <w:r w:rsidR="002C1E4B" w:rsidRPr="003D4835">
          <w:rPr>
            <w:noProof/>
            <w:webHidden/>
            <w:szCs w:val="20"/>
          </w:rPr>
          <w:fldChar w:fldCharType="separate"/>
        </w:r>
        <w:r w:rsidR="00A02152">
          <w:rPr>
            <w:noProof/>
            <w:webHidden/>
            <w:szCs w:val="20"/>
          </w:rPr>
          <w:t>24</w:t>
        </w:r>
        <w:r w:rsidR="002C1E4B" w:rsidRPr="003D4835">
          <w:rPr>
            <w:noProof/>
            <w:webHidden/>
            <w:szCs w:val="20"/>
          </w:rPr>
          <w:fldChar w:fldCharType="end"/>
        </w:r>
      </w:hyperlink>
    </w:p>
    <w:p w:rsidR="002C1E4B" w:rsidRPr="003D4835" w:rsidRDefault="00860F8E">
      <w:pPr>
        <w:pStyle w:val="Obsah3"/>
        <w:rPr>
          <w:rFonts w:asciiTheme="minorHAnsi" w:eastAsiaTheme="minorEastAsia" w:hAnsiTheme="minorHAnsi" w:cstheme="minorBidi"/>
          <w:noProof/>
          <w:szCs w:val="20"/>
        </w:rPr>
      </w:pPr>
      <w:hyperlink w:anchor="_Toc506969420" w:history="1">
        <w:r w:rsidR="002C1E4B" w:rsidRPr="003D4835">
          <w:rPr>
            <w:rStyle w:val="Hypertextovodkaz"/>
            <w:noProof/>
            <w:szCs w:val="20"/>
          </w:rPr>
          <w:t>Charakteristika účastníků neformálního vzdělávání</w:t>
        </w:r>
        <w:r w:rsidR="002C1E4B" w:rsidRPr="003D4835">
          <w:rPr>
            <w:noProof/>
            <w:webHidden/>
            <w:szCs w:val="20"/>
          </w:rPr>
          <w:tab/>
        </w:r>
        <w:r w:rsidR="002C1E4B" w:rsidRPr="003D4835">
          <w:rPr>
            <w:noProof/>
            <w:webHidden/>
            <w:szCs w:val="20"/>
          </w:rPr>
          <w:fldChar w:fldCharType="begin"/>
        </w:r>
        <w:r w:rsidR="002C1E4B" w:rsidRPr="003D4835">
          <w:rPr>
            <w:noProof/>
            <w:webHidden/>
            <w:szCs w:val="20"/>
          </w:rPr>
          <w:instrText xml:space="preserve"> PAGEREF _Toc506969420 \h </w:instrText>
        </w:r>
        <w:r w:rsidR="002C1E4B" w:rsidRPr="003D4835">
          <w:rPr>
            <w:noProof/>
            <w:webHidden/>
            <w:szCs w:val="20"/>
          </w:rPr>
        </w:r>
        <w:r w:rsidR="002C1E4B" w:rsidRPr="003D4835">
          <w:rPr>
            <w:noProof/>
            <w:webHidden/>
            <w:szCs w:val="20"/>
          </w:rPr>
          <w:fldChar w:fldCharType="separate"/>
        </w:r>
        <w:r w:rsidR="00A02152">
          <w:rPr>
            <w:noProof/>
            <w:webHidden/>
            <w:szCs w:val="20"/>
          </w:rPr>
          <w:t>28</w:t>
        </w:r>
        <w:r w:rsidR="002C1E4B" w:rsidRPr="003D4835">
          <w:rPr>
            <w:noProof/>
            <w:webHidden/>
            <w:szCs w:val="20"/>
          </w:rPr>
          <w:fldChar w:fldCharType="end"/>
        </w:r>
      </w:hyperlink>
    </w:p>
    <w:p w:rsidR="002C1E4B" w:rsidRPr="003D4835" w:rsidRDefault="00860F8E">
      <w:pPr>
        <w:pStyle w:val="Obsah3"/>
        <w:rPr>
          <w:rFonts w:asciiTheme="minorHAnsi" w:eastAsiaTheme="minorEastAsia" w:hAnsiTheme="minorHAnsi" w:cstheme="minorBidi"/>
          <w:noProof/>
          <w:szCs w:val="20"/>
        </w:rPr>
      </w:pPr>
      <w:hyperlink w:anchor="_Toc506969421" w:history="1">
        <w:r w:rsidR="002C1E4B" w:rsidRPr="003D4835">
          <w:rPr>
            <w:rStyle w:val="Hypertextovodkaz"/>
            <w:noProof/>
            <w:szCs w:val="20"/>
          </w:rPr>
          <w:t>Pracovně orientované neformální vzdělávání</w:t>
        </w:r>
        <w:r w:rsidR="002C1E4B" w:rsidRPr="003D4835">
          <w:rPr>
            <w:noProof/>
            <w:webHidden/>
            <w:szCs w:val="20"/>
          </w:rPr>
          <w:tab/>
        </w:r>
        <w:r w:rsidR="002C1E4B" w:rsidRPr="003D4835">
          <w:rPr>
            <w:noProof/>
            <w:webHidden/>
            <w:szCs w:val="20"/>
          </w:rPr>
          <w:fldChar w:fldCharType="begin"/>
        </w:r>
        <w:r w:rsidR="002C1E4B" w:rsidRPr="003D4835">
          <w:rPr>
            <w:noProof/>
            <w:webHidden/>
            <w:szCs w:val="20"/>
          </w:rPr>
          <w:instrText xml:space="preserve"> PAGEREF _Toc506969421 \h </w:instrText>
        </w:r>
        <w:r w:rsidR="002C1E4B" w:rsidRPr="003D4835">
          <w:rPr>
            <w:noProof/>
            <w:webHidden/>
            <w:szCs w:val="20"/>
          </w:rPr>
        </w:r>
        <w:r w:rsidR="002C1E4B" w:rsidRPr="003D4835">
          <w:rPr>
            <w:noProof/>
            <w:webHidden/>
            <w:szCs w:val="20"/>
          </w:rPr>
          <w:fldChar w:fldCharType="separate"/>
        </w:r>
        <w:r w:rsidR="00A02152">
          <w:rPr>
            <w:noProof/>
            <w:webHidden/>
            <w:szCs w:val="20"/>
          </w:rPr>
          <w:t>30</w:t>
        </w:r>
        <w:r w:rsidR="002C1E4B" w:rsidRPr="003D4835">
          <w:rPr>
            <w:noProof/>
            <w:webHidden/>
            <w:szCs w:val="20"/>
          </w:rPr>
          <w:fldChar w:fldCharType="end"/>
        </w:r>
      </w:hyperlink>
    </w:p>
    <w:p w:rsidR="002C1E4B" w:rsidRPr="003D4835" w:rsidRDefault="00860F8E">
      <w:pPr>
        <w:pStyle w:val="Obsah3"/>
        <w:rPr>
          <w:rFonts w:asciiTheme="minorHAnsi" w:eastAsiaTheme="minorEastAsia" w:hAnsiTheme="minorHAnsi" w:cstheme="minorBidi"/>
          <w:noProof/>
          <w:szCs w:val="20"/>
        </w:rPr>
      </w:pPr>
      <w:hyperlink w:anchor="_Toc506969422" w:history="1">
        <w:r w:rsidR="002C1E4B" w:rsidRPr="003D4835">
          <w:rPr>
            <w:rStyle w:val="Hypertextovodkaz"/>
            <w:noProof/>
            <w:szCs w:val="20"/>
          </w:rPr>
          <w:t>Mimopracovně orientované neformální vzdělávání</w:t>
        </w:r>
        <w:r w:rsidR="002C1E4B" w:rsidRPr="003D4835">
          <w:rPr>
            <w:noProof/>
            <w:webHidden/>
            <w:szCs w:val="20"/>
          </w:rPr>
          <w:tab/>
        </w:r>
        <w:r w:rsidR="002C1E4B" w:rsidRPr="003D4835">
          <w:rPr>
            <w:noProof/>
            <w:webHidden/>
            <w:szCs w:val="20"/>
          </w:rPr>
          <w:fldChar w:fldCharType="begin"/>
        </w:r>
        <w:r w:rsidR="002C1E4B" w:rsidRPr="003D4835">
          <w:rPr>
            <w:noProof/>
            <w:webHidden/>
            <w:szCs w:val="20"/>
          </w:rPr>
          <w:instrText xml:space="preserve"> PAGEREF _Toc506969422 \h </w:instrText>
        </w:r>
        <w:r w:rsidR="002C1E4B" w:rsidRPr="003D4835">
          <w:rPr>
            <w:noProof/>
            <w:webHidden/>
            <w:szCs w:val="20"/>
          </w:rPr>
        </w:r>
        <w:r w:rsidR="002C1E4B" w:rsidRPr="003D4835">
          <w:rPr>
            <w:noProof/>
            <w:webHidden/>
            <w:szCs w:val="20"/>
          </w:rPr>
          <w:fldChar w:fldCharType="separate"/>
        </w:r>
        <w:r w:rsidR="00A02152">
          <w:rPr>
            <w:noProof/>
            <w:webHidden/>
            <w:szCs w:val="20"/>
          </w:rPr>
          <w:t>38</w:t>
        </w:r>
        <w:r w:rsidR="002C1E4B" w:rsidRPr="003D4835">
          <w:rPr>
            <w:noProof/>
            <w:webHidden/>
            <w:szCs w:val="20"/>
          </w:rPr>
          <w:fldChar w:fldCharType="end"/>
        </w:r>
      </w:hyperlink>
    </w:p>
    <w:p w:rsidR="002C1E4B" w:rsidRPr="003D4835" w:rsidRDefault="00860F8E">
      <w:pPr>
        <w:pStyle w:val="Obsah1"/>
        <w:rPr>
          <w:rFonts w:asciiTheme="minorHAnsi" w:eastAsiaTheme="minorEastAsia" w:hAnsiTheme="minorHAnsi" w:cstheme="minorBidi"/>
          <w:sz w:val="20"/>
          <w:szCs w:val="20"/>
        </w:rPr>
      </w:pPr>
      <w:hyperlink w:anchor="_Toc506969423" w:history="1">
        <w:r w:rsidR="002C1E4B" w:rsidRPr="003D4835">
          <w:rPr>
            <w:rStyle w:val="Hypertextovodkaz"/>
            <w:sz w:val="20"/>
            <w:szCs w:val="20"/>
          </w:rPr>
          <w:t>Přístupy a postoje k dalšímu vzdělávání</w:t>
        </w:r>
        <w:r w:rsidR="002C1E4B" w:rsidRPr="003D4835">
          <w:rPr>
            <w:webHidden/>
            <w:sz w:val="20"/>
            <w:szCs w:val="20"/>
          </w:rPr>
          <w:tab/>
        </w:r>
        <w:r w:rsidR="002C1E4B" w:rsidRPr="003D4835">
          <w:rPr>
            <w:webHidden/>
            <w:sz w:val="20"/>
            <w:szCs w:val="20"/>
          </w:rPr>
          <w:fldChar w:fldCharType="begin"/>
        </w:r>
        <w:r w:rsidR="002C1E4B" w:rsidRPr="003D4835">
          <w:rPr>
            <w:webHidden/>
            <w:sz w:val="20"/>
            <w:szCs w:val="20"/>
          </w:rPr>
          <w:instrText xml:space="preserve"> PAGEREF _Toc506969423 \h </w:instrText>
        </w:r>
        <w:r w:rsidR="002C1E4B" w:rsidRPr="003D4835">
          <w:rPr>
            <w:webHidden/>
            <w:sz w:val="20"/>
            <w:szCs w:val="20"/>
          </w:rPr>
        </w:r>
        <w:r w:rsidR="002C1E4B" w:rsidRPr="003D4835">
          <w:rPr>
            <w:webHidden/>
            <w:sz w:val="20"/>
            <w:szCs w:val="20"/>
          </w:rPr>
          <w:fldChar w:fldCharType="separate"/>
        </w:r>
        <w:r w:rsidR="00A02152">
          <w:rPr>
            <w:webHidden/>
            <w:sz w:val="20"/>
            <w:szCs w:val="20"/>
          </w:rPr>
          <w:t>41</w:t>
        </w:r>
        <w:r w:rsidR="002C1E4B" w:rsidRPr="003D4835">
          <w:rPr>
            <w:webHidden/>
            <w:sz w:val="20"/>
            <w:szCs w:val="20"/>
          </w:rPr>
          <w:fldChar w:fldCharType="end"/>
        </w:r>
      </w:hyperlink>
    </w:p>
    <w:p w:rsidR="002C1E4B" w:rsidRPr="003D4835" w:rsidRDefault="00860F8E">
      <w:pPr>
        <w:pStyle w:val="Obsah1"/>
        <w:rPr>
          <w:rFonts w:asciiTheme="minorHAnsi" w:eastAsiaTheme="minorEastAsia" w:hAnsiTheme="minorHAnsi" w:cstheme="minorBidi"/>
          <w:sz w:val="20"/>
          <w:szCs w:val="20"/>
        </w:rPr>
      </w:pPr>
      <w:hyperlink w:anchor="_Toc506969424" w:history="1">
        <w:r w:rsidR="002C1E4B" w:rsidRPr="003D4835">
          <w:rPr>
            <w:rStyle w:val="Hypertextovodkaz"/>
            <w:sz w:val="20"/>
            <w:szCs w:val="20"/>
          </w:rPr>
          <w:t>Shrnutí</w:t>
        </w:r>
        <w:r w:rsidR="002C1E4B" w:rsidRPr="003D4835">
          <w:rPr>
            <w:webHidden/>
            <w:sz w:val="20"/>
            <w:szCs w:val="20"/>
          </w:rPr>
          <w:tab/>
        </w:r>
        <w:r w:rsidR="002C1E4B" w:rsidRPr="003D4835">
          <w:rPr>
            <w:webHidden/>
            <w:sz w:val="20"/>
            <w:szCs w:val="20"/>
          </w:rPr>
          <w:fldChar w:fldCharType="begin"/>
        </w:r>
        <w:r w:rsidR="002C1E4B" w:rsidRPr="003D4835">
          <w:rPr>
            <w:webHidden/>
            <w:sz w:val="20"/>
            <w:szCs w:val="20"/>
          </w:rPr>
          <w:instrText xml:space="preserve"> PAGEREF _Toc506969424 \h </w:instrText>
        </w:r>
        <w:r w:rsidR="002C1E4B" w:rsidRPr="003D4835">
          <w:rPr>
            <w:webHidden/>
            <w:sz w:val="20"/>
            <w:szCs w:val="20"/>
          </w:rPr>
        </w:r>
        <w:r w:rsidR="002C1E4B" w:rsidRPr="003D4835">
          <w:rPr>
            <w:webHidden/>
            <w:sz w:val="20"/>
            <w:szCs w:val="20"/>
          </w:rPr>
          <w:fldChar w:fldCharType="separate"/>
        </w:r>
        <w:r w:rsidR="00A02152">
          <w:rPr>
            <w:webHidden/>
            <w:sz w:val="20"/>
            <w:szCs w:val="20"/>
          </w:rPr>
          <w:t>46</w:t>
        </w:r>
        <w:r w:rsidR="002C1E4B" w:rsidRPr="003D4835">
          <w:rPr>
            <w:webHidden/>
            <w:sz w:val="20"/>
            <w:szCs w:val="20"/>
          </w:rPr>
          <w:fldChar w:fldCharType="end"/>
        </w:r>
      </w:hyperlink>
    </w:p>
    <w:p w:rsidR="002C1E4B" w:rsidRPr="003D4835" w:rsidRDefault="00860F8E">
      <w:pPr>
        <w:pStyle w:val="Obsah1"/>
        <w:rPr>
          <w:rFonts w:asciiTheme="minorHAnsi" w:eastAsiaTheme="minorEastAsia" w:hAnsiTheme="minorHAnsi" w:cstheme="minorBidi"/>
          <w:sz w:val="20"/>
          <w:szCs w:val="20"/>
        </w:rPr>
      </w:pPr>
      <w:hyperlink w:anchor="_Toc506969425" w:history="1">
        <w:r w:rsidR="002C1E4B" w:rsidRPr="003D4835">
          <w:rPr>
            <w:rStyle w:val="Hypertextovodkaz"/>
            <w:sz w:val="20"/>
            <w:szCs w:val="20"/>
          </w:rPr>
          <w:t>Tabulková příloha</w:t>
        </w:r>
        <w:r w:rsidR="002C1E4B" w:rsidRPr="003D4835">
          <w:rPr>
            <w:webHidden/>
            <w:sz w:val="20"/>
            <w:szCs w:val="20"/>
          </w:rPr>
          <w:tab/>
        </w:r>
        <w:r w:rsidR="002C1E4B" w:rsidRPr="003D4835">
          <w:rPr>
            <w:webHidden/>
            <w:sz w:val="20"/>
            <w:szCs w:val="20"/>
          </w:rPr>
          <w:fldChar w:fldCharType="begin"/>
        </w:r>
        <w:r w:rsidR="002C1E4B" w:rsidRPr="003D4835">
          <w:rPr>
            <w:webHidden/>
            <w:sz w:val="20"/>
            <w:szCs w:val="20"/>
          </w:rPr>
          <w:instrText xml:space="preserve"> PAGEREF _Toc506969425 \h </w:instrText>
        </w:r>
        <w:r w:rsidR="002C1E4B" w:rsidRPr="003D4835">
          <w:rPr>
            <w:webHidden/>
            <w:sz w:val="20"/>
            <w:szCs w:val="20"/>
          </w:rPr>
        </w:r>
        <w:r w:rsidR="002C1E4B" w:rsidRPr="003D4835">
          <w:rPr>
            <w:webHidden/>
            <w:sz w:val="20"/>
            <w:szCs w:val="20"/>
          </w:rPr>
          <w:fldChar w:fldCharType="separate"/>
        </w:r>
        <w:r w:rsidR="00A02152">
          <w:rPr>
            <w:webHidden/>
            <w:sz w:val="20"/>
            <w:szCs w:val="20"/>
          </w:rPr>
          <w:t>48</w:t>
        </w:r>
        <w:r w:rsidR="002C1E4B" w:rsidRPr="003D4835">
          <w:rPr>
            <w:webHidden/>
            <w:sz w:val="20"/>
            <w:szCs w:val="20"/>
          </w:rPr>
          <w:fldChar w:fldCharType="end"/>
        </w:r>
      </w:hyperlink>
    </w:p>
    <w:p w:rsidR="00A536A6" w:rsidRDefault="00465B1D">
      <w:pPr>
        <w:spacing w:after="0" w:line="240" w:lineRule="auto"/>
      </w:pPr>
      <w:r>
        <w:fldChar w:fldCharType="end"/>
      </w:r>
    </w:p>
    <w:p w:rsidR="00A536A6" w:rsidRDefault="00A536A6">
      <w:pPr>
        <w:spacing w:after="0" w:line="240" w:lineRule="auto"/>
      </w:pPr>
    </w:p>
    <w:p w:rsidR="00AD4C08" w:rsidRDefault="00AD4C08">
      <w:pPr>
        <w:spacing w:after="0" w:line="240" w:lineRule="auto"/>
        <w:rPr>
          <w:rFonts w:eastAsia="MS Gothic"/>
          <w:b/>
          <w:bCs/>
          <w:color w:val="BC091B"/>
          <w:sz w:val="24"/>
        </w:rPr>
      </w:pPr>
      <w:r>
        <w:br w:type="page"/>
      </w:r>
    </w:p>
    <w:p w:rsidR="00164B85" w:rsidRDefault="00164B85" w:rsidP="009C2494">
      <w:pPr>
        <w:pStyle w:val="Nadpis3"/>
      </w:pPr>
      <w:bookmarkStart w:id="0" w:name="_Toc506969406"/>
      <w:r>
        <w:lastRenderedPageBreak/>
        <w:t>Seznam grafů a tabulek</w:t>
      </w:r>
      <w:bookmarkEnd w:id="0"/>
    </w:p>
    <w:p w:rsidR="00693373" w:rsidRPr="00693373" w:rsidRDefault="00693373" w:rsidP="00693373">
      <w:pPr>
        <w:rPr>
          <w:sz w:val="2"/>
        </w:rPr>
      </w:pPr>
    </w:p>
    <w:p w:rsidR="0034023E" w:rsidRDefault="00465B1D">
      <w:pPr>
        <w:pStyle w:val="Obsah1"/>
        <w:rPr>
          <w:rFonts w:asciiTheme="minorHAnsi" w:eastAsiaTheme="minorEastAsia" w:hAnsiTheme="minorHAnsi" w:cstheme="minorBidi"/>
          <w:sz w:val="22"/>
          <w:szCs w:val="22"/>
        </w:rPr>
      </w:pPr>
      <w:r>
        <w:rPr>
          <w:szCs w:val="18"/>
        </w:rPr>
        <w:fldChar w:fldCharType="begin"/>
      </w:r>
      <w:r w:rsidR="00705950">
        <w:rPr>
          <w:szCs w:val="18"/>
        </w:rPr>
        <w:instrText xml:space="preserve"> TOC \h \z \u \t "Nadpis 4,1" </w:instrText>
      </w:r>
      <w:r>
        <w:rPr>
          <w:szCs w:val="18"/>
        </w:rPr>
        <w:fldChar w:fldCharType="separate"/>
      </w:r>
      <w:hyperlink w:anchor="_Toc506308521" w:history="1">
        <w:r w:rsidR="0034023E" w:rsidRPr="00FF1CC8">
          <w:rPr>
            <w:rStyle w:val="Hypertextovodkaz"/>
          </w:rPr>
          <w:t>Graf č. 1: Studenti středního vzdělávání dle věku a formy studia, 2006/07–2016/17</w:t>
        </w:r>
        <w:r w:rsidR="0034023E">
          <w:rPr>
            <w:webHidden/>
          </w:rPr>
          <w:tab/>
        </w:r>
        <w:r>
          <w:rPr>
            <w:webHidden/>
          </w:rPr>
          <w:fldChar w:fldCharType="begin"/>
        </w:r>
        <w:r w:rsidR="0034023E">
          <w:rPr>
            <w:webHidden/>
          </w:rPr>
          <w:instrText xml:space="preserve"> PAGEREF _Toc506308521 \h </w:instrText>
        </w:r>
        <w:r>
          <w:rPr>
            <w:webHidden/>
          </w:rPr>
        </w:r>
        <w:r>
          <w:rPr>
            <w:webHidden/>
          </w:rPr>
          <w:fldChar w:fldCharType="separate"/>
        </w:r>
        <w:r w:rsidR="00A02152">
          <w:rPr>
            <w:webHidden/>
          </w:rPr>
          <w:t>9</w:t>
        </w:r>
        <w:r>
          <w:rPr>
            <w:webHidden/>
          </w:rPr>
          <w:fldChar w:fldCharType="end"/>
        </w:r>
      </w:hyperlink>
    </w:p>
    <w:p w:rsidR="0034023E" w:rsidRDefault="00860F8E">
      <w:pPr>
        <w:pStyle w:val="Obsah1"/>
        <w:rPr>
          <w:rFonts w:asciiTheme="minorHAnsi" w:eastAsiaTheme="minorEastAsia" w:hAnsiTheme="minorHAnsi" w:cstheme="minorBidi"/>
          <w:sz w:val="22"/>
          <w:szCs w:val="22"/>
        </w:rPr>
      </w:pPr>
      <w:hyperlink w:anchor="_Toc506308522" w:history="1">
        <w:r w:rsidR="0034023E" w:rsidRPr="00FF1CC8">
          <w:rPr>
            <w:rStyle w:val="Hypertextovodkaz"/>
          </w:rPr>
          <w:t>Graf č. 2: Studenti středního vzdělávání dle věku, pohlaví a formy studia, 2006/07–2016/17</w:t>
        </w:r>
        <w:r w:rsidR="0034023E">
          <w:rPr>
            <w:webHidden/>
          </w:rPr>
          <w:tab/>
        </w:r>
        <w:r w:rsidR="00465B1D">
          <w:rPr>
            <w:webHidden/>
          </w:rPr>
          <w:fldChar w:fldCharType="begin"/>
        </w:r>
        <w:r w:rsidR="0034023E">
          <w:rPr>
            <w:webHidden/>
          </w:rPr>
          <w:instrText xml:space="preserve"> PAGEREF _Toc506308522 \h </w:instrText>
        </w:r>
        <w:r w:rsidR="00465B1D">
          <w:rPr>
            <w:webHidden/>
          </w:rPr>
        </w:r>
        <w:r w:rsidR="00465B1D">
          <w:rPr>
            <w:webHidden/>
          </w:rPr>
          <w:fldChar w:fldCharType="separate"/>
        </w:r>
        <w:r w:rsidR="00A02152">
          <w:rPr>
            <w:webHidden/>
          </w:rPr>
          <w:t>10</w:t>
        </w:r>
        <w:r w:rsidR="00465B1D">
          <w:rPr>
            <w:webHidden/>
          </w:rPr>
          <w:fldChar w:fldCharType="end"/>
        </w:r>
      </w:hyperlink>
    </w:p>
    <w:p w:rsidR="0034023E" w:rsidRDefault="00860F8E">
      <w:pPr>
        <w:pStyle w:val="Obsah1"/>
        <w:rPr>
          <w:rFonts w:asciiTheme="minorHAnsi" w:eastAsiaTheme="minorEastAsia" w:hAnsiTheme="minorHAnsi" w:cstheme="minorBidi"/>
          <w:sz w:val="22"/>
          <w:szCs w:val="22"/>
        </w:rPr>
      </w:pPr>
      <w:hyperlink w:anchor="_Toc506308523" w:history="1">
        <w:r w:rsidR="0034023E" w:rsidRPr="00FF1CC8">
          <w:rPr>
            <w:rStyle w:val="Hypertextovodkaz"/>
          </w:rPr>
          <w:t>Graf č. 3: Studenti ostatních forem středního vzděl</w:t>
        </w:r>
        <w:r w:rsidR="003536C8">
          <w:rPr>
            <w:rStyle w:val="Hypertextovodkaz"/>
          </w:rPr>
          <w:t>ávání dle druhu studia, 2006/07</w:t>
        </w:r>
        <w:r w:rsidR="0034023E" w:rsidRPr="00FF1CC8">
          <w:rPr>
            <w:rStyle w:val="Hypertextovodkaz"/>
          </w:rPr>
          <w:t>–2016/17</w:t>
        </w:r>
        <w:r w:rsidR="0034023E">
          <w:rPr>
            <w:webHidden/>
          </w:rPr>
          <w:tab/>
        </w:r>
        <w:r w:rsidR="00465B1D">
          <w:rPr>
            <w:webHidden/>
          </w:rPr>
          <w:fldChar w:fldCharType="begin"/>
        </w:r>
        <w:r w:rsidR="0034023E">
          <w:rPr>
            <w:webHidden/>
          </w:rPr>
          <w:instrText xml:space="preserve"> PAGEREF _Toc506308523 \h </w:instrText>
        </w:r>
        <w:r w:rsidR="00465B1D">
          <w:rPr>
            <w:webHidden/>
          </w:rPr>
        </w:r>
        <w:r w:rsidR="00465B1D">
          <w:rPr>
            <w:webHidden/>
          </w:rPr>
          <w:fldChar w:fldCharType="separate"/>
        </w:r>
        <w:r w:rsidR="00A02152">
          <w:rPr>
            <w:webHidden/>
          </w:rPr>
          <w:t>11</w:t>
        </w:r>
        <w:r w:rsidR="00465B1D">
          <w:rPr>
            <w:webHidden/>
          </w:rPr>
          <w:fldChar w:fldCharType="end"/>
        </w:r>
      </w:hyperlink>
    </w:p>
    <w:p w:rsidR="0034023E" w:rsidRDefault="00860F8E">
      <w:pPr>
        <w:pStyle w:val="Obsah1"/>
        <w:rPr>
          <w:rFonts w:asciiTheme="minorHAnsi" w:eastAsiaTheme="minorEastAsia" w:hAnsiTheme="minorHAnsi" w:cstheme="minorBidi"/>
          <w:sz w:val="22"/>
          <w:szCs w:val="22"/>
        </w:rPr>
      </w:pPr>
      <w:hyperlink w:anchor="_Toc506308524" w:history="1">
        <w:r w:rsidR="0034023E" w:rsidRPr="00FF1CC8">
          <w:rPr>
            <w:rStyle w:val="Hypertextovodkaz"/>
          </w:rPr>
          <w:t>Graf č. 4: Studenti veřejných a soukromých vysokých škol dle věkových kategorií, 2006–2016</w:t>
        </w:r>
        <w:r w:rsidR="0034023E">
          <w:rPr>
            <w:webHidden/>
          </w:rPr>
          <w:tab/>
        </w:r>
        <w:r w:rsidR="00465B1D">
          <w:rPr>
            <w:webHidden/>
          </w:rPr>
          <w:fldChar w:fldCharType="begin"/>
        </w:r>
        <w:r w:rsidR="0034023E">
          <w:rPr>
            <w:webHidden/>
          </w:rPr>
          <w:instrText xml:space="preserve"> PAGEREF _Toc506308524 \h </w:instrText>
        </w:r>
        <w:r w:rsidR="00465B1D">
          <w:rPr>
            <w:webHidden/>
          </w:rPr>
        </w:r>
        <w:r w:rsidR="00465B1D">
          <w:rPr>
            <w:webHidden/>
          </w:rPr>
          <w:fldChar w:fldCharType="separate"/>
        </w:r>
        <w:r w:rsidR="00A02152">
          <w:rPr>
            <w:webHidden/>
          </w:rPr>
          <w:t>12</w:t>
        </w:r>
        <w:r w:rsidR="00465B1D">
          <w:rPr>
            <w:webHidden/>
          </w:rPr>
          <w:fldChar w:fldCharType="end"/>
        </w:r>
      </w:hyperlink>
    </w:p>
    <w:p w:rsidR="0034023E" w:rsidRDefault="00860F8E">
      <w:pPr>
        <w:pStyle w:val="Obsah1"/>
        <w:rPr>
          <w:rFonts w:asciiTheme="minorHAnsi" w:eastAsiaTheme="minorEastAsia" w:hAnsiTheme="minorHAnsi" w:cstheme="minorBidi"/>
          <w:sz w:val="22"/>
          <w:szCs w:val="22"/>
        </w:rPr>
      </w:pPr>
      <w:hyperlink w:anchor="_Toc506308525" w:history="1">
        <w:r w:rsidR="0034023E" w:rsidRPr="00CB7412">
          <w:rPr>
            <w:rStyle w:val="Hypertextovodkaz"/>
            <w:spacing w:val="-6"/>
          </w:rPr>
          <w:t>Graf č. 5: Studenti veřejných a soukromých vysokých škol dle studijního programu a věkových kategorií (v tis.), 2006–2016</w:t>
        </w:r>
        <w:r w:rsidR="0034023E">
          <w:rPr>
            <w:webHidden/>
          </w:rPr>
          <w:tab/>
        </w:r>
        <w:r w:rsidR="00465B1D">
          <w:rPr>
            <w:webHidden/>
          </w:rPr>
          <w:fldChar w:fldCharType="begin"/>
        </w:r>
        <w:r w:rsidR="0034023E">
          <w:rPr>
            <w:webHidden/>
          </w:rPr>
          <w:instrText xml:space="preserve"> PAGEREF _Toc506308525 \h </w:instrText>
        </w:r>
        <w:r w:rsidR="00465B1D">
          <w:rPr>
            <w:webHidden/>
          </w:rPr>
        </w:r>
        <w:r w:rsidR="00465B1D">
          <w:rPr>
            <w:webHidden/>
          </w:rPr>
          <w:fldChar w:fldCharType="separate"/>
        </w:r>
        <w:r w:rsidR="00A02152">
          <w:rPr>
            <w:webHidden/>
          </w:rPr>
          <w:t>12</w:t>
        </w:r>
        <w:r w:rsidR="00465B1D">
          <w:rPr>
            <w:webHidden/>
          </w:rPr>
          <w:fldChar w:fldCharType="end"/>
        </w:r>
      </w:hyperlink>
    </w:p>
    <w:p w:rsidR="0034023E" w:rsidRDefault="00860F8E">
      <w:pPr>
        <w:pStyle w:val="Obsah1"/>
        <w:rPr>
          <w:rFonts w:asciiTheme="minorHAnsi" w:eastAsiaTheme="minorEastAsia" w:hAnsiTheme="minorHAnsi" w:cstheme="minorBidi"/>
          <w:sz w:val="22"/>
          <w:szCs w:val="22"/>
        </w:rPr>
      </w:pPr>
      <w:hyperlink w:anchor="_Toc506308526" w:history="1">
        <w:r w:rsidR="0034023E" w:rsidRPr="00CB7412">
          <w:rPr>
            <w:rStyle w:val="Hypertextovodkaz"/>
            <w:spacing w:val="-4"/>
          </w:rPr>
          <w:t>Graf č. 6: Studenti veřejných a soukromých vysokých škol ve věku 30 a více let dle studijního programu, 2006–2016</w:t>
        </w:r>
        <w:r w:rsidR="0034023E">
          <w:rPr>
            <w:webHidden/>
          </w:rPr>
          <w:tab/>
        </w:r>
        <w:r w:rsidR="00465B1D">
          <w:rPr>
            <w:webHidden/>
          </w:rPr>
          <w:fldChar w:fldCharType="begin"/>
        </w:r>
        <w:r w:rsidR="0034023E">
          <w:rPr>
            <w:webHidden/>
          </w:rPr>
          <w:instrText xml:space="preserve"> PAGEREF _Toc506308526 \h </w:instrText>
        </w:r>
        <w:r w:rsidR="00465B1D">
          <w:rPr>
            <w:webHidden/>
          </w:rPr>
        </w:r>
        <w:r w:rsidR="00465B1D">
          <w:rPr>
            <w:webHidden/>
          </w:rPr>
          <w:fldChar w:fldCharType="separate"/>
        </w:r>
        <w:r w:rsidR="00A02152">
          <w:rPr>
            <w:webHidden/>
          </w:rPr>
          <w:t>13</w:t>
        </w:r>
        <w:r w:rsidR="00465B1D">
          <w:rPr>
            <w:webHidden/>
          </w:rPr>
          <w:fldChar w:fldCharType="end"/>
        </w:r>
      </w:hyperlink>
    </w:p>
    <w:p w:rsidR="0034023E" w:rsidRDefault="00860F8E">
      <w:pPr>
        <w:pStyle w:val="Obsah1"/>
        <w:rPr>
          <w:rFonts w:asciiTheme="minorHAnsi" w:eastAsiaTheme="minorEastAsia" w:hAnsiTheme="minorHAnsi" w:cstheme="minorBidi"/>
          <w:sz w:val="22"/>
          <w:szCs w:val="22"/>
        </w:rPr>
      </w:pPr>
      <w:hyperlink w:anchor="_Toc506308527" w:history="1">
        <w:r w:rsidR="0034023E" w:rsidRPr="00FF1CC8">
          <w:rPr>
            <w:rStyle w:val="Hypertextovodkaz"/>
          </w:rPr>
          <w:t>Graf č. 7: Účast dospělých ve formálním vzdělávání dle věkových kategorií, 2007–2016</w:t>
        </w:r>
        <w:r w:rsidR="0034023E">
          <w:rPr>
            <w:webHidden/>
          </w:rPr>
          <w:tab/>
        </w:r>
        <w:r w:rsidR="00465B1D">
          <w:rPr>
            <w:webHidden/>
          </w:rPr>
          <w:fldChar w:fldCharType="begin"/>
        </w:r>
        <w:r w:rsidR="0034023E">
          <w:rPr>
            <w:webHidden/>
          </w:rPr>
          <w:instrText xml:space="preserve"> PAGEREF _Toc506308527 \h </w:instrText>
        </w:r>
        <w:r w:rsidR="00465B1D">
          <w:rPr>
            <w:webHidden/>
          </w:rPr>
        </w:r>
        <w:r w:rsidR="00465B1D">
          <w:rPr>
            <w:webHidden/>
          </w:rPr>
          <w:fldChar w:fldCharType="separate"/>
        </w:r>
        <w:r w:rsidR="00A02152">
          <w:rPr>
            <w:webHidden/>
          </w:rPr>
          <w:t>14</w:t>
        </w:r>
        <w:r w:rsidR="00465B1D">
          <w:rPr>
            <w:webHidden/>
          </w:rPr>
          <w:fldChar w:fldCharType="end"/>
        </w:r>
      </w:hyperlink>
    </w:p>
    <w:p w:rsidR="0034023E" w:rsidRDefault="00860F8E">
      <w:pPr>
        <w:pStyle w:val="Obsah1"/>
        <w:rPr>
          <w:rFonts w:asciiTheme="minorHAnsi" w:eastAsiaTheme="minorEastAsia" w:hAnsiTheme="minorHAnsi" w:cstheme="minorBidi"/>
          <w:sz w:val="22"/>
          <w:szCs w:val="22"/>
        </w:rPr>
      </w:pPr>
      <w:hyperlink w:anchor="_Toc506308528" w:history="1">
        <w:r w:rsidR="0034023E" w:rsidRPr="00FF1CC8">
          <w:rPr>
            <w:rStyle w:val="Hypertextovodkaz"/>
          </w:rPr>
          <w:t>Graf č. 8: Účast a průměrný počet hodin formálního vzdělávání měsíčně (25–64 let) – mezinárodní srovnání</w:t>
        </w:r>
        <w:r w:rsidR="0034023E">
          <w:rPr>
            <w:webHidden/>
          </w:rPr>
          <w:tab/>
        </w:r>
        <w:r w:rsidR="00465B1D">
          <w:rPr>
            <w:webHidden/>
          </w:rPr>
          <w:fldChar w:fldCharType="begin"/>
        </w:r>
        <w:r w:rsidR="0034023E">
          <w:rPr>
            <w:webHidden/>
          </w:rPr>
          <w:instrText xml:space="preserve"> PAGEREF _Toc506308528 \h </w:instrText>
        </w:r>
        <w:r w:rsidR="00465B1D">
          <w:rPr>
            <w:webHidden/>
          </w:rPr>
        </w:r>
        <w:r w:rsidR="00465B1D">
          <w:rPr>
            <w:webHidden/>
          </w:rPr>
          <w:fldChar w:fldCharType="separate"/>
        </w:r>
        <w:r w:rsidR="00A02152">
          <w:rPr>
            <w:webHidden/>
          </w:rPr>
          <w:t>15</w:t>
        </w:r>
        <w:r w:rsidR="00465B1D">
          <w:rPr>
            <w:webHidden/>
          </w:rPr>
          <w:fldChar w:fldCharType="end"/>
        </w:r>
      </w:hyperlink>
    </w:p>
    <w:p w:rsidR="0034023E" w:rsidRDefault="00860F8E">
      <w:pPr>
        <w:pStyle w:val="Obsah1"/>
        <w:rPr>
          <w:rFonts w:asciiTheme="minorHAnsi" w:eastAsiaTheme="minorEastAsia" w:hAnsiTheme="minorHAnsi" w:cstheme="minorBidi"/>
          <w:sz w:val="22"/>
          <w:szCs w:val="22"/>
        </w:rPr>
      </w:pPr>
      <w:hyperlink w:anchor="_Toc506308529" w:history="1">
        <w:r w:rsidR="0034023E" w:rsidRPr="00FF1CC8">
          <w:rPr>
            <w:rStyle w:val="Hypertextovodkaz"/>
          </w:rPr>
          <w:t>Graf č. 9: Účast ve formálním vzdělávání dle věkových kategorií</w:t>
        </w:r>
        <w:r w:rsidR="0034023E">
          <w:rPr>
            <w:webHidden/>
          </w:rPr>
          <w:tab/>
        </w:r>
        <w:r w:rsidR="00465B1D">
          <w:rPr>
            <w:webHidden/>
          </w:rPr>
          <w:fldChar w:fldCharType="begin"/>
        </w:r>
        <w:r w:rsidR="0034023E">
          <w:rPr>
            <w:webHidden/>
          </w:rPr>
          <w:instrText xml:space="preserve"> PAGEREF _Toc506308529 \h </w:instrText>
        </w:r>
        <w:r w:rsidR="00465B1D">
          <w:rPr>
            <w:webHidden/>
          </w:rPr>
        </w:r>
        <w:r w:rsidR="00465B1D">
          <w:rPr>
            <w:webHidden/>
          </w:rPr>
          <w:fldChar w:fldCharType="separate"/>
        </w:r>
        <w:r w:rsidR="00A02152">
          <w:rPr>
            <w:webHidden/>
          </w:rPr>
          <w:t>17</w:t>
        </w:r>
        <w:r w:rsidR="00465B1D">
          <w:rPr>
            <w:webHidden/>
          </w:rPr>
          <w:fldChar w:fldCharType="end"/>
        </w:r>
      </w:hyperlink>
    </w:p>
    <w:p w:rsidR="0034023E" w:rsidRDefault="00860F8E">
      <w:pPr>
        <w:pStyle w:val="Obsah1"/>
        <w:rPr>
          <w:rFonts w:asciiTheme="minorHAnsi" w:eastAsiaTheme="minorEastAsia" w:hAnsiTheme="minorHAnsi" w:cstheme="minorBidi"/>
          <w:sz w:val="22"/>
          <w:szCs w:val="22"/>
        </w:rPr>
      </w:pPr>
      <w:hyperlink w:anchor="_Toc506308530" w:history="1">
        <w:r w:rsidR="0034023E" w:rsidRPr="00FF1CC8">
          <w:rPr>
            <w:rStyle w:val="Hypertextovodkaz"/>
          </w:rPr>
          <w:t>Graf č. 10: Účast ve formálním vzdělávání dle věku a typu vzdělávání</w:t>
        </w:r>
        <w:r w:rsidR="0034023E">
          <w:rPr>
            <w:webHidden/>
          </w:rPr>
          <w:tab/>
        </w:r>
        <w:r w:rsidR="00465B1D">
          <w:rPr>
            <w:webHidden/>
          </w:rPr>
          <w:fldChar w:fldCharType="begin"/>
        </w:r>
        <w:r w:rsidR="0034023E">
          <w:rPr>
            <w:webHidden/>
          </w:rPr>
          <w:instrText xml:space="preserve"> PAGEREF _Toc506308530 \h </w:instrText>
        </w:r>
        <w:r w:rsidR="00465B1D">
          <w:rPr>
            <w:webHidden/>
          </w:rPr>
        </w:r>
        <w:r w:rsidR="00465B1D">
          <w:rPr>
            <w:webHidden/>
          </w:rPr>
          <w:fldChar w:fldCharType="separate"/>
        </w:r>
        <w:r w:rsidR="00A02152">
          <w:rPr>
            <w:webHidden/>
          </w:rPr>
          <w:t>18</w:t>
        </w:r>
        <w:r w:rsidR="00465B1D">
          <w:rPr>
            <w:webHidden/>
          </w:rPr>
          <w:fldChar w:fldCharType="end"/>
        </w:r>
      </w:hyperlink>
    </w:p>
    <w:p w:rsidR="0034023E" w:rsidRDefault="00860F8E">
      <w:pPr>
        <w:pStyle w:val="Obsah1"/>
        <w:rPr>
          <w:rFonts w:asciiTheme="minorHAnsi" w:eastAsiaTheme="minorEastAsia" w:hAnsiTheme="minorHAnsi" w:cstheme="minorBidi"/>
          <w:sz w:val="22"/>
          <w:szCs w:val="22"/>
        </w:rPr>
      </w:pPr>
      <w:hyperlink w:anchor="_Toc506308531" w:history="1">
        <w:r w:rsidR="0034023E" w:rsidRPr="00FF1CC8">
          <w:rPr>
            <w:rStyle w:val="Hypertextovodkaz"/>
          </w:rPr>
          <w:t>Graf č. 11: Účastníci formálního vzdělávání dle pracovního statusu, věkových kategorií a typu vzdělávání</w:t>
        </w:r>
        <w:r w:rsidR="0034023E">
          <w:rPr>
            <w:webHidden/>
          </w:rPr>
          <w:tab/>
        </w:r>
        <w:r w:rsidR="00465B1D">
          <w:rPr>
            <w:webHidden/>
          </w:rPr>
          <w:fldChar w:fldCharType="begin"/>
        </w:r>
        <w:r w:rsidR="0034023E">
          <w:rPr>
            <w:webHidden/>
          </w:rPr>
          <w:instrText xml:space="preserve"> PAGEREF _Toc506308531 \h </w:instrText>
        </w:r>
        <w:r w:rsidR="00465B1D">
          <w:rPr>
            <w:webHidden/>
          </w:rPr>
        </w:r>
        <w:r w:rsidR="00465B1D">
          <w:rPr>
            <w:webHidden/>
          </w:rPr>
          <w:fldChar w:fldCharType="separate"/>
        </w:r>
        <w:r w:rsidR="00A02152">
          <w:rPr>
            <w:webHidden/>
          </w:rPr>
          <w:t>18</w:t>
        </w:r>
        <w:r w:rsidR="00465B1D">
          <w:rPr>
            <w:webHidden/>
          </w:rPr>
          <w:fldChar w:fldCharType="end"/>
        </w:r>
      </w:hyperlink>
    </w:p>
    <w:p w:rsidR="0034023E" w:rsidRDefault="00860F8E">
      <w:pPr>
        <w:pStyle w:val="Obsah1"/>
        <w:rPr>
          <w:rFonts w:asciiTheme="minorHAnsi" w:eastAsiaTheme="minorEastAsia" w:hAnsiTheme="minorHAnsi" w:cstheme="minorBidi"/>
          <w:sz w:val="22"/>
          <w:szCs w:val="22"/>
        </w:rPr>
      </w:pPr>
      <w:hyperlink w:anchor="_Toc506308532" w:history="1">
        <w:r w:rsidR="0034023E" w:rsidRPr="00FF1CC8">
          <w:rPr>
            <w:rStyle w:val="Hypertextovodkaz"/>
          </w:rPr>
          <w:t>Graf č. 12: Účastníci formálního vzdělávání dle stupně studia, věkových kategorií a typu vzdělávání</w:t>
        </w:r>
        <w:r w:rsidR="0034023E">
          <w:rPr>
            <w:webHidden/>
          </w:rPr>
          <w:tab/>
        </w:r>
        <w:r w:rsidR="00465B1D">
          <w:rPr>
            <w:webHidden/>
          </w:rPr>
          <w:fldChar w:fldCharType="begin"/>
        </w:r>
        <w:r w:rsidR="0034023E">
          <w:rPr>
            <w:webHidden/>
          </w:rPr>
          <w:instrText xml:space="preserve"> PAGEREF _Toc506308532 \h </w:instrText>
        </w:r>
        <w:r w:rsidR="00465B1D">
          <w:rPr>
            <w:webHidden/>
          </w:rPr>
        </w:r>
        <w:r w:rsidR="00465B1D">
          <w:rPr>
            <w:webHidden/>
          </w:rPr>
          <w:fldChar w:fldCharType="separate"/>
        </w:r>
        <w:r w:rsidR="00A02152">
          <w:rPr>
            <w:webHidden/>
          </w:rPr>
          <w:t>19</w:t>
        </w:r>
        <w:r w:rsidR="00465B1D">
          <w:rPr>
            <w:webHidden/>
          </w:rPr>
          <w:fldChar w:fldCharType="end"/>
        </w:r>
      </w:hyperlink>
    </w:p>
    <w:p w:rsidR="0034023E" w:rsidRDefault="00860F8E">
      <w:pPr>
        <w:pStyle w:val="Obsah1"/>
        <w:rPr>
          <w:rFonts w:asciiTheme="minorHAnsi" w:eastAsiaTheme="minorEastAsia" w:hAnsiTheme="minorHAnsi" w:cstheme="minorBidi"/>
          <w:sz w:val="22"/>
          <w:szCs w:val="22"/>
        </w:rPr>
      </w:pPr>
      <w:hyperlink w:anchor="_Toc506308533" w:history="1">
        <w:r w:rsidR="0034023E" w:rsidRPr="00FF1CC8">
          <w:rPr>
            <w:rStyle w:val="Hypertextovodkaz"/>
          </w:rPr>
          <w:t>Graf č. 13: Účastníci formálního vzdělávání dle typu školy, věkových kategorií a typu vzdělávání</w:t>
        </w:r>
        <w:r w:rsidR="0034023E">
          <w:rPr>
            <w:webHidden/>
          </w:rPr>
          <w:tab/>
        </w:r>
        <w:r w:rsidR="00465B1D">
          <w:rPr>
            <w:webHidden/>
          </w:rPr>
          <w:fldChar w:fldCharType="begin"/>
        </w:r>
        <w:r w:rsidR="0034023E">
          <w:rPr>
            <w:webHidden/>
          </w:rPr>
          <w:instrText xml:space="preserve"> PAGEREF _Toc506308533 \h </w:instrText>
        </w:r>
        <w:r w:rsidR="00465B1D">
          <w:rPr>
            <w:webHidden/>
          </w:rPr>
        </w:r>
        <w:r w:rsidR="00465B1D">
          <w:rPr>
            <w:webHidden/>
          </w:rPr>
          <w:fldChar w:fldCharType="separate"/>
        </w:r>
        <w:r w:rsidR="00A02152">
          <w:rPr>
            <w:webHidden/>
          </w:rPr>
          <w:t>20</w:t>
        </w:r>
        <w:r w:rsidR="00465B1D">
          <w:rPr>
            <w:webHidden/>
          </w:rPr>
          <w:fldChar w:fldCharType="end"/>
        </w:r>
      </w:hyperlink>
    </w:p>
    <w:p w:rsidR="0034023E" w:rsidRDefault="00860F8E">
      <w:pPr>
        <w:pStyle w:val="Obsah1"/>
        <w:rPr>
          <w:rFonts w:asciiTheme="minorHAnsi" w:eastAsiaTheme="minorEastAsia" w:hAnsiTheme="minorHAnsi" w:cstheme="minorBidi"/>
          <w:sz w:val="22"/>
          <w:szCs w:val="22"/>
        </w:rPr>
      </w:pPr>
      <w:hyperlink w:anchor="_Toc506308534" w:history="1">
        <w:r w:rsidR="0034023E" w:rsidRPr="00FF1CC8">
          <w:rPr>
            <w:rStyle w:val="Hypertextovodkaz"/>
          </w:rPr>
          <w:t>Graf č. 14: Účastníci formálního vzdělávání dle formy studia, věkových kategorií a typu vzdělávání</w:t>
        </w:r>
        <w:r w:rsidR="0034023E">
          <w:rPr>
            <w:webHidden/>
          </w:rPr>
          <w:tab/>
        </w:r>
        <w:r w:rsidR="00465B1D">
          <w:rPr>
            <w:webHidden/>
          </w:rPr>
          <w:fldChar w:fldCharType="begin"/>
        </w:r>
        <w:r w:rsidR="0034023E">
          <w:rPr>
            <w:webHidden/>
          </w:rPr>
          <w:instrText xml:space="preserve"> PAGEREF _Toc506308534 \h </w:instrText>
        </w:r>
        <w:r w:rsidR="00465B1D">
          <w:rPr>
            <w:webHidden/>
          </w:rPr>
        </w:r>
        <w:r w:rsidR="00465B1D">
          <w:rPr>
            <w:webHidden/>
          </w:rPr>
          <w:fldChar w:fldCharType="separate"/>
        </w:r>
        <w:r w:rsidR="00A02152">
          <w:rPr>
            <w:webHidden/>
          </w:rPr>
          <w:t>21</w:t>
        </w:r>
        <w:r w:rsidR="00465B1D">
          <w:rPr>
            <w:webHidden/>
          </w:rPr>
          <w:fldChar w:fldCharType="end"/>
        </w:r>
      </w:hyperlink>
    </w:p>
    <w:p w:rsidR="0034023E" w:rsidRDefault="00860F8E">
      <w:pPr>
        <w:pStyle w:val="Obsah1"/>
        <w:rPr>
          <w:rFonts w:asciiTheme="minorHAnsi" w:eastAsiaTheme="minorEastAsia" w:hAnsiTheme="minorHAnsi" w:cstheme="minorBidi"/>
          <w:sz w:val="22"/>
          <w:szCs w:val="22"/>
        </w:rPr>
      </w:pPr>
      <w:hyperlink w:anchor="_Toc506308535" w:history="1">
        <w:r w:rsidR="0034023E" w:rsidRPr="00FF1CC8">
          <w:rPr>
            <w:rStyle w:val="Hypertextovodkaz"/>
          </w:rPr>
          <w:t>Graf č. 15: Účast dospělých v neformálním vzdělávání dle věkových kategorií, 2007–2016</w:t>
        </w:r>
        <w:r w:rsidR="0034023E">
          <w:rPr>
            <w:webHidden/>
          </w:rPr>
          <w:tab/>
        </w:r>
        <w:r w:rsidR="00465B1D">
          <w:rPr>
            <w:webHidden/>
          </w:rPr>
          <w:fldChar w:fldCharType="begin"/>
        </w:r>
        <w:r w:rsidR="0034023E">
          <w:rPr>
            <w:webHidden/>
          </w:rPr>
          <w:instrText xml:space="preserve"> PAGEREF _Toc506308535 \h </w:instrText>
        </w:r>
        <w:r w:rsidR="00465B1D">
          <w:rPr>
            <w:webHidden/>
          </w:rPr>
        </w:r>
        <w:r w:rsidR="00465B1D">
          <w:rPr>
            <w:webHidden/>
          </w:rPr>
          <w:fldChar w:fldCharType="separate"/>
        </w:r>
        <w:r w:rsidR="00A02152">
          <w:rPr>
            <w:webHidden/>
          </w:rPr>
          <w:t>25</w:t>
        </w:r>
        <w:r w:rsidR="00465B1D">
          <w:rPr>
            <w:webHidden/>
          </w:rPr>
          <w:fldChar w:fldCharType="end"/>
        </w:r>
      </w:hyperlink>
    </w:p>
    <w:p w:rsidR="0034023E" w:rsidRDefault="00860F8E">
      <w:pPr>
        <w:pStyle w:val="Obsah1"/>
        <w:rPr>
          <w:rFonts w:asciiTheme="minorHAnsi" w:eastAsiaTheme="minorEastAsia" w:hAnsiTheme="minorHAnsi" w:cstheme="minorBidi"/>
          <w:sz w:val="22"/>
          <w:szCs w:val="22"/>
        </w:rPr>
      </w:pPr>
      <w:hyperlink w:anchor="_Toc506308536" w:history="1">
        <w:r w:rsidR="0034023E" w:rsidRPr="00FF1CC8">
          <w:rPr>
            <w:rStyle w:val="Hypertextovodkaz"/>
          </w:rPr>
          <w:t>Graf č. 16: Účast a průměrný počet hodin neformálního vzdělávání ročně (25–64 let) – mezinárodní srovnání</w:t>
        </w:r>
        <w:r w:rsidR="0034023E">
          <w:rPr>
            <w:webHidden/>
          </w:rPr>
          <w:tab/>
        </w:r>
        <w:r w:rsidR="00465B1D">
          <w:rPr>
            <w:webHidden/>
          </w:rPr>
          <w:fldChar w:fldCharType="begin"/>
        </w:r>
        <w:r w:rsidR="0034023E">
          <w:rPr>
            <w:webHidden/>
          </w:rPr>
          <w:instrText xml:space="preserve"> PAGEREF _Toc506308536 \h </w:instrText>
        </w:r>
        <w:r w:rsidR="00465B1D">
          <w:rPr>
            <w:webHidden/>
          </w:rPr>
        </w:r>
        <w:r w:rsidR="00465B1D">
          <w:rPr>
            <w:webHidden/>
          </w:rPr>
          <w:fldChar w:fldCharType="separate"/>
        </w:r>
        <w:r w:rsidR="00A02152">
          <w:rPr>
            <w:webHidden/>
          </w:rPr>
          <w:t>26</w:t>
        </w:r>
        <w:r w:rsidR="00465B1D">
          <w:rPr>
            <w:webHidden/>
          </w:rPr>
          <w:fldChar w:fldCharType="end"/>
        </w:r>
      </w:hyperlink>
    </w:p>
    <w:p w:rsidR="0034023E" w:rsidRDefault="00860F8E">
      <w:pPr>
        <w:pStyle w:val="Obsah1"/>
        <w:rPr>
          <w:rFonts w:asciiTheme="minorHAnsi" w:eastAsiaTheme="minorEastAsia" w:hAnsiTheme="minorHAnsi" w:cstheme="minorBidi"/>
          <w:sz w:val="22"/>
          <w:szCs w:val="22"/>
        </w:rPr>
      </w:pPr>
      <w:hyperlink w:anchor="_Toc506308537" w:history="1">
        <w:r w:rsidR="0034023E" w:rsidRPr="00FF1CC8">
          <w:rPr>
            <w:rStyle w:val="Hypertextovodkaz"/>
          </w:rPr>
          <w:t>Graf č. 17: Struktura neformálního vzdělávání dle typu aktivity a orientace vzdělávání (18–69 let)</w:t>
        </w:r>
        <w:r w:rsidR="0034023E">
          <w:rPr>
            <w:webHidden/>
          </w:rPr>
          <w:tab/>
        </w:r>
        <w:r w:rsidR="00465B1D">
          <w:rPr>
            <w:webHidden/>
          </w:rPr>
          <w:fldChar w:fldCharType="begin"/>
        </w:r>
        <w:r w:rsidR="0034023E">
          <w:rPr>
            <w:webHidden/>
          </w:rPr>
          <w:instrText xml:space="preserve"> PAGEREF _Toc506308537 \h </w:instrText>
        </w:r>
        <w:r w:rsidR="00465B1D">
          <w:rPr>
            <w:webHidden/>
          </w:rPr>
        </w:r>
        <w:r w:rsidR="00465B1D">
          <w:rPr>
            <w:webHidden/>
          </w:rPr>
          <w:fldChar w:fldCharType="separate"/>
        </w:r>
        <w:r w:rsidR="00A02152">
          <w:rPr>
            <w:webHidden/>
          </w:rPr>
          <w:t>27</w:t>
        </w:r>
        <w:r w:rsidR="00465B1D">
          <w:rPr>
            <w:webHidden/>
          </w:rPr>
          <w:fldChar w:fldCharType="end"/>
        </w:r>
      </w:hyperlink>
    </w:p>
    <w:p w:rsidR="0034023E" w:rsidRDefault="00860F8E">
      <w:pPr>
        <w:pStyle w:val="Obsah1"/>
        <w:rPr>
          <w:rFonts w:asciiTheme="minorHAnsi" w:eastAsiaTheme="minorEastAsia" w:hAnsiTheme="minorHAnsi" w:cstheme="minorBidi"/>
          <w:sz w:val="22"/>
          <w:szCs w:val="22"/>
        </w:rPr>
      </w:pPr>
      <w:hyperlink w:anchor="_Toc506308538" w:history="1">
        <w:r w:rsidR="0034023E" w:rsidRPr="00FF1CC8">
          <w:rPr>
            <w:rStyle w:val="Hypertextovodkaz"/>
          </w:rPr>
          <w:t>Graf č. 18: Účast v neformálním vzdělávání dle orientace vzdělávání, věkových kategorií a pohlaví</w:t>
        </w:r>
        <w:r w:rsidR="0034023E">
          <w:rPr>
            <w:webHidden/>
          </w:rPr>
          <w:tab/>
        </w:r>
        <w:r w:rsidR="00465B1D">
          <w:rPr>
            <w:webHidden/>
          </w:rPr>
          <w:fldChar w:fldCharType="begin"/>
        </w:r>
        <w:r w:rsidR="0034023E">
          <w:rPr>
            <w:webHidden/>
          </w:rPr>
          <w:instrText xml:space="preserve"> PAGEREF _Toc506308538 \h </w:instrText>
        </w:r>
        <w:r w:rsidR="00465B1D">
          <w:rPr>
            <w:webHidden/>
          </w:rPr>
        </w:r>
        <w:r w:rsidR="00465B1D">
          <w:rPr>
            <w:webHidden/>
          </w:rPr>
          <w:fldChar w:fldCharType="separate"/>
        </w:r>
        <w:r w:rsidR="00A02152">
          <w:rPr>
            <w:webHidden/>
          </w:rPr>
          <w:t>28</w:t>
        </w:r>
        <w:r w:rsidR="00465B1D">
          <w:rPr>
            <w:webHidden/>
          </w:rPr>
          <w:fldChar w:fldCharType="end"/>
        </w:r>
      </w:hyperlink>
    </w:p>
    <w:p w:rsidR="0034023E" w:rsidRDefault="00860F8E">
      <w:pPr>
        <w:pStyle w:val="Obsah1"/>
        <w:rPr>
          <w:rFonts w:asciiTheme="minorHAnsi" w:eastAsiaTheme="minorEastAsia" w:hAnsiTheme="minorHAnsi" w:cstheme="minorBidi"/>
          <w:sz w:val="22"/>
          <w:szCs w:val="22"/>
        </w:rPr>
      </w:pPr>
      <w:hyperlink w:anchor="_Toc506308539" w:history="1">
        <w:r w:rsidR="0034023E" w:rsidRPr="0034023E">
          <w:rPr>
            <w:rStyle w:val="Hypertextovodkaz"/>
            <w:spacing w:val="-6"/>
          </w:rPr>
          <w:t>Graf č. 19: Účast v neformálním vzdělávání dle orientace vzdělávání, pohlaví a nejvyššího dosaženého vzdělání (</w:t>
        </w:r>
        <w:r w:rsidR="00567CCB">
          <w:rPr>
            <w:rStyle w:val="Hypertextovodkaz"/>
            <w:spacing w:val="-6"/>
          </w:rPr>
          <w:t>18</w:t>
        </w:r>
        <w:r w:rsidR="0034023E" w:rsidRPr="0034023E">
          <w:rPr>
            <w:rStyle w:val="Hypertextovodkaz"/>
            <w:spacing w:val="-6"/>
          </w:rPr>
          <w:t>–6</w:t>
        </w:r>
        <w:r w:rsidR="00567CCB">
          <w:rPr>
            <w:rStyle w:val="Hypertextovodkaz"/>
            <w:spacing w:val="-6"/>
          </w:rPr>
          <w:t>9</w:t>
        </w:r>
        <w:r w:rsidR="0034023E" w:rsidRPr="0034023E">
          <w:rPr>
            <w:rStyle w:val="Hypertextovodkaz"/>
            <w:spacing w:val="-6"/>
          </w:rPr>
          <w:t xml:space="preserve"> let)</w:t>
        </w:r>
        <w:r w:rsidR="0034023E">
          <w:rPr>
            <w:webHidden/>
          </w:rPr>
          <w:tab/>
        </w:r>
        <w:r w:rsidR="00465B1D">
          <w:rPr>
            <w:webHidden/>
          </w:rPr>
          <w:fldChar w:fldCharType="begin"/>
        </w:r>
        <w:r w:rsidR="0034023E">
          <w:rPr>
            <w:webHidden/>
          </w:rPr>
          <w:instrText xml:space="preserve"> PAGEREF _Toc506308539 \h </w:instrText>
        </w:r>
        <w:r w:rsidR="00465B1D">
          <w:rPr>
            <w:webHidden/>
          </w:rPr>
        </w:r>
        <w:r w:rsidR="00465B1D">
          <w:rPr>
            <w:webHidden/>
          </w:rPr>
          <w:fldChar w:fldCharType="separate"/>
        </w:r>
        <w:r w:rsidR="00A02152">
          <w:rPr>
            <w:webHidden/>
          </w:rPr>
          <w:t>30</w:t>
        </w:r>
        <w:r w:rsidR="00465B1D">
          <w:rPr>
            <w:webHidden/>
          </w:rPr>
          <w:fldChar w:fldCharType="end"/>
        </w:r>
      </w:hyperlink>
    </w:p>
    <w:p w:rsidR="0034023E" w:rsidRDefault="00860F8E">
      <w:pPr>
        <w:pStyle w:val="Obsah1"/>
        <w:rPr>
          <w:rFonts w:asciiTheme="minorHAnsi" w:eastAsiaTheme="minorEastAsia" w:hAnsiTheme="minorHAnsi" w:cstheme="minorBidi"/>
          <w:sz w:val="22"/>
          <w:szCs w:val="22"/>
        </w:rPr>
      </w:pPr>
      <w:hyperlink w:anchor="_Toc506308540" w:history="1">
        <w:r w:rsidR="0034023E" w:rsidRPr="00FF1CC8">
          <w:rPr>
            <w:rStyle w:val="Hypertextovodkaz"/>
          </w:rPr>
          <w:t xml:space="preserve">Graf č. 20: Účast a průměrný počet hodin strávený pracovně orientovaným neformálním vzděláváním </w:t>
        </w:r>
        <w:r w:rsidR="003D4835">
          <w:rPr>
            <w:rStyle w:val="Hypertextovodkaz"/>
          </w:rPr>
          <w:t>dle ekonomického postavení (18–</w:t>
        </w:r>
        <w:r w:rsidR="0034023E" w:rsidRPr="00FF1CC8">
          <w:rPr>
            <w:rStyle w:val="Hypertextovodkaz"/>
          </w:rPr>
          <w:t>69 let)</w:t>
        </w:r>
        <w:r w:rsidR="0034023E">
          <w:rPr>
            <w:webHidden/>
          </w:rPr>
          <w:tab/>
        </w:r>
        <w:r w:rsidR="00465B1D">
          <w:rPr>
            <w:webHidden/>
          </w:rPr>
          <w:fldChar w:fldCharType="begin"/>
        </w:r>
        <w:r w:rsidR="0034023E">
          <w:rPr>
            <w:webHidden/>
          </w:rPr>
          <w:instrText xml:space="preserve"> PAGEREF _Toc506308540 \h </w:instrText>
        </w:r>
        <w:r w:rsidR="00465B1D">
          <w:rPr>
            <w:webHidden/>
          </w:rPr>
        </w:r>
        <w:r w:rsidR="00465B1D">
          <w:rPr>
            <w:webHidden/>
          </w:rPr>
          <w:fldChar w:fldCharType="separate"/>
        </w:r>
        <w:r w:rsidR="00A02152">
          <w:rPr>
            <w:webHidden/>
          </w:rPr>
          <w:t>31</w:t>
        </w:r>
        <w:r w:rsidR="00465B1D">
          <w:rPr>
            <w:webHidden/>
          </w:rPr>
          <w:fldChar w:fldCharType="end"/>
        </w:r>
      </w:hyperlink>
    </w:p>
    <w:p w:rsidR="0034023E" w:rsidRDefault="00860F8E">
      <w:pPr>
        <w:pStyle w:val="Obsah1"/>
        <w:rPr>
          <w:rFonts w:asciiTheme="minorHAnsi" w:eastAsiaTheme="minorEastAsia" w:hAnsiTheme="minorHAnsi" w:cstheme="minorBidi"/>
          <w:sz w:val="22"/>
          <w:szCs w:val="22"/>
        </w:rPr>
      </w:pPr>
      <w:hyperlink w:anchor="_Toc506308541" w:history="1">
        <w:r w:rsidR="0034023E" w:rsidRPr="0034023E">
          <w:rPr>
            <w:rStyle w:val="Hypertextovodkaz"/>
            <w:spacing w:val="-4"/>
          </w:rPr>
          <w:t>Graf č. 21: Struktura aktivit pracovně orientovaného neformálního vzdělávání dle oborů vzdělávání ISCED-F (18–69 let)</w:t>
        </w:r>
        <w:r w:rsidR="0034023E" w:rsidRPr="0034023E">
          <w:rPr>
            <w:webHidden/>
            <w:spacing w:val="-4"/>
          </w:rPr>
          <w:tab/>
        </w:r>
        <w:r w:rsidR="00465B1D">
          <w:rPr>
            <w:webHidden/>
          </w:rPr>
          <w:fldChar w:fldCharType="begin"/>
        </w:r>
        <w:r w:rsidR="0034023E">
          <w:rPr>
            <w:webHidden/>
          </w:rPr>
          <w:instrText xml:space="preserve"> PAGEREF _Toc506308541 \h </w:instrText>
        </w:r>
        <w:r w:rsidR="00465B1D">
          <w:rPr>
            <w:webHidden/>
          </w:rPr>
        </w:r>
        <w:r w:rsidR="00465B1D">
          <w:rPr>
            <w:webHidden/>
          </w:rPr>
          <w:fldChar w:fldCharType="separate"/>
        </w:r>
        <w:r w:rsidR="00A02152">
          <w:rPr>
            <w:webHidden/>
          </w:rPr>
          <w:t>32</w:t>
        </w:r>
        <w:r w:rsidR="00465B1D">
          <w:rPr>
            <w:webHidden/>
          </w:rPr>
          <w:fldChar w:fldCharType="end"/>
        </w:r>
      </w:hyperlink>
    </w:p>
    <w:p w:rsidR="0034023E" w:rsidRDefault="00860F8E">
      <w:pPr>
        <w:pStyle w:val="Obsah1"/>
        <w:rPr>
          <w:rFonts w:asciiTheme="minorHAnsi" w:eastAsiaTheme="minorEastAsia" w:hAnsiTheme="minorHAnsi" w:cstheme="minorBidi"/>
          <w:sz w:val="22"/>
          <w:szCs w:val="22"/>
        </w:rPr>
      </w:pPr>
      <w:hyperlink w:anchor="_Toc506308542" w:history="1">
        <w:r w:rsidR="0034023E" w:rsidRPr="00FF1CC8">
          <w:rPr>
            <w:rStyle w:val="Hypertextovodkaz"/>
          </w:rPr>
          <w:t>Graf č. 22: Účast pracujících a průměrný počet hodin strávený pracovně orientovaným neformálním vzděláváním dle hlavních tříd zaměstnání CZ-ISCO (18–69 let)</w:t>
        </w:r>
        <w:r w:rsidR="0034023E">
          <w:rPr>
            <w:webHidden/>
          </w:rPr>
          <w:tab/>
        </w:r>
        <w:r w:rsidR="00465B1D">
          <w:rPr>
            <w:webHidden/>
          </w:rPr>
          <w:fldChar w:fldCharType="begin"/>
        </w:r>
        <w:r w:rsidR="0034023E">
          <w:rPr>
            <w:webHidden/>
          </w:rPr>
          <w:instrText xml:space="preserve"> PAGEREF _Toc506308542 \h </w:instrText>
        </w:r>
        <w:r w:rsidR="00465B1D">
          <w:rPr>
            <w:webHidden/>
          </w:rPr>
        </w:r>
        <w:r w:rsidR="00465B1D">
          <w:rPr>
            <w:webHidden/>
          </w:rPr>
          <w:fldChar w:fldCharType="separate"/>
        </w:r>
        <w:r w:rsidR="00A02152">
          <w:rPr>
            <w:webHidden/>
          </w:rPr>
          <w:t>33</w:t>
        </w:r>
        <w:r w:rsidR="00465B1D">
          <w:rPr>
            <w:webHidden/>
          </w:rPr>
          <w:fldChar w:fldCharType="end"/>
        </w:r>
      </w:hyperlink>
    </w:p>
    <w:p w:rsidR="0034023E" w:rsidRDefault="00860F8E">
      <w:pPr>
        <w:pStyle w:val="Obsah1"/>
        <w:rPr>
          <w:rFonts w:asciiTheme="minorHAnsi" w:eastAsiaTheme="minorEastAsia" w:hAnsiTheme="minorHAnsi" w:cstheme="minorBidi"/>
          <w:sz w:val="22"/>
          <w:szCs w:val="22"/>
        </w:rPr>
      </w:pPr>
      <w:hyperlink w:anchor="_Toc506308543" w:history="1">
        <w:r w:rsidR="0034023E" w:rsidRPr="00FF1CC8">
          <w:rPr>
            <w:rStyle w:val="Hypertextovodkaz"/>
          </w:rPr>
          <w:t>Graf č. 23: Účast pracujících a průměrný počet hodin strávený pracovně orientovaným neformálním vzděláváním dle ekonomické činnosti CZ-NACE (18–69 let)</w:t>
        </w:r>
        <w:r w:rsidR="0034023E">
          <w:rPr>
            <w:webHidden/>
          </w:rPr>
          <w:tab/>
        </w:r>
        <w:r w:rsidR="00465B1D">
          <w:rPr>
            <w:webHidden/>
          </w:rPr>
          <w:fldChar w:fldCharType="begin"/>
        </w:r>
        <w:r w:rsidR="0034023E">
          <w:rPr>
            <w:webHidden/>
          </w:rPr>
          <w:instrText xml:space="preserve"> PAGEREF _Toc506308543 \h </w:instrText>
        </w:r>
        <w:r w:rsidR="00465B1D">
          <w:rPr>
            <w:webHidden/>
          </w:rPr>
        </w:r>
        <w:r w:rsidR="00465B1D">
          <w:rPr>
            <w:webHidden/>
          </w:rPr>
          <w:fldChar w:fldCharType="separate"/>
        </w:r>
        <w:r w:rsidR="00A02152">
          <w:rPr>
            <w:webHidden/>
          </w:rPr>
          <w:t>35</w:t>
        </w:r>
        <w:r w:rsidR="00465B1D">
          <w:rPr>
            <w:webHidden/>
          </w:rPr>
          <w:fldChar w:fldCharType="end"/>
        </w:r>
      </w:hyperlink>
    </w:p>
    <w:p w:rsidR="0034023E" w:rsidRDefault="00860F8E">
      <w:pPr>
        <w:pStyle w:val="Obsah1"/>
        <w:rPr>
          <w:rFonts w:asciiTheme="minorHAnsi" w:eastAsiaTheme="minorEastAsia" w:hAnsiTheme="minorHAnsi" w:cstheme="minorBidi"/>
          <w:sz w:val="22"/>
          <w:szCs w:val="22"/>
        </w:rPr>
      </w:pPr>
      <w:hyperlink w:anchor="_Toc506308544" w:history="1">
        <w:r w:rsidR="0034023E" w:rsidRPr="00FF1CC8">
          <w:rPr>
            <w:rStyle w:val="Hypertextovodkaz"/>
          </w:rPr>
          <w:t>Graf č. 24: Účast v mimopracovně orientovaném neformálním vzdělávání dle věkových skupin a pohlaví</w:t>
        </w:r>
        <w:r w:rsidR="0034023E">
          <w:rPr>
            <w:webHidden/>
          </w:rPr>
          <w:tab/>
        </w:r>
        <w:r w:rsidR="00465B1D">
          <w:rPr>
            <w:webHidden/>
          </w:rPr>
          <w:fldChar w:fldCharType="begin"/>
        </w:r>
        <w:r w:rsidR="0034023E">
          <w:rPr>
            <w:webHidden/>
          </w:rPr>
          <w:instrText xml:space="preserve"> PAGEREF _Toc506308544 \h </w:instrText>
        </w:r>
        <w:r w:rsidR="00465B1D">
          <w:rPr>
            <w:webHidden/>
          </w:rPr>
        </w:r>
        <w:r w:rsidR="00465B1D">
          <w:rPr>
            <w:webHidden/>
          </w:rPr>
          <w:fldChar w:fldCharType="separate"/>
        </w:r>
        <w:r w:rsidR="00A02152">
          <w:rPr>
            <w:webHidden/>
          </w:rPr>
          <w:t>38</w:t>
        </w:r>
        <w:r w:rsidR="00465B1D">
          <w:rPr>
            <w:webHidden/>
          </w:rPr>
          <w:fldChar w:fldCharType="end"/>
        </w:r>
      </w:hyperlink>
    </w:p>
    <w:p w:rsidR="0034023E" w:rsidRDefault="00860F8E">
      <w:pPr>
        <w:pStyle w:val="Obsah1"/>
        <w:rPr>
          <w:rFonts w:asciiTheme="minorHAnsi" w:eastAsiaTheme="minorEastAsia" w:hAnsiTheme="minorHAnsi" w:cstheme="minorBidi"/>
          <w:sz w:val="22"/>
          <w:szCs w:val="22"/>
        </w:rPr>
      </w:pPr>
      <w:hyperlink w:anchor="_Toc506308545" w:history="1">
        <w:r w:rsidR="0034023E" w:rsidRPr="0034023E">
          <w:rPr>
            <w:rStyle w:val="Hypertextovodkaz"/>
            <w:spacing w:val="-8"/>
          </w:rPr>
          <w:t>Graf č. 25: Struktura aktivit mimopracovně orientovaného neformálního vzdělávání dle oborů vzdělávání ISCED-F (18–69 let)</w:t>
        </w:r>
        <w:r w:rsidR="0034023E">
          <w:rPr>
            <w:webHidden/>
          </w:rPr>
          <w:tab/>
        </w:r>
        <w:r w:rsidR="00465B1D">
          <w:rPr>
            <w:webHidden/>
          </w:rPr>
          <w:fldChar w:fldCharType="begin"/>
        </w:r>
        <w:r w:rsidR="0034023E">
          <w:rPr>
            <w:webHidden/>
          </w:rPr>
          <w:instrText xml:space="preserve"> PAGEREF _Toc506308545 \h </w:instrText>
        </w:r>
        <w:r w:rsidR="00465B1D">
          <w:rPr>
            <w:webHidden/>
          </w:rPr>
        </w:r>
        <w:r w:rsidR="00465B1D">
          <w:rPr>
            <w:webHidden/>
          </w:rPr>
          <w:fldChar w:fldCharType="separate"/>
        </w:r>
        <w:r w:rsidR="00A02152">
          <w:rPr>
            <w:webHidden/>
          </w:rPr>
          <w:t>39</w:t>
        </w:r>
        <w:r w:rsidR="00465B1D">
          <w:rPr>
            <w:webHidden/>
          </w:rPr>
          <w:fldChar w:fldCharType="end"/>
        </w:r>
      </w:hyperlink>
    </w:p>
    <w:p w:rsidR="0034023E" w:rsidRDefault="00860F8E">
      <w:pPr>
        <w:pStyle w:val="Obsah1"/>
        <w:rPr>
          <w:rFonts w:asciiTheme="minorHAnsi" w:eastAsiaTheme="minorEastAsia" w:hAnsiTheme="minorHAnsi" w:cstheme="minorBidi"/>
          <w:sz w:val="22"/>
          <w:szCs w:val="22"/>
        </w:rPr>
      </w:pPr>
      <w:hyperlink w:anchor="_Toc506308546" w:history="1">
        <w:r w:rsidR="0034023E" w:rsidRPr="00FF1CC8">
          <w:rPr>
            <w:rStyle w:val="Hypertextovodkaz"/>
          </w:rPr>
          <w:t>Graf č. 26: Zapojení do vzdělávání a vůle k (dalšímu) zapojení do vzdělávání (25–64 let) – mezinárodní srovnání</w:t>
        </w:r>
        <w:r w:rsidR="0034023E">
          <w:rPr>
            <w:webHidden/>
          </w:rPr>
          <w:tab/>
        </w:r>
        <w:r w:rsidR="00465B1D">
          <w:rPr>
            <w:webHidden/>
          </w:rPr>
          <w:fldChar w:fldCharType="begin"/>
        </w:r>
        <w:r w:rsidR="0034023E">
          <w:rPr>
            <w:webHidden/>
          </w:rPr>
          <w:instrText xml:space="preserve"> PAGEREF _Toc506308546 \h </w:instrText>
        </w:r>
        <w:r w:rsidR="00465B1D">
          <w:rPr>
            <w:webHidden/>
          </w:rPr>
        </w:r>
        <w:r w:rsidR="00465B1D">
          <w:rPr>
            <w:webHidden/>
          </w:rPr>
          <w:fldChar w:fldCharType="separate"/>
        </w:r>
        <w:r w:rsidR="00A02152">
          <w:rPr>
            <w:webHidden/>
          </w:rPr>
          <w:t>41</w:t>
        </w:r>
        <w:r w:rsidR="00465B1D">
          <w:rPr>
            <w:webHidden/>
          </w:rPr>
          <w:fldChar w:fldCharType="end"/>
        </w:r>
      </w:hyperlink>
    </w:p>
    <w:p w:rsidR="0034023E" w:rsidRDefault="00860F8E">
      <w:pPr>
        <w:pStyle w:val="Obsah1"/>
        <w:rPr>
          <w:rFonts w:asciiTheme="minorHAnsi" w:eastAsiaTheme="minorEastAsia" w:hAnsiTheme="minorHAnsi" w:cstheme="minorBidi"/>
          <w:sz w:val="22"/>
          <w:szCs w:val="22"/>
        </w:rPr>
      </w:pPr>
      <w:hyperlink w:anchor="_Toc506308547" w:history="1">
        <w:r w:rsidR="0034023E" w:rsidRPr="00FF1CC8">
          <w:rPr>
            <w:rStyle w:val="Hypertextovodkaz"/>
            <w:spacing w:val="-8"/>
          </w:rPr>
          <w:t>Graf č. 27: Zapojení do vzdělávání a vůle k (dalšímu) zapojení do vzdělávání dle pohlaví a věkových kategorií</w:t>
        </w:r>
        <w:r w:rsidR="0034023E">
          <w:rPr>
            <w:webHidden/>
          </w:rPr>
          <w:tab/>
        </w:r>
        <w:r w:rsidR="00465B1D">
          <w:rPr>
            <w:webHidden/>
          </w:rPr>
          <w:fldChar w:fldCharType="begin"/>
        </w:r>
        <w:r w:rsidR="0034023E">
          <w:rPr>
            <w:webHidden/>
          </w:rPr>
          <w:instrText xml:space="preserve"> PAGEREF _Toc506308547 \h </w:instrText>
        </w:r>
        <w:r w:rsidR="00465B1D">
          <w:rPr>
            <w:webHidden/>
          </w:rPr>
        </w:r>
        <w:r w:rsidR="00465B1D">
          <w:rPr>
            <w:webHidden/>
          </w:rPr>
          <w:fldChar w:fldCharType="separate"/>
        </w:r>
        <w:r w:rsidR="00A02152">
          <w:rPr>
            <w:webHidden/>
          </w:rPr>
          <w:t>42</w:t>
        </w:r>
        <w:r w:rsidR="00465B1D">
          <w:rPr>
            <w:webHidden/>
          </w:rPr>
          <w:fldChar w:fldCharType="end"/>
        </w:r>
      </w:hyperlink>
    </w:p>
    <w:p w:rsidR="0034023E" w:rsidRDefault="00860F8E">
      <w:pPr>
        <w:pStyle w:val="Obsah1"/>
        <w:rPr>
          <w:rFonts w:asciiTheme="minorHAnsi" w:eastAsiaTheme="minorEastAsia" w:hAnsiTheme="minorHAnsi" w:cstheme="minorBidi"/>
          <w:sz w:val="22"/>
          <w:szCs w:val="22"/>
        </w:rPr>
      </w:pPr>
      <w:hyperlink w:anchor="_Toc506308548" w:history="1">
        <w:r w:rsidR="0034023E" w:rsidRPr="00FF1CC8">
          <w:rPr>
            <w:rStyle w:val="Hypertextovodkaz"/>
          </w:rPr>
          <w:t>Graf č. 28: Zapojení do vzdělávání a vůle k (dalšímu) zapojení do vzdělávání dle pohlaví a ekonomického postavení</w:t>
        </w:r>
        <w:r w:rsidR="0034023E">
          <w:rPr>
            <w:webHidden/>
          </w:rPr>
          <w:tab/>
        </w:r>
        <w:r w:rsidR="00465B1D">
          <w:rPr>
            <w:webHidden/>
          </w:rPr>
          <w:fldChar w:fldCharType="begin"/>
        </w:r>
        <w:r w:rsidR="0034023E">
          <w:rPr>
            <w:webHidden/>
          </w:rPr>
          <w:instrText xml:space="preserve"> PAGEREF _Toc506308548 \h </w:instrText>
        </w:r>
        <w:r w:rsidR="00465B1D">
          <w:rPr>
            <w:webHidden/>
          </w:rPr>
        </w:r>
        <w:r w:rsidR="00465B1D">
          <w:rPr>
            <w:webHidden/>
          </w:rPr>
          <w:fldChar w:fldCharType="separate"/>
        </w:r>
        <w:r w:rsidR="00A02152">
          <w:rPr>
            <w:webHidden/>
          </w:rPr>
          <w:t>43</w:t>
        </w:r>
        <w:r w:rsidR="00465B1D">
          <w:rPr>
            <w:webHidden/>
          </w:rPr>
          <w:fldChar w:fldCharType="end"/>
        </w:r>
      </w:hyperlink>
    </w:p>
    <w:p w:rsidR="00A536A6" w:rsidRPr="009C2494" w:rsidRDefault="00465B1D">
      <w:pPr>
        <w:spacing w:after="0" w:line="240" w:lineRule="auto"/>
        <w:rPr>
          <w:sz w:val="18"/>
          <w:szCs w:val="18"/>
        </w:rPr>
      </w:pPr>
      <w:r>
        <w:rPr>
          <w:sz w:val="18"/>
          <w:szCs w:val="18"/>
        </w:rPr>
        <w:fldChar w:fldCharType="end"/>
      </w:r>
    </w:p>
    <w:p w:rsidR="00A536A6" w:rsidRPr="00705950" w:rsidRDefault="00A536A6">
      <w:pPr>
        <w:spacing w:after="0" w:line="240" w:lineRule="auto"/>
        <w:rPr>
          <w:sz w:val="18"/>
          <w:szCs w:val="18"/>
        </w:rPr>
      </w:pPr>
    </w:p>
    <w:bookmarkStart w:id="1" w:name="_Úvod"/>
    <w:bookmarkStart w:id="2" w:name="_Toc505785818"/>
    <w:bookmarkEnd w:id="1"/>
    <w:p w:rsidR="003B3766" w:rsidRDefault="00465B1D">
      <w:pPr>
        <w:pStyle w:val="Obsah1"/>
        <w:rPr>
          <w:rFonts w:asciiTheme="minorHAnsi" w:eastAsiaTheme="minorEastAsia" w:hAnsiTheme="minorHAnsi" w:cstheme="minorBidi"/>
          <w:sz w:val="22"/>
          <w:szCs w:val="22"/>
        </w:rPr>
      </w:pPr>
      <w:r>
        <w:fldChar w:fldCharType="begin"/>
      </w:r>
      <w:r w:rsidR="003B3766">
        <w:instrText xml:space="preserve"> TOC \h \z \u \t "Nadpis 5,1" </w:instrText>
      </w:r>
      <w:r>
        <w:fldChar w:fldCharType="separate"/>
      </w:r>
      <w:hyperlink w:anchor="_Toc505958379" w:history="1">
        <w:r w:rsidR="003B3766" w:rsidRPr="006B3C44">
          <w:rPr>
            <w:rStyle w:val="Hypertextovodkaz"/>
          </w:rPr>
          <w:t>Tabulka č. 1: Důvody účasti ve formálním vzdělávání dle věkových kategorií a typu vzdělávání</w:t>
        </w:r>
        <w:r w:rsidR="003B3766">
          <w:rPr>
            <w:webHidden/>
          </w:rPr>
          <w:tab/>
        </w:r>
        <w:r>
          <w:rPr>
            <w:webHidden/>
          </w:rPr>
          <w:fldChar w:fldCharType="begin"/>
        </w:r>
        <w:r w:rsidR="003B3766">
          <w:rPr>
            <w:webHidden/>
          </w:rPr>
          <w:instrText xml:space="preserve"> PAGEREF _Toc505958379 \h </w:instrText>
        </w:r>
        <w:r>
          <w:rPr>
            <w:webHidden/>
          </w:rPr>
        </w:r>
        <w:r>
          <w:rPr>
            <w:webHidden/>
          </w:rPr>
          <w:fldChar w:fldCharType="separate"/>
        </w:r>
        <w:r w:rsidR="00A02152">
          <w:rPr>
            <w:webHidden/>
          </w:rPr>
          <w:t>22</w:t>
        </w:r>
        <w:r>
          <w:rPr>
            <w:webHidden/>
          </w:rPr>
          <w:fldChar w:fldCharType="end"/>
        </w:r>
      </w:hyperlink>
    </w:p>
    <w:p w:rsidR="003B3766" w:rsidRDefault="00860F8E">
      <w:pPr>
        <w:pStyle w:val="Obsah1"/>
        <w:rPr>
          <w:rFonts w:asciiTheme="minorHAnsi" w:eastAsiaTheme="minorEastAsia" w:hAnsiTheme="minorHAnsi" w:cstheme="minorBidi"/>
          <w:sz w:val="22"/>
          <w:szCs w:val="22"/>
        </w:rPr>
      </w:pPr>
      <w:hyperlink w:anchor="_Toc505958380" w:history="1">
        <w:r w:rsidR="003B3766" w:rsidRPr="006B3C44">
          <w:rPr>
            <w:rStyle w:val="Hypertextovodkaz"/>
          </w:rPr>
          <w:t>Tabulka</w:t>
        </w:r>
        <w:r w:rsidR="003D4835">
          <w:rPr>
            <w:rStyle w:val="Hypertextovodkaz"/>
          </w:rPr>
          <w:t xml:space="preserve"> č. 2: Důvody účasti v pracovně </w:t>
        </w:r>
        <w:r w:rsidR="003B3766" w:rsidRPr="006B3C44">
          <w:rPr>
            <w:rStyle w:val="Hypertextovodkaz"/>
          </w:rPr>
          <w:t>orientovaných aktivitách neformálního vzdělávání (18–69 let)</w:t>
        </w:r>
        <w:r w:rsidR="003B3766">
          <w:rPr>
            <w:webHidden/>
          </w:rPr>
          <w:tab/>
        </w:r>
        <w:r w:rsidR="00465B1D">
          <w:rPr>
            <w:webHidden/>
          </w:rPr>
          <w:fldChar w:fldCharType="begin"/>
        </w:r>
        <w:r w:rsidR="003B3766">
          <w:rPr>
            <w:webHidden/>
          </w:rPr>
          <w:instrText xml:space="preserve"> PAGEREF _Toc505958380 \h </w:instrText>
        </w:r>
        <w:r w:rsidR="00465B1D">
          <w:rPr>
            <w:webHidden/>
          </w:rPr>
        </w:r>
        <w:r w:rsidR="00465B1D">
          <w:rPr>
            <w:webHidden/>
          </w:rPr>
          <w:fldChar w:fldCharType="separate"/>
        </w:r>
        <w:r w:rsidR="00A02152">
          <w:rPr>
            <w:webHidden/>
          </w:rPr>
          <w:t>37</w:t>
        </w:r>
        <w:r w:rsidR="00465B1D">
          <w:rPr>
            <w:webHidden/>
          </w:rPr>
          <w:fldChar w:fldCharType="end"/>
        </w:r>
      </w:hyperlink>
    </w:p>
    <w:p w:rsidR="003B3766" w:rsidRDefault="00860F8E">
      <w:pPr>
        <w:pStyle w:val="Obsah1"/>
        <w:rPr>
          <w:rFonts w:asciiTheme="minorHAnsi" w:eastAsiaTheme="minorEastAsia" w:hAnsiTheme="minorHAnsi" w:cstheme="minorBidi"/>
          <w:sz w:val="22"/>
          <w:szCs w:val="22"/>
        </w:rPr>
      </w:pPr>
      <w:hyperlink w:anchor="_Toc505958381" w:history="1">
        <w:r w:rsidR="003B3766" w:rsidRPr="006B3C44">
          <w:rPr>
            <w:rStyle w:val="Hypertextovodkaz"/>
          </w:rPr>
          <w:t>Tabulka č. 3: Důvody nezapojení se do (dalších) vzdělávacích aktivit dle účasti v dalším vzdělávání (18–69 let)</w:t>
        </w:r>
        <w:r w:rsidR="003B3766">
          <w:rPr>
            <w:webHidden/>
          </w:rPr>
          <w:tab/>
        </w:r>
        <w:r w:rsidR="00465B1D">
          <w:rPr>
            <w:webHidden/>
          </w:rPr>
          <w:fldChar w:fldCharType="begin"/>
        </w:r>
        <w:r w:rsidR="003B3766">
          <w:rPr>
            <w:webHidden/>
          </w:rPr>
          <w:instrText xml:space="preserve"> PAGEREF _Toc505958381 \h </w:instrText>
        </w:r>
        <w:r w:rsidR="00465B1D">
          <w:rPr>
            <w:webHidden/>
          </w:rPr>
        </w:r>
        <w:r w:rsidR="00465B1D">
          <w:rPr>
            <w:webHidden/>
          </w:rPr>
          <w:fldChar w:fldCharType="separate"/>
        </w:r>
        <w:r w:rsidR="00A02152">
          <w:rPr>
            <w:webHidden/>
          </w:rPr>
          <w:t>44</w:t>
        </w:r>
        <w:r w:rsidR="00465B1D">
          <w:rPr>
            <w:webHidden/>
          </w:rPr>
          <w:fldChar w:fldCharType="end"/>
        </w:r>
      </w:hyperlink>
    </w:p>
    <w:p w:rsidR="0006282F" w:rsidRDefault="00465B1D">
      <w:pPr>
        <w:spacing w:after="0" w:line="240" w:lineRule="auto"/>
      </w:pPr>
      <w:r>
        <w:fldChar w:fldCharType="end"/>
      </w:r>
    </w:p>
    <w:p w:rsidR="003B3766" w:rsidRDefault="003B3766">
      <w:pPr>
        <w:spacing w:after="0" w:line="240" w:lineRule="auto"/>
        <w:rPr>
          <w:rFonts w:eastAsia="MS Gothic"/>
          <w:b/>
          <w:bCs/>
          <w:color w:val="C00000"/>
          <w:sz w:val="32"/>
          <w:szCs w:val="28"/>
        </w:rPr>
      </w:pPr>
      <w:r>
        <w:br w:type="page"/>
      </w:r>
    </w:p>
    <w:p w:rsidR="00F74103" w:rsidRPr="00D947DD" w:rsidRDefault="006D4359" w:rsidP="00F74103">
      <w:pPr>
        <w:pStyle w:val="Nadpis1"/>
      </w:pPr>
      <w:bookmarkStart w:id="3" w:name="_Toc506969407"/>
      <w:r w:rsidRPr="00D947DD">
        <w:lastRenderedPageBreak/>
        <w:t>Úvod</w:t>
      </w:r>
      <w:bookmarkEnd w:id="2"/>
      <w:bookmarkEnd w:id="3"/>
    </w:p>
    <w:p w:rsidR="006D4359" w:rsidRPr="004B7295" w:rsidRDefault="006D4359" w:rsidP="00EC67AA">
      <w:pPr>
        <w:spacing w:line="312" w:lineRule="auto"/>
        <w:jc w:val="both"/>
        <w:rPr>
          <w:rFonts w:cs="Arial"/>
          <w:szCs w:val="20"/>
        </w:rPr>
      </w:pPr>
      <w:r w:rsidRPr="004B7295">
        <w:rPr>
          <w:rFonts w:cs="Arial"/>
        </w:rPr>
        <w:t xml:space="preserve">Jedním z významných cílů Evropské unie je vytváření na znalostech založené konkurenceschopné ekonomiky, která vychází z principů trvale udržitelného rozvoje a dbá na rozvoj nabídky pracovních </w:t>
      </w:r>
      <w:r w:rsidRPr="004B7295">
        <w:rPr>
          <w:rFonts w:cs="Arial"/>
          <w:szCs w:val="20"/>
        </w:rPr>
        <w:t xml:space="preserve">příležitostí při zachování sociální soudržnosti. Stále aktuálnější se stává strategie tzv. </w:t>
      </w:r>
      <w:proofErr w:type="spellStart"/>
      <w:r w:rsidRPr="004B7295">
        <w:rPr>
          <w:rFonts w:cs="Arial"/>
          <w:szCs w:val="20"/>
        </w:rPr>
        <w:t>flexicurity</w:t>
      </w:r>
      <w:proofErr w:type="spellEnd"/>
      <w:r w:rsidRPr="004B7295">
        <w:rPr>
          <w:rFonts w:cs="Arial"/>
          <w:szCs w:val="20"/>
        </w:rPr>
        <w:t>, která odráží snahy současného posílení pružnosti a zároveň i jistoty na trhu práce. Pro její plné uplatnění hraje spolu s právní ochranou, aktivní politikou zaměstnanosti a moderním systémem sociálního zabezpečení významnou roli též koncept celoživotního učení, který od poloviny 90. let vstupuje do popředí a stává se jedním z ústředních témat politik Evropské unie a jejích členských států. Celoživotní učení představuje zastřešující koncept zahrnující veškeré činnosti, uskutečněné v kterékoli životní fázi, jejichž cílem je rozšíření znalostí, osvojení dovedností či získání kompetencí a následný rozvoj osobního, občanského, sociálního či pracovního života. Procesy celoživotního vzdělávání se uskutečňují v bezpočtu záměrných a</w:t>
      </w:r>
      <w:r w:rsidR="00EC67AA" w:rsidRPr="004B7295">
        <w:rPr>
          <w:rFonts w:cs="Arial"/>
          <w:szCs w:val="20"/>
        </w:rPr>
        <w:t> </w:t>
      </w:r>
      <w:r w:rsidRPr="004B7295">
        <w:rPr>
          <w:rFonts w:cs="Arial"/>
          <w:szCs w:val="20"/>
        </w:rPr>
        <w:t>organizovaných, ale i nahodilých činností s různou délkou trvání</w:t>
      </w:r>
      <w:r w:rsidR="00585EBD">
        <w:rPr>
          <w:rFonts w:cs="Arial"/>
          <w:szCs w:val="20"/>
        </w:rPr>
        <w:t>, jejichž společným</w:t>
      </w:r>
      <w:r w:rsidRPr="004B7295">
        <w:rPr>
          <w:rFonts w:cs="Arial"/>
          <w:szCs w:val="20"/>
        </w:rPr>
        <w:t xml:space="preserve"> účelem</w:t>
      </w:r>
      <w:r w:rsidR="00585EBD">
        <w:rPr>
          <w:rFonts w:cs="Arial"/>
          <w:szCs w:val="20"/>
        </w:rPr>
        <w:t xml:space="preserve"> je</w:t>
      </w:r>
      <w:r w:rsidRPr="004B7295">
        <w:rPr>
          <w:rFonts w:cs="Arial"/>
          <w:szCs w:val="20"/>
        </w:rPr>
        <w:t xml:space="preserve"> naplnění vzdělávacích cílů.</w:t>
      </w:r>
    </w:p>
    <w:p w:rsidR="00EC67AA" w:rsidRPr="004B7295" w:rsidRDefault="006D4359" w:rsidP="00814F76">
      <w:pPr>
        <w:spacing w:before="20" w:line="312" w:lineRule="auto"/>
        <w:jc w:val="both"/>
        <w:rPr>
          <w:rFonts w:eastAsiaTheme="minorHAnsi" w:cs="Arial"/>
          <w:szCs w:val="20"/>
          <w:lang w:eastAsia="en-US"/>
        </w:rPr>
      </w:pPr>
      <w:r w:rsidRPr="004B7295">
        <w:rPr>
          <w:rFonts w:cs="Arial"/>
          <w:szCs w:val="20"/>
        </w:rPr>
        <w:t xml:space="preserve">Za účelem průběžného srovnávání a vyhodnocování úspěšnosti strategií v oblasti celoživotního učení na úrovni jednotlivých členských států, byly statistickým úřadem Evropské Unie </w:t>
      </w:r>
      <w:proofErr w:type="spellStart"/>
      <w:r w:rsidRPr="004B7295">
        <w:rPr>
          <w:rFonts w:cs="Arial"/>
          <w:szCs w:val="20"/>
        </w:rPr>
        <w:t>Eurostatem</w:t>
      </w:r>
      <w:proofErr w:type="spellEnd"/>
      <w:r w:rsidRPr="004B7295">
        <w:rPr>
          <w:rFonts w:cs="Arial"/>
          <w:szCs w:val="20"/>
        </w:rPr>
        <w:t xml:space="preserve"> připraveny nástroje umožňující systematický monitoring v oblasti vzdělávání a celoživotního učení. Mimo šetření </w:t>
      </w:r>
      <w:hyperlink r:id="rId15" w:history="1">
        <w:proofErr w:type="spellStart"/>
        <w:r w:rsidRPr="004B7295">
          <w:rPr>
            <w:rStyle w:val="Hypertextovodkaz"/>
            <w:rFonts w:cs="Arial"/>
            <w:szCs w:val="20"/>
          </w:rPr>
          <w:t>Adult</w:t>
        </w:r>
        <w:proofErr w:type="spellEnd"/>
      </w:hyperlink>
      <w:r w:rsidR="00241789">
        <w:rPr>
          <w:rFonts w:cs="Arial"/>
          <w:szCs w:val="20"/>
        </w:rPr>
        <w:t xml:space="preserve"> </w:t>
      </w:r>
      <w:hyperlink r:id="rId16" w:history="1">
        <w:proofErr w:type="spellStart"/>
        <w:r w:rsidRPr="004B7295">
          <w:rPr>
            <w:rStyle w:val="Hypertextovodkaz"/>
            <w:rFonts w:cs="Arial"/>
            <w:szCs w:val="20"/>
          </w:rPr>
          <w:t>Education</w:t>
        </w:r>
        <w:proofErr w:type="spellEnd"/>
        <w:r w:rsidRPr="004B7295">
          <w:rPr>
            <w:rStyle w:val="Hypertextovodkaz"/>
            <w:rFonts w:cs="Arial"/>
            <w:szCs w:val="20"/>
          </w:rPr>
          <w:t xml:space="preserve"> </w:t>
        </w:r>
        <w:proofErr w:type="spellStart"/>
        <w:r w:rsidRPr="004B7295">
          <w:rPr>
            <w:rStyle w:val="Hypertextovodkaz"/>
            <w:rFonts w:cs="Arial"/>
            <w:szCs w:val="20"/>
          </w:rPr>
          <w:t>Survey</w:t>
        </w:r>
        <w:proofErr w:type="spellEnd"/>
      </w:hyperlink>
      <w:r w:rsidRPr="004B7295">
        <w:rPr>
          <w:rFonts w:cs="Arial"/>
          <w:szCs w:val="20"/>
        </w:rPr>
        <w:t xml:space="preserve"> </w:t>
      </w:r>
      <w:r w:rsidR="00AA4922" w:rsidRPr="004B7295">
        <w:rPr>
          <w:rFonts w:cs="Arial"/>
          <w:szCs w:val="20"/>
        </w:rPr>
        <w:t xml:space="preserve">(pod českým názvem </w:t>
      </w:r>
      <w:hyperlink r:id="rId17" w:history="1">
        <w:r w:rsidR="00AA4922" w:rsidRPr="004B7295">
          <w:rPr>
            <w:rStyle w:val="Hypertextovodkaz"/>
            <w:rFonts w:cs="Arial"/>
            <w:szCs w:val="20"/>
          </w:rPr>
          <w:t>Šetření o vzdělávání dospělých</w:t>
        </w:r>
      </w:hyperlink>
      <w:r w:rsidR="00AA4922" w:rsidRPr="004B7295">
        <w:rPr>
          <w:rFonts w:cs="Arial"/>
          <w:szCs w:val="20"/>
        </w:rPr>
        <w:t xml:space="preserve">) </w:t>
      </w:r>
      <w:r w:rsidRPr="004B7295">
        <w:rPr>
          <w:rFonts w:cs="Arial"/>
          <w:szCs w:val="20"/>
        </w:rPr>
        <w:t>jsou údaje o celoživotním učení sbírány též v dalších </w:t>
      </w:r>
      <w:proofErr w:type="spellStart"/>
      <w:r w:rsidRPr="004B7295">
        <w:rPr>
          <w:rFonts w:cs="Arial"/>
          <w:szCs w:val="20"/>
        </w:rPr>
        <w:t>Eurostatem</w:t>
      </w:r>
      <w:proofErr w:type="spellEnd"/>
      <w:r w:rsidRPr="004B7295">
        <w:rPr>
          <w:rFonts w:cs="Arial"/>
          <w:szCs w:val="20"/>
        </w:rPr>
        <w:t xml:space="preserve"> koordinovaných šetřeních. Jedním z nich je </w:t>
      </w:r>
      <w:hyperlink r:id="rId18" w:history="1">
        <w:proofErr w:type="spellStart"/>
        <w:r w:rsidRPr="004B7295">
          <w:rPr>
            <w:rStyle w:val="Hypertextovodkaz"/>
            <w:rFonts w:cs="Arial"/>
            <w:szCs w:val="20"/>
          </w:rPr>
          <w:t>Continuing</w:t>
        </w:r>
        <w:proofErr w:type="spellEnd"/>
        <w:r w:rsidRPr="004B7295">
          <w:rPr>
            <w:rStyle w:val="Hypertextovodkaz"/>
            <w:rFonts w:cs="Arial"/>
            <w:szCs w:val="20"/>
          </w:rPr>
          <w:t xml:space="preserve"> </w:t>
        </w:r>
        <w:proofErr w:type="spellStart"/>
        <w:r w:rsidRPr="004B7295">
          <w:rPr>
            <w:rStyle w:val="Hypertextovodkaz"/>
            <w:rFonts w:cs="Arial"/>
            <w:szCs w:val="20"/>
          </w:rPr>
          <w:t>Vocational</w:t>
        </w:r>
        <w:proofErr w:type="spellEnd"/>
        <w:r w:rsidRPr="004B7295">
          <w:rPr>
            <w:rStyle w:val="Hypertextovodkaz"/>
            <w:rFonts w:cs="Arial"/>
            <w:szCs w:val="20"/>
          </w:rPr>
          <w:t xml:space="preserve"> </w:t>
        </w:r>
        <w:proofErr w:type="spellStart"/>
        <w:r w:rsidRPr="004B7295">
          <w:rPr>
            <w:rStyle w:val="Hypertextovodkaz"/>
            <w:rFonts w:cs="Arial"/>
            <w:szCs w:val="20"/>
          </w:rPr>
          <w:t>Training</w:t>
        </w:r>
        <w:proofErr w:type="spellEnd"/>
        <w:r w:rsidRPr="004B7295">
          <w:rPr>
            <w:rStyle w:val="Hypertextovodkaz"/>
            <w:rFonts w:cs="Arial"/>
            <w:szCs w:val="20"/>
          </w:rPr>
          <w:t xml:space="preserve"> </w:t>
        </w:r>
        <w:proofErr w:type="spellStart"/>
        <w:r w:rsidRPr="004B7295">
          <w:rPr>
            <w:rStyle w:val="Hypertextovodkaz"/>
            <w:rFonts w:cs="Arial"/>
            <w:szCs w:val="20"/>
          </w:rPr>
          <w:t>Survey</w:t>
        </w:r>
        <w:proofErr w:type="spellEnd"/>
      </w:hyperlink>
      <w:r w:rsidR="00AA4922" w:rsidRPr="004B7295">
        <w:rPr>
          <w:rFonts w:cs="Arial"/>
          <w:szCs w:val="20"/>
        </w:rPr>
        <w:t xml:space="preserve"> (CV</w:t>
      </w:r>
      <w:r w:rsidR="00814F76">
        <w:rPr>
          <w:rFonts w:cs="Arial"/>
          <w:szCs w:val="20"/>
        </w:rPr>
        <w:t>TS), v Č</w:t>
      </w:r>
      <w:r w:rsidR="00AA4922" w:rsidRPr="004B7295">
        <w:rPr>
          <w:rFonts w:cs="Arial"/>
          <w:szCs w:val="20"/>
        </w:rPr>
        <w:t xml:space="preserve">eské republice nazývané </w:t>
      </w:r>
      <w:hyperlink r:id="rId19" w:history="1">
        <w:r w:rsidR="00AA4922" w:rsidRPr="004B7295">
          <w:rPr>
            <w:rStyle w:val="Hypertextovodkaz"/>
            <w:rFonts w:cs="Arial"/>
            <w:szCs w:val="20"/>
          </w:rPr>
          <w:t>Šetření o v</w:t>
        </w:r>
        <w:r w:rsidRPr="004B7295">
          <w:rPr>
            <w:rStyle w:val="Hypertextovodkaz"/>
            <w:rFonts w:cs="Arial"/>
            <w:szCs w:val="20"/>
          </w:rPr>
          <w:t>zdělávání zaměstnaných osob</w:t>
        </w:r>
      </w:hyperlink>
      <w:r w:rsidRPr="004B7295">
        <w:rPr>
          <w:rFonts w:cs="Arial"/>
          <w:szCs w:val="20"/>
        </w:rPr>
        <w:t xml:space="preserve">. Toto šetření sleduje </w:t>
      </w:r>
      <w:r w:rsidR="00AA4922" w:rsidRPr="004B7295">
        <w:rPr>
          <w:rFonts w:cs="Arial"/>
          <w:szCs w:val="20"/>
        </w:rPr>
        <w:t>v pětileté periodicitě</w:t>
      </w:r>
      <w:r w:rsidRPr="004B7295">
        <w:rPr>
          <w:rFonts w:cs="Arial"/>
          <w:szCs w:val="20"/>
        </w:rPr>
        <w:t xml:space="preserve"> </w:t>
      </w:r>
      <w:r w:rsidR="00AA4922" w:rsidRPr="004B7295">
        <w:rPr>
          <w:rFonts w:cs="Arial"/>
          <w:szCs w:val="20"/>
        </w:rPr>
        <w:t xml:space="preserve">vzdělávání </w:t>
      </w:r>
      <w:r w:rsidRPr="004B7295">
        <w:rPr>
          <w:rFonts w:cs="Arial"/>
          <w:szCs w:val="20"/>
        </w:rPr>
        <w:t>zaměstnanců</w:t>
      </w:r>
      <w:r w:rsidR="00AA4922" w:rsidRPr="004B7295">
        <w:rPr>
          <w:rFonts w:cs="Arial"/>
          <w:szCs w:val="20"/>
        </w:rPr>
        <w:t xml:space="preserve"> vybraných ekonomických odvětví</w:t>
      </w:r>
      <w:r w:rsidRPr="004B7295">
        <w:rPr>
          <w:rFonts w:cs="Arial"/>
          <w:szCs w:val="20"/>
        </w:rPr>
        <w:t xml:space="preserve"> optikou ekonomických subjektů, resp. firem, u kterých sleduje politiku poskytování dalšího vzdělávání svý</w:t>
      </w:r>
      <w:r w:rsidR="00AA4922" w:rsidRPr="004B7295">
        <w:rPr>
          <w:rFonts w:cs="Arial"/>
          <w:szCs w:val="20"/>
        </w:rPr>
        <w:t>m</w:t>
      </w:r>
      <w:r w:rsidRPr="004B7295">
        <w:rPr>
          <w:rFonts w:cs="Arial"/>
          <w:szCs w:val="20"/>
        </w:rPr>
        <w:t xml:space="preserve"> zaměstnanců</w:t>
      </w:r>
      <w:r w:rsidR="00AA4922" w:rsidRPr="004B7295">
        <w:rPr>
          <w:rFonts w:cs="Arial"/>
          <w:szCs w:val="20"/>
        </w:rPr>
        <w:t>m</w:t>
      </w:r>
      <w:r w:rsidRPr="004B7295">
        <w:rPr>
          <w:rFonts w:cs="Arial"/>
          <w:szCs w:val="20"/>
        </w:rPr>
        <w:t xml:space="preserve">. </w:t>
      </w:r>
      <w:r w:rsidRPr="004B7295">
        <w:rPr>
          <w:rFonts w:eastAsiaTheme="minorHAnsi" w:cs="Arial"/>
          <w:szCs w:val="20"/>
          <w:lang w:eastAsia="en-US"/>
        </w:rPr>
        <w:t>Vedle</w:t>
      </w:r>
      <w:r w:rsidR="00AA4922" w:rsidRPr="004B7295">
        <w:rPr>
          <w:rFonts w:eastAsiaTheme="minorHAnsi" w:cs="Arial"/>
          <w:szCs w:val="20"/>
          <w:lang w:eastAsia="en-US"/>
        </w:rPr>
        <w:t> </w:t>
      </w:r>
      <w:r w:rsidRPr="004B7295">
        <w:rPr>
          <w:rFonts w:eastAsiaTheme="minorHAnsi" w:cs="Arial"/>
          <w:szCs w:val="20"/>
          <w:lang w:eastAsia="en-US"/>
        </w:rPr>
        <w:t>informace o tom, kolik firem v České republice zajišťuje zaměstnancům vzdělávání a kolik zaměstnanců se ho účastní, přináší šetření také údaje o</w:t>
      </w:r>
      <w:r w:rsidR="00EC67AA" w:rsidRPr="004B7295">
        <w:rPr>
          <w:rFonts w:eastAsiaTheme="minorHAnsi" w:cs="Arial"/>
          <w:szCs w:val="20"/>
          <w:lang w:eastAsia="en-US"/>
        </w:rPr>
        <w:t> </w:t>
      </w:r>
      <w:r w:rsidRPr="004B7295">
        <w:rPr>
          <w:rFonts w:eastAsiaTheme="minorHAnsi" w:cs="Arial"/>
          <w:szCs w:val="20"/>
          <w:lang w:eastAsia="en-US"/>
        </w:rPr>
        <w:t>plánování, organizaci a vyhodnocování vzdělávacích aktivit</w:t>
      </w:r>
      <w:r w:rsidR="00814F76">
        <w:rPr>
          <w:rFonts w:eastAsiaTheme="minorHAnsi" w:cs="Arial"/>
          <w:szCs w:val="20"/>
          <w:lang w:eastAsia="en-US"/>
        </w:rPr>
        <w:t xml:space="preserve"> ekonomickými subjekty</w:t>
      </w:r>
      <w:r w:rsidRPr="004B7295">
        <w:rPr>
          <w:rFonts w:eastAsiaTheme="minorHAnsi" w:cs="Arial"/>
          <w:szCs w:val="20"/>
          <w:lang w:eastAsia="en-US"/>
        </w:rPr>
        <w:t>. Ze šetření dále vyplývá, jaká jsou nejčastější obsahová zaměření kurzů, kolik firmy do vzdělávání zaměstnanců investují nebo jaké shledávají překážky či omezení v</w:t>
      </w:r>
      <w:r w:rsidR="00AD4C08">
        <w:rPr>
          <w:rFonts w:eastAsiaTheme="minorHAnsi" w:cs="Arial"/>
          <w:szCs w:val="20"/>
          <w:lang w:eastAsia="en-US"/>
        </w:rPr>
        <w:t> </w:t>
      </w:r>
      <w:r w:rsidRPr="004B7295">
        <w:rPr>
          <w:rFonts w:eastAsiaTheme="minorHAnsi" w:cs="Arial"/>
          <w:szCs w:val="20"/>
          <w:lang w:eastAsia="en-US"/>
        </w:rPr>
        <w:t xml:space="preserve">poskytování vzdělávání zaměstnancům. </w:t>
      </w:r>
      <w:hyperlink r:id="rId20" w:history="1">
        <w:r w:rsidRPr="004B7295">
          <w:rPr>
            <w:rStyle w:val="Hypertextovodkaz"/>
            <w:rFonts w:eastAsiaTheme="minorHAnsi" w:cs="Arial"/>
            <w:szCs w:val="20"/>
            <w:lang w:eastAsia="en-US"/>
          </w:rPr>
          <w:t>Poslední vlna šetření z roku 2016</w:t>
        </w:r>
      </w:hyperlink>
      <w:r w:rsidRPr="004B7295">
        <w:rPr>
          <w:rFonts w:eastAsiaTheme="minorHAnsi" w:cs="Arial"/>
          <w:szCs w:val="20"/>
          <w:lang w:eastAsia="en-US"/>
        </w:rPr>
        <w:t xml:space="preserve"> (s referenč</w:t>
      </w:r>
      <w:r w:rsidR="00EC67AA" w:rsidRPr="004B7295">
        <w:rPr>
          <w:rFonts w:eastAsiaTheme="minorHAnsi" w:cs="Arial"/>
          <w:szCs w:val="20"/>
          <w:lang w:eastAsia="en-US"/>
        </w:rPr>
        <w:t>n</w:t>
      </w:r>
      <w:r w:rsidRPr="004B7295">
        <w:rPr>
          <w:rFonts w:eastAsiaTheme="minorHAnsi" w:cs="Arial"/>
          <w:szCs w:val="20"/>
          <w:lang w:eastAsia="en-US"/>
        </w:rPr>
        <w:t>ím obdobím roku 2015) se podrobněji věnovala také tématu spolupráce firem a škol, zejm</w:t>
      </w:r>
      <w:r w:rsidR="00256DD2">
        <w:rPr>
          <w:rFonts w:eastAsiaTheme="minorHAnsi" w:cs="Arial"/>
          <w:szCs w:val="20"/>
          <w:lang w:eastAsia="en-US"/>
        </w:rPr>
        <w:t>éna</w:t>
      </w:r>
      <w:r w:rsidRPr="004B7295">
        <w:rPr>
          <w:rFonts w:eastAsiaTheme="minorHAnsi" w:cs="Arial"/>
          <w:szCs w:val="20"/>
          <w:lang w:eastAsia="en-US"/>
        </w:rPr>
        <w:t xml:space="preserve"> v souvislosti s</w:t>
      </w:r>
      <w:r w:rsidR="00EC67AA" w:rsidRPr="004B7295">
        <w:rPr>
          <w:rFonts w:eastAsiaTheme="minorHAnsi" w:cs="Arial"/>
          <w:szCs w:val="20"/>
          <w:lang w:eastAsia="en-US"/>
        </w:rPr>
        <w:t> </w:t>
      </w:r>
      <w:r w:rsidRPr="004B7295">
        <w:rPr>
          <w:rFonts w:eastAsiaTheme="minorHAnsi" w:cs="Arial"/>
          <w:szCs w:val="20"/>
          <w:lang w:eastAsia="en-US"/>
        </w:rPr>
        <w:t>poskytováním praxí studentům a</w:t>
      </w:r>
      <w:r w:rsidR="00AA4922" w:rsidRPr="004B7295">
        <w:rPr>
          <w:rFonts w:eastAsiaTheme="minorHAnsi" w:cs="Arial"/>
          <w:szCs w:val="20"/>
          <w:lang w:eastAsia="en-US"/>
        </w:rPr>
        <w:t> </w:t>
      </w:r>
      <w:r w:rsidRPr="004B7295">
        <w:rPr>
          <w:rFonts w:eastAsiaTheme="minorHAnsi" w:cs="Arial"/>
          <w:szCs w:val="20"/>
          <w:lang w:eastAsia="en-US"/>
        </w:rPr>
        <w:t xml:space="preserve">zaměstnáváním absolventů. </w:t>
      </w:r>
    </w:p>
    <w:p w:rsidR="00EC67AA" w:rsidRPr="004B7295" w:rsidRDefault="00EC67AA" w:rsidP="00814F76">
      <w:pPr>
        <w:spacing w:line="312" w:lineRule="auto"/>
        <w:jc w:val="both"/>
        <w:rPr>
          <w:rFonts w:cs="Arial"/>
          <w:szCs w:val="20"/>
        </w:rPr>
      </w:pPr>
      <w:r w:rsidRPr="004B7295">
        <w:rPr>
          <w:rFonts w:eastAsiaTheme="minorHAnsi" w:cs="Arial"/>
          <w:szCs w:val="20"/>
          <w:lang w:eastAsia="en-US"/>
        </w:rPr>
        <w:t>Dalším mezinárodně srovnatelným šetřením, které se dotýká tématu vzdělávání dospělých</w:t>
      </w:r>
      <w:r w:rsidR="00BD18BF">
        <w:rPr>
          <w:rFonts w:eastAsiaTheme="minorHAnsi" w:cs="Arial"/>
          <w:szCs w:val="20"/>
          <w:lang w:eastAsia="en-US"/>
        </w:rPr>
        <w:t>,</w:t>
      </w:r>
      <w:r w:rsidRPr="004B7295">
        <w:rPr>
          <w:rFonts w:eastAsiaTheme="minorHAnsi" w:cs="Arial"/>
          <w:szCs w:val="20"/>
          <w:lang w:eastAsia="en-US"/>
        </w:rPr>
        <w:t xml:space="preserve"> je </w:t>
      </w:r>
      <w:hyperlink r:id="rId21" w:history="1">
        <w:r w:rsidRPr="004B7295">
          <w:rPr>
            <w:rStyle w:val="Hypertextovodkaz"/>
            <w:rFonts w:cs="Arial"/>
            <w:szCs w:val="20"/>
          </w:rPr>
          <w:t xml:space="preserve">EU </w:t>
        </w:r>
        <w:proofErr w:type="spellStart"/>
        <w:r w:rsidRPr="004B7295">
          <w:rPr>
            <w:rStyle w:val="Hypertextovodkaz"/>
            <w:rFonts w:cs="Arial"/>
            <w:szCs w:val="20"/>
          </w:rPr>
          <w:t>L</w:t>
        </w:r>
        <w:r w:rsidR="006D4359" w:rsidRPr="004B7295">
          <w:rPr>
            <w:rStyle w:val="Hypertextovodkaz"/>
            <w:rFonts w:cs="Arial"/>
            <w:szCs w:val="20"/>
          </w:rPr>
          <w:t>abour</w:t>
        </w:r>
        <w:proofErr w:type="spellEnd"/>
        <w:r w:rsidR="006D4359" w:rsidRPr="004B7295">
          <w:rPr>
            <w:rStyle w:val="Hypertextovodkaz"/>
            <w:rFonts w:cs="Arial"/>
            <w:szCs w:val="20"/>
          </w:rPr>
          <w:t xml:space="preserve"> </w:t>
        </w:r>
        <w:proofErr w:type="spellStart"/>
        <w:r w:rsidR="006D4359" w:rsidRPr="004B7295">
          <w:rPr>
            <w:rStyle w:val="Hypertextovodkaz"/>
            <w:rFonts w:cs="Arial"/>
            <w:szCs w:val="20"/>
          </w:rPr>
          <w:t>Force</w:t>
        </w:r>
        <w:proofErr w:type="spellEnd"/>
        <w:r w:rsidR="006D4359" w:rsidRPr="004B7295">
          <w:rPr>
            <w:rStyle w:val="Hypertextovodkaz"/>
            <w:rFonts w:cs="Arial"/>
            <w:szCs w:val="20"/>
          </w:rPr>
          <w:t xml:space="preserve"> </w:t>
        </w:r>
        <w:proofErr w:type="spellStart"/>
        <w:r w:rsidR="006D4359" w:rsidRPr="004B7295">
          <w:rPr>
            <w:rStyle w:val="Hypertextovodkaz"/>
            <w:rFonts w:cs="Arial"/>
            <w:szCs w:val="20"/>
          </w:rPr>
          <w:t>Survey</w:t>
        </w:r>
        <w:proofErr w:type="spellEnd"/>
      </w:hyperlink>
      <w:r w:rsidR="00AA4922" w:rsidRPr="004B7295">
        <w:rPr>
          <w:rFonts w:cs="Arial"/>
          <w:szCs w:val="20"/>
        </w:rPr>
        <w:t xml:space="preserve"> (</w:t>
      </w:r>
      <w:r w:rsidR="00814F76">
        <w:rPr>
          <w:rFonts w:cs="Arial"/>
          <w:szCs w:val="20"/>
        </w:rPr>
        <w:t>EU-</w:t>
      </w:r>
      <w:r w:rsidR="00AA4922" w:rsidRPr="004B7295">
        <w:rPr>
          <w:rFonts w:cs="Arial"/>
          <w:szCs w:val="20"/>
        </w:rPr>
        <w:t>LFS),</w:t>
      </w:r>
      <w:r w:rsidR="006D4359" w:rsidRPr="004B7295">
        <w:rPr>
          <w:rFonts w:cs="Arial"/>
          <w:szCs w:val="20"/>
        </w:rPr>
        <w:t xml:space="preserve"> v ČR pod názvem </w:t>
      </w:r>
      <w:hyperlink r:id="rId22" w:history="1">
        <w:r w:rsidR="006D4359" w:rsidRPr="004B7295">
          <w:rPr>
            <w:rStyle w:val="Hypertextovodkaz"/>
            <w:rFonts w:cs="Arial"/>
            <w:szCs w:val="20"/>
          </w:rPr>
          <w:t>Výběrové šetření pracovních sil</w:t>
        </w:r>
      </w:hyperlink>
      <w:r w:rsidRPr="004B7295">
        <w:rPr>
          <w:rFonts w:cs="Arial"/>
          <w:szCs w:val="20"/>
        </w:rPr>
        <w:t>, prostřednictvím kterého je pravidelně sledována míra zapojení osob do formálního a neformálního vzdělávání. Šetření není primárně zaměřeno na oblast vzdělávání a toto téma sleduje pouze okrajově, jeho výhodou je však, oproti AES a</w:t>
      </w:r>
      <w:r w:rsidR="00814F76">
        <w:rPr>
          <w:rFonts w:cs="Arial"/>
          <w:szCs w:val="20"/>
        </w:rPr>
        <w:t> </w:t>
      </w:r>
      <w:r w:rsidRPr="004B7295">
        <w:rPr>
          <w:rFonts w:cs="Arial"/>
          <w:szCs w:val="20"/>
        </w:rPr>
        <w:t>CVTS, kratší periodicita jednoho roku.</w:t>
      </w:r>
    </w:p>
    <w:p w:rsidR="006D4359" w:rsidRPr="004B7295" w:rsidRDefault="00EC67AA" w:rsidP="00814F76">
      <w:pPr>
        <w:spacing w:line="312" w:lineRule="auto"/>
        <w:jc w:val="both"/>
        <w:rPr>
          <w:rFonts w:cs="Arial"/>
        </w:rPr>
      </w:pPr>
      <w:r w:rsidRPr="004B7295">
        <w:rPr>
          <w:rFonts w:cs="Arial"/>
        </w:rPr>
        <w:t>Poslední</w:t>
      </w:r>
      <w:r w:rsidR="00814F76">
        <w:rPr>
          <w:rFonts w:cs="Arial"/>
        </w:rPr>
        <w:t xml:space="preserve"> již zm</w:t>
      </w:r>
      <w:r w:rsidR="00BD18BF">
        <w:rPr>
          <w:rFonts w:cs="Arial"/>
        </w:rPr>
        <w:t>íněnou</w:t>
      </w:r>
      <w:r w:rsidRPr="004B7295">
        <w:rPr>
          <w:rFonts w:cs="Arial"/>
        </w:rPr>
        <w:t xml:space="preserve"> s</w:t>
      </w:r>
      <w:r w:rsidR="006D4359" w:rsidRPr="004B7295">
        <w:rPr>
          <w:rFonts w:cs="Arial"/>
        </w:rPr>
        <w:t xml:space="preserve">oučástí harmonizovaných metodik sběru dat týkajících se celoživotního učení </w:t>
      </w:r>
      <w:r w:rsidRPr="004B7295">
        <w:rPr>
          <w:rFonts w:cs="Arial"/>
        </w:rPr>
        <w:t>na</w:t>
      </w:r>
      <w:r w:rsidR="003536C8">
        <w:rPr>
          <w:rFonts w:cs="Arial"/>
        </w:rPr>
        <w:t> </w:t>
      </w:r>
      <w:r w:rsidRPr="004B7295">
        <w:rPr>
          <w:rFonts w:cs="Arial"/>
        </w:rPr>
        <w:t xml:space="preserve">úrovni Evropské unie </w:t>
      </w:r>
      <w:r w:rsidR="006D4359" w:rsidRPr="004B7295">
        <w:rPr>
          <w:rFonts w:cs="Arial"/>
        </w:rPr>
        <w:t>je výběrové šetření AES</w:t>
      </w:r>
      <w:r w:rsidRPr="004B7295">
        <w:rPr>
          <w:rFonts w:cs="Arial"/>
        </w:rPr>
        <w:t>, které je předmětem této publikace</w:t>
      </w:r>
      <w:r w:rsidR="006D4359" w:rsidRPr="004B7295">
        <w:rPr>
          <w:rFonts w:cs="Arial"/>
        </w:rPr>
        <w:t xml:space="preserve">. </w:t>
      </w:r>
    </w:p>
    <w:p w:rsidR="00EC67AA" w:rsidRPr="004B7295" w:rsidRDefault="003F4E3A" w:rsidP="00814F76">
      <w:pPr>
        <w:pStyle w:val="Nadpis3"/>
        <w:jc w:val="both"/>
      </w:pPr>
      <w:bookmarkStart w:id="4" w:name="_Toc505785819"/>
      <w:bookmarkStart w:id="5" w:name="_Toc506969408"/>
      <w:r w:rsidRPr="004B7295">
        <w:t>O</w:t>
      </w:r>
      <w:r w:rsidR="00EC67AA" w:rsidRPr="004B7295">
        <w:t xml:space="preserve"> šetření</w:t>
      </w:r>
      <w:r w:rsidR="00AA4922" w:rsidRPr="004B7295">
        <w:t xml:space="preserve"> AES</w:t>
      </w:r>
      <w:bookmarkEnd w:id="4"/>
      <w:bookmarkEnd w:id="5"/>
    </w:p>
    <w:p w:rsidR="006D4359" w:rsidRPr="004B7295" w:rsidRDefault="00EC67AA" w:rsidP="00814F76">
      <w:pPr>
        <w:spacing w:line="312" w:lineRule="auto"/>
        <w:jc w:val="both"/>
        <w:rPr>
          <w:rFonts w:cs="Arial"/>
        </w:rPr>
      </w:pPr>
      <w:r w:rsidRPr="004B7295">
        <w:rPr>
          <w:rFonts w:cs="Arial"/>
        </w:rPr>
        <w:t xml:space="preserve">Šetření AES je realizováno v členských státech Evropské unie na základě </w:t>
      </w:r>
      <w:hyperlink r:id="rId23" w:history="1">
        <w:r w:rsidRPr="004B7295">
          <w:rPr>
            <w:rStyle w:val="Hypertextovodkaz"/>
            <w:rFonts w:cs="Arial"/>
          </w:rPr>
          <w:t>Nařízení Evropského parlamentu a Rady (ES) č. 452/2008 o vypracovávání a rozvoji statistik o vzdělávání a celoživotním učení</w:t>
        </w:r>
      </w:hyperlink>
      <w:r w:rsidRPr="004B7295">
        <w:rPr>
          <w:rFonts w:cs="Arial"/>
        </w:rPr>
        <w:t>. To</w:t>
      </w:r>
      <w:r w:rsidR="00AF411F" w:rsidRPr="004B7295">
        <w:rPr>
          <w:rFonts w:cs="Arial"/>
        </w:rPr>
        <w:t>to nařízení</w:t>
      </w:r>
      <w:r w:rsidRPr="004B7295">
        <w:rPr>
          <w:rFonts w:cs="Arial"/>
        </w:rPr>
        <w:t xml:space="preserve"> </w:t>
      </w:r>
      <w:r w:rsidR="00AF411F" w:rsidRPr="004B7295">
        <w:rPr>
          <w:rFonts w:cs="Arial"/>
        </w:rPr>
        <w:t>u</w:t>
      </w:r>
      <w:r w:rsidRPr="004B7295">
        <w:rPr>
          <w:rFonts w:cs="Arial"/>
        </w:rPr>
        <w:t xml:space="preserve">kládá členským státům povinnost </w:t>
      </w:r>
      <w:r w:rsidR="00635EFE" w:rsidRPr="004B7295">
        <w:rPr>
          <w:rFonts w:cs="Arial"/>
        </w:rPr>
        <w:t>poskytovat v pětileté periodicitě</w:t>
      </w:r>
      <w:r w:rsidR="00AF411F" w:rsidRPr="004B7295">
        <w:rPr>
          <w:rFonts w:cs="Arial"/>
        </w:rPr>
        <w:t xml:space="preserve"> prostřednictvím výběrového šetření </w:t>
      </w:r>
      <w:r w:rsidR="00635EFE" w:rsidRPr="004B7295">
        <w:rPr>
          <w:rFonts w:cs="Arial"/>
        </w:rPr>
        <w:t xml:space="preserve">srovnatelné údaje o účasti a neúčasti dospělých na celoživotním učení s výčtem </w:t>
      </w:r>
      <w:r w:rsidR="003545D7" w:rsidRPr="004B7295">
        <w:rPr>
          <w:rFonts w:cs="Arial"/>
        </w:rPr>
        <w:t>obecných</w:t>
      </w:r>
      <w:r w:rsidR="00635EFE" w:rsidRPr="004B7295">
        <w:rPr>
          <w:rFonts w:cs="Arial"/>
        </w:rPr>
        <w:t xml:space="preserve"> témat zjišťování</w:t>
      </w:r>
      <w:r w:rsidR="00AF411F" w:rsidRPr="004B7295">
        <w:rPr>
          <w:rFonts w:cs="Arial"/>
        </w:rPr>
        <w:t>, vymezením konkrétní statistické j</w:t>
      </w:r>
      <w:r w:rsidR="00FE138E">
        <w:rPr>
          <w:rFonts w:cs="Arial"/>
        </w:rPr>
        <w:t>ednotky (jednotlivci ve věku 25</w:t>
      </w:r>
      <w:r w:rsidR="00AF411F" w:rsidRPr="004B7295">
        <w:rPr>
          <w:rFonts w:cs="Arial"/>
        </w:rPr>
        <w:t>–64 let) a velikostí výběrového souboru</w:t>
      </w:r>
      <w:r w:rsidR="00635EFE" w:rsidRPr="004B7295">
        <w:rPr>
          <w:rFonts w:cs="Arial"/>
        </w:rPr>
        <w:t xml:space="preserve">. </w:t>
      </w:r>
    </w:p>
    <w:p w:rsidR="00635EFE" w:rsidRPr="004B7295" w:rsidRDefault="00635EFE" w:rsidP="00814F76">
      <w:pPr>
        <w:spacing w:line="312" w:lineRule="auto"/>
        <w:jc w:val="both"/>
        <w:rPr>
          <w:rFonts w:cs="Arial"/>
        </w:rPr>
      </w:pPr>
      <w:r w:rsidRPr="004B7295">
        <w:rPr>
          <w:rFonts w:cs="Arial"/>
        </w:rPr>
        <w:lastRenderedPageBreak/>
        <w:t xml:space="preserve">První, pilotní vlnu AES, jež proběhla pod vedením </w:t>
      </w:r>
      <w:proofErr w:type="spellStart"/>
      <w:r w:rsidRPr="004B7295">
        <w:rPr>
          <w:rFonts w:cs="Arial"/>
        </w:rPr>
        <w:t>Eurostatu</w:t>
      </w:r>
      <w:proofErr w:type="spellEnd"/>
      <w:r w:rsidRPr="004B7295">
        <w:rPr>
          <w:rFonts w:cs="Arial"/>
        </w:rPr>
        <w:t xml:space="preserve"> ve členských státech EU, lze datovat do období let 2007 a 2008.</w:t>
      </w:r>
      <w:r w:rsidR="00AF411F" w:rsidRPr="004B7295">
        <w:rPr>
          <w:rFonts w:cs="Arial"/>
        </w:rPr>
        <w:t xml:space="preserve"> Zkušenosti z tohoto pilotního šetření byly následně využity při zdokonalování měřícího nástroje, metodologie a přípravě prvního pravidelného šetření AES.</w:t>
      </w:r>
    </w:p>
    <w:p w:rsidR="00EC67AA" w:rsidRPr="004B7295" w:rsidRDefault="00AF411F" w:rsidP="003545D7">
      <w:pPr>
        <w:spacing w:line="312" w:lineRule="auto"/>
        <w:jc w:val="both"/>
        <w:rPr>
          <w:rFonts w:cs="Arial"/>
        </w:rPr>
      </w:pPr>
      <w:r w:rsidRPr="004B7295">
        <w:rPr>
          <w:rFonts w:cs="Arial"/>
        </w:rPr>
        <w:t>Prvn</w:t>
      </w:r>
      <w:r w:rsidR="002137B7" w:rsidRPr="004B7295">
        <w:rPr>
          <w:rFonts w:cs="Arial"/>
        </w:rPr>
        <w:t xml:space="preserve">ího pravidelného šetření AES se </w:t>
      </w:r>
      <w:r w:rsidRPr="004B7295">
        <w:rPr>
          <w:rFonts w:cs="Arial"/>
        </w:rPr>
        <w:t xml:space="preserve">při použití jednotné metodologie, která zaručuje srovnatelnost výstupů, zúčastnily v letech 2011–2012 všechny členské státy Evropské unie (k danému období), Norsko, Švýcarsko a Srbsko. Šetření, které probíhalo na základě </w:t>
      </w:r>
      <w:hyperlink r:id="rId24" w:history="1">
        <w:r w:rsidR="002137B7" w:rsidRPr="004B7295">
          <w:rPr>
            <w:rStyle w:val="Hypertextovodkaz"/>
            <w:rFonts w:cs="Arial"/>
          </w:rPr>
          <w:t>Nařízení Komise (EU) č. 823/2010 ze dne 17. září 2010</w:t>
        </w:r>
      </w:hyperlink>
      <w:r w:rsidR="00585EBD">
        <w:t>,</w:t>
      </w:r>
      <w:r w:rsidRPr="004B7295">
        <w:rPr>
          <w:rFonts w:cs="Arial"/>
        </w:rPr>
        <w:t xml:space="preserve"> bylo spolufinancováno z prostředků Evropské unie.</w:t>
      </w:r>
      <w:r w:rsidR="002137B7" w:rsidRPr="004B7295">
        <w:rPr>
          <w:rFonts w:cs="Arial"/>
        </w:rPr>
        <w:t xml:space="preserve"> Výstupy z šetření na národní úrovni jsou dostupné zejména v publikaci ČSÚ </w:t>
      </w:r>
      <w:hyperlink r:id="rId25" w:history="1">
        <w:r w:rsidR="002137B7" w:rsidRPr="004B7295">
          <w:rPr>
            <w:rStyle w:val="Hypertextovodkaz"/>
            <w:rFonts w:cs="Arial"/>
          </w:rPr>
          <w:t>Vzdělávání dospělých:</w:t>
        </w:r>
        <w:r w:rsidRPr="004B7295">
          <w:rPr>
            <w:rStyle w:val="Hypertextovodkaz"/>
            <w:rFonts w:cs="Arial"/>
          </w:rPr>
          <w:t xml:space="preserve"> </w:t>
        </w:r>
        <w:r w:rsidR="002137B7" w:rsidRPr="004B7295">
          <w:rPr>
            <w:rStyle w:val="Hypertextovodkaz"/>
            <w:rFonts w:cs="Arial"/>
          </w:rPr>
          <w:t>specifické výstupy z šetření AES 2011</w:t>
        </w:r>
      </w:hyperlink>
      <w:r w:rsidR="002137B7" w:rsidRPr="004B7295">
        <w:rPr>
          <w:rFonts w:cs="Arial"/>
        </w:rPr>
        <w:t xml:space="preserve">, příp. v publikaci </w:t>
      </w:r>
      <w:hyperlink r:id="rId26" w:history="1">
        <w:r w:rsidR="002137B7" w:rsidRPr="004B7295">
          <w:rPr>
            <w:rStyle w:val="Hypertextovodkaz"/>
            <w:rFonts w:cs="Arial"/>
          </w:rPr>
          <w:t>Vzdělávání dospělých v České republice v evropském kontextu</w:t>
        </w:r>
      </w:hyperlink>
      <w:r w:rsidR="002137B7" w:rsidRPr="004B7295">
        <w:rPr>
          <w:rFonts w:cs="Arial"/>
        </w:rPr>
        <w:t>, která nabízí evropské srovnání výsledků šetření, resp.</w:t>
      </w:r>
      <w:r w:rsidR="003536C8">
        <w:rPr>
          <w:rFonts w:cs="Arial"/>
        </w:rPr>
        <w:t> </w:t>
      </w:r>
      <w:r w:rsidR="002137B7" w:rsidRPr="004B7295">
        <w:rPr>
          <w:rFonts w:cs="Arial"/>
        </w:rPr>
        <w:t>zasazuje národní výstupy šetření do kontextu vzdělávacích systémů a politik jednotlivých evropských států.</w:t>
      </w:r>
    </w:p>
    <w:p w:rsidR="003545D7" w:rsidRPr="004B7295" w:rsidRDefault="003545D7" w:rsidP="006D4359">
      <w:pPr>
        <w:spacing w:line="312" w:lineRule="auto"/>
        <w:rPr>
          <w:rFonts w:cs="Arial"/>
        </w:rPr>
      </w:pPr>
      <w:r w:rsidRPr="004B7295">
        <w:rPr>
          <w:rFonts w:cs="Arial"/>
        </w:rPr>
        <w:t xml:space="preserve">Sběr dat pro </w:t>
      </w:r>
      <w:r w:rsidR="00585EBD">
        <w:rPr>
          <w:rFonts w:cs="Arial"/>
        </w:rPr>
        <w:t xml:space="preserve">aktuální vlnu šetření, které je věnována </w:t>
      </w:r>
      <w:r w:rsidRPr="004B7295">
        <w:rPr>
          <w:rFonts w:cs="Arial"/>
        </w:rPr>
        <w:t>tato publikace, probíhal v členských státech Evropské unie,</w:t>
      </w:r>
      <w:r w:rsidR="009C2494">
        <w:rPr>
          <w:rFonts w:cs="Arial"/>
        </w:rPr>
        <w:t xml:space="preserve"> na</w:t>
      </w:r>
      <w:r w:rsidRPr="004B7295">
        <w:rPr>
          <w:rFonts w:cs="Arial"/>
        </w:rPr>
        <w:t xml:space="preserve"> </w:t>
      </w:r>
      <w:r w:rsidR="009C2494">
        <w:rPr>
          <w:rFonts w:cs="Arial"/>
        </w:rPr>
        <w:t xml:space="preserve">Islandu, v Norsku, Švýcarsku, Srbsku a Turecku </w:t>
      </w:r>
      <w:r w:rsidRPr="004B7295">
        <w:rPr>
          <w:rFonts w:cs="Arial"/>
        </w:rPr>
        <w:t xml:space="preserve">v letech 2016 a 2017 na základě </w:t>
      </w:r>
      <w:hyperlink r:id="rId27" w:history="1">
        <w:r w:rsidRPr="004B7295">
          <w:rPr>
            <w:rStyle w:val="Hypertextovodkaz"/>
            <w:rFonts w:cs="Arial"/>
          </w:rPr>
          <w:t>Nařízení Komise (EU) č. 1175/2018 ze dne 30. října 2014</w:t>
        </w:r>
      </w:hyperlink>
      <w:r w:rsidRPr="004B7295">
        <w:rPr>
          <w:rFonts w:cs="Arial"/>
        </w:rPr>
        <w:t xml:space="preserve">. </w:t>
      </w:r>
    </w:p>
    <w:p w:rsidR="003C32D5" w:rsidRPr="004B7295" w:rsidRDefault="003545D7" w:rsidP="00AA4922">
      <w:pPr>
        <w:spacing w:line="312" w:lineRule="auto"/>
        <w:jc w:val="both"/>
        <w:rPr>
          <w:rFonts w:cs="Arial"/>
        </w:rPr>
      </w:pPr>
      <w:r w:rsidRPr="004B7295">
        <w:rPr>
          <w:rFonts w:cs="Arial"/>
        </w:rPr>
        <w:t>V České republice proběhl sběr dat prostřednictvím tazatelské sítě ČSÚ v druhém pololetí roku 2016 na</w:t>
      </w:r>
      <w:r w:rsidR="00D947DD">
        <w:rPr>
          <w:rFonts w:cs="Arial"/>
        </w:rPr>
        <w:t> </w:t>
      </w:r>
      <w:r w:rsidRPr="004B7295">
        <w:rPr>
          <w:rFonts w:cs="Arial"/>
        </w:rPr>
        <w:t xml:space="preserve">výběrovém souboru </w:t>
      </w:r>
      <w:r w:rsidR="00336561">
        <w:rPr>
          <w:rFonts w:cs="Arial"/>
        </w:rPr>
        <w:t xml:space="preserve">7 </w:t>
      </w:r>
      <w:r w:rsidR="002B4D0F">
        <w:rPr>
          <w:rFonts w:cs="Arial"/>
        </w:rPr>
        <w:t>780</w:t>
      </w:r>
      <w:r w:rsidRPr="004B7295">
        <w:rPr>
          <w:rFonts w:cs="Arial"/>
        </w:rPr>
        <w:t xml:space="preserve"> domácností, ve kterých byly finálně shromážděny údaje</w:t>
      </w:r>
      <w:r w:rsidR="00336561">
        <w:rPr>
          <w:rFonts w:cs="Arial"/>
        </w:rPr>
        <w:t xml:space="preserve"> </w:t>
      </w:r>
      <w:r w:rsidRPr="004B7295">
        <w:rPr>
          <w:rFonts w:cs="Arial"/>
        </w:rPr>
        <w:t>od</w:t>
      </w:r>
      <w:r w:rsidR="00336561">
        <w:rPr>
          <w:rFonts w:cs="Arial"/>
        </w:rPr>
        <w:t xml:space="preserve"> </w:t>
      </w:r>
      <w:r w:rsidR="002B4D0F">
        <w:rPr>
          <w:rFonts w:cs="Arial"/>
        </w:rPr>
        <w:t>12</w:t>
      </w:r>
      <w:r w:rsidR="00336561">
        <w:rPr>
          <w:rFonts w:cs="Arial"/>
        </w:rPr>
        <w:t> </w:t>
      </w:r>
      <w:r w:rsidR="002B4D0F">
        <w:rPr>
          <w:rFonts w:cs="Arial"/>
        </w:rPr>
        <w:t>272</w:t>
      </w:r>
      <w:r w:rsidR="00336561">
        <w:rPr>
          <w:rFonts w:cs="Arial"/>
        </w:rPr>
        <w:t xml:space="preserve"> </w:t>
      </w:r>
      <w:r w:rsidRPr="004B7295">
        <w:rPr>
          <w:rFonts w:cs="Arial"/>
        </w:rPr>
        <w:t>respondentů.</w:t>
      </w:r>
      <w:r w:rsidR="00AA4922" w:rsidRPr="004B7295">
        <w:rPr>
          <w:rFonts w:cs="Arial"/>
        </w:rPr>
        <w:t xml:space="preserve"> </w:t>
      </w:r>
      <w:r w:rsidR="003C32D5" w:rsidRPr="004B7295">
        <w:rPr>
          <w:rFonts w:cs="Arial"/>
        </w:rPr>
        <w:t>Školení tazatelé ČSÚ získávali od respondentů data</w:t>
      </w:r>
      <w:r w:rsidR="00AA4922" w:rsidRPr="004B7295">
        <w:rPr>
          <w:rFonts w:cs="Arial"/>
        </w:rPr>
        <w:t xml:space="preserve"> </w:t>
      </w:r>
      <w:r w:rsidR="006F181D" w:rsidRPr="004B7295">
        <w:rPr>
          <w:rFonts w:cs="Arial"/>
        </w:rPr>
        <w:t>pomocí</w:t>
      </w:r>
      <w:r w:rsidR="00AA4922" w:rsidRPr="004B7295">
        <w:rPr>
          <w:rFonts w:cs="Arial"/>
        </w:rPr>
        <w:t xml:space="preserve"> elektronického (CAPI, CATI) či papírového (PAPI) dotazníku,</w:t>
      </w:r>
      <w:r w:rsidR="00585EBD">
        <w:rPr>
          <w:rFonts w:cs="Arial"/>
        </w:rPr>
        <w:t xml:space="preserve"> přičemž</w:t>
      </w:r>
      <w:r w:rsidR="00AA4922" w:rsidRPr="004B7295">
        <w:rPr>
          <w:rFonts w:cs="Arial"/>
        </w:rPr>
        <w:t xml:space="preserve"> převažující metodou sběru dat </w:t>
      </w:r>
      <w:r w:rsidR="006F181D" w:rsidRPr="004B7295">
        <w:rPr>
          <w:rFonts w:cs="Arial"/>
        </w:rPr>
        <w:t>byl osobní rozhovor s tazatelem</w:t>
      </w:r>
      <w:r w:rsidR="00AA4922" w:rsidRPr="004B7295">
        <w:rPr>
          <w:rFonts w:cs="Arial"/>
        </w:rPr>
        <w:t xml:space="preserve"> zaznamenaný do elektronického dotazníku (CAPI).</w:t>
      </w:r>
      <w:r w:rsidRPr="004B7295">
        <w:rPr>
          <w:rFonts w:cs="Arial"/>
        </w:rPr>
        <w:t xml:space="preserve"> Účastníci šetření byli dotazováni na</w:t>
      </w:r>
      <w:r w:rsidR="003536C8">
        <w:rPr>
          <w:rFonts w:cs="Arial"/>
        </w:rPr>
        <w:t> </w:t>
      </w:r>
      <w:r w:rsidRPr="004B7295">
        <w:rPr>
          <w:rFonts w:cs="Arial"/>
        </w:rPr>
        <w:t xml:space="preserve">vzdělávání, které absolvovali v posledních 12 měsících předcházejících datu šetření. Mimo </w:t>
      </w:r>
      <w:proofErr w:type="spellStart"/>
      <w:r w:rsidRPr="004B7295">
        <w:rPr>
          <w:rFonts w:cs="Arial"/>
        </w:rPr>
        <w:t>socio</w:t>
      </w:r>
      <w:proofErr w:type="spellEnd"/>
      <w:r w:rsidRPr="004B7295">
        <w:rPr>
          <w:rFonts w:cs="Arial"/>
        </w:rPr>
        <w:t>-</w:t>
      </w:r>
      <w:r w:rsidR="003536C8">
        <w:rPr>
          <w:rFonts w:cs="Arial"/>
        </w:rPr>
        <w:t>d</w:t>
      </w:r>
      <w:r w:rsidRPr="004B7295">
        <w:rPr>
          <w:rFonts w:cs="Arial"/>
        </w:rPr>
        <w:t>emografických charakteristik respondentů bylo zjišťováno</w:t>
      </w:r>
      <w:r w:rsidR="00AA4922" w:rsidRPr="004B7295">
        <w:rPr>
          <w:rFonts w:cs="Arial"/>
        </w:rPr>
        <w:t xml:space="preserve"> zejména</w:t>
      </w:r>
      <w:r w:rsidRPr="004B7295">
        <w:rPr>
          <w:rFonts w:cs="Arial"/>
        </w:rPr>
        <w:t xml:space="preserve"> jejich zapojení do aktivit formálního či neformálního vzdělávání, které tvořilo převažující část dotazování, doplňkově byly zjišťovány také informace o získávání znalostí a</w:t>
      </w:r>
      <w:r w:rsidR="004C61ED">
        <w:rPr>
          <w:rFonts w:cs="Arial"/>
        </w:rPr>
        <w:t> </w:t>
      </w:r>
      <w:r w:rsidRPr="004B7295">
        <w:rPr>
          <w:rFonts w:cs="Arial"/>
        </w:rPr>
        <w:t>dovedností prostřednict</w:t>
      </w:r>
      <w:r w:rsidR="004C61ED">
        <w:rPr>
          <w:rFonts w:cs="Arial"/>
        </w:rPr>
        <w:t xml:space="preserve">vím informálního učení, </w:t>
      </w:r>
      <w:r w:rsidR="00585EBD">
        <w:rPr>
          <w:rFonts w:cs="Arial"/>
        </w:rPr>
        <w:t>zjišťovala se jazyková</w:t>
      </w:r>
      <w:r w:rsidRPr="004B7295">
        <w:rPr>
          <w:rFonts w:cs="Arial"/>
        </w:rPr>
        <w:t xml:space="preserve"> vybavenost respondentů či jejich zájem o četbu knih a novin. Celkový výčet zjišťovaných údajů je dostupný v</w:t>
      </w:r>
      <w:r w:rsidR="00AA4922" w:rsidRPr="004B7295">
        <w:rPr>
          <w:rFonts w:cs="Arial"/>
        </w:rPr>
        <w:t> </w:t>
      </w:r>
      <w:r w:rsidRPr="004B7295">
        <w:rPr>
          <w:rFonts w:cs="Arial"/>
        </w:rPr>
        <w:t>dotazn</w:t>
      </w:r>
      <w:r w:rsidR="00AA4922" w:rsidRPr="004B7295">
        <w:rPr>
          <w:rFonts w:cs="Arial"/>
        </w:rPr>
        <w:t xml:space="preserve">íku šetření, který je </w:t>
      </w:r>
      <w:r w:rsidR="00AA4922" w:rsidRPr="00AC2D7F">
        <w:rPr>
          <w:rFonts w:cs="Arial"/>
        </w:rPr>
        <w:t>přílohou</w:t>
      </w:r>
      <w:r w:rsidR="00AA4922" w:rsidRPr="004B7295">
        <w:rPr>
          <w:rFonts w:cs="Arial"/>
        </w:rPr>
        <w:t xml:space="preserve"> této publikace.</w:t>
      </w:r>
      <w:r w:rsidRPr="004B7295">
        <w:rPr>
          <w:rFonts w:cs="Arial"/>
        </w:rPr>
        <w:t xml:space="preserve"> Účast v šetření byla pro respondenty dobrovolná. </w:t>
      </w:r>
    </w:p>
    <w:p w:rsidR="00AA4922" w:rsidRPr="004B7295" w:rsidRDefault="003545D7" w:rsidP="00AA4922">
      <w:pPr>
        <w:spacing w:line="312" w:lineRule="auto"/>
        <w:jc w:val="both"/>
        <w:rPr>
          <w:rFonts w:cs="Arial"/>
        </w:rPr>
      </w:pPr>
      <w:r w:rsidRPr="004B7295">
        <w:rPr>
          <w:rFonts w:cs="Arial"/>
        </w:rPr>
        <w:t>Věkové vymezení sledované populace bylo rámcovým nařízením stanoveno na 25–64 let, s navrhovaným rozšířením o</w:t>
      </w:r>
      <w:r w:rsidR="00AA4922" w:rsidRPr="004B7295">
        <w:rPr>
          <w:rFonts w:cs="Arial"/>
        </w:rPr>
        <w:t> </w:t>
      </w:r>
      <w:r w:rsidRPr="004B7295">
        <w:rPr>
          <w:rFonts w:cs="Arial"/>
        </w:rPr>
        <w:t xml:space="preserve">věkové skupiny 18–24 let a 65–69 let. Z důvodu zachycení vzdělávacích aktivit osob s možným přístupem k trhu práce byl v ČR věkový soubor rozšířen o obě krajní věkové kategorie a výsledný datový soubor tedy obsahuje informace o osobách ve věku 18–69 let. </w:t>
      </w:r>
      <w:r w:rsidR="004C61ED">
        <w:rPr>
          <w:rFonts w:cs="Arial"/>
        </w:rPr>
        <w:t>M</w:t>
      </w:r>
      <w:r w:rsidR="003F4E3A" w:rsidRPr="004B7295">
        <w:rPr>
          <w:rFonts w:cs="Arial"/>
        </w:rPr>
        <w:t xml:space="preserve">ezinárodně srovnatelná data jsou </w:t>
      </w:r>
      <w:r w:rsidR="004C61ED">
        <w:rPr>
          <w:rFonts w:cs="Arial"/>
        </w:rPr>
        <w:t xml:space="preserve">však </w:t>
      </w:r>
      <w:r w:rsidR="003F4E3A" w:rsidRPr="004B7295">
        <w:rPr>
          <w:rFonts w:cs="Arial"/>
        </w:rPr>
        <w:t xml:space="preserve">k dispozici pouze za úžeji vymezenou věkovou kategorii 25–64 let. </w:t>
      </w:r>
      <w:r w:rsidR="00AA4922" w:rsidRPr="004B7295">
        <w:rPr>
          <w:rFonts w:cs="Arial"/>
        </w:rPr>
        <w:t xml:space="preserve">Podrobné informace o metodologii šetření, jako i odkaz na zprávu o kvalitě šetření České republiky lze </w:t>
      </w:r>
      <w:r w:rsidR="00336561">
        <w:rPr>
          <w:rFonts w:cs="Arial"/>
        </w:rPr>
        <w:t>najít</w:t>
      </w:r>
      <w:r w:rsidR="00AA4922" w:rsidRPr="004B7295">
        <w:rPr>
          <w:rFonts w:cs="Arial"/>
        </w:rPr>
        <w:t xml:space="preserve"> na </w:t>
      </w:r>
      <w:hyperlink r:id="rId28" w:history="1">
        <w:r w:rsidR="00AA4922" w:rsidRPr="004B7295">
          <w:rPr>
            <w:rStyle w:val="Hypertextovodkaz"/>
            <w:rFonts w:cs="Arial"/>
          </w:rPr>
          <w:t xml:space="preserve">webových stránkách </w:t>
        </w:r>
        <w:proofErr w:type="spellStart"/>
        <w:r w:rsidR="00AA4922" w:rsidRPr="004B7295">
          <w:rPr>
            <w:rStyle w:val="Hypertextovodkaz"/>
            <w:rFonts w:cs="Arial"/>
          </w:rPr>
          <w:t>Eurostatu</w:t>
        </w:r>
        <w:proofErr w:type="spellEnd"/>
      </w:hyperlink>
      <w:r w:rsidR="00AA4922" w:rsidRPr="004B7295">
        <w:rPr>
          <w:rFonts w:cs="Arial"/>
        </w:rPr>
        <w:t>.</w:t>
      </w:r>
    </w:p>
    <w:p w:rsidR="002B4D0F" w:rsidRDefault="00AA4922" w:rsidP="00AA4922">
      <w:pPr>
        <w:spacing w:line="312" w:lineRule="auto"/>
        <w:jc w:val="both"/>
        <w:rPr>
          <w:rFonts w:cs="Arial"/>
        </w:rPr>
      </w:pPr>
      <w:r w:rsidRPr="004B7295">
        <w:rPr>
          <w:rFonts w:cs="Arial"/>
        </w:rPr>
        <w:t>Kromě výše uvedených publikací ČSÚ lze získat výstupy z šetření AES</w:t>
      </w:r>
      <w:r w:rsidR="006923A5" w:rsidRPr="004B7295">
        <w:rPr>
          <w:rStyle w:val="Znakapoznpodarou"/>
          <w:rFonts w:cs="Arial"/>
        </w:rPr>
        <w:footnoteReference w:id="1"/>
      </w:r>
      <w:r w:rsidRPr="004B7295">
        <w:rPr>
          <w:rFonts w:cs="Arial"/>
        </w:rPr>
        <w:t>, ale také CVTS či LFS</w:t>
      </w:r>
      <w:r w:rsidR="0052227C" w:rsidRPr="004B7295">
        <w:rPr>
          <w:rFonts w:cs="Arial"/>
        </w:rPr>
        <w:t xml:space="preserve"> ve statistické </w:t>
      </w:r>
      <w:hyperlink r:id="rId29" w:history="1">
        <w:r w:rsidR="0052227C" w:rsidRPr="004B7295">
          <w:rPr>
            <w:rStyle w:val="Hypertextovodkaz"/>
            <w:rFonts w:cs="Arial"/>
          </w:rPr>
          <w:t xml:space="preserve">databázi </w:t>
        </w:r>
        <w:proofErr w:type="spellStart"/>
        <w:r w:rsidR="0052227C" w:rsidRPr="004B7295">
          <w:rPr>
            <w:rStyle w:val="Hypertextovodkaz"/>
            <w:rFonts w:cs="Arial"/>
          </w:rPr>
          <w:t>Eurostatu</w:t>
        </w:r>
        <w:proofErr w:type="spellEnd"/>
      </w:hyperlink>
      <w:r w:rsidR="0052227C" w:rsidRPr="004B7295">
        <w:rPr>
          <w:rFonts w:cs="Arial"/>
        </w:rPr>
        <w:t xml:space="preserve">. Ta nabízí hlavní indikátory šetření v řadě </w:t>
      </w:r>
      <w:proofErr w:type="spellStart"/>
      <w:r w:rsidR="00585EBD">
        <w:rPr>
          <w:rFonts w:cs="Arial"/>
        </w:rPr>
        <w:t>socio</w:t>
      </w:r>
      <w:proofErr w:type="spellEnd"/>
      <w:r w:rsidR="00585EBD">
        <w:rPr>
          <w:rFonts w:cs="Arial"/>
        </w:rPr>
        <w:t>-demografických a jiných</w:t>
      </w:r>
      <w:r w:rsidR="0052227C" w:rsidRPr="004B7295">
        <w:rPr>
          <w:rFonts w:cs="Arial"/>
        </w:rPr>
        <w:t xml:space="preserve"> členění, ale také v mezinárodním či časovém srovnání. Pro získání výstupů o dalším vzdělávání z šetření AES (a shodně také LFS) je nutné </w:t>
      </w:r>
      <w:r w:rsidR="005022F5" w:rsidRPr="004B7295">
        <w:rPr>
          <w:rFonts w:cs="Arial"/>
        </w:rPr>
        <w:t>zvolit v </w:t>
      </w:r>
      <w:hyperlink r:id="rId30" w:history="1">
        <w:r w:rsidR="005022F5" w:rsidRPr="004B7295">
          <w:rPr>
            <w:rStyle w:val="Hypertextovodkaz"/>
            <w:rFonts w:cs="Arial"/>
          </w:rPr>
          <w:t>části</w:t>
        </w:r>
        <w:r w:rsidR="0052227C" w:rsidRPr="004B7295">
          <w:rPr>
            <w:rStyle w:val="Hypertextovodkaz"/>
            <w:rFonts w:cs="Arial"/>
          </w:rPr>
          <w:t xml:space="preserve"> databáz</w:t>
        </w:r>
        <w:r w:rsidR="005022F5" w:rsidRPr="004B7295">
          <w:rPr>
            <w:rStyle w:val="Hypertextovodkaz"/>
            <w:rFonts w:cs="Arial"/>
          </w:rPr>
          <w:t xml:space="preserve">e </w:t>
        </w:r>
        <w:proofErr w:type="spellStart"/>
        <w:r w:rsidR="005022F5" w:rsidRPr="004B7295">
          <w:rPr>
            <w:rStyle w:val="Hypertextovodkaz"/>
            <w:rFonts w:cs="Arial"/>
          </w:rPr>
          <w:t>Education</w:t>
        </w:r>
        <w:proofErr w:type="spellEnd"/>
        <w:r w:rsidR="005022F5" w:rsidRPr="004B7295">
          <w:rPr>
            <w:rStyle w:val="Hypertextovodkaz"/>
            <w:rFonts w:cs="Arial"/>
          </w:rPr>
          <w:t xml:space="preserve"> and </w:t>
        </w:r>
        <w:proofErr w:type="spellStart"/>
        <w:r w:rsidR="005022F5" w:rsidRPr="004B7295">
          <w:rPr>
            <w:rStyle w:val="Hypertextovodkaz"/>
            <w:rFonts w:cs="Arial"/>
          </w:rPr>
          <w:t>Training</w:t>
        </w:r>
        <w:proofErr w:type="spellEnd"/>
      </w:hyperlink>
      <w:r w:rsidR="005022F5" w:rsidRPr="004B7295">
        <w:t xml:space="preserve"> </w:t>
      </w:r>
      <w:r w:rsidR="005022F5" w:rsidRPr="004B7295">
        <w:rPr>
          <w:rFonts w:cs="Arial"/>
        </w:rPr>
        <w:t>položku</w:t>
      </w:r>
      <w:r w:rsidR="0052227C" w:rsidRPr="004B7295">
        <w:rPr>
          <w:rFonts w:cs="Arial"/>
        </w:rPr>
        <w:t xml:space="preserve"> </w:t>
      </w:r>
      <w:proofErr w:type="spellStart"/>
      <w:r w:rsidR="0052227C" w:rsidRPr="004B7295">
        <w:rPr>
          <w:rFonts w:cs="Arial"/>
          <w:i/>
        </w:rPr>
        <w:t>Participation</w:t>
      </w:r>
      <w:proofErr w:type="spellEnd"/>
      <w:r w:rsidR="0052227C" w:rsidRPr="004B7295">
        <w:rPr>
          <w:rFonts w:cs="Arial"/>
          <w:i/>
        </w:rPr>
        <w:t xml:space="preserve"> in </w:t>
      </w:r>
      <w:proofErr w:type="spellStart"/>
      <w:r w:rsidR="0052227C" w:rsidRPr="004B7295">
        <w:rPr>
          <w:rFonts w:cs="Arial"/>
          <w:i/>
        </w:rPr>
        <w:t>education</w:t>
      </w:r>
      <w:proofErr w:type="spellEnd"/>
      <w:r w:rsidR="0052227C" w:rsidRPr="004B7295">
        <w:rPr>
          <w:rFonts w:cs="Arial"/>
          <w:i/>
        </w:rPr>
        <w:t xml:space="preserve"> and </w:t>
      </w:r>
      <w:proofErr w:type="spellStart"/>
      <w:r w:rsidR="0052227C" w:rsidRPr="004B7295">
        <w:rPr>
          <w:rFonts w:cs="Arial"/>
          <w:i/>
        </w:rPr>
        <w:t>training</w:t>
      </w:r>
      <w:proofErr w:type="spellEnd"/>
      <w:r w:rsidR="0052227C" w:rsidRPr="004B7295">
        <w:rPr>
          <w:rFonts w:cs="Arial"/>
        </w:rPr>
        <w:t xml:space="preserve"> </w:t>
      </w:r>
      <w:r w:rsidR="005022F5" w:rsidRPr="004B7295">
        <w:rPr>
          <w:rFonts w:cs="Arial"/>
        </w:rPr>
        <w:t>a</w:t>
      </w:r>
      <w:r w:rsidR="003536C8">
        <w:rPr>
          <w:rFonts w:cs="Arial"/>
        </w:rPr>
        <w:t> </w:t>
      </w:r>
      <w:r w:rsidR="005022F5" w:rsidRPr="004B7295">
        <w:rPr>
          <w:rFonts w:cs="Arial"/>
        </w:rPr>
        <w:t>následně</w:t>
      </w:r>
      <w:r w:rsidR="0052227C" w:rsidRPr="004B7295">
        <w:rPr>
          <w:rFonts w:cs="Arial"/>
        </w:rPr>
        <w:t xml:space="preserve"> </w:t>
      </w:r>
      <w:proofErr w:type="spellStart"/>
      <w:r w:rsidR="0052227C" w:rsidRPr="004B7295">
        <w:rPr>
          <w:rFonts w:cs="Arial"/>
          <w:i/>
        </w:rPr>
        <w:t>Adult</w:t>
      </w:r>
      <w:proofErr w:type="spellEnd"/>
      <w:r w:rsidR="0052227C" w:rsidRPr="004B7295">
        <w:rPr>
          <w:rFonts w:cs="Arial"/>
          <w:i/>
        </w:rPr>
        <w:t xml:space="preserve"> </w:t>
      </w:r>
      <w:proofErr w:type="spellStart"/>
      <w:r w:rsidR="0052227C" w:rsidRPr="004B7295">
        <w:rPr>
          <w:rFonts w:cs="Arial"/>
          <w:i/>
        </w:rPr>
        <w:t>Learning</w:t>
      </w:r>
      <w:proofErr w:type="spellEnd"/>
      <w:r w:rsidR="0052227C" w:rsidRPr="004B7295">
        <w:rPr>
          <w:rFonts w:cs="Arial"/>
        </w:rPr>
        <w:t xml:space="preserve">. </w:t>
      </w:r>
      <w:r w:rsidR="002B4D0F">
        <w:rPr>
          <w:rFonts w:cs="Arial"/>
        </w:rPr>
        <w:t xml:space="preserve">Ve složce </w:t>
      </w:r>
      <w:proofErr w:type="spellStart"/>
      <w:r w:rsidR="002B4D0F" w:rsidRPr="002B4D0F">
        <w:rPr>
          <w:rFonts w:cs="Arial"/>
          <w:i/>
        </w:rPr>
        <w:t>Participation</w:t>
      </w:r>
      <w:proofErr w:type="spellEnd"/>
      <w:r w:rsidR="002B4D0F" w:rsidRPr="002B4D0F">
        <w:rPr>
          <w:rFonts w:cs="Arial"/>
          <w:i/>
        </w:rPr>
        <w:t xml:space="preserve"> in </w:t>
      </w:r>
      <w:proofErr w:type="spellStart"/>
      <w:r w:rsidR="002B4D0F" w:rsidRPr="002B4D0F">
        <w:rPr>
          <w:rFonts w:cs="Arial"/>
          <w:i/>
        </w:rPr>
        <w:t>education</w:t>
      </w:r>
      <w:proofErr w:type="spellEnd"/>
      <w:r w:rsidR="002B4D0F" w:rsidRPr="002B4D0F">
        <w:rPr>
          <w:rFonts w:cs="Arial"/>
          <w:i/>
        </w:rPr>
        <w:t xml:space="preserve"> and </w:t>
      </w:r>
      <w:proofErr w:type="spellStart"/>
      <w:r w:rsidR="002B4D0F" w:rsidRPr="002B4D0F">
        <w:rPr>
          <w:rFonts w:cs="Arial"/>
          <w:i/>
        </w:rPr>
        <w:t>training</w:t>
      </w:r>
      <w:proofErr w:type="spellEnd"/>
      <w:r w:rsidR="002B4D0F">
        <w:rPr>
          <w:rFonts w:cs="Arial"/>
        </w:rPr>
        <w:t xml:space="preserve"> jsou </w:t>
      </w:r>
      <w:r w:rsidR="002B4D0F" w:rsidRPr="004B7295">
        <w:rPr>
          <w:rFonts w:cs="Arial"/>
        </w:rPr>
        <w:t xml:space="preserve">pod odkazem </w:t>
      </w:r>
      <w:proofErr w:type="spellStart"/>
      <w:r w:rsidR="002B4D0F" w:rsidRPr="004B7295">
        <w:rPr>
          <w:rFonts w:cs="Arial"/>
          <w:i/>
        </w:rPr>
        <w:t>Continuing</w:t>
      </w:r>
      <w:proofErr w:type="spellEnd"/>
      <w:r w:rsidR="002B4D0F" w:rsidRPr="004B7295">
        <w:rPr>
          <w:rFonts w:cs="Arial"/>
          <w:i/>
        </w:rPr>
        <w:t xml:space="preserve"> </w:t>
      </w:r>
      <w:proofErr w:type="spellStart"/>
      <w:r w:rsidR="002B4D0F" w:rsidRPr="004B7295">
        <w:rPr>
          <w:rFonts w:cs="Arial"/>
          <w:i/>
        </w:rPr>
        <w:t>vocational</w:t>
      </w:r>
      <w:proofErr w:type="spellEnd"/>
      <w:r w:rsidR="002B4D0F" w:rsidRPr="004B7295">
        <w:rPr>
          <w:rFonts w:cs="Arial"/>
          <w:i/>
        </w:rPr>
        <w:t xml:space="preserve"> </w:t>
      </w:r>
      <w:proofErr w:type="spellStart"/>
      <w:r w:rsidR="002B4D0F" w:rsidRPr="004B7295">
        <w:rPr>
          <w:rFonts w:cs="Arial"/>
          <w:i/>
        </w:rPr>
        <w:t>training</w:t>
      </w:r>
      <w:proofErr w:type="spellEnd"/>
      <w:r w:rsidR="002B4D0F" w:rsidRPr="004B7295">
        <w:rPr>
          <w:rFonts w:cs="Arial"/>
          <w:i/>
        </w:rPr>
        <w:t xml:space="preserve"> in </w:t>
      </w:r>
      <w:proofErr w:type="spellStart"/>
      <w:r w:rsidR="002B4D0F" w:rsidRPr="004B7295">
        <w:rPr>
          <w:rFonts w:cs="Arial"/>
          <w:i/>
        </w:rPr>
        <w:t>enterprises</w:t>
      </w:r>
      <w:proofErr w:type="spellEnd"/>
      <w:r w:rsidR="002B4D0F">
        <w:rPr>
          <w:rFonts w:cs="Arial"/>
        </w:rPr>
        <w:t xml:space="preserve"> dostupná také data</w:t>
      </w:r>
      <w:r w:rsidR="0052227C" w:rsidRPr="004B7295">
        <w:rPr>
          <w:rFonts w:cs="Arial"/>
        </w:rPr>
        <w:t xml:space="preserve"> z šetření CVTS</w:t>
      </w:r>
      <w:r w:rsidR="002B4D0F">
        <w:rPr>
          <w:rFonts w:cs="Arial"/>
        </w:rPr>
        <w:t xml:space="preserve">. </w:t>
      </w:r>
    </w:p>
    <w:p w:rsidR="0052227C" w:rsidRDefault="0052227C" w:rsidP="00AA4922">
      <w:pPr>
        <w:spacing w:line="312" w:lineRule="auto"/>
        <w:jc w:val="both"/>
        <w:rPr>
          <w:rFonts w:cs="Arial"/>
        </w:rPr>
      </w:pPr>
      <w:r w:rsidRPr="004B7295">
        <w:rPr>
          <w:rFonts w:cs="Arial"/>
        </w:rPr>
        <w:t>Pro podrobnější analýzy je možné zažádat o</w:t>
      </w:r>
      <w:r w:rsidR="002B4D0F">
        <w:rPr>
          <w:rFonts w:cs="Arial"/>
        </w:rPr>
        <w:t> </w:t>
      </w:r>
      <w:r w:rsidRPr="004B7295">
        <w:rPr>
          <w:rFonts w:cs="Arial"/>
        </w:rPr>
        <w:t xml:space="preserve">anonymizované </w:t>
      </w:r>
      <w:proofErr w:type="spellStart"/>
      <w:r w:rsidRPr="004B7295">
        <w:rPr>
          <w:rFonts w:cs="Arial"/>
        </w:rPr>
        <w:t>mikrodatové</w:t>
      </w:r>
      <w:proofErr w:type="spellEnd"/>
      <w:r w:rsidRPr="004B7295">
        <w:rPr>
          <w:rFonts w:cs="Arial"/>
        </w:rPr>
        <w:t xml:space="preserve"> soubory šetření a to jak na</w:t>
      </w:r>
      <w:r w:rsidR="003536C8">
        <w:rPr>
          <w:rFonts w:cs="Arial"/>
        </w:rPr>
        <w:t> </w:t>
      </w:r>
      <w:r w:rsidRPr="004B7295">
        <w:rPr>
          <w:rFonts w:cs="Arial"/>
        </w:rPr>
        <w:t>národní úrovni (</w:t>
      </w:r>
      <w:proofErr w:type="spellStart"/>
      <w:r w:rsidRPr="004B7295">
        <w:rPr>
          <w:rFonts w:cs="Arial"/>
        </w:rPr>
        <w:t>mikrodatový</w:t>
      </w:r>
      <w:proofErr w:type="spellEnd"/>
      <w:r w:rsidRPr="004B7295">
        <w:rPr>
          <w:rFonts w:cs="Arial"/>
        </w:rPr>
        <w:t xml:space="preserve"> soubor s daty za ČR), tak na úrovni Evropské unie (souhrnný </w:t>
      </w:r>
      <w:proofErr w:type="spellStart"/>
      <w:r w:rsidRPr="004B7295">
        <w:rPr>
          <w:rFonts w:cs="Arial"/>
        </w:rPr>
        <w:t>mikrodatový</w:t>
      </w:r>
      <w:proofErr w:type="spellEnd"/>
      <w:r w:rsidRPr="004B7295">
        <w:rPr>
          <w:rFonts w:cs="Arial"/>
        </w:rPr>
        <w:t xml:space="preserve"> </w:t>
      </w:r>
      <w:r w:rsidRPr="004B7295">
        <w:rPr>
          <w:rFonts w:cs="Arial"/>
        </w:rPr>
        <w:lastRenderedPageBreak/>
        <w:t>soubor s daty šetření všech zúčastněných států, které souhlasil</w:t>
      </w:r>
      <w:r w:rsidR="004C61ED">
        <w:rPr>
          <w:rFonts w:cs="Arial"/>
        </w:rPr>
        <w:t>y</w:t>
      </w:r>
      <w:r w:rsidRPr="004B7295">
        <w:rPr>
          <w:rFonts w:cs="Arial"/>
        </w:rPr>
        <w:t xml:space="preserve"> s jejich poskytnutím veřejnosti). Pro získání národního </w:t>
      </w:r>
      <w:proofErr w:type="spellStart"/>
      <w:r w:rsidRPr="004B7295">
        <w:rPr>
          <w:rFonts w:cs="Arial"/>
        </w:rPr>
        <w:t>mikrodatového</w:t>
      </w:r>
      <w:proofErr w:type="spellEnd"/>
      <w:r w:rsidRPr="004B7295">
        <w:rPr>
          <w:rFonts w:cs="Arial"/>
        </w:rPr>
        <w:t xml:space="preserve"> souboru je možné obrátit se na </w:t>
      </w:r>
      <w:hyperlink r:id="rId31" w:history="1">
        <w:r w:rsidRPr="004B7295">
          <w:rPr>
            <w:rStyle w:val="Hypertextovodkaz"/>
            <w:rFonts w:cs="Arial"/>
          </w:rPr>
          <w:t>informační služby ČSÚ</w:t>
        </w:r>
      </w:hyperlink>
      <w:r w:rsidRPr="004B7295">
        <w:rPr>
          <w:rFonts w:cs="Arial"/>
        </w:rPr>
        <w:t>. Informace o postupu pro</w:t>
      </w:r>
      <w:r w:rsidR="003536C8">
        <w:rPr>
          <w:rFonts w:cs="Arial"/>
        </w:rPr>
        <w:t> </w:t>
      </w:r>
      <w:r w:rsidRPr="004B7295">
        <w:rPr>
          <w:rFonts w:cs="Arial"/>
        </w:rPr>
        <w:t xml:space="preserve">získání mezinárodního </w:t>
      </w:r>
      <w:proofErr w:type="spellStart"/>
      <w:r w:rsidRPr="004B7295">
        <w:rPr>
          <w:rFonts w:cs="Arial"/>
        </w:rPr>
        <w:t>mikrodatového</w:t>
      </w:r>
      <w:proofErr w:type="spellEnd"/>
      <w:r w:rsidRPr="004B7295">
        <w:rPr>
          <w:rFonts w:cs="Arial"/>
        </w:rPr>
        <w:t xml:space="preserve"> souboru jsou uvedeny na </w:t>
      </w:r>
      <w:hyperlink r:id="rId32" w:history="1">
        <w:r w:rsidRPr="004B7295">
          <w:rPr>
            <w:rStyle w:val="Hypertextovodkaz"/>
            <w:rFonts w:cs="Arial"/>
          </w:rPr>
          <w:t xml:space="preserve">webových stránkách </w:t>
        </w:r>
        <w:proofErr w:type="spellStart"/>
        <w:r w:rsidRPr="004B7295">
          <w:rPr>
            <w:rStyle w:val="Hypertextovodkaz"/>
            <w:rFonts w:cs="Arial"/>
          </w:rPr>
          <w:t>Eurostatu</w:t>
        </w:r>
        <w:proofErr w:type="spellEnd"/>
      </w:hyperlink>
      <w:r w:rsidRPr="004B7295">
        <w:rPr>
          <w:rFonts w:cs="Arial"/>
        </w:rPr>
        <w:t>.</w:t>
      </w:r>
      <w:r w:rsidR="00A238C2">
        <w:rPr>
          <w:rFonts w:cs="Arial"/>
        </w:rPr>
        <w:t xml:space="preserve"> </w:t>
      </w:r>
    </w:p>
    <w:p w:rsidR="00A238C2" w:rsidRPr="004B7295" w:rsidRDefault="00860F8E" w:rsidP="00336561">
      <w:pPr>
        <w:spacing w:line="312" w:lineRule="auto"/>
        <w:jc w:val="both"/>
        <w:rPr>
          <w:rFonts w:cs="Arial"/>
        </w:rPr>
      </w:pPr>
      <w:hyperlink r:id="rId33" w:history="1">
        <w:r w:rsidR="00A238C2" w:rsidRPr="00A238C2">
          <w:rPr>
            <w:rStyle w:val="Hypertextovodkaz"/>
            <w:rFonts w:cs="Arial"/>
          </w:rPr>
          <w:t>Informační služby ČSÚ</w:t>
        </w:r>
      </w:hyperlink>
      <w:r w:rsidR="00A238C2">
        <w:rPr>
          <w:rFonts w:cs="Arial"/>
        </w:rPr>
        <w:t xml:space="preserve"> také mohou na požádání poskytnout některé dílčí výstupy z šetření AES (či CVTS), které nejsou dostupné v dosud vydaných výstupech.</w:t>
      </w:r>
    </w:p>
    <w:p w:rsidR="000C4D26" w:rsidRPr="004B7295" w:rsidRDefault="003F4E3A" w:rsidP="00A536A6">
      <w:pPr>
        <w:pStyle w:val="Nadpis3"/>
      </w:pPr>
      <w:bookmarkStart w:id="6" w:name="_Toc505785820"/>
      <w:bookmarkStart w:id="7" w:name="_Toc506969409"/>
      <w:r w:rsidRPr="004B7295">
        <w:t xml:space="preserve">O </w:t>
      </w:r>
      <w:r w:rsidR="000C4D26" w:rsidRPr="004B7295">
        <w:t>publikaci</w:t>
      </w:r>
      <w:r w:rsidR="00A44674" w:rsidRPr="004B7295">
        <w:t xml:space="preserve"> a publikovaných údajích</w:t>
      </w:r>
      <w:bookmarkEnd w:id="6"/>
      <w:bookmarkEnd w:id="7"/>
    </w:p>
    <w:p w:rsidR="00A44674" w:rsidRPr="004B7295" w:rsidRDefault="00A44674" w:rsidP="003C6DA9">
      <w:pPr>
        <w:jc w:val="both"/>
      </w:pPr>
      <w:r w:rsidRPr="004B7295">
        <w:t>Tato p</w:t>
      </w:r>
      <w:r w:rsidR="006D4359" w:rsidRPr="004B7295">
        <w:t xml:space="preserve">ublikace přináší základní výstupy z mezinárodního šetření o vzdělávání dospělých </w:t>
      </w:r>
      <w:proofErr w:type="spellStart"/>
      <w:r w:rsidR="006D4359" w:rsidRPr="004B7295">
        <w:t>Adult</w:t>
      </w:r>
      <w:proofErr w:type="spellEnd"/>
      <w:r w:rsidR="006D4359" w:rsidRPr="004B7295">
        <w:t xml:space="preserve"> </w:t>
      </w:r>
      <w:proofErr w:type="spellStart"/>
      <w:r w:rsidR="006D4359" w:rsidRPr="004B7295">
        <w:t>Education</w:t>
      </w:r>
      <w:proofErr w:type="spellEnd"/>
      <w:r w:rsidR="006D4359" w:rsidRPr="004B7295">
        <w:t xml:space="preserve"> </w:t>
      </w:r>
      <w:proofErr w:type="spellStart"/>
      <w:r w:rsidR="006D4359" w:rsidRPr="004B7295">
        <w:t>Survey</w:t>
      </w:r>
      <w:proofErr w:type="spellEnd"/>
      <w:r w:rsidR="006D4359" w:rsidRPr="004B7295">
        <w:t xml:space="preserve"> (AES) 2016, které </w:t>
      </w:r>
      <w:r w:rsidRPr="004B7295">
        <w:t>zasazuje do národního kontextu celoživotního učení</w:t>
      </w:r>
      <w:r w:rsidR="004C61ED">
        <w:t>, resp. dalšího vzdělávání</w:t>
      </w:r>
      <w:r w:rsidRPr="004B7295">
        <w:t>. Je</w:t>
      </w:r>
      <w:r w:rsidR="004C61ED">
        <w:t> </w:t>
      </w:r>
      <w:r w:rsidRPr="004B7295">
        <w:t>složena ze dvou částí – textové a tabulkové.</w:t>
      </w:r>
    </w:p>
    <w:p w:rsidR="00A44674" w:rsidRPr="004B7295" w:rsidRDefault="00A44674" w:rsidP="003C6DA9">
      <w:pPr>
        <w:jc w:val="both"/>
      </w:pPr>
      <w:bookmarkStart w:id="8" w:name="_Toc505785821"/>
      <w:r w:rsidRPr="00A536A6">
        <w:rPr>
          <w:rFonts w:eastAsia="MS Gothic"/>
          <w:b/>
        </w:rPr>
        <w:t>Textová část</w:t>
      </w:r>
      <w:bookmarkEnd w:id="8"/>
      <w:r w:rsidRPr="004B7295">
        <w:t xml:space="preserve"> publikace představuje shrnutí hlavních zjištění šetření týkajících se účasti (či neúčasti) dospělých obyvatel České republiky</w:t>
      </w:r>
      <w:r w:rsidR="00585EBD">
        <w:t xml:space="preserve"> ve věku 18–69 let</w:t>
      </w:r>
      <w:r w:rsidRPr="004B7295">
        <w:t xml:space="preserve"> ve formálním a neformálním vzdělávání. V případě potřeby (zejména v kapitole týkající se</w:t>
      </w:r>
      <w:r w:rsidR="00BD18BF">
        <w:t xml:space="preserve"> formálního vzdělávání) doplňují</w:t>
      </w:r>
      <w:r w:rsidRPr="004B7295">
        <w:t xml:space="preserve"> údaj</w:t>
      </w:r>
      <w:r w:rsidR="00BD18BF">
        <w:t>e získané ze šetření AES</w:t>
      </w:r>
      <w:r w:rsidRPr="004B7295">
        <w:t xml:space="preserve"> administrativní zdroje dat (zejména data Ministerstva školství, mládeže a tělovýchovy</w:t>
      </w:r>
      <w:r w:rsidR="004C61ED">
        <w:t xml:space="preserve"> </w:t>
      </w:r>
      <w:r w:rsidR="00585EBD">
        <w:t xml:space="preserve">– </w:t>
      </w:r>
      <w:r w:rsidR="004C61ED">
        <w:t>MŠMT</w:t>
      </w:r>
      <w:r w:rsidRPr="004B7295">
        <w:t xml:space="preserve">) či </w:t>
      </w:r>
      <w:r w:rsidR="003C6DA9" w:rsidRPr="004B7295">
        <w:t xml:space="preserve">veřejně dostupné </w:t>
      </w:r>
      <w:r w:rsidRPr="004B7295">
        <w:t xml:space="preserve">mezinárodní výstupy šetření AES. </w:t>
      </w:r>
    </w:p>
    <w:p w:rsidR="00A44674" w:rsidRPr="004B7295" w:rsidRDefault="00A44674" w:rsidP="003C6DA9">
      <w:pPr>
        <w:spacing w:after="0"/>
        <w:jc w:val="both"/>
      </w:pPr>
      <w:bookmarkStart w:id="9" w:name="_Toc505785822"/>
      <w:r w:rsidRPr="00A536A6">
        <w:rPr>
          <w:rFonts w:eastAsia="MS Gothic"/>
          <w:b/>
        </w:rPr>
        <w:t>Tabulková část</w:t>
      </w:r>
      <w:bookmarkEnd w:id="9"/>
      <w:r w:rsidRPr="004B7295">
        <w:rPr>
          <w:rStyle w:val="Nadpis4Char"/>
        </w:rPr>
        <w:t xml:space="preserve"> </w:t>
      </w:r>
      <w:r w:rsidRPr="004B7295">
        <w:t xml:space="preserve">obsahuje sadu </w:t>
      </w:r>
      <w:r w:rsidR="00170501">
        <w:t>42</w:t>
      </w:r>
      <w:r w:rsidRPr="004B7295">
        <w:t xml:space="preserve"> tabulek, které představují hlavní indikátory šetření AES v řadě dostupných členění (zejména pohlaví, věkové kategorie, nejvyšší dosažené vzdělání, </w:t>
      </w:r>
      <w:r w:rsidR="003C6DA9" w:rsidRPr="004B7295">
        <w:t xml:space="preserve">ekonomické postavení, postavení v zaměstnání, </w:t>
      </w:r>
      <w:proofErr w:type="spellStart"/>
      <w:r w:rsidR="004C61ED">
        <w:t>ekvivalizovaný</w:t>
      </w:r>
      <w:proofErr w:type="spellEnd"/>
      <w:r w:rsidR="004C61ED">
        <w:t xml:space="preserve"> </w:t>
      </w:r>
      <w:r w:rsidR="003C6DA9" w:rsidRPr="004B7295">
        <w:t>příjem domácnosti či velikost</w:t>
      </w:r>
      <w:r w:rsidR="00170501">
        <w:t xml:space="preserve"> místa</w:t>
      </w:r>
      <w:r w:rsidR="003C6DA9" w:rsidRPr="004B7295">
        <w:t xml:space="preserve"> bydliště). Kromě tabulek vztahujících se k formálnímu a neformálnímu vzdělávání, na které se šetření AES zaměřuje především, jsou v tabulkové části publikace </w:t>
      </w:r>
      <w:r w:rsidR="004C61ED">
        <w:t>dostupné</w:t>
      </w:r>
      <w:r w:rsidR="003C6DA9" w:rsidRPr="004B7295">
        <w:t xml:space="preserve"> i údaje vztahující se k dalším částem šetření, zejm</w:t>
      </w:r>
      <w:r w:rsidR="00256DD2">
        <w:t>éna</w:t>
      </w:r>
      <w:r w:rsidR="00047009">
        <w:t> </w:t>
      </w:r>
      <w:r w:rsidR="003C6DA9" w:rsidRPr="004B7295">
        <w:t>motivaci k zapojení do vzdělávání, účasti v informálním učení, zájmu o četbu knih či novin či znalosti cizích jazyků v </w:t>
      </w:r>
      <w:r w:rsidR="004C61ED">
        <w:t>populaci</w:t>
      </w:r>
      <w:r w:rsidR="003C6DA9" w:rsidRPr="004B7295">
        <w:t>.</w:t>
      </w:r>
    </w:p>
    <w:p w:rsidR="003C6DA9" w:rsidRPr="004B7295" w:rsidRDefault="003C6DA9" w:rsidP="003C6DA9">
      <w:pPr>
        <w:jc w:val="both"/>
      </w:pPr>
      <w:r w:rsidRPr="004B7295">
        <w:t xml:space="preserve">Tabulková část obsahuje také </w:t>
      </w:r>
      <w:r w:rsidRPr="00170501">
        <w:t>10</w:t>
      </w:r>
      <w:r w:rsidRPr="004B7295">
        <w:t xml:space="preserve"> tabulek s hlavními indikátory šetření AES v mezinárodním srovnání. Publikovány jsou pouze údaje </w:t>
      </w:r>
      <w:r w:rsidR="00BD18BF">
        <w:t>za země</w:t>
      </w:r>
      <w:r w:rsidRPr="004B7295">
        <w:t xml:space="preserve">, jejichž data byla dostupná </w:t>
      </w:r>
      <w:r w:rsidR="00B636DA">
        <w:t xml:space="preserve">v </w:t>
      </w:r>
      <w:hyperlink r:id="rId34" w:history="1">
        <w:r w:rsidRPr="004B7295">
          <w:rPr>
            <w:rStyle w:val="Hypertextovodkaz"/>
          </w:rPr>
          <w:t xml:space="preserve">databázi </w:t>
        </w:r>
        <w:proofErr w:type="spellStart"/>
        <w:r w:rsidRPr="004B7295">
          <w:rPr>
            <w:rStyle w:val="Hypertextovodkaz"/>
          </w:rPr>
          <w:t>Eurostatu</w:t>
        </w:r>
        <w:proofErr w:type="spellEnd"/>
      </w:hyperlink>
      <w:r w:rsidRPr="004B7295">
        <w:t xml:space="preserve"> v době přípravy této publikace (prosinec 2017). </w:t>
      </w:r>
    </w:p>
    <w:p w:rsidR="003C6DA9" w:rsidRPr="004B7295" w:rsidRDefault="003C6DA9" w:rsidP="003C6DA9">
      <w:pPr>
        <w:jc w:val="both"/>
      </w:pPr>
      <w:r w:rsidRPr="004B7295">
        <w:t xml:space="preserve">Data v tabulkách, resp. jednotlivé indikátory, jsou dostupné v dvojím členění, a to za </w:t>
      </w:r>
      <w:r w:rsidR="008969B9" w:rsidRPr="004B7295">
        <w:t>šířeji vymezenou</w:t>
      </w:r>
      <w:r w:rsidRPr="004B7295">
        <w:t xml:space="preserve"> věkovou kategorii 18 </w:t>
      </w:r>
      <w:r w:rsidR="00AD4C08">
        <w:t>až</w:t>
      </w:r>
      <w:r w:rsidRPr="004B7295">
        <w:t xml:space="preserve"> 69 let a </w:t>
      </w:r>
      <w:r w:rsidR="008969B9" w:rsidRPr="004B7295">
        <w:t>úžeji vymezenou</w:t>
      </w:r>
      <w:r w:rsidRPr="004B7295">
        <w:t xml:space="preserve"> věkovou kategorii 25 </w:t>
      </w:r>
      <w:r w:rsidR="00AD4C08">
        <w:t>až</w:t>
      </w:r>
      <w:r w:rsidRPr="004B7295">
        <w:t xml:space="preserve"> 64 let. </w:t>
      </w:r>
      <w:r w:rsidRPr="004B7295">
        <w:rPr>
          <w:rFonts w:cs="Arial"/>
        </w:rPr>
        <w:t>Dostupnost dat v</w:t>
      </w:r>
      <w:r w:rsidR="008969B9" w:rsidRPr="004B7295">
        <w:rPr>
          <w:rFonts w:cs="Arial"/>
        </w:rPr>
        <w:t> </w:t>
      </w:r>
      <w:r w:rsidRPr="004B7295">
        <w:rPr>
          <w:rFonts w:cs="Arial"/>
        </w:rPr>
        <w:t>obou</w:t>
      </w:r>
      <w:r w:rsidR="008969B9" w:rsidRPr="004B7295">
        <w:rPr>
          <w:rFonts w:cs="Arial"/>
        </w:rPr>
        <w:t xml:space="preserve"> věkových členění</w:t>
      </w:r>
      <w:r w:rsidR="00170501">
        <w:rPr>
          <w:rFonts w:cs="Arial"/>
        </w:rPr>
        <w:t>ch</w:t>
      </w:r>
      <w:r w:rsidR="00280ED7">
        <w:rPr>
          <w:rFonts w:cs="Arial"/>
        </w:rPr>
        <w:t xml:space="preserve"> </w:t>
      </w:r>
      <w:r w:rsidR="00585EBD">
        <w:t>–</w:t>
      </w:r>
      <w:r w:rsidR="00280ED7">
        <w:t xml:space="preserve"> </w:t>
      </w:r>
      <w:r w:rsidRPr="004B7295">
        <w:rPr>
          <w:rFonts w:cs="Arial"/>
        </w:rPr>
        <w:t>širším i užším</w:t>
      </w:r>
      <w:r w:rsidR="008969B9" w:rsidRPr="004B7295">
        <w:rPr>
          <w:rFonts w:cs="Arial"/>
        </w:rPr>
        <w:t xml:space="preserve"> </w:t>
      </w:r>
      <w:r w:rsidR="00280ED7">
        <w:rPr>
          <w:rFonts w:cs="Arial"/>
        </w:rPr>
        <w:t xml:space="preserve">– </w:t>
      </w:r>
      <w:r w:rsidRPr="004B7295">
        <w:rPr>
          <w:rFonts w:cs="Arial"/>
        </w:rPr>
        <w:t xml:space="preserve">umožňuje jak </w:t>
      </w:r>
      <w:r w:rsidR="008969B9" w:rsidRPr="004B7295">
        <w:rPr>
          <w:rFonts w:cs="Arial"/>
        </w:rPr>
        <w:t xml:space="preserve">zhodnocení údajů </w:t>
      </w:r>
      <w:r w:rsidRPr="004B7295">
        <w:rPr>
          <w:rFonts w:cs="Arial"/>
        </w:rPr>
        <w:t>širší</w:t>
      </w:r>
      <w:r w:rsidR="008969B9" w:rsidRPr="004B7295">
        <w:rPr>
          <w:rFonts w:cs="Arial"/>
        </w:rPr>
        <w:t>ho záběru</w:t>
      </w:r>
      <w:r w:rsidR="00AD4C08">
        <w:rPr>
          <w:rFonts w:cs="Arial"/>
        </w:rPr>
        <w:t xml:space="preserve"> sledované populace (18</w:t>
      </w:r>
      <w:r w:rsidR="00280ED7">
        <w:rPr>
          <w:rFonts w:cs="Arial"/>
        </w:rPr>
        <w:t> a</w:t>
      </w:r>
      <w:r w:rsidR="00AD4C08">
        <w:rPr>
          <w:rFonts w:cs="Arial"/>
        </w:rPr>
        <w:t>ž</w:t>
      </w:r>
      <w:r w:rsidRPr="004B7295">
        <w:rPr>
          <w:rFonts w:cs="Arial"/>
        </w:rPr>
        <w:t xml:space="preserve"> 69 let)</w:t>
      </w:r>
      <w:r w:rsidR="00BD18BF">
        <w:rPr>
          <w:rFonts w:cs="Arial"/>
        </w:rPr>
        <w:t xml:space="preserve"> na národní úrovni</w:t>
      </w:r>
      <w:r w:rsidRPr="004B7295">
        <w:rPr>
          <w:rFonts w:cs="Arial"/>
        </w:rPr>
        <w:t>, tak porovnání vybraných indikátorů v mezinárodním srovnání (25</w:t>
      </w:r>
      <w:r w:rsidR="00AD4C08">
        <w:rPr>
          <w:rFonts w:cs="Arial"/>
        </w:rPr>
        <w:t> až</w:t>
      </w:r>
      <w:r w:rsidRPr="004B7295">
        <w:rPr>
          <w:rFonts w:cs="Arial"/>
        </w:rPr>
        <w:t xml:space="preserve"> 64 let). </w:t>
      </w:r>
    </w:p>
    <w:p w:rsidR="003C6DA9" w:rsidRPr="004B7295" w:rsidRDefault="003C6DA9" w:rsidP="006D4359"/>
    <w:p w:rsidR="000C4D26" w:rsidRPr="004B7295" w:rsidRDefault="000C4D26" w:rsidP="000C4D26"/>
    <w:p w:rsidR="00F74103" w:rsidRPr="004B7295" w:rsidRDefault="00F74103" w:rsidP="00F74103">
      <w:pPr>
        <w:pStyle w:val="Nadpis2"/>
      </w:pPr>
      <w:r w:rsidRPr="004B7295">
        <w:br w:type="page"/>
      </w:r>
    </w:p>
    <w:p w:rsidR="00EE4B1B" w:rsidRPr="004B7295" w:rsidRDefault="00F74103" w:rsidP="00100F5C">
      <w:pPr>
        <w:pStyle w:val="Nadpis1"/>
      </w:pPr>
      <w:bookmarkStart w:id="10" w:name="_Toc505785823"/>
      <w:bookmarkStart w:id="11" w:name="_Toc506969410"/>
      <w:r w:rsidRPr="004B7295">
        <w:lastRenderedPageBreak/>
        <w:t>Formální vzdělávání</w:t>
      </w:r>
      <w:bookmarkEnd w:id="10"/>
      <w:bookmarkEnd w:id="11"/>
    </w:p>
    <w:p w:rsidR="00F74103" w:rsidRPr="004B7295" w:rsidRDefault="00F74103" w:rsidP="00F74103">
      <w:pPr>
        <w:jc w:val="both"/>
      </w:pPr>
      <w:bookmarkStart w:id="12" w:name="_Toc444112497"/>
      <w:r w:rsidRPr="004B7295">
        <w:t>Pojmem formální vzdělávání je označována forma studia, kterou si patrně většina osob s výrazem vzdělávání spojuje nejčastěji, tedy v nejobecnější rovině vzdělávání ve formálních vzdělávacích institucích – školách a univerzitách. Formální vzdělávání je upraveno právními předpisy a zahrnuje navazující stupně vzdělání (základní, střední a terciární), jejichž dosažení je potvrzeno příslušným osvědčením (vysvědčení,</w:t>
      </w:r>
      <w:r w:rsidR="00AD4C08">
        <w:t xml:space="preserve"> </w:t>
      </w:r>
      <w:r w:rsidRPr="004B7295">
        <w:t>výuční list, maturitní vysvědčení, diplom apod.), které je uznáváno relevantními národními autoritami.</w:t>
      </w:r>
    </w:p>
    <w:p w:rsidR="003364F0" w:rsidRDefault="00F74103" w:rsidP="003364F0">
      <w:pPr>
        <w:pStyle w:val="Textkomente"/>
        <w:spacing w:line="288" w:lineRule="auto"/>
        <w:jc w:val="both"/>
      </w:pPr>
      <w:r w:rsidRPr="004B7295">
        <w:t>Formální vzdělávání bývá nejčastěji spojováno s tzv. počátečním vzděláváním, tj. takovým, které každý z nás absolvuje v prvních dekádách života, minimálně ve formě povinné školní docházky. Formální vzdělávání však hraje důležitou roli též v konceptu celoživotního učení prostřednictvím tzv. dalšího vzdělávání dospělých.</w:t>
      </w:r>
      <w:r w:rsidR="003364F0">
        <w:t xml:space="preserve"> Pojem další vzdělávání je </w:t>
      </w:r>
      <w:r w:rsidR="004C61ED">
        <w:t>pro potřeby této publikace</w:t>
      </w:r>
      <w:r w:rsidR="003364F0">
        <w:t xml:space="preserve"> chápán především jako snaha doplnit si vzdělání a/či dosáhnout vyššího/jiného stupně vzdělání po skončení počátečního vzdělávání. Další vzdělávání je od počátečního většinou odděleno vstupem na trh práce či přerušením obvykle kontinuální vzdělávací dráhy počátečního vzdělávání z jiného důvodu.</w:t>
      </w:r>
    </w:p>
    <w:p w:rsidR="00F74103" w:rsidRPr="004B7295" w:rsidRDefault="00F74103" w:rsidP="00F74103">
      <w:pPr>
        <w:jc w:val="both"/>
      </w:pPr>
      <w:r w:rsidRPr="004B7295">
        <w:t>Míra zapojení dospělých osob</w:t>
      </w:r>
      <w:r w:rsidR="00B84B23" w:rsidRPr="004B7295">
        <w:t xml:space="preserve"> (tj. pro potřeby této publikace osob starších 18, resp. 25 let)</w:t>
      </w:r>
      <w:r w:rsidRPr="004B7295">
        <w:t xml:space="preserve"> do formálního vzdělávání se odvíjí od celé řady navzájem provázaných faktorů, mezi které patří zejména kvalita institucionálního a legislativního prostředí pro formální vzdělávání, vzdělanostní struktura populace a</w:t>
      </w:r>
      <w:r w:rsidR="00B84B23" w:rsidRPr="004B7295">
        <w:t> </w:t>
      </w:r>
      <w:r w:rsidRPr="004B7295">
        <w:t xml:space="preserve">aktuální kvalifikační požadavky na trhu práce. </w:t>
      </w:r>
      <w:r w:rsidR="004C61ED">
        <w:t>Roli hrají také</w:t>
      </w:r>
      <w:r w:rsidRPr="004B7295">
        <w:t xml:space="preserve"> politická podpora a investice do rozvoje sektoru vzdělávání včetně vzdělávání dospělých či </w:t>
      </w:r>
      <w:r w:rsidR="00585EBD">
        <w:t>dostupná</w:t>
      </w:r>
      <w:r w:rsidRPr="004B7295">
        <w:t xml:space="preserve"> nabídka vzdělávacích příležitostí umožňujících pracovní a</w:t>
      </w:r>
      <w:r w:rsidR="00B84B23" w:rsidRPr="004B7295">
        <w:t> </w:t>
      </w:r>
      <w:r w:rsidRPr="004B7295">
        <w:t>osobnostní růst a rozvinutost takových forem vzdělávání, které umožní sladit studijní a pracovní (ev.</w:t>
      </w:r>
      <w:r w:rsidR="00B84B23" w:rsidRPr="004B7295">
        <w:t> </w:t>
      </w:r>
      <w:r w:rsidRPr="004B7295">
        <w:t>rodinné) povinnosti.</w:t>
      </w:r>
    </w:p>
    <w:p w:rsidR="00F74103" w:rsidRPr="004B7295" w:rsidRDefault="00F74103" w:rsidP="00F74103">
      <w:pPr>
        <w:jc w:val="both"/>
      </w:pPr>
      <w:r w:rsidRPr="004B7295">
        <w:t>V České republice se</w:t>
      </w:r>
      <w:r w:rsidR="00B84B23" w:rsidRPr="004B7295">
        <w:t xml:space="preserve"> dospělým</w:t>
      </w:r>
      <w:r w:rsidRPr="004B7295">
        <w:t xml:space="preserve"> zájemcům o formální vzdělávání nabízí řada možností, jak se </w:t>
      </w:r>
      <w:r w:rsidR="00B84B23" w:rsidRPr="004B7295">
        <w:t>(</w:t>
      </w:r>
      <w:r w:rsidRPr="004B7295">
        <w:t>znovu</w:t>
      </w:r>
      <w:r w:rsidR="00B84B23" w:rsidRPr="004B7295">
        <w:t>)</w:t>
      </w:r>
      <w:r w:rsidRPr="004B7295">
        <w:t xml:space="preserve"> zapojit do vzdělávacího procesu. Možnosti formálního vzdělávání poskytovaného školami, jsou legislativně upraveny příslušnými zákony, tj. školským zákonem a zákonem o vysokých školách. Školský zákon (č.</w:t>
      </w:r>
      <w:r w:rsidR="00B84B23" w:rsidRPr="004B7295">
        <w:t> </w:t>
      </w:r>
      <w:r w:rsidRPr="004B7295">
        <w:t>317/2008 Sb.) jako jednu ze zásad vzdělávání formuluje „</w:t>
      </w:r>
      <w:r w:rsidRPr="004B7295">
        <w:rPr>
          <w:i/>
        </w:rPr>
        <w:t>možnost každého vzdělávat se po dobu celého života při vědomí spoluodpovědnosti za své vzdělávání</w:t>
      </w:r>
      <w:r w:rsidRPr="004B7295">
        <w:t>“ (§ 2, odstavec 1, písmeno h). Účast dospělé populace ve formálním vzdělávání je v zásadní míře podmíněna možností sladit toto vzdělávání s ostatními, zejm</w:t>
      </w:r>
      <w:r w:rsidR="00256DD2">
        <w:t>éna</w:t>
      </w:r>
      <w:r w:rsidRPr="004B7295">
        <w:t xml:space="preserve"> pracovními či rodinnými povinnostmi. Jedincům, kteří se chtějí znovu zapojit do formálního vzdělávacího procesu, se tak mimo „klasických“ denních forem nabízí i další možnosti studia. </w:t>
      </w:r>
      <w:r w:rsidR="00585EBD">
        <w:t>Vzděl</w:t>
      </w:r>
      <w:r w:rsidRPr="004B7295">
        <w:t>ání</w:t>
      </w:r>
      <w:r w:rsidR="00B84B23" w:rsidRPr="004B7295">
        <w:t> </w:t>
      </w:r>
      <w:r w:rsidRPr="004B7295">
        <w:t xml:space="preserve">dosažené v těchto ostatních formách je rovnocenné se vzděláním dosaženým v denní formě. </w:t>
      </w:r>
    </w:p>
    <w:p w:rsidR="00B84B23" w:rsidRPr="004B7295" w:rsidRDefault="00380A0B" w:rsidP="00F74103">
      <w:pPr>
        <w:jc w:val="both"/>
      </w:pPr>
      <w:r w:rsidRPr="004B7295">
        <w:t>Před představením samotných výstupů z šetření AES nabízí n</w:t>
      </w:r>
      <w:r w:rsidR="00B84B23" w:rsidRPr="004B7295">
        <w:t xml:space="preserve">ásledující části textu přehled možných forem formálního vzdělávání dospělých na úrovni středního a vysokoškolského vzdělávání, stejně jako vývoj počtu (starších) studentů jednotlivých stupňů a forem vzdělávání </w:t>
      </w:r>
      <w:r w:rsidR="006923A5" w:rsidRPr="004B7295">
        <w:t xml:space="preserve">v posledních deseti letech </w:t>
      </w:r>
      <w:r w:rsidR="00B84B23" w:rsidRPr="004B7295">
        <w:t>dle administrativních</w:t>
      </w:r>
      <w:r w:rsidR="00907C65">
        <w:t xml:space="preserve"> dat</w:t>
      </w:r>
      <w:r w:rsidR="00B84B23" w:rsidRPr="004B7295">
        <w:t xml:space="preserve"> zdrojů Ministerstva školství, mládeže a tělovýchovy</w:t>
      </w:r>
      <w:r w:rsidR="00907C65">
        <w:t xml:space="preserve"> (MŠMT)</w:t>
      </w:r>
      <w:r w:rsidR="00B84B23" w:rsidRPr="004B7295">
        <w:t>.</w:t>
      </w:r>
    </w:p>
    <w:p w:rsidR="00F74103" w:rsidRPr="004B7295" w:rsidRDefault="00F74103" w:rsidP="00705950">
      <w:pPr>
        <w:pStyle w:val="Nadpis3"/>
      </w:pPr>
      <w:bookmarkStart w:id="13" w:name="_Toc505785825"/>
      <w:bookmarkStart w:id="14" w:name="_Toc506969411"/>
      <w:r w:rsidRPr="004B7295">
        <w:t>Střední vzdělávání</w:t>
      </w:r>
      <w:bookmarkEnd w:id="13"/>
      <w:bookmarkEnd w:id="14"/>
    </w:p>
    <w:p w:rsidR="00F74103" w:rsidRPr="004B7295" w:rsidRDefault="00F74103" w:rsidP="00F74103">
      <w:pPr>
        <w:jc w:val="both"/>
      </w:pPr>
      <w:r w:rsidRPr="004B7295">
        <w:t>Na úrovni středoškolského vzdělávání se dospělí</w:t>
      </w:r>
      <w:r w:rsidR="00907C65">
        <w:t xml:space="preserve"> </w:t>
      </w:r>
      <w:r w:rsidR="00585EBD">
        <w:t>–</w:t>
      </w:r>
      <w:r w:rsidRPr="004B7295">
        <w:t xml:space="preserve"> mimo běžného denního vzdělávání</w:t>
      </w:r>
      <w:r w:rsidR="00047009">
        <w:t xml:space="preserve"> –</w:t>
      </w:r>
      <w:r w:rsidRPr="004B7295">
        <w:t xml:space="preserve"> mohou zapojit do</w:t>
      </w:r>
      <w:r w:rsidR="003536C8">
        <w:t> </w:t>
      </w:r>
      <w:r w:rsidRPr="004B7295">
        <w:t>studia prostřednictvím několika dalších forem, souhrnně nazývaných „ostatní formy vzdělávání“. Jedná se o večerní</w:t>
      </w:r>
      <w:r w:rsidRPr="004B7295">
        <w:rPr>
          <w:rStyle w:val="Znakapoznpodarou"/>
        </w:rPr>
        <w:footnoteReference w:id="2"/>
      </w:r>
      <w:r w:rsidRPr="004B7295">
        <w:t>, dálkové</w:t>
      </w:r>
      <w:r w:rsidRPr="004B7295">
        <w:rPr>
          <w:rStyle w:val="Znakapoznpodarou"/>
        </w:rPr>
        <w:footnoteReference w:id="3"/>
      </w:r>
      <w:r w:rsidRPr="004B7295">
        <w:t>, distanční</w:t>
      </w:r>
      <w:r w:rsidRPr="004B7295">
        <w:rPr>
          <w:rStyle w:val="Znakapoznpodarou"/>
        </w:rPr>
        <w:footnoteReference w:id="4"/>
      </w:r>
      <w:r w:rsidRPr="004B7295">
        <w:t xml:space="preserve"> či kombinované</w:t>
      </w:r>
      <w:r w:rsidRPr="004B7295">
        <w:rPr>
          <w:rStyle w:val="Znakapoznpodarou"/>
        </w:rPr>
        <w:footnoteReference w:id="5"/>
      </w:r>
      <w:r w:rsidRPr="004B7295">
        <w:t xml:space="preserve"> formy vzdělávání (podrobné vymezení </w:t>
      </w:r>
      <w:r w:rsidR="00907C65">
        <w:t>uvádí</w:t>
      </w:r>
      <w:r w:rsidRPr="004B7295">
        <w:t xml:space="preserve"> školský zákon, § 25, odstavec 2), přičemž doba jejich trvání může být maximálně o jeden rok delší, než v denní formě (obdobné podmínky jsou nastaveny též u vyšších škol, viz školský zákon č. 317/2008 Sb.). V závislosti </w:t>
      </w:r>
      <w:r w:rsidRPr="004B7295">
        <w:lastRenderedPageBreak/>
        <w:t>na</w:t>
      </w:r>
      <w:r w:rsidR="0006282F">
        <w:t> </w:t>
      </w:r>
      <w:r w:rsidRPr="004B7295">
        <w:t>předchozím vzdělávání uchazeče je též možné částečné uznání předchozího vzdělávání či absolvování zkráceného</w:t>
      </w:r>
      <w:r w:rsidRPr="004B7295">
        <w:rPr>
          <w:rStyle w:val="Znakapoznpodarou"/>
        </w:rPr>
        <w:footnoteReference w:id="6"/>
      </w:r>
      <w:r w:rsidRPr="004B7295">
        <w:t xml:space="preserve"> či nástavbového studia</w:t>
      </w:r>
      <w:r w:rsidRPr="004B7295">
        <w:rPr>
          <w:rStyle w:val="Znakapoznpodarou"/>
        </w:rPr>
        <w:footnoteReference w:id="7"/>
      </w:r>
      <w:r w:rsidRPr="004B7295">
        <w:t>.</w:t>
      </w:r>
    </w:p>
    <w:p w:rsidR="00F74103" w:rsidRPr="004B7295" w:rsidRDefault="00F74103" w:rsidP="00F74103">
      <w:pPr>
        <w:jc w:val="both"/>
      </w:pPr>
      <w:r w:rsidRPr="004B7295">
        <w:t xml:space="preserve">Z přibližně 425 tis. veškerých </w:t>
      </w:r>
      <w:r w:rsidR="00907C65">
        <w:t>studentů</w:t>
      </w:r>
      <w:r w:rsidRPr="004B7295">
        <w:t xml:space="preserve"> středoškolského studia v roce 2016/17 jich pouze 18 tis., resp. 4,3 % byla starší 25 let. Tento podíl “starších” </w:t>
      </w:r>
      <w:r w:rsidR="00D745F5">
        <w:t>studentů</w:t>
      </w:r>
      <w:r w:rsidRPr="004B7295">
        <w:t xml:space="preserve"> na celkovém počtu </w:t>
      </w:r>
      <w:r w:rsidR="00D745F5">
        <w:t>studentů</w:t>
      </w:r>
      <w:r w:rsidRPr="004B7295">
        <w:t xml:space="preserve"> středoškolského vzdělávání v</w:t>
      </w:r>
      <w:r w:rsidR="00BD08CF">
        <w:t> </w:t>
      </w:r>
      <w:r w:rsidRPr="004B7295">
        <w:t xml:space="preserve">posledních deseti letech kolísá mezi 5,4 % a 4,3 %, avšak za sledované období posledních deseti let byl </w:t>
      </w:r>
      <w:r w:rsidR="00907C65">
        <w:t xml:space="preserve">jejich </w:t>
      </w:r>
      <w:r w:rsidRPr="004B7295">
        <w:t xml:space="preserve">počet ve školním roce 2016/17 nejnižší. Zatímco počet všech středoškoláků v důsledku demografického vývoje v posledních deseti letech vytrvale klesal, počet starších </w:t>
      </w:r>
      <w:r w:rsidR="00D745F5">
        <w:t>studentů</w:t>
      </w:r>
      <w:r w:rsidRPr="004B7295">
        <w:t xml:space="preserve"> postupně narůstal až do roku 2008/09, ve kterém dosáhl nejvyššího dosavadního počtu 28 768 </w:t>
      </w:r>
      <w:r w:rsidR="00907C65">
        <w:t>žáků</w:t>
      </w:r>
      <w:r w:rsidRPr="004B7295">
        <w:t xml:space="preserve">. V následujících dvou letech se držel přibližně na stejné úrovni, od roku 2011/12 však již každoročně zaznamenáváme značný úbytek </w:t>
      </w:r>
      <w:r w:rsidR="00D745F5">
        <w:t>středoškolských studentů</w:t>
      </w:r>
      <w:r w:rsidRPr="004B7295">
        <w:t xml:space="preserve"> starších 25 let až na současnou hodnotu 18 168 osob.</w:t>
      </w:r>
    </w:p>
    <w:p w:rsidR="00F74103" w:rsidRPr="004B7295" w:rsidRDefault="00F74103" w:rsidP="00F74103">
      <w:pPr>
        <w:jc w:val="both"/>
      </w:pPr>
      <w:r w:rsidRPr="004B7295">
        <w:t>Menší část osob starších 25 let v rámci středoškolského vzdělávání studuje v </w:t>
      </w:r>
      <w:r w:rsidR="00E55E47">
        <w:t>běžném denním studiu</w:t>
      </w:r>
      <w:r w:rsidRPr="004B7295">
        <w:t xml:space="preserve"> (17 %). Počet takovýchto studentů i jejich podíl na celku středoškoláků oproti ostatním trendů</w:t>
      </w:r>
      <w:r w:rsidR="003364F0">
        <w:t>m</w:t>
      </w:r>
      <w:r w:rsidRPr="004B7295">
        <w:t xml:space="preserve"> v počtech středoškolsky se vzdělávajících dospělých v posledních letech absolutně i relativně stoupá. Ve školním roce 2016/17 jich bylo již téměř čtyřikrát více než před deseti lety a častěji se jedná o muže než ženy. Většina</w:t>
      </w:r>
      <w:r w:rsidR="00AD4C08">
        <w:t> </w:t>
      </w:r>
      <w:r w:rsidRPr="004B7295">
        <w:t>dospělých však v rámci středoškolského vzdělávání dává přednost výše zmíněným ostatním formám vzdělávání s jejich o něco nižšími časovými nároky na přítomnost ve vzdělávací instituci.</w:t>
      </w:r>
    </w:p>
    <w:p w:rsidR="00F74103" w:rsidRPr="004B7295" w:rsidRDefault="00F74103" w:rsidP="00164B85">
      <w:pPr>
        <w:pStyle w:val="Nadpis4"/>
      </w:pPr>
      <w:bookmarkStart w:id="15" w:name="_Graf_č._1:"/>
      <w:bookmarkStart w:id="16" w:name="_Toc505872813"/>
      <w:bookmarkStart w:id="17" w:name="_Toc506308521"/>
      <w:bookmarkEnd w:id="15"/>
      <w:r w:rsidRPr="004B7295">
        <w:t xml:space="preserve">Graf č. </w:t>
      </w:r>
      <w:r w:rsidR="00164B85">
        <w:t>1</w:t>
      </w:r>
      <w:r w:rsidRPr="004B7295">
        <w:t>: Studenti středního vzdělávání dle věku a formy studia</w:t>
      </w:r>
      <w:bookmarkEnd w:id="16"/>
      <w:r w:rsidR="00170501">
        <w:t>, 2006/07–2016/17</w:t>
      </w:r>
      <w:bookmarkEnd w:id="17"/>
    </w:p>
    <w:p w:rsidR="00F74103" w:rsidRPr="004B7295" w:rsidRDefault="000844A1" w:rsidP="00961A70">
      <w:pPr>
        <w:spacing w:after="120"/>
      </w:pPr>
      <w:r w:rsidRPr="000844A1">
        <w:rPr>
          <w:noProof/>
        </w:rPr>
        <w:drawing>
          <wp:inline distT="0" distB="0" distL="0" distR="0" wp14:anchorId="2711FFE2" wp14:editId="78924C07">
            <wp:extent cx="6115050" cy="3952875"/>
            <wp:effectExtent l="0" t="0" r="0" b="0"/>
            <wp:docPr id="3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74103" w:rsidRPr="00164B85" w:rsidRDefault="00164B85" w:rsidP="00961A70">
      <w:pPr>
        <w:spacing w:after="0"/>
        <w:rPr>
          <w:sz w:val="16"/>
        </w:rPr>
      </w:pPr>
      <w:r>
        <w:rPr>
          <w:sz w:val="16"/>
        </w:rPr>
        <w:t>P</w:t>
      </w:r>
      <w:r w:rsidR="00F74103" w:rsidRPr="00164B85">
        <w:rPr>
          <w:sz w:val="16"/>
        </w:rPr>
        <w:t>ozn.: OFV = ostatní formy vzdělávání</w:t>
      </w:r>
    </w:p>
    <w:p w:rsidR="00F74103" w:rsidRPr="004B7295" w:rsidRDefault="00164B85" w:rsidP="00F74103">
      <w:r>
        <w:t>Z</w:t>
      </w:r>
      <w:r w:rsidR="00F74103" w:rsidRPr="004B7295">
        <w:t>droj: MŠMT</w:t>
      </w:r>
    </w:p>
    <w:p w:rsidR="00F74103" w:rsidRPr="004B7295" w:rsidRDefault="00F74103" w:rsidP="00F74103">
      <w:pPr>
        <w:jc w:val="both"/>
      </w:pPr>
      <w:r w:rsidRPr="004B7295">
        <w:lastRenderedPageBreak/>
        <w:t>Prostřednictvím ostatních forem vzdělávání, tj. večerního, dálkového, distančního či kombinovaného studia samozřejmě nemusí studovat pouze osoby starší 25 let – je určeno všem zájemcům, kterým z nejrůznějších důvodů ne</w:t>
      </w:r>
      <w:r w:rsidR="00380A0B" w:rsidRPr="004B7295">
        <w:t>vyhovuje forma denního studia (h</w:t>
      </w:r>
      <w:r w:rsidRPr="004B7295">
        <w:t xml:space="preserve">ranice 25 let je zde </w:t>
      </w:r>
      <w:r w:rsidR="00380A0B" w:rsidRPr="004B7295">
        <w:t xml:space="preserve">sledována zejména </w:t>
      </w:r>
      <w:r w:rsidRPr="004B7295">
        <w:t>v kontextu výběrového souboru šetření AES, jehož hlavním zájmem je sledování populace ve věku 25–64 let), přičemž studující v rámci ostatních forem vzdělávání je vhodné posuzovat také v rámci celku. Jak je zřejmé z </w:t>
      </w:r>
      <w:hyperlink w:anchor="_Graf_č._1:" w:history="1">
        <w:r w:rsidRPr="00AD4C08">
          <w:rPr>
            <w:rStyle w:val="Hypertextovodkaz"/>
          </w:rPr>
          <w:t xml:space="preserve">grafů </w:t>
        </w:r>
        <w:r w:rsidR="00D745F5" w:rsidRPr="00AD4C08">
          <w:rPr>
            <w:rStyle w:val="Hypertextovodkaz"/>
          </w:rPr>
          <w:t>č. 1</w:t>
        </w:r>
      </w:hyperlink>
      <w:r w:rsidR="00D745F5">
        <w:t xml:space="preserve"> a </w:t>
      </w:r>
      <w:hyperlink w:anchor="_Graf_č._2:" w:history="1">
        <w:r w:rsidR="00D745F5" w:rsidRPr="00AD4C08">
          <w:rPr>
            <w:rStyle w:val="Hypertextovodkaz"/>
          </w:rPr>
          <w:t>č. 2</w:t>
        </w:r>
      </w:hyperlink>
      <w:r w:rsidRPr="004B7295">
        <w:t>, zájem o středoškolské studium prostřednictvím ostatních forem vzdělávání klesá jak m</w:t>
      </w:r>
      <w:r w:rsidR="00380A0B" w:rsidRPr="004B7295">
        <w:t>ezi studenty do 25 let, tak mezi těmi staršími 25 let</w:t>
      </w:r>
      <w:r w:rsidRPr="004B7295">
        <w:t>, přičemž tento pokles je, zejména mezi „mladšími“ studenty, v čase o něco rychlejší u mužů. O možné částečné kompenzaci úbytku studentů v ostatních formách vzdělávání nárůstem studentů v denní formě vzdělávání lze pouze spekulovat.</w:t>
      </w:r>
    </w:p>
    <w:p w:rsidR="00F74103" w:rsidRPr="004B7295" w:rsidRDefault="00F74103" w:rsidP="00164B85">
      <w:pPr>
        <w:pStyle w:val="Nadpis4"/>
      </w:pPr>
      <w:bookmarkStart w:id="18" w:name="_Graf_č._2:"/>
      <w:bookmarkStart w:id="19" w:name="_Toc505872814"/>
      <w:bookmarkStart w:id="20" w:name="_Toc506308522"/>
      <w:bookmarkEnd w:id="18"/>
      <w:r w:rsidRPr="004B7295">
        <w:t xml:space="preserve">Graf č. </w:t>
      </w:r>
      <w:r w:rsidR="00164B85">
        <w:t>2</w:t>
      </w:r>
      <w:r w:rsidRPr="004B7295">
        <w:t>: Studenti středního vzdělávání dle věku, pohlaví a formy studia</w:t>
      </w:r>
      <w:bookmarkEnd w:id="19"/>
      <w:r w:rsidR="00170501">
        <w:t>, 2006/07–2016/17</w:t>
      </w:r>
      <w:bookmarkEnd w:id="20"/>
    </w:p>
    <w:p w:rsidR="00F74103" w:rsidRPr="00164B85" w:rsidRDefault="000844A1" w:rsidP="00F74103">
      <w:pPr>
        <w:spacing w:after="0"/>
        <w:rPr>
          <w:sz w:val="16"/>
        </w:rPr>
      </w:pPr>
      <w:r w:rsidRPr="000844A1">
        <w:rPr>
          <w:noProof/>
        </w:rPr>
        <w:drawing>
          <wp:inline distT="0" distB="0" distL="0" distR="0" wp14:anchorId="1F7B9AF6" wp14:editId="63F490ED">
            <wp:extent cx="6200775" cy="4648200"/>
            <wp:effectExtent l="0" t="0" r="0" b="0"/>
            <wp:docPr id="37"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164B85" w:rsidRPr="00164B85">
        <w:rPr>
          <w:sz w:val="16"/>
        </w:rPr>
        <w:t>P</w:t>
      </w:r>
      <w:r w:rsidR="00F74103" w:rsidRPr="00164B85">
        <w:rPr>
          <w:sz w:val="16"/>
        </w:rPr>
        <w:t>ozn.: OFV = ostatní formy vzdělávání</w:t>
      </w:r>
    </w:p>
    <w:p w:rsidR="00F74103" w:rsidRPr="004B7295" w:rsidRDefault="00F74103" w:rsidP="00F74103">
      <w:r w:rsidRPr="004B7295">
        <w:t>Zdroj: MŠMT</w:t>
      </w:r>
    </w:p>
    <w:p w:rsidR="00F74103" w:rsidRPr="004B7295" w:rsidRDefault="00F74103" w:rsidP="00F74103">
      <w:pPr>
        <w:jc w:val="both"/>
      </w:pPr>
      <w:r w:rsidRPr="004B7295">
        <w:t>Zaměříme-li se u studentů</w:t>
      </w:r>
      <w:r w:rsidR="003364F0">
        <w:t xml:space="preserve"> ostatních forem vzdělávání</w:t>
      </w:r>
      <w:r w:rsidRPr="004B7295">
        <w:t xml:space="preserve"> (bez ohledu n</w:t>
      </w:r>
      <w:r w:rsidR="003364F0">
        <w:t>a věk)</w:t>
      </w:r>
      <w:r w:rsidRPr="004B7295">
        <w:t xml:space="preserve"> na druh jejich vzdělávání, je zřejmé, že se nejčastěji účastní nástavbového a zkráceného studia, následovaného studiem ukončeným maturitní zkouškou a, v o mnoho menší míře, také studiem ukončeným výučním listem. Pod pojmem nástavbové studium rozumíme studium zakončené maturitní zkouškou, které je však určené uchazečům, kteří již získali vzdělání s výučním listem (v délce 3 let denní formy studia) v příbuzném oboru vzdělání (podrobněji viz Školský zákon č. 561/2004 Sb., § 83). Prostřednictvím tzv. zkráceného studia lze získat střední vzdělání s maturitní zkouškou, příp. střední vzdělání s výučním listem, avšak je určeno pouze uchazečům, kteří již složili maturitní zkoušku, resp. získali maturitní vysvědčení či výuční list, v jiném oboru vzdělávání. Pro ty, kteří již maturitu mají, se tedy jedná o možnost získat „druhou maturitu“, příp. výuční list v jiném oboru vzdělávání. Ti, kteří jsou vyučeni, mohou prostřednictvím zkráceného studia získat další výuční list, tentokrát v jiném oboru.</w:t>
      </w:r>
    </w:p>
    <w:p w:rsidR="00F74103" w:rsidRPr="004B7295" w:rsidRDefault="00F74103" w:rsidP="00164B85">
      <w:pPr>
        <w:pStyle w:val="Nadpis4"/>
      </w:pPr>
      <w:bookmarkStart w:id="21" w:name="_Graf_č._3:"/>
      <w:bookmarkStart w:id="22" w:name="_Toc505872815"/>
      <w:bookmarkStart w:id="23" w:name="_Toc506308523"/>
      <w:bookmarkEnd w:id="21"/>
      <w:r w:rsidRPr="004B7295">
        <w:lastRenderedPageBreak/>
        <w:t xml:space="preserve">Graf č. </w:t>
      </w:r>
      <w:r w:rsidR="00164B85">
        <w:t>3</w:t>
      </w:r>
      <w:r w:rsidRPr="004B7295">
        <w:t>: Studenti ostatních forem středního vzdělávání dle druhu studia</w:t>
      </w:r>
      <w:bookmarkEnd w:id="22"/>
      <w:r w:rsidR="00170501">
        <w:t>, 2006/07–2016/17</w:t>
      </w:r>
      <w:bookmarkEnd w:id="23"/>
    </w:p>
    <w:p w:rsidR="00F74103" w:rsidRPr="004B7295" w:rsidRDefault="00D44E5A" w:rsidP="00961A70">
      <w:pPr>
        <w:spacing w:after="120"/>
      </w:pPr>
      <w:r w:rsidRPr="00D44E5A">
        <w:rPr>
          <w:noProof/>
        </w:rPr>
        <w:drawing>
          <wp:inline distT="0" distB="0" distL="0" distR="0" wp14:anchorId="3868D1D4" wp14:editId="284683EA">
            <wp:extent cx="6219825" cy="3257550"/>
            <wp:effectExtent l="0" t="0" r="0" b="0"/>
            <wp:docPr id="48"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74103" w:rsidRPr="004B7295" w:rsidRDefault="00F74103" w:rsidP="00F74103">
      <w:r w:rsidRPr="004B7295">
        <w:t>Zdroj: MŠMT</w:t>
      </w:r>
    </w:p>
    <w:p w:rsidR="00F74103" w:rsidRPr="004B7295" w:rsidRDefault="00F74103" w:rsidP="00F74103">
      <w:pPr>
        <w:jc w:val="both"/>
      </w:pPr>
      <w:r w:rsidRPr="004B7295">
        <w:t>Jak je zřejmé z </w:t>
      </w:r>
      <w:hyperlink w:anchor="_Graf_č._3:" w:history="1">
        <w:r w:rsidRPr="00BD08CF">
          <w:rPr>
            <w:rStyle w:val="Hypertextovodkaz"/>
          </w:rPr>
          <w:t xml:space="preserve">grafu č. </w:t>
        </w:r>
        <w:r w:rsidR="00D745F5" w:rsidRPr="00BD08CF">
          <w:rPr>
            <w:rStyle w:val="Hypertextovodkaz"/>
          </w:rPr>
          <w:t>3</w:t>
        </w:r>
      </w:hyperlink>
      <w:r w:rsidRPr="004B7295">
        <w:t>, zatímco počet studentů studujících v rámci ostatních forem vzdělávání je v případě středního vzdělávání s výučním listem či maturitní zkouškou v čase relativně stabilní, v posledních šesti letech se významně snižuje počet studentů nástavbového a zkráceného studia</w:t>
      </w:r>
      <w:r w:rsidRPr="004B7295">
        <w:rPr>
          <w:rStyle w:val="Znakapoznpodarou"/>
        </w:rPr>
        <w:footnoteReference w:id="8"/>
      </w:r>
      <w:r w:rsidRPr="004B7295">
        <w:t xml:space="preserve"> (přičemž v této kategorii významně převažuje nástavbové studium, tj. počet vyučených, kteří prostřednictvím nástavbového studia usilují o získání středního vzdělání s maturitní zkouškou). V rámci nástavbového studia se úbytek v počtu studentů studujících ostatními formami vzdělávání týká zejména skupiny oborů „Podnikání v oborech, odvětví“, na které připadají více než tři čtvrtiny všech studentů nástavbového studia. Zatímco ve</w:t>
      </w:r>
      <w:r w:rsidR="003536C8">
        <w:t> </w:t>
      </w:r>
      <w:r w:rsidRPr="004B7295">
        <w:t xml:space="preserve">školním roce 2009/10 jich bylo 16 704, ve školním roce 2016/17 se jejich počet snížil o více než polovinu na 7 144 osob. </w:t>
      </w:r>
    </w:p>
    <w:p w:rsidR="00F74103" w:rsidRPr="004B7295" w:rsidRDefault="00F74103" w:rsidP="00705950">
      <w:pPr>
        <w:pStyle w:val="Nadpis3"/>
      </w:pPr>
      <w:bookmarkStart w:id="24" w:name="_Toc505785826"/>
      <w:bookmarkStart w:id="25" w:name="_Toc506969412"/>
      <w:r w:rsidRPr="004B7295">
        <w:t>Vysokoškolské vzdělávání</w:t>
      </w:r>
      <w:bookmarkEnd w:id="24"/>
      <w:bookmarkEnd w:id="25"/>
    </w:p>
    <w:p w:rsidR="00A808B2" w:rsidRPr="004B7295" w:rsidRDefault="00257CDD" w:rsidP="00A808B2">
      <w:pPr>
        <w:jc w:val="both"/>
      </w:pPr>
      <w:r w:rsidRPr="004B7295">
        <w:t>Podle vysokoškolského zákona č. 111/1998 Sb., § 44, mají dospělí na vysokých školách možnost studovat ve třech možných formách studia, a to v prezenčním studiu, distančním studiu nebo jejich kombinaci (kombinované studium)</w:t>
      </w:r>
      <w:r w:rsidR="00380A0B" w:rsidRPr="004B7295">
        <w:rPr>
          <w:rStyle w:val="Znakapoznpodarou"/>
        </w:rPr>
        <w:footnoteReference w:id="9"/>
      </w:r>
      <w:r w:rsidRPr="004B7295">
        <w:t>.</w:t>
      </w:r>
      <w:r w:rsidR="00380A0B" w:rsidRPr="004B7295">
        <w:t xml:space="preserve"> </w:t>
      </w:r>
      <w:r w:rsidRPr="004B7295">
        <w:t xml:space="preserve">Pro prezenční studium se vžil dříve používaný název denní studium, jelikož výuka probíhá ve všední dny, a to nejčastěji v podobě přednášek, seminářů, cvičení, laboratorních praktik apod. </w:t>
      </w:r>
      <w:r w:rsidR="00A808B2" w:rsidRPr="004B7295">
        <w:t>Školský zákon č. 561/2004 Sb., na rozdíl od vysokoškolského, prezenční studium nezná, ale hovoří o</w:t>
      </w:r>
      <w:r w:rsidR="00BD08CF">
        <w:t> </w:t>
      </w:r>
      <w:r w:rsidR="00A808B2" w:rsidRPr="004B7295">
        <w:t>tzv</w:t>
      </w:r>
      <w:r w:rsidR="00BD08CF">
        <w:t>. </w:t>
      </w:r>
      <w:r w:rsidR="00A808B2" w:rsidRPr="004B7295">
        <w:t>denní formě vzdělávání, jako o jedné z pěti možných způsobů vzdělávání.</w:t>
      </w:r>
      <w:r w:rsidR="00380A0B" w:rsidRPr="004B7295">
        <w:t xml:space="preserve"> </w:t>
      </w:r>
      <w:r w:rsidR="00A808B2" w:rsidRPr="004B7295">
        <w:t xml:space="preserve">Druhou formou </w:t>
      </w:r>
      <w:r w:rsidR="00380A0B" w:rsidRPr="004B7295">
        <w:t>vysokoškolského</w:t>
      </w:r>
      <w:r w:rsidR="00A808B2" w:rsidRPr="004B7295">
        <w:t xml:space="preserve"> studia je distanční studium, které je uskutečňováno zcela nebo převážně prostřednictvím informačních technologií, popřípadě je doplněno individuálními konzultacemi (zákon č. 561/2004 Sb., § 25). Studenti se tak nemusí účastnit přednášek a cvičení jako studenti prezenčního studia.</w:t>
      </w:r>
      <w:r w:rsidR="00380A0B" w:rsidRPr="004B7295">
        <w:t xml:space="preserve"> </w:t>
      </w:r>
      <w:r w:rsidR="00A808B2" w:rsidRPr="004B7295">
        <w:t xml:space="preserve">Poslední </w:t>
      </w:r>
      <w:r w:rsidR="00380A0B" w:rsidRPr="004B7295">
        <w:t xml:space="preserve">zmíněnou </w:t>
      </w:r>
      <w:r w:rsidR="00A808B2" w:rsidRPr="004B7295">
        <w:t xml:space="preserve">formu </w:t>
      </w:r>
      <w:r w:rsidR="00380A0B" w:rsidRPr="004B7295">
        <w:t>vysokoškolského</w:t>
      </w:r>
      <w:r w:rsidR="00A808B2" w:rsidRPr="004B7295">
        <w:t xml:space="preserve"> vzdělávání představuje kombinované studium. Jedná se o střídání denní a jiné formy vzdělávání stanovené zákonem</w:t>
      </w:r>
      <w:r w:rsidR="00A808B2" w:rsidRPr="004B7295">
        <w:rPr>
          <w:i/>
        </w:rPr>
        <w:t xml:space="preserve"> </w:t>
      </w:r>
      <w:r w:rsidR="00A808B2" w:rsidRPr="004B7295">
        <w:t xml:space="preserve">a vedle samostudia </w:t>
      </w:r>
      <w:r w:rsidR="00D745F5">
        <w:t>zahrnuje i přímý kontakt s vyučujícími.</w:t>
      </w:r>
    </w:p>
    <w:p w:rsidR="00F74103" w:rsidRPr="004B7295" w:rsidRDefault="00F74103" w:rsidP="00164B85">
      <w:pPr>
        <w:pStyle w:val="Nadpis4"/>
      </w:pPr>
      <w:bookmarkStart w:id="26" w:name="_Toc505872816"/>
      <w:bookmarkStart w:id="27" w:name="_Toc506308524"/>
      <w:r w:rsidRPr="004B7295">
        <w:lastRenderedPageBreak/>
        <w:t xml:space="preserve">Graf č. </w:t>
      </w:r>
      <w:r w:rsidR="00164B85">
        <w:t>4</w:t>
      </w:r>
      <w:r w:rsidRPr="004B7295">
        <w:t xml:space="preserve">: </w:t>
      </w:r>
      <w:r w:rsidR="00170501">
        <w:t>Studenti</w:t>
      </w:r>
      <w:r w:rsidRPr="004B7295">
        <w:t xml:space="preserve"> veřejných a soukromých vysokých škol dle věkových kategorií</w:t>
      </w:r>
      <w:bookmarkEnd w:id="26"/>
      <w:r w:rsidR="00170501">
        <w:t>, 2006–2016</w:t>
      </w:r>
      <w:bookmarkEnd w:id="27"/>
    </w:p>
    <w:p w:rsidR="00F74103" w:rsidRPr="004B7295" w:rsidRDefault="00771A74" w:rsidP="00961A70">
      <w:pPr>
        <w:spacing w:after="120"/>
        <w:jc w:val="both"/>
      </w:pPr>
      <w:r w:rsidRPr="00771A74">
        <w:rPr>
          <w:noProof/>
        </w:rPr>
        <w:drawing>
          <wp:inline distT="0" distB="0" distL="0" distR="0" wp14:anchorId="343F6FF1" wp14:editId="00B6326B">
            <wp:extent cx="6057900" cy="2943225"/>
            <wp:effectExtent l="0" t="0" r="0" b="0"/>
            <wp:docPr id="40"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74103" w:rsidRPr="004B7295" w:rsidRDefault="00F74103" w:rsidP="00F74103">
      <w:r w:rsidRPr="004B7295">
        <w:t>Zdroj: MŠMT</w:t>
      </w:r>
    </w:p>
    <w:p w:rsidR="00F74103" w:rsidRPr="004B7295" w:rsidRDefault="00F74103" w:rsidP="00164B85">
      <w:pPr>
        <w:pStyle w:val="Nadpis4"/>
      </w:pPr>
      <w:bookmarkStart w:id="28" w:name="_Toc505872817"/>
      <w:bookmarkStart w:id="29" w:name="_Toc506308525"/>
      <w:r w:rsidRPr="004B7295">
        <w:t xml:space="preserve">Graf č. </w:t>
      </w:r>
      <w:r w:rsidR="00164B85">
        <w:t>5</w:t>
      </w:r>
      <w:r w:rsidRPr="004B7295">
        <w:t xml:space="preserve">: </w:t>
      </w:r>
      <w:r w:rsidR="00170501">
        <w:t>Studenti</w:t>
      </w:r>
      <w:r w:rsidRPr="004B7295">
        <w:t xml:space="preserve"> veřejných a soukromých vysokých škol dle studijního programu a věkových kategorií (v tis.)</w:t>
      </w:r>
      <w:bookmarkEnd w:id="28"/>
      <w:r w:rsidR="00170501">
        <w:t>, 2006–2016</w:t>
      </w:r>
      <w:bookmarkEnd w:id="29"/>
    </w:p>
    <w:tbl>
      <w:tblPr>
        <w:tblStyle w:val="Mkatabulky"/>
        <w:tblW w:w="9736" w:type="dxa"/>
        <w:tblBorders>
          <w:top w:val="none" w:sz="0" w:space="0" w:color="auto"/>
          <w:left w:val="none" w:sz="0" w:space="0" w:color="auto"/>
          <w:bottom w:val="none" w:sz="0" w:space="0" w:color="auto"/>
          <w:right w:val="none" w:sz="0" w:space="0" w:color="auto"/>
          <w:insideH w:val="dashed" w:sz="4" w:space="0" w:color="auto"/>
          <w:insideV w:val="dashed" w:sz="4" w:space="0" w:color="auto"/>
        </w:tblBorders>
        <w:tblLayout w:type="fixed"/>
        <w:tblLook w:val="04A0" w:firstRow="1" w:lastRow="0" w:firstColumn="1" w:lastColumn="0" w:noHBand="0" w:noVBand="1"/>
      </w:tblPr>
      <w:tblGrid>
        <w:gridCol w:w="4786"/>
        <w:gridCol w:w="4950"/>
      </w:tblGrid>
      <w:tr w:rsidR="00F74103" w:rsidRPr="004B7295" w:rsidTr="00771A74">
        <w:trPr>
          <w:trHeight w:val="20"/>
        </w:trPr>
        <w:tc>
          <w:tcPr>
            <w:tcW w:w="4786" w:type="dxa"/>
            <w:vAlign w:val="center"/>
          </w:tcPr>
          <w:p w:rsidR="00F74103" w:rsidRPr="004B7295" w:rsidRDefault="00771A74" w:rsidP="00475409">
            <w:pPr>
              <w:ind w:right="-273"/>
              <w:rPr>
                <w:rFonts w:asciiTheme="majorHAnsi" w:hAnsiTheme="majorHAnsi"/>
                <w:sz w:val="20"/>
                <w:szCs w:val="20"/>
              </w:rPr>
            </w:pPr>
            <w:r w:rsidRPr="00771A74">
              <w:rPr>
                <w:rFonts w:asciiTheme="majorHAnsi" w:hAnsiTheme="majorHAnsi"/>
                <w:noProof/>
                <w:szCs w:val="20"/>
              </w:rPr>
              <w:drawing>
                <wp:inline distT="0" distB="0" distL="0" distR="0" wp14:anchorId="68B8D962" wp14:editId="16786C62">
                  <wp:extent cx="2790825" cy="2019300"/>
                  <wp:effectExtent l="0" t="0" r="0" b="0"/>
                  <wp:docPr id="41"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950" w:type="dxa"/>
            <w:vAlign w:val="center"/>
          </w:tcPr>
          <w:p w:rsidR="00F74103" w:rsidRPr="004B7295" w:rsidRDefault="00771A74" w:rsidP="00475409">
            <w:pPr>
              <w:jc w:val="center"/>
              <w:rPr>
                <w:rFonts w:asciiTheme="majorHAnsi" w:hAnsiTheme="majorHAnsi"/>
                <w:sz w:val="20"/>
                <w:szCs w:val="20"/>
              </w:rPr>
            </w:pPr>
            <w:r w:rsidRPr="00771A74">
              <w:rPr>
                <w:rFonts w:asciiTheme="majorHAnsi" w:hAnsiTheme="majorHAnsi"/>
                <w:noProof/>
                <w:szCs w:val="20"/>
              </w:rPr>
              <w:drawing>
                <wp:inline distT="0" distB="0" distL="0" distR="0" wp14:anchorId="24E29A22" wp14:editId="243FDC7A">
                  <wp:extent cx="2819400" cy="1981200"/>
                  <wp:effectExtent l="0" t="0" r="0" b="0"/>
                  <wp:docPr id="42"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F74103" w:rsidRPr="004B7295" w:rsidTr="00771A74">
        <w:trPr>
          <w:trHeight w:val="20"/>
        </w:trPr>
        <w:tc>
          <w:tcPr>
            <w:tcW w:w="4786" w:type="dxa"/>
            <w:vAlign w:val="center"/>
          </w:tcPr>
          <w:p w:rsidR="00F74103" w:rsidRPr="004B7295" w:rsidRDefault="00771A74" w:rsidP="00961A70">
            <w:pPr>
              <w:spacing w:after="120"/>
              <w:rPr>
                <w:rFonts w:asciiTheme="majorHAnsi" w:hAnsiTheme="majorHAnsi"/>
                <w:sz w:val="20"/>
                <w:szCs w:val="20"/>
              </w:rPr>
            </w:pPr>
            <w:r w:rsidRPr="00771A74">
              <w:rPr>
                <w:rFonts w:asciiTheme="majorHAnsi" w:hAnsiTheme="majorHAnsi"/>
                <w:noProof/>
                <w:szCs w:val="20"/>
              </w:rPr>
              <w:drawing>
                <wp:inline distT="0" distB="0" distL="0" distR="0" wp14:anchorId="40F9EACB" wp14:editId="4EB1499C">
                  <wp:extent cx="2771775" cy="2019300"/>
                  <wp:effectExtent l="0" t="0" r="0" b="0"/>
                  <wp:docPr id="43"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950" w:type="dxa"/>
            <w:vAlign w:val="center"/>
          </w:tcPr>
          <w:p w:rsidR="00F74103" w:rsidRPr="004B7295" w:rsidRDefault="00771A74" w:rsidP="00961A70">
            <w:pPr>
              <w:spacing w:after="120"/>
              <w:jc w:val="center"/>
              <w:rPr>
                <w:rFonts w:asciiTheme="majorHAnsi" w:hAnsiTheme="majorHAnsi"/>
                <w:sz w:val="20"/>
                <w:szCs w:val="20"/>
              </w:rPr>
            </w:pPr>
            <w:r w:rsidRPr="00771A74">
              <w:rPr>
                <w:rFonts w:asciiTheme="majorHAnsi" w:hAnsiTheme="majorHAnsi"/>
                <w:noProof/>
                <w:szCs w:val="20"/>
              </w:rPr>
              <w:drawing>
                <wp:inline distT="0" distB="0" distL="0" distR="0" wp14:anchorId="0261B3AD" wp14:editId="7936AAB1">
                  <wp:extent cx="2905125" cy="2028825"/>
                  <wp:effectExtent l="0" t="0" r="0" b="0"/>
                  <wp:docPr id="44"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rsidR="00D44E5A" w:rsidRDefault="00D44E5A" w:rsidP="00D44E5A">
      <w:pPr>
        <w:jc w:val="center"/>
      </w:pPr>
      <w:r>
        <w:rPr>
          <w:noProof/>
        </w:rPr>
        <w:drawing>
          <wp:anchor distT="0" distB="0" distL="114300" distR="114300" simplePos="0" relativeHeight="251666944" behindDoc="1" locked="0" layoutInCell="1" allowOverlap="1" wp14:anchorId="413F4702" wp14:editId="3393E820">
            <wp:simplePos x="0" y="0"/>
            <wp:positionH relativeFrom="column">
              <wp:posOffset>1946910</wp:posOffset>
            </wp:positionH>
            <wp:positionV relativeFrom="paragraph">
              <wp:posOffset>-4445</wp:posOffset>
            </wp:positionV>
            <wp:extent cx="2057400" cy="247650"/>
            <wp:effectExtent l="19050" t="0" r="0" b="0"/>
            <wp:wrapNone/>
            <wp:docPr id="4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srcRect/>
                    <a:stretch>
                      <a:fillRect/>
                    </a:stretch>
                  </pic:blipFill>
                  <pic:spPr bwMode="auto">
                    <a:xfrm>
                      <a:off x="0" y="0"/>
                      <a:ext cx="2057400" cy="247650"/>
                    </a:xfrm>
                    <a:prstGeom prst="rect">
                      <a:avLst/>
                    </a:prstGeom>
                    <a:noFill/>
                    <a:ln w="9525">
                      <a:noFill/>
                      <a:miter lim="800000"/>
                      <a:headEnd/>
                      <a:tailEnd/>
                    </a:ln>
                  </pic:spPr>
                </pic:pic>
              </a:graphicData>
            </a:graphic>
          </wp:anchor>
        </w:drawing>
      </w:r>
    </w:p>
    <w:p w:rsidR="00F74103" w:rsidRPr="004B7295" w:rsidRDefault="00F74103" w:rsidP="00D44E5A">
      <w:pPr>
        <w:jc w:val="both"/>
      </w:pPr>
      <w:r w:rsidRPr="004B7295">
        <w:t>Zdroj: MŠMT</w:t>
      </w:r>
    </w:p>
    <w:p w:rsidR="00D745F5" w:rsidRPr="004B7295" w:rsidRDefault="00D745F5" w:rsidP="00D745F5">
      <w:pPr>
        <w:jc w:val="both"/>
      </w:pPr>
      <w:r w:rsidRPr="004B7295">
        <w:lastRenderedPageBreak/>
        <w:t>Zájemci o vysokoškolské studium měli v roce 2016 možnost vybrat si ze studia na celkem 26 vysokých školách, na kterých studovalo více než 315 tisíc studentů. Z celkového počtu studentů byly dvě třetiny mladší 25 let, jedna pětina ve věku 25–29 let, zbylých 15 % studentů byl</w:t>
      </w:r>
      <w:r w:rsidR="0038064C">
        <w:t>o</w:t>
      </w:r>
      <w:r w:rsidRPr="004B7295">
        <w:t xml:space="preserve"> ve věku 30 a více let. Od roku 2010, kdy počet vysokoškolských studentů kulminoval a dosahoval hodnoty téměř 400 tisíc studujících, však v posledních letech zaznamenáváme značný pokles</w:t>
      </w:r>
      <w:r w:rsidR="00585EBD">
        <w:t xml:space="preserve"> počtu studentů</w:t>
      </w:r>
      <w:r w:rsidRPr="004B7295">
        <w:t>. Zatímco vysokoškolských studentů do</w:t>
      </w:r>
      <w:r w:rsidR="003536C8">
        <w:t> </w:t>
      </w:r>
      <w:r w:rsidRPr="004B7295">
        <w:t>25 let je dnes o 20 %, resp. 14 % pro věkovou skupinu 25–29 let, méně, studentů starších 30 let za</w:t>
      </w:r>
      <w:r w:rsidR="003536C8">
        <w:t> </w:t>
      </w:r>
      <w:r w:rsidRPr="004B7295">
        <w:t>stejnou dobu ubylo o 35 %. Jejich počet se snížil z téměř 70 tis. v roce 2010 na 45,5 tis.</w:t>
      </w:r>
      <w:r w:rsidRPr="004B7295">
        <w:rPr>
          <w:rStyle w:val="Znakapoznpodarou"/>
        </w:rPr>
        <w:footnoteReference w:id="10"/>
      </w:r>
      <w:r w:rsidRPr="004B7295">
        <w:t xml:space="preserve"> v roce 2016. </w:t>
      </w:r>
    </w:p>
    <w:p w:rsidR="00D745F5" w:rsidRPr="004B7295" w:rsidRDefault="00D745F5" w:rsidP="00D745F5">
      <w:pPr>
        <w:jc w:val="both"/>
      </w:pPr>
      <w:r>
        <w:t xml:space="preserve">V roce 2016 studovalo na vysokých školách v ČR 45 521 osob starších 30 let. Nejvíce </w:t>
      </w:r>
      <w:r w:rsidRPr="004B7295">
        <w:t>(47 %) navštěvovalo bakalářské studijní programy, 29 % magisterské studijní programy, zbylých 24 % se poté vzdělávalo v rámci doktorského studia.</w:t>
      </w:r>
    </w:p>
    <w:p w:rsidR="00F74103" w:rsidRPr="004B7295" w:rsidRDefault="00F74103" w:rsidP="00F74103">
      <w:pPr>
        <w:jc w:val="both"/>
      </w:pPr>
      <w:r w:rsidRPr="004B7295">
        <w:t>Z časového srovnání je patrné, že výše zmíněný odliv studentů starších 30 let z vysokoškolských studií byl zapříčiněn především významným úbytkem studentů bakalářských, resp. magisterských studijních programů. Zatímco studentů magisterských programů starších 30 let ubylo od roku 2010 o 31 %, stejně starých studentů bakalářského studia je nyní méně téměř o polovinu (46 %). V čase relativně stabilní zůstává pouze počet studentů doktorského studia.</w:t>
      </w:r>
    </w:p>
    <w:p w:rsidR="00170501" w:rsidRPr="004B7295" w:rsidRDefault="00F74103" w:rsidP="00170501">
      <w:pPr>
        <w:pStyle w:val="Nadpis4"/>
      </w:pPr>
      <w:bookmarkStart w:id="30" w:name="_Toc505872818"/>
      <w:bookmarkStart w:id="31" w:name="_Toc506308526"/>
      <w:r w:rsidRPr="004B7295">
        <w:t xml:space="preserve">Graf č. </w:t>
      </w:r>
      <w:r w:rsidR="00164B85">
        <w:t>6</w:t>
      </w:r>
      <w:r w:rsidRPr="004B7295">
        <w:t>: Studenti veřejných a soukromých vysokých škol ve věku 30 a více let dle studijního programu</w:t>
      </w:r>
      <w:bookmarkEnd w:id="30"/>
      <w:r w:rsidR="00170501">
        <w:t>, 2006–2016</w:t>
      </w:r>
      <w:bookmarkEnd w:id="31"/>
    </w:p>
    <w:p w:rsidR="00F74103" w:rsidRPr="004B7295" w:rsidRDefault="00D44E5A" w:rsidP="00E82629">
      <w:pPr>
        <w:spacing w:after="120"/>
      </w:pPr>
      <w:r w:rsidRPr="00D44E5A">
        <w:rPr>
          <w:noProof/>
        </w:rPr>
        <w:drawing>
          <wp:inline distT="0" distB="0" distL="0" distR="0" wp14:anchorId="4C3CE9A4" wp14:editId="57DC267F">
            <wp:extent cx="6238875" cy="3867150"/>
            <wp:effectExtent l="0" t="0" r="0" b="0"/>
            <wp:docPr id="50"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74103" w:rsidRPr="004B7295" w:rsidRDefault="00F74103" w:rsidP="00F74103">
      <w:r w:rsidRPr="004B7295">
        <w:t>Zdroj: MŠMT</w:t>
      </w:r>
    </w:p>
    <w:p w:rsidR="00F74103" w:rsidRPr="004B7295" w:rsidRDefault="00F74103" w:rsidP="00164B85">
      <w:pPr>
        <w:pStyle w:val="Nadpis2"/>
      </w:pPr>
      <w:bookmarkStart w:id="32" w:name="_Toc505785827"/>
      <w:bookmarkStart w:id="33" w:name="_Toc506969413"/>
      <w:r w:rsidRPr="004B7295">
        <w:lastRenderedPageBreak/>
        <w:t>Formální vzdělávání v AES</w:t>
      </w:r>
      <w:bookmarkEnd w:id="32"/>
      <w:bookmarkEnd w:id="33"/>
    </w:p>
    <w:p w:rsidR="00F74103" w:rsidRPr="004B7295" w:rsidRDefault="00F74103" w:rsidP="00F74103">
      <w:pPr>
        <w:jc w:val="both"/>
      </w:pPr>
      <w:r w:rsidRPr="004B7295">
        <w:t>V rámci zjišťování účasti dospělých ve formálním vzdělávání ve výběrovém šetření AES byla respondentům položena otázka, zda se v posledních 12 měsících</w:t>
      </w:r>
      <w:r w:rsidRPr="004B7295">
        <w:rPr>
          <w:rStyle w:val="Znakapoznpodarou"/>
        </w:rPr>
        <w:footnoteReference w:id="11"/>
      </w:r>
      <w:r w:rsidRPr="004B7295">
        <w:t xml:space="preserve"> účastnili nějakého formálního vzdělávání, tj. vzdělávání v rámci klasické školské soustavy na základních, středních, vyšších odborných a vysokých školách (univerzitách). Výstupy ukazují, že osob, které se do formálního vzdělávání zapojují i </w:t>
      </w:r>
      <w:r w:rsidR="00380A0B" w:rsidRPr="004B7295">
        <w:t>v</w:t>
      </w:r>
      <w:r w:rsidRPr="004B7295">
        <w:t> pozdějším věku</w:t>
      </w:r>
      <w:r w:rsidR="003364F0">
        <w:t>,</w:t>
      </w:r>
      <w:r w:rsidRPr="004B7295">
        <w:t xml:space="preserve"> není v České republice mnoho. V roce 2016 se formálního vzdělávání účastnilo pouze </w:t>
      </w:r>
      <w:r w:rsidR="00D745F5">
        <w:t>přibližně 9</w:t>
      </w:r>
      <w:r w:rsidRPr="004B7295">
        <w:t xml:space="preserve"> % osob ve věku 18–69 let a </w:t>
      </w:r>
      <w:r w:rsidR="00D745F5">
        <w:t>3</w:t>
      </w:r>
      <w:r w:rsidRPr="004B7295">
        <w:t xml:space="preserve"> % osob ve věkové skupině 25–64 let. Jak ukazuje </w:t>
      </w:r>
      <w:hyperlink w:anchor="_Graf_č._7:" w:history="1">
        <w:r w:rsidRPr="003B51E9">
          <w:rPr>
            <w:rStyle w:val="Hypertextovodkaz"/>
          </w:rPr>
          <w:t xml:space="preserve">graf č. </w:t>
        </w:r>
        <w:r w:rsidR="007970CB" w:rsidRPr="003B51E9">
          <w:rPr>
            <w:rStyle w:val="Hypertextovodkaz"/>
          </w:rPr>
          <w:t>7</w:t>
        </w:r>
      </w:hyperlink>
      <w:r w:rsidRPr="004B7295">
        <w:t>, který potvrzuje výše uvedené údaje z administrativních zdrojů, studentů formálního vzdělávání, jak v </w:t>
      </w:r>
      <w:r w:rsidR="00144E4E" w:rsidRPr="004B7295">
        <w:t>„</w:t>
      </w:r>
      <w:r w:rsidRPr="004B7295">
        <w:t>mladším</w:t>
      </w:r>
      <w:r w:rsidR="00144E4E" w:rsidRPr="004B7295">
        <w:t>“</w:t>
      </w:r>
      <w:r w:rsidRPr="004B7295">
        <w:t>, tak „starším“ věku, ubývá.</w:t>
      </w:r>
    </w:p>
    <w:p w:rsidR="00F74103" w:rsidRPr="004B7295" w:rsidRDefault="00F74103" w:rsidP="00164B85">
      <w:pPr>
        <w:pStyle w:val="Nadpis4"/>
      </w:pPr>
      <w:bookmarkStart w:id="34" w:name="_Graf_č._7:"/>
      <w:bookmarkStart w:id="35" w:name="_Toc505872819"/>
      <w:bookmarkStart w:id="36" w:name="_Toc506308527"/>
      <w:bookmarkEnd w:id="34"/>
      <w:r w:rsidRPr="004B7295">
        <w:t xml:space="preserve">Graf č. </w:t>
      </w:r>
      <w:r w:rsidR="00164B85">
        <w:t>7</w:t>
      </w:r>
      <w:r w:rsidRPr="004B7295">
        <w:t>: Účast dospělých ve formálním vzdělávání dle věkových kategorií</w:t>
      </w:r>
      <w:bookmarkEnd w:id="35"/>
      <w:r w:rsidR="00170501">
        <w:t>, 2007</w:t>
      </w:r>
      <w:r w:rsidR="00585EBD">
        <w:t>–</w:t>
      </w:r>
      <w:r w:rsidR="00170501">
        <w:t>2016</w:t>
      </w:r>
      <w:bookmarkEnd w:id="36"/>
    </w:p>
    <w:p w:rsidR="00F74103" w:rsidRPr="004B7295" w:rsidRDefault="007970CB" w:rsidP="00E82629">
      <w:pPr>
        <w:spacing w:after="120"/>
        <w:jc w:val="both"/>
      </w:pPr>
      <w:r w:rsidRPr="007970CB">
        <w:rPr>
          <w:noProof/>
        </w:rPr>
        <w:drawing>
          <wp:inline distT="0" distB="0" distL="0" distR="0" wp14:anchorId="33BDC1E2" wp14:editId="11C3DC96">
            <wp:extent cx="6111875" cy="3076575"/>
            <wp:effectExtent l="0" t="0" r="0" b="0"/>
            <wp:docPr id="51"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74103" w:rsidRPr="004B7295" w:rsidRDefault="00F74103" w:rsidP="00F74103">
      <w:pPr>
        <w:jc w:val="both"/>
      </w:pPr>
      <w:r w:rsidRPr="004B7295">
        <w:t xml:space="preserve">Zdroj: AES </w:t>
      </w:r>
      <w:r w:rsidR="00143760">
        <w:t xml:space="preserve">2007, 2011, </w:t>
      </w:r>
      <w:r w:rsidRPr="004B7295">
        <w:t>2016, ČSÚ</w:t>
      </w:r>
    </w:p>
    <w:p w:rsidR="00F74103" w:rsidRDefault="00F74103" w:rsidP="00F74103">
      <w:pPr>
        <w:jc w:val="both"/>
      </w:pPr>
      <w:r w:rsidRPr="004B7295">
        <w:t>V šířeji definované věkové skupině 18–69 let, která zahrnuje i část studentů počátečního středního vzdělávání a celkovou množinu studentů terciárního vzdělávání</w:t>
      </w:r>
      <w:r w:rsidR="009C4063" w:rsidRPr="004B7295">
        <w:t>,</w:t>
      </w:r>
      <w:r w:rsidRPr="004B7295">
        <w:t xml:space="preserve"> se 39 % studentů účastnilo sekundárního vzdělávání</w:t>
      </w:r>
      <w:r w:rsidRPr="004B7295">
        <w:rPr>
          <w:rStyle w:val="Znakapoznpodarou"/>
        </w:rPr>
        <w:footnoteReference w:id="12"/>
      </w:r>
      <w:r w:rsidRPr="004B7295">
        <w:t xml:space="preserve"> a 60 % terciárního (vyššího odborného a vysokoškolského) vzdělávání</w:t>
      </w:r>
      <w:r w:rsidRPr="004B7295">
        <w:rPr>
          <w:rStyle w:val="Znakapoznpodarou"/>
        </w:rPr>
        <w:footnoteReference w:id="13"/>
      </w:r>
      <w:r w:rsidRPr="004B7295">
        <w:t>. Pokud věkové rozpětí omezíme na osoby ve věku 25–64 let, podíl studentů terciárního vzdělávání logicky vzroste – v této věkové skupině se 10 % studujících vzdělává v rámci sekundárního vzdělávání, 90 % v rámci programů terciárního vzdělávání.</w:t>
      </w:r>
    </w:p>
    <w:p w:rsidR="007970CB" w:rsidRPr="004B7295" w:rsidRDefault="007970CB" w:rsidP="007970CB">
      <w:pPr>
        <w:jc w:val="both"/>
      </w:pPr>
      <w:r w:rsidRPr="004B7295">
        <w:t>Kvalita institucionálního a legislativního prostředí pro formální vzdělávání, vzdělanostní struktura populace, nabídka a úroveň vzdělávacích příležitostí a aktuální kvalifikační požadavky na trhu práce. To jsou hlavní faktory, které mají vliv na míru zapojení dospělých osob do počátečního i dalšího formálního vzdělávání. Různá konfigurace těchto faktorů v</w:t>
      </w:r>
      <w:r>
        <w:t> každé zemi</w:t>
      </w:r>
      <w:r w:rsidRPr="004B7295">
        <w:t xml:space="preserve"> vede k odlišné míře zapojení dospělých do formálního vzdělávání. Ta u dospělých ve věku 25–64 let napříč státy EU výrazně variuje od </w:t>
      </w:r>
      <w:r>
        <w:t>14</w:t>
      </w:r>
      <w:r w:rsidRPr="004B7295">
        <w:t>%</w:t>
      </w:r>
      <w:r w:rsidR="00585EBD">
        <w:t xml:space="preserve"> míry zapojení do</w:t>
      </w:r>
      <w:r w:rsidR="003536C8">
        <w:t> </w:t>
      </w:r>
      <w:r w:rsidR="00585EBD">
        <w:t xml:space="preserve">vzdělávání </w:t>
      </w:r>
      <w:r w:rsidRPr="004B7295">
        <w:t xml:space="preserve">ve Švédsku po </w:t>
      </w:r>
      <w:r>
        <w:t>necelá 2</w:t>
      </w:r>
      <w:r w:rsidRPr="004B7295">
        <w:t xml:space="preserve"> % na Slovensku v roce 2016.  </w:t>
      </w:r>
    </w:p>
    <w:p w:rsidR="007970CB" w:rsidRPr="004B7295" w:rsidRDefault="007970CB" w:rsidP="00F74103">
      <w:pPr>
        <w:jc w:val="both"/>
      </w:pPr>
    </w:p>
    <w:p w:rsidR="00200BCD" w:rsidRPr="004B7295" w:rsidRDefault="00200BCD" w:rsidP="00164B85">
      <w:pPr>
        <w:pStyle w:val="Nadpis4"/>
      </w:pPr>
      <w:bookmarkStart w:id="37" w:name="_Toc506308528"/>
      <w:bookmarkStart w:id="38" w:name="_Toc505872820"/>
      <w:r w:rsidRPr="007A3F91">
        <w:lastRenderedPageBreak/>
        <w:t xml:space="preserve">Graf č. </w:t>
      </w:r>
      <w:r w:rsidR="00164B85" w:rsidRPr="007A3F91">
        <w:t>8</w:t>
      </w:r>
      <w:r w:rsidRPr="007A3F91">
        <w:t xml:space="preserve">: Účast a průměrný počet hodin </w:t>
      </w:r>
      <w:r w:rsidR="00A536A6" w:rsidRPr="007A3F91">
        <w:t>formálního</w:t>
      </w:r>
      <w:r w:rsidRPr="007A3F91">
        <w:t xml:space="preserve"> vzdělávání</w:t>
      </w:r>
      <w:r w:rsidR="00A536A6" w:rsidRPr="007A3F91">
        <w:t xml:space="preserve"> </w:t>
      </w:r>
      <w:r w:rsidR="00170501" w:rsidRPr="007A3F91">
        <w:t>měsíčně</w:t>
      </w:r>
      <w:r w:rsidR="00164B85" w:rsidRPr="007A3F91">
        <w:t xml:space="preserve"> </w:t>
      </w:r>
      <w:r w:rsidR="00462266" w:rsidRPr="007A3F91">
        <w:t xml:space="preserve">(25–64 let) </w:t>
      </w:r>
      <w:r w:rsidR="00164B85" w:rsidRPr="007A3F91">
        <w:t>– mezinárodní srovnání</w:t>
      </w:r>
      <w:bookmarkEnd w:id="37"/>
      <w:r w:rsidR="00164B85" w:rsidRPr="007A3F91">
        <w:t xml:space="preserve"> </w:t>
      </w:r>
      <w:bookmarkEnd w:id="38"/>
    </w:p>
    <w:p w:rsidR="00200BCD" w:rsidRPr="004B7295" w:rsidRDefault="00A00352" w:rsidP="00A00352">
      <w:pPr>
        <w:spacing w:after="120"/>
        <w:jc w:val="both"/>
      </w:pPr>
      <w:r>
        <w:rPr>
          <w:noProof/>
        </w:rPr>
        <w:drawing>
          <wp:inline distT="0" distB="0" distL="0" distR="0" wp14:anchorId="26722F4D" wp14:editId="3CB178DD">
            <wp:extent cx="6153150" cy="4124325"/>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00BCD" w:rsidRPr="004B7295" w:rsidRDefault="00200BCD" w:rsidP="00200BCD">
      <w:pPr>
        <w:jc w:val="both"/>
      </w:pPr>
      <w:r w:rsidRPr="004B7295">
        <w:t xml:space="preserve">Zdroj: AES 2016, </w:t>
      </w:r>
      <w:proofErr w:type="spellStart"/>
      <w:r w:rsidRPr="004B7295">
        <w:t>Eurostat</w:t>
      </w:r>
      <w:proofErr w:type="spellEnd"/>
    </w:p>
    <w:p w:rsidR="00F74103" w:rsidRPr="004B7295" w:rsidRDefault="00200BCD" w:rsidP="00F74103">
      <w:pPr>
        <w:jc w:val="both"/>
      </w:pPr>
      <w:r w:rsidRPr="004B7295">
        <w:t>D</w:t>
      </w:r>
      <w:r w:rsidR="00F74103" w:rsidRPr="004B7295">
        <w:t xml:space="preserve">o formálního vzdělávání je napříč zeměmi zahrnuto široké spektrum odlišně koncipovaných programů (modulární vs. dlouhodobé, distanční vs. prezenční vs. kombinované, primární vs. další), což limituje vypovídací hodnotu obecného srovnávání bez podrobné znalosti kontextu výše uvedených faktorů institucionálního a legislativního prostředí (a potřeb) jednotlivých států. </w:t>
      </w:r>
      <w:r w:rsidRPr="004B7295">
        <w:t>Konkrétní podoba a varieta programů formálního vzdělávání a jejich různorodost v jednotlivých státech se odráží také v indikátoru</w:t>
      </w:r>
      <w:r w:rsidR="00F74103" w:rsidRPr="004B7295">
        <w:t xml:space="preserve"> průměrný počet hodin strávených studiem, resp. výukou, za měsíc. Zatímco </w:t>
      </w:r>
      <w:r w:rsidR="003364F0">
        <w:t>v Německu se účastní formáln</w:t>
      </w:r>
      <w:r w:rsidR="007970CB">
        <w:t xml:space="preserve">ího vzdělávání jen </w:t>
      </w:r>
      <w:proofErr w:type="gramStart"/>
      <w:r w:rsidR="007970CB">
        <w:t>necelá</w:t>
      </w:r>
      <w:r w:rsidR="003364F0">
        <w:t xml:space="preserve"> 4 </w:t>
      </w:r>
      <w:r w:rsidR="003364F0">
        <w:rPr>
          <w:lang w:val="en-US"/>
        </w:rPr>
        <w:t>%</w:t>
      </w:r>
      <w:r w:rsidR="003364F0">
        <w:t xml:space="preserve"> populace</w:t>
      </w:r>
      <w:proofErr w:type="gramEnd"/>
      <w:r w:rsidR="003364F0">
        <w:t xml:space="preserve"> ve věku 25–64 let a tito studenti věnují </w:t>
      </w:r>
      <w:r w:rsidR="00784BF9">
        <w:t>v</w:t>
      </w:r>
      <w:r w:rsidR="003364F0">
        <w:t xml:space="preserve">zdělávání v průměru 73 hodin měsíčně, </w:t>
      </w:r>
      <w:r w:rsidR="00F74103" w:rsidRPr="004B7295">
        <w:t xml:space="preserve">ve Velké Británii, kde se do formálního vzdělávání zapojuje více než každý desátý, je to 12 hodin. </w:t>
      </w:r>
      <w:r w:rsidR="00144E4E" w:rsidRPr="004B7295">
        <w:t xml:space="preserve">Zde je možné poukázat na důležitost výše zmíněné kontextuální analýzy při interpretaci mezinárodních rozdílů </w:t>
      </w:r>
      <w:r w:rsidR="00585EBD">
        <w:t>–</w:t>
      </w:r>
      <w:r w:rsidR="00144E4E" w:rsidRPr="004B7295">
        <w:t xml:space="preserve"> r</w:t>
      </w:r>
      <w:r w:rsidR="00F74103" w:rsidRPr="004B7295">
        <w:t>oli ve vysokém zapojení</w:t>
      </w:r>
      <w:r w:rsidR="00144E4E" w:rsidRPr="004B7295">
        <w:t xml:space="preserve"> do formálního vzdělávání</w:t>
      </w:r>
      <w:r w:rsidR="00F74103" w:rsidRPr="004B7295">
        <w:t xml:space="preserve"> při nižší časové investici ve Velké Británii patrně hraje bohatě strukturovaný kvalifikační rámec, kde jsou i programy rozvíjející základní dovednosti v oblasti čtenářské a matematické gramotnosti</w:t>
      </w:r>
      <w:r w:rsidRPr="004B7295">
        <w:t xml:space="preserve"> řazeny pod formální vzdělávání. </w:t>
      </w:r>
      <w:r w:rsidR="00144E4E" w:rsidRPr="004B7295">
        <w:t>Dalším v</w:t>
      </w:r>
      <w:r w:rsidRPr="004B7295">
        <w:t>ýznamným faktorem je</w:t>
      </w:r>
      <w:r w:rsidR="00144E4E" w:rsidRPr="004B7295">
        <w:t xml:space="preserve"> kromě rozšířené institucionální podpory</w:t>
      </w:r>
      <w:r w:rsidRPr="004B7295">
        <w:t xml:space="preserve"> také modulární struktura vzdělávacích programů</w:t>
      </w:r>
      <w:r w:rsidR="00F74103" w:rsidRPr="004B7295">
        <w:t>, která dobře umožňuje sladit studijní a pracovní (či rodinné) potřeby a doplnit si právě (jen) ty znalosti, které jedinec považuje aktuálně za potřebné.</w:t>
      </w:r>
    </w:p>
    <w:p w:rsidR="00F74103" w:rsidRPr="004B7295" w:rsidRDefault="00F74103" w:rsidP="00F74103">
      <w:pPr>
        <w:jc w:val="both"/>
      </w:pPr>
      <w:r w:rsidRPr="004B7295">
        <w:t>Účast dospělých Čechů ve formálním vzdělávání je v kontextu zemí Evropské unie jasně podprůměrná, počet hodin strávený vzděláváním měsíčně spíše průměrný. Lze tak odvodit, že přestože dospělí mají řadu příležitostí, jak se do formálního vzdělávání, které je ve veřejných vzdělávacích institucích poskytováno</w:t>
      </w:r>
      <w:r w:rsidR="003364F0">
        <w:t xml:space="preserve"> za</w:t>
      </w:r>
      <w:r w:rsidR="0006282F">
        <w:t> </w:t>
      </w:r>
      <w:r w:rsidR="003364F0">
        <w:t>řady okolností</w:t>
      </w:r>
      <w:r w:rsidRPr="004B7295">
        <w:t xml:space="preserve"> zdarma, zapojit, do formálního vzdělávacího systému vstupují v dospělém věku</w:t>
      </w:r>
      <w:r w:rsidR="00144E4E" w:rsidRPr="004B7295">
        <w:t xml:space="preserve"> ve</w:t>
      </w:r>
      <w:r w:rsidR="00E82629">
        <w:t> </w:t>
      </w:r>
      <w:r w:rsidR="00144E4E" w:rsidRPr="004B7295">
        <w:t>srovnání s</w:t>
      </w:r>
      <w:r w:rsidR="00BD08CF">
        <w:t> </w:t>
      </w:r>
      <w:r w:rsidR="00144E4E" w:rsidRPr="004B7295">
        <w:t>Evropou</w:t>
      </w:r>
      <w:r w:rsidRPr="004B7295">
        <w:t xml:space="preserve"> spíše ojediněle. Přestože na úrovni sekundárního či terciárního studia nabízejí školy vzdělávací programy, které do jisté míry umožňují sladit pracovní povinnosti s výukou ve večerních, distančních či kombinovaných formách, nejsou tyto programy koncipovány modulárně, ale po jednotlivých </w:t>
      </w:r>
      <w:r w:rsidR="00E82629">
        <w:lastRenderedPageBreak/>
        <w:t xml:space="preserve">ročnících. To </w:t>
      </w:r>
      <w:r w:rsidRPr="004B7295">
        <w:t>vyžaduje vyšší dlouhodobější časové investice a neumožňuje pružné sestavování vzdělávacího obsahu a</w:t>
      </w:r>
      <w:r w:rsidR="00784BF9">
        <w:t> </w:t>
      </w:r>
      <w:r w:rsidRPr="004B7295">
        <w:t xml:space="preserve">jeho přizpůsobení individuálním potřebám. Rovněž uznávání výsledků předchozího učení není systémově upraveno tak, aby umožnilo co nejkratší průchod dospělého studenta vzdělávacím programem. Roli v nízké účasti dospělých Čechů ve formálním vzdělávání v rámci mezinárodního srovnání může hrát také vzdělanostní struktura populace, ve které vysoký podíl obyvatelstva dosahuje nejméně středoškolského vzdělání již v rámci </w:t>
      </w:r>
      <w:r w:rsidR="00200BCD" w:rsidRPr="004B7295">
        <w:t>počátečního</w:t>
      </w:r>
      <w:r w:rsidR="00E82629">
        <w:t xml:space="preserve"> vzdělávání.</w:t>
      </w:r>
    </w:p>
    <w:p w:rsidR="00F74103" w:rsidRPr="004B7295" w:rsidRDefault="00705950" w:rsidP="00692CB8">
      <w:pPr>
        <w:pStyle w:val="Nadpis3"/>
      </w:pPr>
      <w:bookmarkStart w:id="39" w:name="_Toc506969414"/>
      <w:r>
        <w:t>Zapojení dospělých do formálního vzdělávání</w:t>
      </w:r>
      <w:bookmarkEnd w:id="39"/>
    </w:p>
    <w:p w:rsidR="00144E4E" w:rsidRPr="004B7295" w:rsidRDefault="00144E4E" w:rsidP="00F74103">
      <w:pPr>
        <w:jc w:val="both"/>
      </w:pPr>
      <w:r w:rsidRPr="004B7295">
        <w:t xml:space="preserve">Při podrobnější analýze studentů formálního vzdělávání v ČR je nutné zohlednit limity šetření AES dané jeho účelem, kterým je zaměření především na starší, resp. dospělé studenty formálního vzdělávání. </w:t>
      </w:r>
      <w:r w:rsidR="006F4DC1" w:rsidRPr="004B7295">
        <w:t xml:space="preserve">Vzhledem ke svému mezinárodnímu charakteru šetření AES přímo nepracuje s konceptem studentů </w:t>
      </w:r>
      <w:r w:rsidR="006F4DC1" w:rsidRPr="004B7295">
        <w:rPr>
          <w:i/>
        </w:rPr>
        <w:t>dalšího</w:t>
      </w:r>
      <w:r w:rsidR="006F4DC1" w:rsidRPr="004B7295">
        <w:t xml:space="preserve"> vzdělávání, kteří by byli definováni např. prostřednictvím fo</w:t>
      </w:r>
      <w:r w:rsidRPr="004B7295">
        <w:t>rmy studia (např. denní vs. distanční</w:t>
      </w:r>
      <w:r w:rsidR="00784BF9">
        <w:t>), souběhem</w:t>
      </w:r>
      <w:r w:rsidR="006F4DC1" w:rsidRPr="004B7295">
        <w:t xml:space="preserve"> studia s výdělečnou činností či opětovným návratem do vzdělávacího systému po prvotním ukončení vzdělanostní dráhy.</w:t>
      </w:r>
      <w:r w:rsidR="00692CB8" w:rsidRPr="004B7295">
        <w:t xml:space="preserve"> A</w:t>
      </w:r>
      <w:r w:rsidRPr="004B7295">
        <w:t xml:space="preserve">by bylo možné získané výstupy využít v podrobnějším členění, než jen v obecném popisu studentů starších 18, resp. 25 let (tj. </w:t>
      </w:r>
      <w:r w:rsidR="00692CB8" w:rsidRPr="004B7295">
        <w:t xml:space="preserve">obecné </w:t>
      </w:r>
      <w:r w:rsidRPr="004B7295">
        <w:t>skupiny, která většinově zahrnuje studenty počátečního středoškolského, resp. vysokoškolského vzdělávání)</w:t>
      </w:r>
      <w:r w:rsidR="00CC5F2F">
        <w:t>,</w:t>
      </w:r>
      <w:r w:rsidRPr="004B7295">
        <w:t xml:space="preserve"> je nutné studenty rozčlenit do analytických kategorií.</w:t>
      </w:r>
    </w:p>
    <w:p w:rsidR="008A7EAA" w:rsidRPr="004B7295" w:rsidRDefault="00692CB8" w:rsidP="00F74103">
      <w:pPr>
        <w:jc w:val="both"/>
      </w:pPr>
      <w:r w:rsidRPr="004B7295">
        <w:t>Vzhledem k neexistenci vstupního mezinárodního konceptu dalšího vzdělávání lze studenty dalšího</w:t>
      </w:r>
      <w:r w:rsidR="00560767">
        <w:t xml:space="preserve"> vzdělávání</w:t>
      </w:r>
      <w:r w:rsidR="006F4DC1" w:rsidRPr="004B7295">
        <w:t xml:space="preserve"> definovat pouze arbitrárně, např. prostřednictvím jejich opětovného vstupu do vzdělávacího systému po</w:t>
      </w:r>
      <w:r w:rsidR="0006282F">
        <w:t> </w:t>
      </w:r>
      <w:r w:rsidR="006F4DC1" w:rsidRPr="004B7295">
        <w:t xml:space="preserve">určité odmlce </w:t>
      </w:r>
      <w:r w:rsidRPr="004B7295">
        <w:t>ve vzdělanostní drá</w:t>
      </w:r>
      <w:r w:rsidR="00200BCD" w:rsidRPr="004B7295">
        <w:t>ze</w:t>
      </w:r>
      <w:r w:rsidR="006F4DC1" w:rsidRPr="004B7295">
        <w:t xml:space="preserve"> či určením hraničních věků, které překračují „standardní“ dobu studia jednotlivých vzdělávacích programů v rámci počátečního vzdělávání. Druhý jmenovaný způsob je použit i</w:t>
      </w:r>
      <w:r w:rsidR="00BD08CF">
        <w:t> </w:t>
      </w:r>
      <w:r w:rsidR="006F4DC1" w:rsidRPr="004B7295">
        <w:t xml:space="preserve">v následujícím textu, </w:t>
      </w:r>
      <w:r w:rsidR="008C45EF" w:rsidRPr="004B7295">
        <w:t xml:space="preserve">přičemž </w:t>
      </w:r>
      <w:r w:rsidR="00CC5F2F">
        <w:t xml:space="preserve">kromě toho </w:t>
      </w:r>
      <w:r w:rsidR="008C45EF" w:rsidRPr="004B7295">
        <w:t xml:space="preserve">je </w:t>
      </w:r>
      <w:r w:rsidR="00EA308A" w:rsidRPr="004B7295">
        <w:t xml:space="preserve">v souladu s mezinárodním pohledem </w:t>
      </w:r>
      <w:r w:rsidR="008C45EF" w:rsidRPr="004B7295">
        <w:t>zachován i</w:t>
      </w:r>
      <w:r w:rsidR="0064701B">
        <w:t> </w:t>
      </w:r>
      <w:r w:rsidR="008C45EF" w:rsidRPr="004B7295">
        <w:t xml:space="preserve">pohled dělící studenty formálního vzdělávání dle věku </w:t>
      </w:r>
      <w:r w:rsidR="00EA308A" w:rsidRPr="004B7295">
        <w:t>a věkových kategorií</w:t>
      </w:r>
      <w:r w:rsidR="008C45EF" w:rsidRPr="004B7295">
        <w:t xml:space="preserve"> 18–24 let a 25–69 let. </w:t>
      </w:r>
      <w:r w:rsidRPr="004B7295">
        <w:t>Jsou tak použity dvě odlišné, avšak částečně se překrývající úrovně členění, přičemž p</w:t>
      </w:r>
      <w:r w:rsidR="00E022A3" w:rsidRPr="004B7295">
        <w:t xml:space="preserve">ři tvorbě závěrů </w:t>
      </w:r>
      <w:r w:rsidRPr="004B7295">
        <w:t xml:space="preserve">z </w:t>
      </w:r>
      <w:r w:rsidR="00200BCD" w:rsidRPr="004B7295">
        <w:t>údajů uváděných o</w:t>
      </w:r>
      <w:r w:rsidR="00784BF9">
        <w:t> účastnících</w:t>
      </w:r>
      <w:r w:rsidR="00200BCD" w:rsidRPr="004B7295">
        <w:t xml:space="preserve"> dalšího </w:t>
      </w:r>
      <w:r w:rsidR="00784BF9">
        <w:t xml:space="preserve">(formálního) </w:t>
      </w:r>
      <w:r w:rsidR="00200BCD" w:rsidRPr="004B7295">
        <w:t>vzdělávání</w:t>
      </w:r>
      <w:r w:rsidR="00E022A3" w:rsidRPr="004B7295">
        <w:t xml:space="preserve"> je vždy nutné brát na vědomí k</w:t>
      </w:r>
      <w:r w:rsidR="006F4DC1" w:rsidRPr="004B7295">
        <w:t xml:space="preserve">ritéria </w:t>
      </w:r>
      <w:r w:rsidR="008C45EF" w:rsidRPr="004B7295">
        <w:t>definující</w:t>
      </w:r>
      <w:r w:rsidR="006F4DC1" w:rsidRPr="004B7295">
        <w:t xml:space="preserve"> </w:t>
      </w:r>
      <w:r w:rsidR="00784BF9">
        <w:t>účastníky</w:t>
      </w:r>
      <w:r w:rsidR="006F4DC1" w:rsidRPr="004B7295">
        <w:t xml:space="preserve"> </w:t>
      </w:r>
      <w:r w:rsidR="008C45EF" w:rsidRPr="004B7295">
        <w:t>dalšího (a tím i počátečního)</w:t>
      </w:r>
      <w:r w:rsidR="006F4DC1" w:rsidRPr="004B7295">
        <w:t xml:space="preserve"> vzdělávání</w:t>
      </w:r>
      <w:r w:rsidR="00E022A3" w:rsidRPr="004B7295">
        <w:t>, která</w:t>
      </w:r>
      <w:r w:rsidR="006F4DC1" w:rsidRPr="004B7295">
        <w:t xml:space="preserve"> jsou uvedena v informačním boxu</w:t>
      </w:r>
      <w:r w:rsidR="008A7EAA" w:rsidRPr="004B7295">
        <w:t xml:space="preserve"> (např. studenti doktorského studia jsou zde vždy řazeni pouze do kategorie studentů dalšího vzdělávání)</w:t>
      </w:r>
      <w:r w:rsidR="006F4DC1" w:rsidRPr="004B7295">
        <w:t>.</w:t>
      </w:r>
    </w:p>
    <w:p w:rsidR="008A7EAA" w:rsidRPr="004B7295" w:rsidRDefault="00784BF9" w:rsidP="008A7EAA">
      <w:pPr>
        <w:pStyle w:val="Box1"/>
        <w:spacing w:before="360"/>
      </w:pPr>
      <w:r>
        <w:rPr>
          <w:b/>
        </w:rPr>
        <w:t>Účastníci</w:t>
      </w:r>
      <w:r w:rsidR="008A7EAA" w:rsidRPr="004B7295">
        <w:rPr>
          <w:b/>
        </w:rPr>
        <w:t xml:space="preserve"> dalšího </w:t>
      </w:r>
      <w:r>
        <w:rPr>
          <w:b/>
        </w:rPr>
        <w:t xml:space="preserve">(formálního) </w:t>
      </w:r>
      <w:r w:rsidR="008A7EAA" w:rsidRPr="004B7295">
        <w:rPr>
          <w:b/>
        </w:rPr>
        <w:t xml:space="preserve">vzdělávání </w:t>
      </w:r>
    </w:p>
    <w:p w:rsidR="008A7EAA" w:rsidRPr="004B7295" w:rsidRDefault="008A7EAA" w:rsidP="008A7EAA">
      <w:pPr>
        <w:pStyle w:val="Box1"/>
      </w:pPr>
      <w:r w:rsidRPr="004B7295">
        <w:t xml:space="preserve">Pro jednotlivé stupně studia byli </w:t>
      </w:r>
      <w:r w:rsidR="00784BF9">
        <w:t>účastníci</w:t>
      </w:r>
      <w:r w:rsidRPr="004B7295">
        <w:t xml:space="preserve"> dalšího </w:t>
      </w:r>
      <w:r w:rsidR="00784BF9">
        <w:t xml:space="preserve">(formálního) </w:t>
      </w:r>
      <w:r w:rsidRPr="004B7295">
        <w:t>vzdělávání definováni jako osoby:</w:t>
      </w:r>
    </w:p>
    <w:p w:rsidR="008A7EAA" w:rsidRPr="004B7295" w:rsidRDefault="008A7EAA" w:rsidP="008A7EAA">
      <w:pPr>
        <w:pStyle w:val="Box1"/>
        <w:numPr>
          <w:ilvl w:val="0"/>
          <w:numId w:val="14"/>
        </w:numPr>
      </w:pPr>
      <w:r w:rsidRPr="004B7295">
        <w:t>starší 23 let, studující programy</w:t>
      </w:r>
    </w:p>
    <w:p w:rsidR="008A7EAA" w:rsidRPr="004B7295" w:rsidRDefault="008A7EAA" w:rsidP="008A7EAA">
      <w:pPr>
        <w:pStyle w:val="Box1"/>
      </w:pPr>
      <w:r w:rsidRPr="004B7295">
        <w:tab/>
        <w:t>- středního vzdělávání s výučním listem či nižšího středního vzdělávání bez maturity</w:t>
      </w:r>
    </w:p>
    <w:p w:rsidR="008A7EAA" w:rsidRPr="004B7295" w:rsidRDefault="008A7EAA" w:rsidP="008A7EAA">
      <w:pPr>
        <w:pStyle w:val="Box1"/>
      </w:pPr>
      <w:r w:rsidRPr="004B7295">
        <w:tab/>
        <w:t xml:space="preserve">- středního vzdělávání s maturitou, nástavby či konzervatoře s maturitou </w:t>
      </w:r>
    </w:p>
    <w:p w:rsidR="008A7EAA" w:rsidRPr="004B7295" w:rsidRDefault="00CC5F2F" w:rsidP="008A7EAA">
      <w:pPr>
        <w:pStyle w:val="Box1"/>
      </w:pPr>
      <w:r>
        <w:tab/>
        <w:t>- pomaturitního studia</w:t>
      </w:r>
    </w:p>
    <w:p w:rsidR="008A7EAA" w:rsidRPr="004B7295" w:rsidRDefault="008A7EAA" w:rsidP="008A7EAA">
      <w:pPr>
        <w:pStyle w:val="Box1"/>
        <w:numPr>
          <w:ilvl w:val="0"/>
          <w:numId w:val="14"/>
        </w:numPr>
      </w:pPr>
      <w:r w:rsidRPr="004B7295">
        <w:t>starší 26 let, studující programy</w:t>
      </w:r>
    </w:p>
    <w:p w:rsidR="008A7EAA" w:rsidRPr="004B7295" w:rsidRDefault="008A7EAA" w:rsidP="008A7EAA">
      <w:pPr>
        <w:pStyle w:val="Box1"/>
      </w:pPr>
      <w:r w:rsidRPr="004B7295">
        <w:tab/>
        <w:t>- vyššího odborného vzdělávání či konzervatoř</w:t>
      </w:r>
      <w:r w:rsidR="00010680">
        <w:t>e</w:t>
      </w:r>
      <w:r w:rsidRPr="004B7295">
        <w:t xml:space="preserve"> s absolutoriem</w:t>
      </w:r>
    </w:p>
    <w:p w:rsidR="008A7EAA" w:rsidRPr="004B7295" w:rsidRDefault="008A7EAA" w:rsidP="008A7EAA">
      <w:pPr>
        <w:pStyle w:val="Box1"/>
      </w:pPr>
      <w:r w:rsidRPr="004B7295">
        <w:tab/>
        <w:t>- vysokoškolského bakalářského studia</w:t>
      </w:r>
    </w:p>
    <w:p w:rsidR="008A7EAA" w:rsidRPr="004B7295" w:rsidRDefault="008A7EAA" w:rsidP="008A7EAA">
      <w:pPr>
        <w:pStyle w:val="Box1"/>
        <w:numPr>
          <w:ilvl w:val="0"/>
          <w:numId w:val="14"/>
        </w:numPr>
      </w:pPr>
      <w:r w:rsidRPr="004B7295">
        <w:t>starší 28 let, studující programy</w:t>
      </w:r>
    </w:p>
    <w:p w:rsidR="008A7EAA" w:rsidRPr="004B7295" w:rsidRDefault="008A7EAA" w:rsidP="008A7EAA">
      <w:pPr>
        <w:pStyle w:val="Box1"/>
      </w:pPr>
      <w:r w:rsidRPr="004B7295">
        <w:tab/>
        <w:t xml:space="preserve">- vysokoškolského magisterského studia </w:t>
      </w:r>
    </w:p>
    <w:p w:rsidR="008A7EAA" w:rsidRPr="004B7295" w:rsidRDefault="008A7EAA" w:rsidP="008A7EAA">
      <w:pPr>
        <w:pStyle w:val="Box1"/>
        <w:numPr>
          <w:ilvl w:val="0"/>
          <w:numId w:val="14"/>
        </w:numPr>
      </w:pPr>
      <w:r w:rsidRPr="004B7295">
        <w:t>studující doktorské studijní programy</w:t>
      </w:r>
      <w:r w:rsidR="00784BF9">
        <w:t xml:space="preserve"> (bez ohledu na věk)</w:t>
      </w:r>
    </w:p>
    <w:p w:rsidR="008A7EAA" w:rsidRPr="004B7295" w:rsidRDefault="008A7EAA" w:rsidP="008A7EAA">
      <w:pPr>
        <w:pStyle w:val="Box1"/>
      </w:pPr>
    </w:p>
    <w:p w:rsidR="008A7EAA" w:rsidRPr="004B7295" w:rsidRDefault="00784BF9" w:rsidP="008A7EAA">
      <w:pPr>
        <w:pStyle w:val="Box1"/>
      </w:pPr>
      <w:r>
        <w:rPr>
          <w:b/>
        </w:rPr>
        <w:t>Účastníci</w:t>
      </w:r>
      <w:r w:rsidR="008A7EAA" w:rsidRPr="004B7295">
        <w:rPr>
          <w:b/>
        </w:rPr>
        <w:t xml:space="preserve"> počátečního </w:t>
      </w:r>
      <w:r>
        <w:rPr>
          <w:b/>
        </w:rPr>
        <w:t xml:space="preserve">(formálního) </w:t>
      </w:r>
      <w:r w:rsidR="008A7EAA" w:rsidRPr="004B7295">
        <w:rPr>
          <w:b/>
        </w:rPr>
        <w:t>vzdělávání</w:t>
      </w:r>
      <w:r w:rsidR="008A7EAA" w:rsidRPr="004B7295">
        <w:t xml:space="preserve"> pak byli definováni jako </w:t>
      </w:r>
      <w:r w:rsidR="00170501">
        <w:t>účastníci</w:t>
      </w:r>
      <w:r w:rsidR="008A7EAA" w:rsidRPr="004B7295">
        <w:t xml:space="preserve"> formálního vzdělávání</w:t>
      </w:r>
      <w:r w:rsidR="000D276B" w:rsidRPr="004B7295">
        <w:t xml:space="preserve"> starší 18 let</w:t>
      </w:r>
      <w:r w:rsidR="008A7EAA" w:rsidRPr="004B7295">
        <w:t xml:space="preserve">, nesplňující výše uvedená kritéria pro studenty jednotlivých programů dalšího vzdělávání. </w:t>
      </w:r>
    </w:p>
    <w:p w:rsidR="006F4DC1" w:rsidRPr="004B7295" w:rsidRDefault="00692CB8" w:rsidP="00F74103">
      <w:pPr>
        <w:jc w:val="both"/>
      </w:pPr>
      <w:r w:rsidRPr="004B7295">
        <w:t>Na tomto místě</w:t>
      </w:r>
      <w:r w:rsidR="006F4DC1" w:rsidRPr="004B7295">
        <w:t xml:space="preserve"> je nutné opětovně upozornit, že velmi nízké zapojení dospělých </w:t>
      </w:r>
      <w:r w:rsidRPr="004B7295">
        <w:t xml:space="preserve">osob </w:t>
      </w:r>
      <w:r w:rsidR="006F4DC1" w:rsidRPr="004B7295">
        <w:t xml:space="preserve">do formálního vzdělávání </w:t>
      </w:r>
      <w:r w:rsidRPr="004B7295">
        <w:t>v České republice</w:t>
      </w:r>
      <w:r w:rsidR="006F4DC1" w:rsidRPr="004B7295">
        <w:t xml:space="preserve"> a jím způsobený nízký počet vzdělávajících se osob ve výběrovém souboru šetření bohužel významně omezuje možnosti podrobnější analýzy, prostřednictvím které by bylo možné </w:t>
      </w:r>
      <w:r w:rsidR="0039316D">
        <w:t>účastníky</w:t>
      </w:r>
      <w:r w:rsidR="006F4DC1" w:rsidRPr="004B7295">
        <w:t xml:space="preserve"> dalšího</w:t>
      </w:r>
      <w:r w:rsidR="0039316D">
        <w:t xml:space="preserve"> (formálního)</w:t>
      </w:r>
      <w:r w:rsidR="006F4DC1" w:rsidRPr="004B7295">
        <w:t xml:space="preserve"> vzdělávání charakterizovat</w:t>
      </w:r>
      <w:r w:rsidRPr="004B7295">
        <w:t xml:space="preserve"> detailněji</w:t>
      </w:r>
      <w:r w:rsidR="006F4DC1" w:rsidRPr="004B7295">
        <w:t>.</w:t>
      </w:r>
    </w:p>
    <w:p w:rsidR="00241357" w:rsidRPr="00241357" w:rsidRDefault="00B206A6" w:rsidP="003D4835">
      <w:pPr>
        <w:pStyle w:val="Nadpis3"/>
        <w:spacing w:before="120"/>
      </w:pPr>
      <w:bookmarkStart w:id="40" w:name="_Toc505785830"/>
      <w:bookmarkStart w:id="41" w:name="_Toc506969415"/>
      <w:r w:rsidRPr="004B7295">
        <w:lastRenderedPageBreak/>
        <w:t xml:space="preserve">Charakteristika </w:t>
      </w:r>
      <w:r w:rsidR="0039316D">
        <w:t>účastníků</w:t>
      </w:r>
      <w:r w:rsidRPr="004B7295">
        <w:t xml:space="preserve"> formálního vzdělávání</w:t>
      </w:r>
      <w:bookmarkEnd w:id="40"/>
      <w:bookmarkEnd w:id="41"/>
    </w:p>
    <w:p w:rsidR="00B206A6" w:rsidRDefault="00B206A6" w:rsidP="003D4835">
      <w:pPr>
        <w:spacing w:after="0"/>
        <w:jc w:val="both"/>
      </w:pPr>
      <w:r w:rsidRPr="004B7295">
        <w:t>Jak je patrné z </w:t>
      </w:r>
      <w:hyperlink w:anchor="_Graf_č._9:" w:history="1">
        <w:r w:rsidRPr="0077612E">
          <w:rPr>
            <w:rStyle w:val="Hypertextovodkaz"/>
          </w:rPr>
          <w:t xml:space="preserve">grafu č. </w:t>
        </w:r>
        <w:r w:rsidR="0039316D" w:rsidRPr="0077612E">
          <w:rPr>
            <w:rStyle w:val="Hypertextovodkaz"/>
          </w:rPr>
          <w:t>9</w:t>
        </w:r>
      </w:hyperlink>
      <w:r w:rsidRPr="004B7295">
        <w:t>, formální vzdělávání je v České republice stále záležitostí především mladších osob a se stoupajícím věkem zapojení do tohoto typu vzdělávání prudce klesá. Zatímco v nejmladší sledované věkové kategorii 18–24 let se nějaké formě formálního studia věnují dvě třetiny osob (66 %), ve</w:t>
      </w:r>
      <w:r w:rsidR="00BD08CF">
        <w:t> </w:t>
      </w:r>
      <w:r w:rsidRPr="004B7295">
        <w:t>věkové kategorii 25–29 let je to již jen 13 %, přičemž i zde lze předpokládat, že se ve většině případů jedná o studenty vyšších stupňů vysok</w:t>
      </w:r>
      <w:r w:rsidR="00585EBD">
        <w:t>oškolského studia, dokončující</w:t>
      </w:r>
      <w:r w:rsidRPr="004B7295">
        <w:t xml:space="preserve"> své počáteční vzdělávání. Ve věku nad třicet let je účast ve formálním vzdělávání již velmi nízká (a mezi lety 2011 a 201</w:t>
      </w:r>
      <w:r w:rsidR="00692CB8" w:rsidRPr="004B7295">
        <w:t>6</w:t>
      </w:r>
      <w:r w:rsidRPr="004B7295">
        <w:t xml:space="preserve"> poklesla z přibližně 4</w:t>
      </w:r>
      <w:r w:rsidR="00BD08CF">
        <w:t> </w:t>
      </w:r>
      <w:r w:rsidR="00280ED7">
        <w:t>% na 1</w:t>
      </w:r>
      <w:r w:rsidRPr="004B7295">
        <w:t>–2%), mezi osobami staršími 50 let je zapojení do formálního vzdělávání pouze ojedinělé</w:t>
      </w:r>
      <w:r w:rsidRPr="004B7295">
        <w:rPr>
          <w:rStyle w:val="Znakapoznpodarou"/>
        </w:rPr>
        <w:footnoteReference w:id="14"/>
      </w:r>
      <w:r w:rsidRPr="004B7295">
        <w:t>.</w:t>
      </w:r>
    </w:p>
    <w:p w:rsidR="00A02152" w:rsidRPr="004B7295" w:rsidRDefault="00A02152" w:rsidP="003D4835">
      <w:pPr>
        <w:spacing w:after="0"/>
        <w:jc w:val="both"/>
      </w:pPr>
    </w:p>
    <w:p w:rsidR="00F74103" w:rsidRPr="004B7295" w:rsidRDefault="00EA308A" w:rsidP="00164B85">
      <w:pPr>
        <w:pStyle w:val="Nadpis4"/>
      </w:pPr>
      <w:bookmarkStart w:id="42" w:name="_Graf_č._9:"/>
      <w:bookmarkStart w:id="43" w:name="_Toc505872821"/>
      <w:bookmarkStart w:id="44" w:name="_Toc506308529"/>
      <w:bookmarkEnd w:id="42"/>
      <w:r w:rsidRPr="00925D42">
        <w:t xml:space="preserve">Graf č. </w:t>
      </w:r>
      <w:r w:rsidR="00164B85" w:rsidRPr="00925D42">
        <w:t>9</w:t>
      </w:r>
      <w:r w:rsidR="0039316D" w:rsidRPr="00925D42">
        <w:t>: Účast ve formálním</w:t>
      </w:r>
      <w:r w:rsidRPr="00925D42">
        <w:t xml:space="preserve"> vzdělávání dle </w:t>
      </w:r>
      <w:bookmarkEnd w:id="43"/>
      <w:r w:rsidR="00170501">
        <w:t>věkových kategorií</w:t>
      </w:r>
      <w:bookmarkEnd w:id="44"/>
    </w:p>
    <w:p w:rsidR="00EA308A" w:rsidRPr="004B7295" w:rsidRDefault="00303EBB" w:rsidP="00772CBF">
      <w:pPr>
        <w:spacing w:after="120"/>
      </w:pPr>
      <w:r>
        <w:rPr>
          <w:noProof/>
        </w:rPr>
        <w:drawing>
          <wp:inline distT="0" distB="0" distL="0" distR="0" wp14:anchorId="4C67A0FD" wp14:editId="3E97EE17">
            <wp:extent cx="6124575" cy="321945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64B85" w:rsidRDefault="00164B85" w:rsidP="008C3137">
      <w:pPr>
        <w:jc w:val="both"/>
      </w:pPr>
      <w:r>
        <w:t>Zdroj: AES 2016, ČSÚ</w:t>
      </w:r>
    </w:p>
    <w:p w:rsidR="00E022A3" w:rsidRPr="004B7295" w:rsidRDefault="008C3137" w:rsidP="008C3137">
      <w:pPr>
        <w:jc w:val="both"/>
      </w:pPr>
      <w:r w:rsidRPr="004B7295">
        <w:t xml:space="preserve">Zaměříme-li se pouze na </w:t>
      </w:r>
      <w:r w:rsidR="0039316D">
        <w:t>účastníky formálního vzdělávání</w:t>
      </w:r>
      <w:r w:rsidR="00585EBD">
        <w:t xml:space="preserve"> (dle výše uvedené definice v informačním boxu),</w:t>
      </w:r>
      <w:r w:rsidR="00E022A3" w:rsidRPr="004B7295">
        <w:t xml:space="preserve"> je možné konstatovat, že </w:t>
      </w:r>
      <w:r w:rsidRPr="004B7295">
        <w:t xml:space="preserve">tito studenti se koncentrují </w:t>
      </w:r>
      <w:r w:rsidR="00E022A3" w:rsidRPr="004B7295">
        <w:t>zejména d</w:t>
      </w:r>
      <w:r w:rsidR="00866AAA" w:rsidRPr="004B7295">
        <w:t>o věkové kategorie 25–29 let.</w:t>
      </w:r>
      <w:r w:rsidRPr="004B7295">
        <w:t xml:space="preserve"> </w:t>
      </w:r>
      <w:r w:rsidR="00866AAA" w:rsidRPr="004B7295">
        <w:t>Z</w:t>
      </w:r>
      <w:r w:rsidRPr="004B7295">
        <w:t> celkového počtu přibližně 90 tis. studentů dalšího</w:t>
      </w:r>
      <w:r w:rsidR="0039316D">
        <w:t xml:space="preserve"> (formálního)</w:t>
      </w:r>
      <w:r w:rsidRPr="004B7295">
        <w:t xml:space="preserve"> vzdělávání v ČR jich </w:t>
      </w:r>
      <w:r w:rsidR="00E022A3" w:rsidRPr="004B7295">
        <w:t>je téměř polovina mladší 30 let.</w:t>
      </w:r>
      <w:r w:rsidR="00866AAA" w:rsidRPr="004B7295">
        <w:t xml:space="preserve"> Zastoupení dle pohlaví je poměrně vyrovnané, s mírnou převahou žen</w:t>
      </w:r>
      <w:r w:rsidR="00AC2D7F">
        <w:t xml:space="preserve"> – </w:t>
      </w:r>
      <w:r w:rsidR="00866AAA" w:rsidRPr="004B7295">
        <w:t>studentek (55 %).</w:t>
      </w:r>
    </w:p>
    <w:p w:rsidR="00E022A3" w:rsidRPr="004B7295" w:rsidRDefault="00E022A3" w:rsidP="00164B85">
      <w:pPr>
        <w:pStyle w:val="Nadpis4"/>
      </w:pPr>
      <w:bookmarkStart w:id="45" w:name="_Toc505872822"/>
      <w:bookmarkStart w:id="46" w:name="_Toc506308530"/>
      <w:r w:rsidRPr="00925D42">
        <w:lastRenderedPageBreak/>
        <w:t xml:space="preserve">Graf č. </w:t>
      </w:r>
      <w:r w:rsidR="00164B85" w:rsidRPr="00925D42">
        <w:t>10</w:t>
      </w:r>
      <w:r w:rsidRPr="00925D42">
        <w:t xml:space="preserve">: </w:t>
      </w:r>
      <w:r w:rsidR="0039316D" w:rsidRPr="00925D42">
        <w:t>Účast ve</w:t>
      </w:r>
      <w:r w:rsidRPr="00925D42">
        <w:t xml:space="preserve"> formální</w:t>
      </w:r>
      <w:r w:rsidR="0039316D" w:rsidRPr="00925D42">
        <w:t>m</w:t>
      </w:r>
      <w:r w:rsidRPr="00925D42">
        <w:t xml:space="preserve"> vzdělávání dle věku</w:t>
      </w:r>
      <w:r w:rsidR="00164B85" w:rsidRPr="00925D42">
        <w:t xml:space="preserve"> a typu </w:t>
      </w:r>
      <w:r w:rsidR="003963DC" w:rsidRPr="00925D42">
        <w:t>vzdělávání</w:t>
      </w:r>
      <w:bookmarkEnd w:id="45"/>
      <w:bookmarkEnd w:id="46"/>
      <w:r w:rsidR="00241357">
        <w:t xml:space="preserve"> </w:t>
      </w:r>
      <w:r w:rsidR="00164B85">
        <w:t xml:space="preserve"> </w:t>
      </w:r>
    </w:p>
    <w:p w:rsidR="00AE6059" w:rsidRPr="004B7295" w:rsidRDefault="00925D42" w:rsidP="00772CBF">
      <w:pPr>
        <w:spacing w:after="120"/>
        <w:jc w:val="both"/>
      </w:pPr>
      <w:r w:rsidRPr="00925D42">
        <w:rPr>
          <w:noProof/>
        </w:rPr>
        <w:drawing>
          <wp:inline distT="0" distB="0" distL="0" distR="0" wp14:anchorId="6595BC93" wp14:editId="3C703389">
            <wp:extent cx="6115050" cy="2952750"/>
            <wp:effectExtent l="0" t="0" r="0" b="0"/>
            <wp:docPr id="76" name="Graf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64B85" w:rsidRDefault="00164B85" w:rsidP="008C3137">
      <w:pPr>
        <w:jc w:val="both"/>
      </w:pPr>
      <w:r>
        <w:t>Zdroj: AES 2016, ČSÚ</w:t>
      </w:r>
    </w:p>
    <w:p w:rsidR="00E022A3" w:rsidRPr="004B7295" w:rsidRDefault="006F2E0F" w:rsidP="008C3137">
      <w:pPr>
        <w:jc w:val="both"/>
      </w:pPr>
      <w:r w:rsidRPr="004B7295">
        <w:t xml:space="preserve">Rozdíl mezi mladšími a staršími studenty, ale také mezi </w:t>
      </w:r>
      <w:r w:rsidR="0039316D">
        <w:t>účastníky</w:t>
      </w:r>
      <w:r w:rsidRPr="004B7295">
        <w:t xml:space="preserve"> počátečního a dalšího </w:t>
      </w:r>
      <w:r w:rsidR="0039316D">
        <w:t xml:space="preserve">formálního </w:t>
      </w:r>
      <w:r w:rsidRPr="004B7295">
        <w:t>vzdělávání je zřejmý také z pohledu jejich zapojení do pracovních aktivit. Zatímco mezi mladšími studenty, resp. studenty počátečního vzdělávání je obvyklé, že se věnují pouze či především studiu a pracuje jich pouze kolem 10 %, u student</w:t>
      </w:r>
      <w:r w:rsidR="00347121" w:rsidRPr="004B7295">
        <w:t>ů</w:t>
      </w:r>
      <w:r w:rsidRPr="004B7295">
        <w:t xml:space="preserve"> starších 25 let již téměř ze dvou třetin (63 %) převažují pracující. Mezi</w:t>
      </w:r>
      <w:r w:rsidR="00BD08CF">
        <w:t> </w:t>
      </w:r>
      <w:r w:rsidR="0039316D">
        <w:t>účastníky</w:t>
      </w:r>
      <w:r w:rsidRPr="004B7295">
        <w:t xml:space="preserve"> dalšího </w:t>
      </w:r>
      <w:r w:rsidR="0039316D">
        <w:t xml:space="preserve">(formálního) </w:t>
      </w:r>
      <w:r w:rsidRPr="004B7295">
        <w:t>vzdělávání je již pak zcela běžné (a ve většině případů patrně i nutné) studovat souběžně se zaměstnáním</w:t>
      </w:r>
      <w:r w:rsidR="00AA508B" w:rsidRPr="004B7295">
        <w:t xml:space="preserve"> na plný úvazek (pouze 10 % pracujících studentů dalšího vzdělávání pracuje na částečný úvazek)</w:t>
      </w:r>
      <w:r w:rsidRPr="004B7295">
        <w:t>. Těch,</w:t>
      </w:r>
      <w:r w:rsidR="00866AAA" w:rsidRPr="004B7295">
        <w:t> </w:t>
      </w:r>
      <w:r w:rsidRPr="004B7295">
        <w:t xml:space="preserve">kteří v době studia nepracovali, je mezi </w:t>
      </w:r>
      <w:r w:rsidR="0039316D">
        <w:t>účastníky</w:t>
      </w:r>
      <w:r w:rsidRPr="004B7295">
        <w:t xml:space="preserve"> dalšího</w:t>
      </w:r>
      <w:r w:rsidR="0039316D">
        <w:t xml:space="preserve"> (formálního)</w:t>
      </w:r>
      <w:r w:rsidRPr="004B7295">
        <w:t xml:space="preserve"> vzdělávání pouze přibližně 18 %. Z</w:t>
      </w:r>
      <w:r w:rsidR="00347121" w:rsidRPr="004B7295">
        <w:t> </w:t>
      </w:r>
      <w:r w:rsidRPr="004B7295">
        <w:t xml:space="preserve">hlediska obvyklého ekonomického postavení, při kterém se respondent sám řadí do jedné z kategorií na základě obvyklého ekonomického statusu, </w:t>
      </w:r>
      <w:r w:rsidR="00347121" w:rsidRPr="004B7295">
        <w:t xml:space="preserve">převažují </w:t>
      </w:r>
      <w:r w:rsidRPr="004B7295">
        <w:t>mezi nepracujícími studenty dalšího vzdělávání osoby v domácnosti či na rodičovské dovolené a studenti do věku 29 let.</w:t>
      </w:r>
    </w:p>
    <w:p w:rsidR="00347121" w:rsidRPr="004B7295" w:rsidRDefault="00347121" w:rsidP="008C3137">
      <w:pPr>
        <w:jc w:val="both"/>
      </w:pPr>
      <w:bookmarkStart w:id="47" w:name="_Toc505872823"/>
      <w:bookmarkStart w:id="48" w:name="_Toc506308531"/>
      <w:r w:rsidRPr="00925D42">
        <w:rPr>
          <w:rStyle w:val="Nadpis4Char"/>
        </w:rPr>
        <w:t xml:space="preserve">Graf č. </w:t>
      </w:r>
      <w:r w:rsidR="00164B85" w:rsidRPr="00925D42">
        <w:rPr>
          <w:rStyle w:val="Nadpis4Char"/>
        </w:rPr>
        <w:t>11</w:t>
      </w:r>
      <w:r w:rsidRPr="00925D42">
        <w:rPr>
          <w:rStyle w:val="Nadpis4Char"/>
        </w:rPr>
        <w:t xml:space="preserve">: </w:t>
      </w:r>
      <w:r w:rsidR="0039316D" w:rsidRPr="00925D42">
        <w:rPr>
          <w:rStyle w:val="Nadpis4Char"/>
        </w:rPr>
        <w:t>Účastníci formálního</w:t>
      </w:r>
      <w:r w:rsidRPr="00925D42">
        <w:rPr>
          <w:rStyle w:val="Nadpis4Char"/>
        </w:rPr>
        <w:t xml:space="preserve"> vzdělávání dle</w:t>
      </w:r>
      <w:r w:rsidR="00170501">
        <w:rPr>
          <w:rStyle w:val="Nadpis4Char"/>
        </w:rPr>
        <w:t xml:space="preserve"> pracovního statusu,</w:t>
      </w:r>
      <w:r w:rsidRPr="00925D42">
        <w:rPr>
          <w:rStyle w:val="Nadpis4Char"/>
        </w:rPr>
        <w:t xml:space="preserve"> </w:t>
      </w:r>
      <w:r w:rsidR="00164B85" w:rsidRPr="00925D42">
        <w:rPr>
          <w:rStyle w:val="Nadpis4Char"/>
        </w:rPr>
        <w:t>věkových kategorií a typu vzdělávání</w:t>
      </w:r>
      <w:bookmarkEnd w:id="47"/>
      <w:bookmarkEnd w:id="48"/>
      <w:r w:rsidR="00164B85">
        <w:rPr>
          <w:rStyle w:val="Nadpis4Char"/>
        </w:rPr>
        <w:t xml:space="preserve"> </w:t>
      </w:r>
      <w:r w:rsidRPr="004B7295">
        <w:t xml:space="preserve"> </w:t>
      </w:r>
    </w:p>
    <w:p w:rsidR="00347121" w:rsidRPr="004B7295" w:rsidRDefault="00B149FD" w:rsidP="00772CBF">
      <w:pPr>
        <w:spacing w:after="120"/>
        <w:jc w:val="both"/>
      </w:pPr>
      <w:r>
        <w:rPr>
          <w:noProof/>
        </w:rPr>
        <w:drawing>
          <wp:inline distT="0" distB="0" distL="0" distR="0" wp14:anchorId="3775EA55" wp14:editId="41AB975F">
            <wp:extent cx="6029325" cy="257175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C5DD0" w:rsidRDefault="008C5DD0" w:rsidP="008C5DD0">
      <w:bookmarkStart w:id="49" w:name="_Toc505785831"/>
      <w:r>
        <w:t>Zdroj: AES 2016, ČSÚ</w:t>
      </w:r>
    </w:p>
    <w:p w:rsidR="009969B5" w:rsidRPr="004B7295" w:rsidRDefault="00BD15CA" w:rsidP="00164B85">
      <w:pPr>
        <w:pStyle w:val="Nadpis3"/>
      </w:pPr>
      <w:bookmarkStart w:id="50" w:name="_Toc506969416"/>
      <w:r w:rsidRPr="004B7295">
        <w:lastRenderedPageBreak/>
        <w:t>Podoba</w:t>
      </w:r>
      <w:r w:rsidR="009969B5" w:rsidRPr="004B7295">
        <w:t xml:space="preserve"> formálního vzdělávání</w:t>
      </w:r>
      <w:r w:rsidRPr="004B7295">
        <w:t xml:space="preserve"> a organizace studia</w:t>
      </w:r>
      <w:bookmarkEnd w:id="49"/>
      <w:bookmarkEnd w:id="50"/>
    </w:p>
    <w:p w:rsidR="000D276B" w:rsidRPr="004B7295" w:rsidRDefault="000D276B" w:rsidP="008C3137">
      <w:pPr>
        <w:jc w:val="both"/>
      </w:pPr>
      <w:r w:rsidRPr="004B7295">
        <w:t xml:space="preserve">Co se týče stupňů studia, 23 % </w:t>
      </w:r>
      <w:r w:rsidR="0039316D">
        <w:t>účastníků</w:t>
      </w:r>
      <w:r w:rsidRPr="004B7295">
        <w:t xml:space="preserve"> dalšího formálního vzdělávání </w:t>
      </w:r>
      <w:r w:rsidR="0039316D">
        <w:t>navštěvuje střední stupeň</w:t>
      </w:r>
      <w:r w:rsidRPr="004B7295">
        <w:t xml:space="preserve"> vzdělávání, ve kterém převažuje účast ve středošk</w:t>
      </w:r>
      <w:r w:rsidR="00AA508B" w:rsidRPr="004B7295">
        <w:t>olském studiu</w:t>
      </w:r>
      <w:r w:rsidR="0039316D">
        <w:t xml:space="preserve"> zakončeném maturitní zkouškou.</w:t>
      </w:r>
      <w:r w:rsidRPr="004B7295">
        <w:t xml:space="preserve"> 77</w:t>
      </w:r>
      <w:r w:rsidR="00BD08CF">
        <w:t> </w:t>
      </w:r>
      <w:r w:rsidRPr="004B7295">
        <w:t>%</w:t>
      </w:r>
      <w:r w:rsidR="00BD08CF">
        <w:t> </w:t>
      </w:r>
      <w:r w:rsidR="0039316D">
        <w:t xml:space="preserve">účastníků dalšího formálního vzdělávání </w:t>
      </w:r>
      <w:r w:rsidRPr="004B7295">
        <w:t>se vzdělává v rámci některého z vysokoškolských studijních programů s mírnou převahou studentů bakalářského studia.</w:t>
      </w:r>
    </w:p>
    <w:p w:rsidR="008C3137" w:rsidRPr="004B7295" w:rsidRDefault="000D276B" w:rsidP="00164B85">
      <w:pPr>
        <w:pStyle w:val="Nadpis4"/>
      </w:pPr>
      <w:bookmarkStart w:id="51" w:name="_Toc505872824"/>
      <w:bookmarkStart w:id="52" w:name="_Toc506308532"/>
      <w:r w:rsidRPr="00925D42">
        <w:t xml:space="preserve">Graf č. </w:t>
      </w:r>
      <w:r w:rsidR="00164B85" w:rsidRPr="00925D42">
        <w:t>12</w:t>
      </w:r>
      <w:r w:rsidRPr="00925D42">
        <w:t>: Účastníci formálního vzděláván</w:t>
      </w:r>
      <w:r w:rsidR="008C5DD0" w:rsidRPr="00925D42">
        <w:t>í dle stupně studia, věkových</w:t>
      </w:r>
      <w:r w:rsidRPr="00925D42">
        <w:t xml:space="preserve"> kategorií </w:t>
      </w:r>
      <w:r w:rsidR="008C5DD0" w:rsidRPr="00925D42">
        <w:t>a typu vzdělávání</w:t>
      </w:r>
      <w:bookmarkEnd w:id="51"/>
      <w:bookmarkEnd w:id="52"/>
      <w:r w:rsidRPr="004B7295">
        <w:t xml:space="preserve">  </w:t>
      </w:r>
    </w:p>
    <w:p w:rsidR="000D276B" w:rsidRPr="004B7295" w:rsidRDefault="00B149FD" w:rsidP="00664C0B">
      <w:pPr>
        <w:spacing w:after="120"/>
        <w:jc w:val="both"/>
      </w:pPr>
      <w:r>
        <w:rPr>
          <w:noProof/>
        </w:rPr>
        <w:drawing>
          <wp:inline distT="0" distB="0" distL="0" distR="0" wp14:anchorId="6EDADED7" wp14:editId="5DA3DB4F">
            <wp:extent cx="6105525" cy="455295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8C5DD0" w:rsidRDefault="008C5DD0" w:rsidP="00625441">
      <w:pPr>
        <w:jc w:val="both"/>
      </w:pPr>
      <w:r>
        <w:t>Zdroj: AES 2016, ČSÚ</w:t>
      </w:r>
    </w:p>
    <w:p w:rsidR="00625441" w:rsidRPr="004B7295" w:rsidRDefault="00625441" w:rsidP="00625441">
      <w:pPr>
        <w:jc w:val="both"/>
      </w:pPr>
      <w:r w:rsidRPr="004B7295">
        <w:t>Zřejmým důvodem opětovného zapojení do formálního vzdělávacího systému</w:t>
      </w:r>
      <w:r w:rsidR="00530358" w:rsidRPr="004B7295">
        <w:t xml:space="preserve"> (tj. dalšího vzdělávání)</w:t>
      </w:r>
      <w:r w:rsidRPr="004B7295">
        <w:t xml:space="preserve"> je v naprosté většině případů zvýšení kvalifikace, resp. zvýšení nejvyššího dosaženého vzdělání. </w:t>
      </w:r>
      <w:r w:rsidR="00E17621" w:rsidRPr="004B7295">
        <w:t>Více než dvě třetiny</w:t>
      </w:r>
      <w:r w:rsidR="00E17621" w:rsidRPr="004B7295">
        <w:rPr>
          <w:rStyle w:val="Znakapoznpodarou"/>
        </w:rPr>
        <w:footnoteReference w:id="15"/>
      </w:r>
      <w:r w:rsidR="00E17621" w:rsidRPr="004B7295">
        <w:t xml:space="preserve"> s</w:t>
      </w:r>
      <w:r w:rsidRPr="004B7295">
        <w:t xml:space="preserve">tudentů dalšího </w:t>
      </w:r>
      <w:r w:rsidR="0039316D">
        <w:t xml:space="preserve">(formálního) </w:t>
      </w:r>
      <w:r w:rsidRPr="004B7295">
        <w:t xml:space="preserve">vzdělávání se v referenčním období účastnilo vyššího stupně vzdělávání, než </w:t>
      </w:r>
      <w:r w:rsidR="0039316D">
        <w:t>toho, který odpovídal</w:t>
      </w:r>
      <w:r w:rsidRPr="004B7295">
        <w:t xml:space="preserve"> jejich stávající</w:t>
      </w:r>
      <w:r w:rsidR="0039316D">
        <w:t>mu</w:t>
      </w:r>
      <w:r w:rsidRPr="004B7295">
        <w:t xml:space="preserve"> nejvyšší</w:t>
      </w:r>
      <w:r w:rsidR="0039316D">
        <w:t>mu</w:t>
      </w:r>
      <w:r w:rsidRPr="004B7295">
        <w:t xml:space="preserve"> ukončené</w:t>
      </w:r>
      <w:r w:rsidR="0039316D">
        <w:t>mu</w:t>
      </w:r>
      <w:r w:rsidRPr="004B7295">
        <w:t xml:space="preserve"> vzdělání. Není patrně překvapivé, že u středoškolského studia bylo cílem především získat maturitní vysvědčení, přičemž tohoto typu studia se účastnily převážně osoby, jejichž dosavadní nejvyšší dosažené vzdělání bylo střední s výučním listem. Osoby s nejvýše základním vzděláním</w:t>
      </w:r>
      <w:r w:rsidR="00E17621" w:rsidRPr="004B7295">
        <w:t xml:space="preserve"> se dle výstupů šetření do formálního vzdělávání</w:t>
      </w:r>
      <w:r w:rsidR="00D86BE2" w:rsidRPr="004B7295">
        <w:t xml:space="preserve"> opětovně zapojují</w:t>
      </w:r>
      <w:r w:rsidR="00E17621" w:rsidRPr="004B7295">
        <w:t xml:space="preserve"> pouze </w:t>
      </w:r>
      <w:r w:rsidR="00D86BE2" w:rsidRPr="004B7295">
        <w:t>ojediněle</w:t>
      </w:r>
      <w:r w:rsidR="00E17621" w:rsidRPr="004B7295">
        <w:t>.</w:t>
      </w:r>
      <w:r w:rsidRPr="004B7295">
        <w:t xml:space="preserve"> To lze přisuzovat také – zejm</w:t>
      </w:r>
      <w:r w:rsidR="00256DD2">
        <w:t>éna</w:t>
      </w:r>
      <w:r w:rsidRPr="004B7295">
        <w:t xml:space="preserve"> v mezinárodním srovnání – </w:t>
      </w:r>
      <w:r w:rsidR="00655FC0" w:rsidRPr="004B7295">
        <w:t xml:space="preserve">relativně </w:t>
      </w:r>
      <w:r w:rsidRPr="004B7295">
        <w:t>nízkému podílu oso</w:t>
      </w:r>
      <w:r w:rsidR="00D86BE2" w:rsidRPr="004B7295">
        <w:t>b s nejvýše základním vzděláním</w:t>
      </w:r>
      <w:r w:rsidR="00655FC0" w:rsidRPr="004B7295">
        <w:t xml:space="preserve"> v české populaci</w:t>
      </w:r>
      <w:r w:rsidR="00D86BE2" w:rsidRPr="004B7295">
        <w:t>. I</w:t>
      </w:r>
      <w:r w:rsidRPr="004B7295">
        <w:t xml:space="preserve"> tak však lze </w:t>
      </w:r>
      <w:r w:rsidR="00D86BE2" w:rsidRPr="004B7295">
        <w:t>konstatovat</w:t>
      </w:r>
      <w:r w:rsidRPr="004B7295">
        <w:t xml:space="preserve">, že je v České republice přibližně </w:t>
      </w:r>
      <w:r w:rsidR="00CC5F2F" w:rsidRPr="00AC2D7F">
        <w:t>345</w:t>
      </w:r>
      <w:r w:rsidR="00CC5F2F">
        <w:t xml:space="preserve"> </w:t>
      </w:r>
      <w:r w:rsidRPr="004B7295">
        <w:t>tis. osob mezi 20 a 59 lety, jejichž nejvyšší dosažené vzdělání je nejvýše</w:t>
      </w:r>
      <w:r w:rsidR="00A02152">
        <w:t xml:space="preserve"> </w:t>
      </w:r>
      <w:r w:rsidRPr="004B7295">
        <w:lastRenderedPageBreak/>
        <w:t>základní</w:t>
      </w:r>
      <w:r w:rsidR="00D86BE2" w:rsidRPr="004B7295">
        <w:t xml:space="preserve">, ale do </w:t>
      </w:r>
      <w:r w:rsidRPr="004B7295">
        <w:t>formálního vzdělávacího procesu</w:t>
      </w:r>
      <w:r w:rsidR="00E17621" w:rsidRPr="004B7295">
        <w:t xml:space="preserve"> </w:t>
      </w:r>
      <w:r w:rsidR="00D86BE2" w:rsidRPr="004B7295">
        <w:t>se pro zvýšení své kvalifikace opětovně zapojí jen velmi výjimečně.</w:t>
      </w:r>
    </w:p>
    <w:p w:rsidR="009969B5" w:rsidRPr="004B7295" w:rsidRDefault="00201D5F" w:rsidP="00625441">
      <w:pPr>
        <w:jc w:val="both"/>
      </w:pPr>
      <w:r w:rsidRPr="004B7295">
        <w:t>Studenti formálního vzdělávání v České republice významně preferuj</w:t>
      </w:r>
      <w:r w:rsidR="00664C0B">
        <w:t>í pro své studium veřejné školy</w:t>
      </w:r>
      <w:r w:rsidRPr="004B7295">
        <w:t xml:space="preserve"> před školami soukromými, a to až z devíti desetin. Přesto však studenti</w:t>
      </w:r>
      <w:r w:rsidR="00610A12" w:rsidRPr="004B7295">
        <w:t xml:space="preserve"> starší 25 let</w:t>
      </w:r>
      <w:r w:rsidRPr="004B7295">
        <w:t xml:space="preserve"> a </w:t>
      </w:r>
      <w:r w:rsidR="0039316D">
        <w:t>účastníci</w:t>
      </w:r>
      <w:r w:rsidRPr="004B7295">
        <w:t xml:space="preserve"> dalšího vzdělávání volí oproti mladším studentům počátečního vzdělávání mírně častěji právě školy soukromé. Zajímavé přitom je, že mezi </w:t>
      </w:r>
      <w:r w:rsidR="0039316D">
        <w:t>účastníky</w:t>
      </w:r>
      <w:r w:rsidRPr="004B7295">
        <w:t xml:space="preserve"> dalšího vzdělávání je podíl studentů volící pro své vzdělávání soukromé instituce poměrně konzistentní bez ohledu na to, zda se jedná o instituci středního, či terciárního vzdělávání</w:t>
      </w:r>
      <w:r w:rsidR="001866FE" w:rsidRPr="004B7295">
        <w:t>.</w:t>
      </w:r>
    </w:p>
    <w:p w:rsidR="00A536A6" w:rsidRDefault="001866FE" w:rsidP="00A536A6">
      <w:pPr>
        <w:pStyle w:val="Nadpis4"/>
      </w:pPr>
      <w:bookmarkStart w:id="53" w:name="_Toc505872825"/>
      <w:bookmarkStart w:id="54" w:name="_Toc506308533"/>
      <w:r w:rsidRPr="00925D42">
        <w:t xml:space="preserve">Graf č. </w:t>
      </w:r>
      <w:r w:rsidR="008C5DD0" w:rsidRPr="00925D42">
        <w:t>13</w:t>
      </w:r>
      <w:r w:rsidRPr="00925D42">
        <w:t>: Účastníci formálního vzdělávání dle typu školy</w:t>
      </w:r>
      <w:r w:rsidR="008C5DD0" w:rsidRPr="00925D42">
        <w:t>,</w:t>
      </w:r>
      <w:r w:rsidRPr="00925D42">
        <w:t xml:space="preserve"> </w:t>
      </w:r>
      <w:r w:rsidR="008C5DD0" w:rsidRPr="00925D42">
        <w:t>věkových kategorií a typu vzdělávání</w:t>
      </w:r>
      <w:bookmarkEnd w:id="53"/>
      <w:bookmarkEnd w:id="54"/>
      <w:r w:rsidR="008C5DD0" w:rsidRPr="004B7295">
        <w:t xml:space="preserve">  </w:t>
      </w:r>
    </w:p>
    <w:p w:rsidR="009969B5" w:rsidRPr="004B7295" w:rsidRDefault="002C4590" w:rsidP="00664C0B">
      <w:pPr>
        <w:spacing w:after="120"/>
      </w:pPr>
      <w:r w:rsidRPr="002C4590">
        <w:rPr>
          <w:noProof/>
        </w:rPr>
        <w:drawing>
          <wp:inline distT="0" distB="0" distL="0" distR="0" wp14:anchorId="7221539E" wp14:editId="0391C026">
            <wp:extent cx="6115050" cy="3238500"/>
            <wp:effectExtent l="0" t="0" r="0" b="0"/>
            <wp:docPr id="58"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8C5DD0" w:rsidRDefault="008C5DD0" w:rsidP="00EB6316">
      <w:pPr>
        <w:jc w:val="both"/>
      </w:pPr>
      <w:r>
        <w:t>Zdroj: AES 2016, ČSÚ</w:t>
      </w:r>
    </w:p>
    <w:p w:rsidR="00EB6316" w:rsidRPr="004B7295" w:rsidRDefault="001866FE" w:rsidP="00EB6316">
      <w:pPr>
        <w:jc w:val="both"/>
      </w:pPr>
      <w:r w:rsidRPr="004B7295">
        <w:t xml:space="preserve">Významnější rozdíly mezi </w:t>
      </w:r>
      <w:r w:rsidR="0039316D">
        <w:t>účastníky</w:t>
      </w:r>
      <w:r w:rsidRPr="004B7295">
        <w:t xml:space="preserve"> počátečního a dalšího</w:t>
      </w:r>
      <w:r w:rsidR="0039316D">
        <w:t xml:space="preserve"> formálního</w:t>
      </w:r>
      <w:r w:rsidRPr="004B7295">
        <w:t xml:space="preserve"> vzdělávání lze nalézt ve formě, kterou organizují své studium. Jak bylo uvedeno výše, v případě studentů dalšího vzdělávání se často jedná o</w:t>
      </w:r>
      <w:r w:rsidR="00BD08CF">
        <w:t> </w:t>
      </w:r>
      <w:r w:rsidRPr="004B7295">
        <w:t xml:space="preserve">osoby pracující na plný úvazek, v menší míře poté o osoby v domácnosti (příp. na rodičovské dovolené), pro které je klíčové sladit formu studia s pracovními a rodinnými povinnostmi. </w:t>
      </w:r>
      <w:r w:rsidR="00CF751A" w:rsidRPr="004B7295">
        <w:t>Zatímco do 25 let tak s</w:t>
      </w:r>
      <w:r w:rsidR="00AC2D7F">
        <w:t>tudenti volí jinou formu studia než prezenční</w:t>
      </w:r>
      <w:r w:rsidR="00CF751A" w:rsidRPr="004B7295">
        <w:t xml:space="preserve"> pouze velmi ojediněle (4 %), od 25 let preferuje časově přijatelnější organizaci studia již 60 % studentů. U </w:t>
      </w:r>
      <w:r w:rsidR="0039316D">
        <w:t>účastníků</w:t>
      </w:r>
      <w:r w:rsidR="00CF751A" w:rsidRPr="004B7295">
        <w:t xml:space="preserve"> dalšího formálního vzdělávání tento podíl </w:t>
      </w:r>
      <w:r w:rsidR="00EB6316" w:rsidRPr="004B7295">
        <w:t>dále</w:t>
      </w:r>
      <w:r w:rsidR="00CF751A" w:rsidRPr="004B7295">
        <w:t xml:space="preserve"> narůstá až na 83 %, přičemž je zřejmé, že forma uspořádání studia významně koreluje právě s existencí pracovního úvazku.</w:t>
      </w:r>
      <w:r w:rsidRPr="004B7295">
        <w:t xml:space="preserve"> </w:t>
      </w:r>
    </w:p>
    <w:p w:rsidR="00EB6316" w:rsidRPr="004B7295" w:rsidRDefault="00E33857" w:rsidP="00EB6316">
      <w:pPr>
        <w:jc w:val="both"/>
      </w:pPr>
      <w:r w:rsidRPr="004B7295">
        <w:t>Přestože řada studentů využívá možností zapojit se do studia jinou, než prezenční formou, z hlediska uspořádání výuky zůstává i jiné než prezenční studium organizováno „tradičním“ způsobem výuky, kdy je látka studentům před</w:t>
      </w:r>
      <w:r w:rsidR="00066A32" w:rsidRPr="004B7295">
        <w:t xml:space="preserve">kládána v přímém kontaktu s vyučujícím (byť </w:t>
      </w:r>
      <w:r w:rsidR="00AC2D7F">
        <w:t>kontakt</w:t>
      </w:r>
      <w:r w:rsidR="00EB6316" w:rsidRPr="004B7295">
        <w:t xml:space="preserve"> může být</w:t>
      </w:r>
      <w:r w:rsidR="00066A32" w:rsidRPr="004B7295">
        <w:t xml:space="preserve"> částečně omezen a</w:t>
      </w:r>
      <w:r w:rsidR="00EB6316" w:rsidRPr="004B7295">
        <w:t> </w:t>
      </w:r>
      <w:r w:rsidR="00066A32" w:rsidRPr="004B7295">
        <w:t xml:space="preserve">významná část </w:t>
      </w:r>
      <w:r w:rsidR="00EB6316" w:rsidRPr="004B7295">
        <w:t>vzdělávání</w:t>
      </w:r>
      <w:r w:rsidR="00066A32" w:rsidRPr="004B7295">
        <w:t xml:space="preserve"> může probíhat formou samostudia). Způsob vzdělávání, při kterém se student vzdělává distanční formou prostřednictvím internetu (např. distanční studium doktorského stupně prostřednictvím internetu na zahraniční univerzitě) u nás zůstává výjimečný – v roce 2016 ho využilo pouze necelých 5 % studentů, kteří se vzdělávali jinou než prezenční formou, přičemž se ve všech případech jednalo o studenty terciárního stupně vzdělávání. </w:t>
      </w:r>
    </w:p>
    <w:p w:rsidR="008D4F48" w:rsidRPr="004B7295" w:rsidRDefault="008D4F48" w:rsidP="008D4F48">
      <w:pPr>
        <w:jc w:val="both"/>
      </w:pPr>
      <w:r w:rsidRPr="004B7295">
        <w:t xml:space="preserve">V rámci formálního studia obecně jsou naopak internet a sociální sítě využívány (jako pomůcka) ke studiu hojně – více než 80 % studentů formálního vzdělávání uvedlo, že </w:t>
      </w:r>
      <w:r w:rsidRPr="00CC5F2F">
        <w:rPr>
          <w:i/>
        </w:rPr>
        <w:t>velmi</w:t>
      </w:r>
      <w:r w:rsidRPr="004B7295">
        <w:t xml:space="preserve"> často či často</w:t>
      </w:r>
      <w:r>
        <w:t>,</w:t>
      </w:r>
      <w:r w:rsidRPr="004B7295">
        <w:t xml:space="preserve"> používají výukové materiály na internetu (příp. stejně často na internetu vyhledává informace související s předmětem studia). </w:t>
      </w:r>
      <w:r w:rsidRPr="004B7295">
        <w:lastRenderedPageBreak/>
        <w:t xml:space="preserve">Obdobný je také podíl studentů, kteří v rámci vzdělávání komunikují s učiteli a/či dalšími studenty prostřednictvím k tomu určených webů či portálů (sociálních sítí). Rozdíl mezi studenty počátečního a dalšího vzdělávání zde není nikterak významný, roli hraje spíše stupeň studia, kdy studenti terciárního vzdělávání využívají pro potřeby studia internet mnohem častěji, resp. s vyšší frekvencí, než studenti středního vzdělávání.  </w:t>
      </w:r>
    </w:p>
    <w:p w:rsidR="008D4F48" w:rsidRPr="00BD08CF" w:rsidRDefault="008D4F48" w:rsidP="00BD08CF">
      <w:pPr>
        <w:jc w:val="both"/>
        <w:rPr>
          <w:rStyle w:val="Nadpis4Char"/>
          <w:rFonts w:eastAsia="Times New Roman"/>
          <w:b w:val="0"/>
          <w:bCs w:val="0"/>
          <w:iCs w:val="0"/>
        </w:rPr>
      </w:pPr>
      <w:r w:rsidRPr="004B7295">
        <w:t>Od formy uspořádání studia se odvíjí také výše časových investic do vzdělávání jednotlivých skupin studentů, resp. počet hodin, kter</w:t>
      </w:r>
      <w:r w:rsidR="00F3040B">
        <w:t>é</w:t>
      </w:r>
      <w:r w:rsidRPr="004B7295">
        <w:t xml:space="preserve"> vzděláváním v posledních 12 měsících strávili (jedná se o počet hodin výuky, do indikátoru není započtena individuální příprava studenta na hodinu, samostudium apod.). Zatímco studenti počátečního vzdělávání trávili v roce předcházejícímu datu šetření vzděláváním průměrně 711</w:t>
      </w:r>
      <w:r w:rsidR="00BD08CF">
        <w:t> </w:t>
      </w:r>
      <w:r w:rsidRPr="004B7295">
        <w:t xml:space="preserve">hodin (mediánová hodnota 750 hodin), u </w:t>
      </w:r>
      <w:r>
        <w:t>účastníků</w:t>
      </w:r>
      <w:r w:rsidRPr="004B7295">
        <w:t xml:space="preserve"> dalšího vzdělávání to bylo 255 hodin ročně (mediánová hodnota představuje 200 hodin ročně). Mírně časově náročnější se přitom pro studenty dalšího vzdělávání jeví vzdělávání na středoškolské (průměrně 326 hodin ročně, medián 240 hodin), spíše než </w:t>
      </w:r>
      <w:r w:rsidR="00664C0B">
        <w:t>na </w:t>
      </w:r>
      <w:r w:rsidRPr="004B7295">
        <w:t>vysokoškolské úrovni (průměrně 234 hodin ročně, medián 200). Nízké zastoupení studentů dalšího vzdělávání ve výběrovém souboru a metodologie šetření však neumožňují podrobnější analýzy zohledňující např. formu vzdělávání či očištění souboru od studentů, kteří nestudovali po celé období předchozích 12</w:t>
      </w:r>
      <w:r w:rsidR="00BD08CF">
        <w:t> </w:t>
      </w:r>
      <w:r w:rsidRPr="004B7295">
        <w:t>měsíců.</w:t>
      </w:r>
    </w:p>
    <w:p w:rsidR="00CF751A" w:rsidRPr="004B7295" w:rsidRDefault="00CF751A" w:rsidP="001866FE">
      <w:bookmarkStart w:id="55" w:name="_Toc505872826"/>
      <w:bookmarkStart w:id="56" w:name="_Toc506308534"/>
      <w:r w:rsidRPr="00925D42">
        <w:rPr>
          <w:rStyle w:val="Nadpis4Char"/>
        </w:rPr>
        <w:t xml:space="preserve">Graf č. </w:t>
      </w:r>
      <w:r w:rsidR="008C5DD0" w:rsidRPr="00925D42">
        <w:rPr>
          <w:rStyle w:val="Nadpis4Char"/>
        </w:rPr>
        <w:t>14</w:t>
      </w:r>
      <w:r w:rsidRPr="00925D42">
        <w:rPr>
          <w:rStyle w:val="Nadpis4Char"/>
        </w:rPr>
        <w:t>: Účastníci formálního vzdělávání dle formy</w:t>
      </w:r>
      <w:r w:rsidR="008C5DD0" w:rsidRPr="00925D42">
        <w:rPr>
          <w:rStyle w:val="Nadpis4Char"/>
        </w:rPr>
        <w:t xml:space="preserve"> studia,</w:t>
      </w:r>
      <w:r w:rsidRPr="00925D42">
        <w:rPr>
          <w:rStyle w:val="Nadpis4Char"/>
        </w:rPr>
        <w:t xml:space="preserve"> </w:t>
      </w:r>
      <w:r w:rsidR="008C5DD0" w:rsidRPr="00925D42">
        <w:rPr>
          <w:rStyle w:val="Nadpis4Char"/>
        </w:rPr>
        <w:t>věkových kategorií a typu vzdělávání</w:t>
      </w:r>
      <w:bookmarkEnd w:id="55"/>
      <w:bookmarkEnd w:id="56"/>
      <w:r w:rsidR="008C5DD0" w:rsidRPr="004B7295">
        <w:t xml:space="preserve">  </w:t>
      </w:r>
    </w:p>
    <w:p w:rsidR="002C4590" w:rsidRDefault="00925D42" w:rsidP="00664C0B">
      <w:pPr>
        <w:spacing w:after="120"/>
        <w:jc w:val="both"/>
      </w:pPr>
      <w:r w:rsidRPr="00925D42">
        <w:rPr>
          <w:noProof/>
        </w:rPr>
        <w:drawing>
          <wp:inline distT="0" distB="0" distL="0" distR="0" wp14:anchorId="09852D14" wp14:editId="551EFF61">
            <wp:extent cx="6076950" cy="3438525"/>
            <wp:effectExtent l="0" t="0" r="0" b="0"/>
            <wp:docPr id="77" name="Graf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5E3E25" w:rsidRPr="004B7295" w:rsidRDefault="008C5DD0" w:rsidP="00AA2A0D">
      <w:pPr>
        <w:jc w:val="both"/>
      </w:pPr>
      <w:r>
        <w:t>Zdroj: AES 2016, ČSÚ</w:t>
      </w:r>
    </w:p>
    <w:p w:rsidR="001866FE" w:rsidRPr="004B7295" w:rsidRDefault="0068424C" w:rsidP="00AA2A0D">
      <w:pPr>
        <w:jc w:val="both"/>
      </w:pPr>
      <w:r w:rsidRPr="004B7295">
        <w:t xml:space="preserve">Časově přijatelnější organizace studia je nutná </w:t>
      </w:r>
      <w:r w:rsidR="00AC2D7F">
        <w:t>také proto</w:t>
      </w:r>
      <w:r w:rsidRPr="004B7295">
        <w:t>, že většina pracujících studentů dalšího vzdělávání nemá možnost významného pře</w:t>
      </w:r>
      <w:r w:rsidR="009519DD" w:rsidRPr="004B7295">
        <w:t>k</w:t>
      </w:r>
      <w:r w:rsidRPr="004B7295">
        <w:t>ryvu pracovní doby s dobou studia. Pouze přibližně 1</w:t>
      </w:r>
      <w:r w:rsidR="00D8166C" w:rsidRPr="004B7295">
        <w:t>6</w:t>
      </w:r>
      <w:r w:rsidR="00BD15CA" w:rsidRPr="004B7295">
        <w:t> </w:t>
      </w:r>
      <w:r w:rsidRPr="004B7295">
        <w:t xml:space="preserve">% pracujících </w:t>
      </w:r>
      <w:r w:rsidR="008D4F48">
        <w:t>účastníků</w:t>
      </w:r>
      <w:r w:rsidRPr="004B7295">
        <w:t xml:space="preserve"> dalšího vzdělávání mělo možnost vzdělávat se (převážně) během své pracovní doby. V takovém případě se ve velké míře jednalo o zaměstnance veřejného sektoru</w:t>
      </w:r>
      <w:r w:rsidR="00BD15CA" w:rsidRPr="004B7295">
        <w:t xml:space="preserve"> a zaměstnavatel jim na</w:t>
      </w:r>
      <w:r w:rsidR="0006282F">
        <w:t> </w:t>
      </w:r>
      <w:r w:rsidR="00BD15CA" w:rsidRPr="004B7295">
        <w:t>vzdělávání přispíval také finančně</w:t>
      </w:r>
      <w:r w:rsidRPr="004B7295">
        <w:t xml:space="preserve">. </w:t>
      </w:r>
      <w:r w:rsidR="00AA2A0D" w:rsidRPr="004B7295">
        <w:t>Přibližně</w:t>
      </w:r>
      <w:r w:rsidRPr="004B7295">
        <w:t xml:space="preserve"> 4</w:t>
      </w:r>
      <w:r w:rsidR="00AA2A0D" w:rsidRPr="004B7295">
        <w:t>1</w:t>
      </w:r>
      <w:r w:rsidRPr="004B7295">
        <w:t xml:space="preserve"> % pracujících </w:t>
      </w:r>
      <w:r w:rsidR="008D4F48">
        <w:t>účastníků</w:t>
      </w:r>
      <w:r w:rsidRPr="004B7295">
        <w:t xml:space="preserve"> dalšího vzdělávání </w:t>
      </w:r>
      <w:r w:rsidR="005E3E25" w:rsidRPr="004B7295">
        <w:t xml:space="preserve">uvedlo, že se studia účastnili „převážně mimo placenou pracovní dobu“, což však naznačuje, že jim </w:t>
      </w:r>
      <w:r w:rsidRPr="004B7295">
        <w:t>zaměstnavatel</w:t>
      </w:r>
      <w:r w:rsidR="005E3E25" w:rsidRPr="004B7295">
        <w:t xml:space="preserve"> vyšel</w:t>
      </w:r>
      <w:r w:rsidRPr="004B7295">
        <w:t xml:space="preserve"> vstříc alespoň částečnou možností účast</w:t>
      </w:r>
      <w:r w:rsidR="008D4F48">
        <w:t>i</w:t>
      </w:r>
      <w:r w:rsidR="00AA2A0D" w:rsidRPr="004B7295">
        <w:t xml:space="preserve"> během pl</w:t>
      </w:r>
      <w:r w:rsidR="005E3E25" w:rsidRPr="004B7295">
        <w:t>acené pracovní doby, či měli možnost v rámci svého studia čerpat např. placené studijní volno. Zbývající</w:t>
      </w:r>
      <w:r w:rsidR="00BD15CA" w:rsidRPr="004B7295">
        <w:t> </w:t>
      </w:r>
      <w:r w:rsidR="005E3E25" w:rsidRPr="004B7295">
        <w:t>necelá polovina pracujících studentů dalšího vzdělávání</w:t>
      </w:r>
      <w:r w:rsidR="00AA2A0D" w:rsidRPr="004B7295">
        <w:t xml:space="preserve"> (44 %)</w:t>
      </w:r>
      <w:r w:rsidR="005E3E25" w:rsidRPr="004B7295">
        <w:t xml:space="preserve"> však s žádnou takovou podporou ze strany zaměstnavatele počítat nemohla a studiu se věnovala pouze ve svém volném, resp</w:t>
      </w:r>
      <w:r w:rsidR="00BD15CA" w:rsidRPr="004B7295">
        <w:t>. </w:t>
      </w:r>
      <w:r w:rsidR="005E3E25" w:rsidRPr="004B7295">
        <w:t>mimopracovním čase.</w:t>
      </w:r>
      <w:r w:rsidR="009519DD" w:rsidRPr="004B7295">
        <w:t xml:space="preserve"> Stejně tak se naprostá většina studentů dalšího </w:t>
      </w:r>
      <w:r w:rsidR="009519DD" w:rsidRPr="004B7295">
        <w:lastRenderedPageBreak/>
        <w:t>vzdělávání (resp. studentů formálního vzdělávání obecně) spoléhala pouze na sebe či své rodinné příslušníky při hrazení nákladů, které byly s jejich studiem spojeny. Financování formálního vzdělávání z jiných než osobních zdrojů tak není v České republice příliš rozšířené.</w:t>
      </w:r>
      <w:r w:rsidRPr="004B7295">
        <w:t xml:space="preserve">  </w:t>
      </w:r>
    </w:p>
    <w:p w:rsidR="00B206A6" w:rsidRPr="004B7295" w:rsidRDefault="009969B5" w:rsidP="003D4835">
      <w:pPr>
        <w:pStyle w:val="Nadpis3"/>
      </w:pPr>
      <w:bookmarkStart w:id="57" w:name="_Toc505785832"/>
      <w:bookmarkStart w:id="58" w:name="_Toc506969417"/>
      <w:r w:rsidRPr="004B7295">
        <w:t>Motivace ke studiu a hodnocení studia</w:t>
      </w:r>
      <w:bookmarkEnd w:id="57"/>
      <w:bookmarkEnd w:id="58"/>
    </w:p>
    <w:p w:rsidR="00EB6316" w:rsidRPr="004B7295" w:rsidRDefault="00EB6316" w:rsidP="003D4835">
      <w:pPr>
        <w:spacing w:after="0"/>
        <w:jc w:val="both"/>
      </w:pPr>
      <w:r w:rsidRPr="004B7295">
        <w:t xml:space="preserve">Jak bylo uvedeno v předchozí podkapitole, </w:t>
      </w:r>
      <w:r w:rsidR="00530358" w:rsidRPr="004B7295">
        <w:t>významná většina studentů, včetně studentů dalšího vzdělávání, se účastní studia vyššího stupně vzdělávání, než jakého doposud dosáhla. Z toho vyplývá zřejmý důvod k</w:t>
      </w:r>
      <w:r w:rsidR="00F04FD7" w:rsidRPr="004B7295">
        <w:t xml:space="preserve"> účasti ve formálním vzdělávání </w:t>
      </w:r>
      <w:r w:rsidR="00AC2D7F">
        <w:t>–</w:t>
      </w:r>
      <w:r w:rsidR="00F04FD7" w:rsidRPr="004B7295">
        <w:t xml:space="preserve"> </w:t>
      </w:r>
      <w:r w:rsidR="00530358" w:rsidRPr="004B7295">
        <w:t xml:space="preserve">zvýšení dosavadní kvalifikace. Tento termín je však možné chápat především jako zastřešující pojem, který v sobě zahrnuje řadu dalších možných </w:t>
      </w:r>
      <w:r w:rsidR="00F04FD7" w:rsidRPr="004B7295">
        <w:t>motivací</w:t>
      </w:r>
      <w:r w:rsidR="00530358" w:rsidRPr="004B7295">
        <w:t xml:space="preserve"> ke studiu (nabytí nových znalostí a dovedností, zisk osvědčení, zlepšení kariérních vyhlídek apod.). Přehled důvodů k účasti ve formálním vzdělávání řazený dle důležitosti pro jednotlivé skupiny respondentů nabízí </w:t>
      </w:r>
      <w:hyperlink w:anchor="_Tabulka_č._1:" w:history="1">
        <w:r w:rsidR="00530358" w:rsidRPr="00BD08CF">
          <w:rPr>
            <w:rStyle w:val="Hypertextovodkaz"/>
          </w:rPr>
          <w:t>tabulka č.</w:t>
        </w:r>
        <w:r w:rsidR="00204BA1" w:rsidRPr="00BD08CF">
          <w:rPr>
            <w:rStyle w:val="Hypertextovodkaz"/>
          </w:rPr>
          <w:t> </w:t>
        </w:r>
        <w:r w:rsidR="0076343F" w:rsidRPr="00BD08CF">
          <w:rPr>
            <w:rStyle w:val="Hypertextovodkaz"/>
          </w:rPr>
          <w:t>1</w:t>
        </w:r>
      </w:hyperlink>
      <w:r w:rsidR="00530358" w:rsidRPr="004B7295">
        <w:t>.</w:t>
      </w:r>
    </w:p>
    <w:tbl>
      <w:tblPr>
        <w:tblW w:w="11879" w:type="dxa"/>
        <w:tblInd w:w="55" w:type="dxa"/>
        <w:tblCellMar>
          <w:left w:w="70" w:type="dxa"/>
          <w:right w:w="70" w:type="dxa"/>
        </w:tblCellMar>
        <w:tblLook w:val="04A0" w:firstRow="1" w:lastRow="0" w:firstColumn="1" w:lastColumn="0" w:noHBand="0" w:noVBand="1"/>
      </w:tblPr>
      <w:tblGrid>
        <w:gridCol w:w="4872"/>
        <w:gridCol w:w="162"/>
        <w:gridCol w:w="805"/>
        <w:gridCol w:w="544"/>
        <w:gridCol w:w="448"/>
        <w:gridCol w:w="992"/>
        <w:gridCol w:w="36"/>
        <w:gridCol w:w="956"/>
        <w:gridCol w:w="384"/>
        <w:gridCol w:w="528"/>
        <w:gridCol w:w="566"/>
        <w:gridCol w:w="1586"/>
      </w:tblGrid>
      <w:tr w:rsidR="00893E85" w:rsidRPr="004B7295" w:rsidTr="00E33857">
        <w:trPr>
          <w:gridAfter w:val="2"/>
          <w:wAfter w:w="2152" w:type="dxa"/>
          <w:trHeight w:val="300"/>
        </w:trPr>
        <w:tc>
          <w:tcPr>
            <w:tcW w:w="9727" w:type="dxa"/>
            <w:gridSpan w:val="10"/>
            <w:tcBorders>
              <w:top w:val="nil"/>
              <w:left w:val="nil"/>
              <w:bottom w:val="nil"/>
              <w:right w:val="nil"/>
            </w:tcBorders>
            <w:shd w:val="clear" w:color="auto" w:fill="auto"/>
            <w:noWrap/>
            <w:vAlign w:val="center"/>
            <w:hideMark/>
          </w:tcPr>
          <w:p w:rsidR="00893E85" w:rsidRPr="004B7295" w:rsidRDefault="00530358" w:rsidP="00BD08CF">
            <w:pPr>
              <w:pStyle w:val="Nadpis5"/>
            </w:pPr>
            <w:bookmarkStart w:id="59" w:name="_Tabulka_č._1:"/>
            <w:bookmarkStart w:id="60" w:name="_Toc505957353"/>
            <w:bookmarkStart w:id="61" w:name="_Toc505958379"/>
            <w:bookmarkEnd w:id="12"/>
            <w:bookmarkEnd w:id="59"/>
            <w:r w:rsidRPr="004B7295">
              <w:t>Tab</w:t>
            </w:r>
            <w:r w:rsidR="008C5DD0">
              <w:t>ulka</w:t>
            </w:r>
            <w:r w:rsidRPr="004B7295">
              <w:t xml:space="preserve"> č. </w:t>
            </w:r>
            <w:r w:rsidR="008C5DD0">
              <w:t>1</w:t>
            </w:r>
            <w:r w:rsidRPr="004B7295">
              <w:t>: Důvody účast</w:t>
            </w:r>
            <w:r w:rsidR="004223AF" w:rsidRPr="004B7295">
              <w:t xml:space="preserve">i ve formálním vzdělávání </w:t>
            </w:r>
            <w:r w:rsidR="0076343F">
              <w:t>dle věkových</w:t>
            </w:r>
            <w:r w:rsidR="004223AF" w:rsidRPr="004B7295">
              <w:t xml:space="preserve"> kategorií </w:t>
            </w:r>
            <w:r w:rsidR="0076343F">
              <w:t>a typu vzdělávání</w:t>
            </w:r>
            <w:bookmarkEnd w:id="60"/>
            <w:bookmarkEnd w:id="61"/>
            <w:r w:rsidR="004223AF" w:rsidRPr="004B7295">
              <w:t xml:space="preserve"> </w:t>
            </w:r>
          </w:p>
          <w:p w:rsidR="00530358" w:rsidRPr="004B7295" w:rsidRDefault="00530358" w:rsidP="00530358">
            <w:pPr>
              <w:pStyle w:val="Zkladnodstavec"/>
              <w:jc w:val="right"/>
              <w:rPr>
                <w:rFonts w:cs="Arial"/>
                <w:b/>
                <w:szCs w:val="20"/>
              </w:rPr>
            </w:pPr>
            <w:r w:rsidRPr="004B7295">
              <w:rPr>
                <w:rFonts w:cs="Arial"/>
                <w:b/>
                <w:szCs w:val="20"/>
              </w:rPr>
              <w:t>%</w:t>
            </w:r>
          </w:p>
        </w:tc>
      </w:tr>
      <w:tr w:rsidR="003D4BC6" w:rsidRPr="004B7295" w:rsidTr="00CC5F2F">
        <w:trPr>
          <w:gridAfter w:val="2"/>
          <w:wAfter w:w="2152" w:type="dxa"/>
          <w:trHeight w:val="435"/>
        </w:trPr>
        <w:tc>
          <w:tcPr>
            <w:tcW w:w="4872" w:type="dxa"/>
            <w:vMerge w:val="restart"/>
            <w:tcBorders>
              <w:top w:val="single" w:sz="8" w:space="0" w:color="auto"/>
              <w:left w:val="nil"/>
              <w:right w:val="single" w:sz="8" w:space="0" w:color="auto"/>
            </w:tcBorders>
            <w:shd w:val="clear" w:color="auto" w:fill="F5DADD"/>
            <w:vAlign w:val="center"/>
            <w:hideMark/>
          </w:tcPr>
          <w:p w:rsidR="003D4BC6" w:rsidRPr="004B7295" w:rsidRDefault="003D4BC6" w:rsidP="00FD3265">
            <w:pPr>
              <w:pStyle w:val="Zkladnodstavec"/>
              <w:jc w:val="center"/>
              <w:rPr>
                <w:rFonts w:cs="Arial"/>
                <w:b/>
                <w:sz w:val="16"/>
                <w:szCs w:val="16"/>
              </w:rPr>
            </w:pPr>
            <w:r w:rsidRPr="004B7295">
              <w:rPr>
                <w:rFonts w:cs="Arial"/>
                <w:b/>
                <w:sz w:val="16"/>
                <w:szCs w:val="16"/>
              </w:rPr>
              <w:t>Důvody účasti ve formálním vzdělávání</w:t>
            </w:r>
          </w:p>
        </w:tc>
        <w:tc>
          <w:tcPr>
            <w:tcW w:w="4855" w:type="dxa"/>
            <w:gridSpan w:val="9"/>
            <w:tcBorders>
              <w:top w:val="single" w:sz="8" w:space="0" w:color="auto"/>
              <w:left w:val="nil"/>
            </w:tcBorders>
            <w:shd w:val="clear" w:color="auto" w:fill="F5DADD"/>
            <w:vAlign w:val="center"/>
            <w:hideMark/>
          </w:tcPr>
          <w:p w:rsidR="003D4BC6" w:rsidRPr="004B7295" w:rsidRDefault="0076343F" w:rsidP="0076343F">
            <w:pPr>
              <w:pStyle w:val="Zkladnodstavec"/>
              <w:spacing w:before="20"/>
              <w:jc w:val="center"/>
              <w:rPr>
                <w:rFonts w:cs="Arial"/>
                <w:b/>
                <w:sz w:val="16"/>
                <w:szCs w:val="16"/>
              </w:rPr>
            </w:pPr>
            <w:r>
              <w:rPr>
                <w:rFonts w:cs="Arial"/>
                <w:b/>
                <w:sz w:val="16"/>
                <w:szCs w:val="16"/>
              </w:rPr>
              <w:t>Účastníci</w:t>
            </w:r>
            <w:r w:rsidR="003D4BC6" w:rsidRPr="004B7295">
              <w:rPr>
                <w:rFonts w:cs="Arial"/>
                <w:b/>
                <w:sz w:val="16"/>
                <w:szCs w:val="16"/>
              </w:rPr>
              <w:t xml:space="preserve"> formálního vzdělávání</w:t>
            </w:r>
          </w:p>
        </w:tc>
      </w:tr>
      <w:tr w:rsidR="003D4BC6" w:rsidRPr="004B7295" w:rsidTr="003D4BC6">
        <w:trPr>
          <w:gridAfter w:val="2"/>
          <w:wAfter w:w="2152" w:type="dxa"/>
          <w:trHeight w:val="435"/>
        </w:trPr>
        <w:tc>
          <w:tcPr>
            <w:tcW w:w="4872" w:type="dxa"/>
            <w:vMerge/>
            <w:tcBorders>
              <w:left w:val="nil"/>
              <w:right w:val="single" w:sz="8" w:space="0" w:color="auto"/>
            </w:tcBorders>
            <w:shd w:val="clear" w:color="auto" w:fill="F5DADD"/>
            <w:vAlign w:val="center"/>
            <w:hideMark/>
          </w:tcPr>
          <w:p w:rsidR="003D4BC6" w:rsidRPr="004B7295" w:rsidRDefault="003D4BC6" w:rsidP="00FD3265">
            <w:pPr>
              <w:pStyle w:val="Zkladnodstavec"/>
              <w:jc w:val="center"/>
              <w:rPr>
                <w:rFonts w:cs="Arial"/>
                <w:b/>
                <w:sz w:val="16"/>
                <w:szCs w:val="16"/>
              </w:rPr>
            </w:pPr>
          </w:p>
        </w:tc>
        <w:tc>
          <w:tcPr>
            <w:tcW w:w="967" w:type="dxa"/>
            <w:gridSpan w:val="2"/>
            <w:vMerge w:val="restart"/>
            <w:tcBorders>
              <w:top w:val="single" w:sz="8" w:space="0" w:color="auto"/>
              <w:left w:val="nil"/>
              <w:right w:val="single" w:sz="8" w:space="0" w:color="000000"/>
            </w:tcBorders>
            <w:shd w:val="clear" w:color="auto" w:fill="F5DADD"/>
            <w:vAlign w:val="center"/>
            <w:hideMark/>
          </w:tcPr>
          <w:p w:rsidR="003D4BC6" w:rsidRPr="004B7295" w:rsidRDefault="003D4BC6" w:rsidP="004223AF">
            <w:pPr>
              <w:pStyle w:val="Zkladnodstavec"/>
              <w:jc w:val="center"/>
              <w:rPr>
                <w:rFonts w:cs="Arial"/>
                <w:b/>
                <w:i/>
                <w:sz w:val="16"/>
                <w:szCs w:val="16"/>
              </w:rPr>
            </w:pPr>
            <w:r w:rsidRPr="004B7295">
              <w:rPr>
                <w:rFonts w:cs="Arial"/>
                <w:b/>
                <w:sz w:val="16"/>
                <w:szCs w:val="16"/>
              </w:rPr>
              <w:t>celkem</w:t>
            </w:r>
          </w:p>
        </w:tc>
        <w:tc>
          <w:tcPr>
            <w:tcW w:w="1984" w:type="dxa"/>
            <w:gridSpan w:val="3"/>
            <w:tcBorders>
              <w:top w:val="single" w:sz="8" w:space="0" w:color="auto"/>
              <w:left w:val="nil"/>
              <w:bottom w:val="single" w:sz="8" w:space="0" w:color="auto"/>
              <w:right w:val="single" w:sz="8" w:space="0" w:color="000000"/>
            </w:tcBorders>
            <w:shd w:val="clear" w:color="auto" w:fill="F5DADD"/>
            <w:vAlign w:val="center"/>
            <w:hideMark/>
          </w:tcPr>
          <w:p w:rsidR="003D4BC6" w:rsidRPr="004B7295" w:rsidRDefault="003D4BC6" w:rsidP="004223AF">
            <w:pPr>
              <w:pStyle w:val="Zkladnodstavec"/>
              <w:jc w:val="center"/>
              <w:rPr>
                <w:rFonts w:cs="Arial"/>
                <w:b/>
                <w:sz w:val="16"/>
                <w:szCs w:val="16"/>
              </w:rPr>
            </w:pPr>
            <w:r w:rsidRPr="004B7295">
              <w:rPr>
                <w:rFonts w:cs="Arial"/>
                <w:b/>
                <w:sz w:val="16"/>
                <w:szCs w:val="16"/>
              </w:rPr>
              <w:t>dle věku</w:t>
            </w:r>
          </w:p>
        </w:tc>
        <w:tc>
          <w:tcPr>
            <w:tcW w:w="1904" w:type="dxa"/>
            <w:gridSpan w:val="4"/>
            <w:tcBorders>
              <w:top w:val="single" w:sz="8" w:space="0" w:color="auto"/>
              <w:left w:val="nil"/>
              <w:bottom w:val="single" w:sz="8" w:space="0" w:color="auto"/>
              <w:right w:val="nil"/>
            </w:tcBorders>
            <w:shd w:val="clear" w:color="auto" w:fill="F5DADD"/>
            <w:vAlign w:val="center"/>
            <w:hideMark/>
          </w:tcPr>
          <w:p w:rsidR="003D4BC6" w:rsidRPr="004B7295" w:rsidRDefault="003D4BC6" w:rsidP="004223AF">
            <w:pPr>
              <w:pStyle w:val="Zkladnodstavec"/>
              <w:jc w:val="center"/>
              <w:rPr>
                <w:rFonts w:cs="Arial"/>
                <w:b/>
                <w:sz w:val="16"/>
                <w:szCs w:val="16"/>
              </w:rPr>
            </w:pPr>
            <w:r w:rsidRPr="004B7295">
              <w:rPr>
                <w:rFonts w:cs="Arial"/>
                <w:b/>
                <w:sz w:val="16"/>
                <w:szCs w:val="16"/>
              </w:rPr>
              <w:t>dle typu vzdělávání</w:t>
            </w:r>
          </w:p>
        </w:tc>
      </w:tr>
      <w:tr w:rsidR="003D4BC6" w:rsidRPr="004B7295" w:rsidTr="003D4BC6">
        <w:trPr>
          <w:gridAfter w:val="2"/>
          <w:wAfter w:w="2152" w:type="dxa"/>
          <w:trHeight w:val="465"/>
        </w:trPr>
        <w:tc>
          <w:tcPr>
            <w:tcW w:w="4872" w:type="dxa"/>
            <w:vMerge/>
            <w:tcBorders>
              <w:left w:val="nil"/>
              <w:bottom w:val="single" w:sz="8" w:space="0" w:color="000000"/>
              <w:right w:val="single" w:sz="8" w:space="0" w:color="auto"/>
            </w:tcBorders>
            <w:shd w:val="clear" w:color="auto" w:fill="F5DADD"/>
            <w:vAlign w:val="center"/>
            <w:hideMark/>
          </w:tcPr>
          <w:p w:rsidR="003D4BC6" w:rsidRPr="004B7295" w:rsidRDefault="003D4BC6" w:rsidP="00332190">
            <w:pPr>
              <w:pStyle w:val="Zkladnodstavec"/>
              <w:jc w:val="center"/>
              <w:rPr>
                <w:rFonts w:cs="Arial"/>
                <w:b/>
                <w:sz w:val="16"/>
                <w:szCs w:val="16"/>
              </w:rPr>
            </w:pPr>
          </w:p>
        </w:tc>
        <w:tc>
          <w:tcPr>
            <w:tcW w:w="967" w:type="dxa"/>
            <w:gridSpan w:val="2"/>
            <w:vMerge/>
            <w:tcBorders>
              <w:left w:val="nil"/>
              <w:bottom w:val="single" w:sz="8" w:space="0" w:color="auto"/>
              <w:right w:val="single" w:sz="8" w:space="0" w:color="000000"/>
            </w:tcBorders>
            <w:shd w:val="clear" w:color="auto" w:fill="F5DADD"/>
            <w:vAlign w:val="center"/>
            <w:hideMark/>
          </w:tcPr>
          <w:p w:rsidR="003D4BC6" w:rsidRPr="004B7295" w:rsidRDefault="003D4BC6" w:rsidP="00FD3265">
            <w:pPr>
              <w:pStyle w:val="Zkladnodstavec"/>
              <w:jc w:val="center"/>
              <w:rPr>
                <w:rFonts w:cs="Arial"/>
                <w:b/>
                <w:sz w:val="16"/>
                <w:szCs w:val="16"/>
              </w:rPr>
            </w:pPr>
          </w:p>
        </w:tc>
        <w:tc>
          <w:tcPr>
            <w:tcW w:w="992" w:type="dxa"/>
            <w:gridSpan w:val="2"/>
            <w:tcBorders>
              <w:top w:val="nil"/>
              <w:left w:val="single" w:sz="8" w:space="0" w:color="000000"/>
              <w:bottom w:val="single" w:sz="8" w:space="0" w:color="auto"/>
              <w:right w:val="single" w:sz="8" w:space="0" w:color="auto"/>
            </w:tcBorders>
            <w:shd w:val="clear" w:color="auto" w:fill="F5DADD"/>
            <w:vAlign w:val="center"/>
            <w:hideMark/>
          </w:tcPr>
          <w:p w:rsidR="003D4BC6" w:rsidRPr="004B7295" w:rsidRDefault="003D4BC6" w:rsidP="00536ED4">
            <w:pPr>
              <w:pStyle w:val="Zkladnodstavec"/>
              <w:jc w:val="center"/>
              <w:rPr>
                <w:rFonts w:cs="Arial"/>
                <w:b/>
                <w:sz w:val="16"/>
                <w:szCs w:val="16"/>
              </w:rPr>
            </w:pPr>
            <w:r w:rsidRPr="004B7295">
              <w:rPr>
                <w:rFonts w:cs="Arial"/>
                <w:b/>
                <w:sz w:val="16"/>
                <w:szCs w:val="16"/>
              </w:rPr>
              <w:t>18–24 let</w:t>
            </w:r>
          </w:p>
        </w:tc>
        <w:tc>
          <w:tcPr>
            <w:tcW w:w="992" w:type="dxa"/>
            <w:tcBorders>
              <w:top w:val="nil"/>
              <w:left w:val="nil"/>
              <w:bottom w:val="single" w:sz="8" w:space="0" w:color="auto"/>
              <w:right w:val="single" w:sz="8" w:space="0" w:color="auto"/>
            </w:tcBorders>
            <w:shd w:val="clear" w:color="auto" w:fill="F5DADD"/>
            <w:vAlign w:val="center"/>
            <w:hideMark/>
          </w:tcPr>
          <w:p w:rsidR="003D4BC6" w:rsidRPr="004B7295" w:rsidRDefault="003D4BC6" w:rsidP="00536ED4">
            <w:pPr>
              <w:pStyle w:val="Zkladnodstavec"/>
              <w:jc w:val="center"/>
              <w:rPr>
                <w:rFonts w:cs="Arial"/>
                <w:b/>
                <w:sz w:val="16"/>
                <w:szCs w:val="16"/>
              </w:rPr>
            </w:pPr>
            <w:r w:rsidRPr="004B7295">
              <w:rPr>
                <w:rFonts w:cs="Arial"/>
                <w:b/>
                <w:sz w:val="16"/>
                <w:szCs w:val="16"/>
              </w:rPr>
              <w:t>25–69 let</w:t>
            </w:r>
          </w:p>
        </w:tc>
        <w:tc>
          <w:tcPr>
            <w:tcW w:w="992" w:type="dxa"/>
            <w:gridSpan w:val="2"/>
            <w:tcBorders>
              <w:top w:val="nil"/>
              <w:left w:val="nil"/>
              <w:bottom w:val="single" w:sz="8" w:space="0" w:color="auto"/>
              <w:right w:val="single" w:sz="8" w:space="0" w:color="auto"/>
            </w:tcBorders>
            <w:shd w:val="clear" w:color="auto" w:fill="F5DADD"/>
            <w:vAlign w:val="center"/>
            <w:hideMark/>
          </w:tcPr>
          <w:p w:rsidR="003D4BC6" w:rsidRPr="004B7295" w:rsidRDefault="003D4BC6" w:rsidP="00FD3265">
            <w:pPr>
              <w:pStyle w:val="Zkladnodstavec"/>
              <w:jc w:val="center"/>
              <w:rPr>
                <w:rFonts w:cs="Arial"/>
                <w:b/>
                <w:sz w:val="16"/>
                <w:szCs w:val="16"/>
              </w:rPr>
            </w:pPr>
            <w:r w:rsidRPr="004B7295">
              <w:rPr>
                <w:rFonts w:cs="Arial"/>
                <w:b/>
                <w:sz w:val="16"/>
                <w:szCs w:val="16"/>
              </w:rPr>
              <w:t>počáteční</w:t>
            </w:r>
          </w:p>
        </w:tc>
        <w:tc>
          <w:tcPr>
            <w:tcW w:w="912" w:type="dxa"/>
            <w:gridSpan w:val="2"/>
            <w:tcBorders>
              <w:top w:val="nil"/>
              <w:left w:val="nil"/>
              <w:bottom w:val="single" w:sz="8" w:space="0" w:color="auto"/>
              <w:right w:val="nil"/>
            </w:tcBorders>
            <w:shd w:val="clear" w:color="auto" w:fill="F5DADD"/>
            <w:vAlign w:val="center"/>
            <w:hideMark/>
          </w:tcPr>
          <w:p w:rsidR="003D4BC6" w:rsidRPr="004B7295" w:rsidRDefault="003D4BC6" w:rsidP="00FD3265">
            <w:pPr>
              <w:pStyle w:val="Zkladnodstavec"/>
              <w:jc w:val="center"/>
              <w:rPr>
                <w:rFonts w:cs="Arial"/>
                <w:b/>
                <w:sz w:val="16"/>
                <w:szCs w:val="16"/>
              </w:rPr>
            </w:pPr>
            <w:r w:rsidRPr="004B7295">
              <w:rPr>
                <w:rFonts w:cs="Arial"/>
                <w:b/>
                <w:sz w:val="16"/>
                <w:szCs w:val="16"/>
              </w:rPr>
              <w:t>další</w:t>
            </w:r>
          </w:p>
        </w:tc>
      </w:tr>
      <w:tr w:rsidR="00530358" w:rsidRPr="004B7295" w:rsidTr="00530358">
        <w:trPr>
          <w:gridAfter w:val="2"/>
          <w:wAfter w:w="2152" w:type="dxa"/>
          <w:trHeight w:val="20"/>
        </w:trPr>
        <w:tc>
          <w:tcPr>
            <w:tcW w:w="4872" w:type="dxa"/>
            <w:tcBorders>
              <w:top w:val="nil"/>
              <w:left w:val="nil"/>
              <w:bottom w:val="nil"/>
              <w:right w:val="nil"/>
            </w:tcBorders>
            <w:shd w:val="clear" w:color="auto" w:fill="auto"/>
            <w:noWrap/>
            <w:vAlign w:val="bottom"/>
            <w:hideMark/>
          </w:tcPr>
          <w:p w:rsidR="00530358" w:rsidRPr="004B7295" w:rsidRDefault="00170501" w:rsidP="00B149FD">
            <w:pPr>
              <w:spacing w:beforeLines="60" w:before="144" w:afterLines="60" w:after="144"/>
              <w:rPr>
                <w:rFonts w:cs="Arial"/>
                <w:color w:val="000000"/>
                <w:sz w:val="16"/>
                <w:szCs w:val="16"/>
              </w:rPr>
            </w:pPr>
            <w:r>
              <w:rPr>
                <w:rFonts w:cs="Arial"/>
                <w:color w:val="000000"/>
                <w:sz w:val="16"/>
                <w:szCs w:val="16"/>
              </w:rPr>
              <w:t>z</w:t>
            </w:r>
            <w:r w:rsidR="00530358" w:rsidRPr="004B7295">
              <w:rPr>
                <w:rFonts w:cs="Arial"/>
                <w:color w:val="000000"/>
                <w:sz w:val="16"/>
                <w:szCs w:val="16"/>
              </w:rPr>
              <w:t>ískat osvědčení (výuční list, maturitní vysvědčení, diplom apod.)</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76</w:t>
            </w:r>
          </w:p>
        </w:tc>
        <w:tc>
          <w:tcPr>
            <w:tcW w:w="992" w:type="dxa"/>
            <w:gridSpan w:val="2"/>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80</w:t>
            </w:r>
          </w:p>
        </w:tc>
        <w:tc>
          <w:tcPr>
            <w:tcW w:w="992" w:type="dxa"/>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66</w:t>
            </w:r>
          </w:p>
        </w:tc>
        <w:tc>
          <w:tcPr>
            <w:tcW w:w="992" w:type="dxa"/>
            <w:gridSpan w:val="2"/>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79</w:t>
            </w:r>
          </w:p>
        </w:tc>
        <w:tc>
          <w:tcPr>
            <w:tcW w:w="912" w:type="dxa"/>
            <w:gridSpan w:val="2"/>
            <w:tcBorders>
              <w:top w:val="nil"/>
              <w:left w:val="nil"/>
              <w:bottom w:val="nil"/>
              <w:right w:val="nil"/>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60</w:t>
            </w:r>
          </w:p>
        </w:tc>
      </w:tr>
      <w:tr w:rsidR="00530358" w:rsidRPr="004B7295" w:rsidTr="00530358">
        <w:trPr>
          <w:gridAfter w:val="2"/>
          <w:wAfter w:w="2152" w:type="dxa"/>
          <w:trHeight w:val="20"/>
        </w:trPr>
        <w:tc>
          <w:tcPr>
            <w:tcW w:w="4872" w:type="dxa"/>
            <w:tcBorders>
              <w:top w:val="nil"/>
              <w:left w:val="nil"/>
              <w:bottom w:val="nil"/>
              <w:right w:val="nil"/>
            </w:tcBorders>
            <w:shd w:val="clear" w:color="auto" w:fill="auto"/>
            <w:noWrap/>
            <w:vAlign w:val="bottom"/>
            <w:hideMark/>
          </w:tcPr>
          <w:p w:rsidR="00530358" w:rsidRPr="004B7295" w:rsidRDefault="00170501" w:rsidP="00B149FD">
            <w:pPr>
              <w:spacing w:beforeLines="60" w:before="144" w:afterLines="60" w:after="144"/>
              <w:rPr>
                <w:rFonts w:cs="Arial"/>
                <w:color w:val="000000"/>
                <w:sz w:val="16"/>
                <w:szCs w:val="16"/>
              </w:rPr>
            </w:pPr>
            <w:r>
              <w:rPr>
                <w:rFonts w:cs="Arial"/>
                <w:color w:val="000000"/>
                <w:sz w:val="16"/>
                <w:szCs w:val="16"/>
              </w:rPr>
              <w:t>z</w:t>
            </w:r>
            <w:r w:rsidR="00530358" w:rsidRPr="004B7295">
              <w:rPr>
                <w:rFonts w:cs="Arial"/>
                <w:color w:val="000000"/>
                <w:sz w:val="16"/>
                <w:szCs w:val="16"/>
              </w:rPr>
              <w:t>lepšit kariérní vyhlídky</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50</w:t>
            </w:r>
          </w:p>
        </w:tc>
        <w:tc>
          <w:tcPr>
            <w:tcW w:w="992" w:type="dxa"/>
            <w:gridSpan w:val="2"/>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45</w:t>
            </w:r>
          </w:p>
        </w:tc>
        <w:tc>
          <w:tcPr>
            <w:tcW w:w="992" w:type="dxa"/>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69</w:t>
            </w:r>
          </w:p>
        </w:tc>
        <w:tc>
          <w:tcPr>
            <w:tcW w:w="992" w:type="dxa"/>
            <w:gridSpan w:val="2"/>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46</w:t>
            </w:r>
          </w:p>
        </w:tc>
        <w:tc>
          <w:tcPr>
            <w:tcW w:w="912" w:type="dxa"/>
            <w:gridSpan w:val="2"/>
            <w:tcBorders>
              <w:top w:val="nil"/>
              <w:left w:val="nil"/>
              <w:bottom w:val="nil"/>
              <w:right w:val="nil"/>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74</w:t>
            </w:r>
          </w:p>
        </w:tc>
      </w:tr>
      <w:tr w:rsidR="00530358" w:rsidRPr="004B7295" w:rsidTr="00530358">
        <w:trPr>
          <w:gridAfter w:val="2"/>
          <w:wAfter w:w="2152" w:type="dxa"/>
          <w:trHeight w:val="20"/>
        </w:trPr>
        <w:tc>
          <w:tcPr>
            <w:tcW w:w="4872" w:type="dxa"/>
            <w:tcBorders>
              <w:top w:val="nil"/>
              <w:left w:val="nil"/>
              <w:bottom w:val="nil"/>
              <w:right w:val="nil"/>
            </w:tcBorders>
            <w:shd w:val="clear" w:color="auto" w:fill="auto"/>
            <w:noWrap/>
            <w:vAlign w:val="bottom"/>
            <w:hideMark/>
          </w:tcPr>
          <w:p w:rsidR="00530358" w:rsidRPr="004B7295" w:rsidRDefault="00170501" w:rsidP="00B149FD">
            <w:pPr>
              <w:spacing w:beforeLines="60" w:before="144" w:afterLines="60" w:after="144"/>
              <w:rPr>
                <w:rFonts w:cs="Arial"/>
                <w:color w:val="000000"/>
                <w:sz w:val="16"/>
                <w:szCs w:val="16"/>
              </w:rPr>
            </w:pPr>
            <w:r>
              <w:rPr>
                <w:rFonts w:cs="Arial"/>
                <w:color w:val="000000"/>
                <w:sz w:val="16"/>
                <w:szCs w:val="16"/>
              </w:rPr>
              <w:t>p</w:t>
            </w:r>
            <w:r w:rsidR="00530358" w:rsidRPr="004B7295">
              <w:rPr>
                <w:rFonts w:cs="Arial"/>
                <w:color w:val="000000"/>
                <w:sz w:val="16"/>
                <w:szCs w:val="16"/>
              </w:rPr>
              <w:t>rohloubit znalosti/dovednosti v oblasti, která mě zajímá</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44</w:t>
            </w:r>
          </w:p>
        </w:tc>
        <w:tc>
          <w:tcPr>
            <w:tcW w:w="992" w:type="dxa"/>
            <w:gridSpan w:val="2"/>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43</w:t>
            </w:r>
          </w:p>
        </w:tc>
        <w:tc>
          <w:tcPr>
            <w:tcW w:w="992" w:type="dxa"/>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50</w:t>
            </w:r>
          </w:p>
        </w:tc>
        <w:tc>
          <w:tcPr>
            <w:tcW w:w="992" w:type="dxa"/>
            <w:gridSpan w:val="2"/>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44</w:t>
            </w:r>
          </w:p>
        </w:tc>
        <w:tc>
          <w:tcPr>
            <w:tcW w:w="912" w:type="dxa"/>
            <w:gridSpan w:val="2"/>
            <w:tcBorders>
              <w:top w:val="nil"/>
              <w:left w:val="nil"/>
              <w:bottom w:val="nil"/>
              <w:right w:val="nil"/>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47</w:t>
            </w:r>
          </w:p>
        </w:tc>
      </w:tr>
      <w:tr w:rsidR="00530358" w:rsidRPr="004B7295" w:rsidTr="00530358">
        <w:trPr>
          <w:gridAfter w:val="2"/>
          <w:wAfter w:w="2152" w:type="dxa"/>
          <w:trHeight w:val="20"/>
        </w:trPr>
        <w:tc>
          <w:tcPr>
            <w:tcW w:w="4872" w:type="dxa"/>
            <w:tcBorders>
              <w:top w:val="nil"/>
              <w:left w:val="nil"/>
              <w:bottom w:val="nil"/>
              <w:right w:val="nil"/>
            </w:tcBorders>
            <w:shd w:val="clear" w:color="auto" w:fill="auto"/>
            <w:noWrap/>
            <w:vAlign w:val="bottom"/>
            <w:hideMark/>
          </w:tcPr>
          <w:p w:rsidR="00530358" w:rsidRPr="004B7295" w:rsidRDefault="00170501" w:rsidP="00B149FD">
            <w:pPr>
              <w:spacing w:beforeLines="60" w:before="144" w:afterLines="60" w:after="144"/>
              <w:rPr>
                <w:rFonts w:cs="Arial"/>
                <w:color w:val="000000"/>
                <w:sz w:val="16"/>
                <w:szCs w:val="16"/>
              </w:rPr>
            </w:pPr>
            <w:r>
              <w:rPr>
                <w:rFonts w:cs="Arial"/>
                <w:color w:val="000000"/>
                <w:sz w:val="16"/>
                <w:szCs w:val="16"/>
              </w:rPr>
              <w:t>z</w:t>
            </w:r>
            <w:r w:rsidR="00530358" w:rsidRPr="004B7295">
              <w:rPr>
                <w:rFonts w:cs="Arial"/>
                <w:color w:val="000000"/>
                <w:sz w:val="16"/>
                <w:szCs w:val="16"/>
              </w:rPr>
              <w:t>lepšit vyhlídky na získání nebo změnu práce</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42</w:t>
            </w:r>
          </w:p>
        </w:tc>
        <w:tc>
          <w:tcPr>
            <w:tcW w:w="992" w:type="dxa"/>
            <w:gridSpan w:val="2"/>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41</w:t>
            </w:r>
          </w:p>
        </w:tc>
        <w:tc>
          <w:tcPr>
            <w:tcW w:w="992" w:type="dxa"/>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45</w:t>
            </w:r>
          </w:p>
        </w:tc>
        <w:tc>
          <w:tcPr>
            <w:tcW w:w="992" w:type="dxa"/>
            <w:gridSpan w:val="2"/>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42</w:t>
            </w:r>
          </w:p>
        </w:tc>
        <w:tc>
          <w:tcPr>
            <w:tcW w:w="912" w:type="dxa"/>
            <w:gridSpan w:val="2"/>
            <w:tcBorders>
              <w:top w:val="nil"/>
              <w:left w:val="nil"/>
              <w:bottom w:val="nil"/>
              <w:right w:val="nil"/>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43</w:t>
            </w:r>
          </w:p>
        </w:tc>
      </w:tr>
      <w:tr w:rsidR="00530358" w:rsidRPr="004B7295" w:rsidTr="00530358">
        <w:trPr>
          <w:gridAfter w:val="2"/>
          <w:wAfter w:w="2152" w:type="dxa"/>
          <w:trHeight w:val="20"/>
        </w:trPr>
        <w:tc>
          <w:tcPr>
            <w:tcW w:w="4872" w:type="dxa"/>
            <w:tcBorders>
              <w:top w:val="nil"/>
              <w:left w:val="nil"/>
              <w:bottom w:val="nil"/>
              <w:right w:val="nil"/>
            </w:tcBorders>
            <w:shd w:val="clear" w:color="auto" w:fill="auto"/>
            <w:noWrap/>
            <w:vAlign w:val="bottom"/>
            <w:hideMark/>
          </w:tcPr>
          <w:p w:rsidR="00530358" w:rsidRPr="004B7295" w:rsidRDefault="00170501" w:rsidP="00B149FD">
            <w:pPr>
              <w:spacing w:beforeLines="60" w:before="144" w:afterLines="60" w:after="144"/>
              <w:rPr>
                <w:rFonts w:cs="Arial"/>
                <w:color w:val="000000"/>
                <w:sz w:val="16"/>
                <w:szCs w:val="16"/>
              </w:rPr>
            </w:pPr>
            <w:r>
              <w:rPr>
                <w:rFonts w:cs="Arial"/>
                <w:color w:val="000000"/>
                <w:sz w:val="16"/>
                <w:szCs w:val="16"/>
              </w:rPr>
              <w:t>z</w:t>
            </w:r>
            <w:r w:rsidR="00530358" w:rsidRPr="004B7295">
              <w:rPr>
                <w:rFonts w:cs="Arial"/>
                <w:color w:val="000000"/>
                <w:sz w:val="16"/>
                <w:szCs w:val="16"/>
              </w:rPr>
              <w:t>ískat znalosti/dovednosti užitečné v každodenním životě</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27</w:t>
            </w:r>
          </w:p>
        </w:tc>
        <w:tc>
          <w:tcPr>
            <w:tcW w:w="992" w:type="dxa"/>
            <w:gridSpan w:val="2"/>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28</w:t>
            </w:r>
          </w:p>
        </w:tc>
        <w:tc>
          <w:tcPr>
            <w:tcW w:w="992" w:type="dxa"/>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21</w:t>
            </w:r>
          </w:p>
        </w:tc>
        <w:tc>
          <w:tcPr>
            <w:tcW w:w="992" w:type="dxa"/>
            <w:gridSpan w:val="2"/>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28</w:t>
            </w:r>
          </w:p>
        </w:tc>
        <w:tc>
          <w:tcPr>
            <w:tcW w:w="912" w:type="dxa"/>
            <w:gridSpan w:val="2"/>
            <w:tcBorders>
              <w:top w:val="nil"/>
              <w:left w:val="nil"/>
              <w:bottom w:val="nil"/>
              <w:right w:val="nil"/>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20</w:t>
            </w:r>
          </w:p>
        </w:tc>
      </w:tr>
      <w:tr w:rsidR="00530358" w:rsidRPr="004B7295" w:rsidTr="00530358">
        <w:trPr>
          <w:gridAfter w:val="2"/>
          <w:wAfter w:w="2152" w:type="dxa"/>
          <w:trHeight w:val="20"/>
        </w:trPr>
        <w:tc>
          <w:tcPr>
            <w:tcW w:w="4872" w:type="dxa"/>
            <w:tcBorders>
              <w:top w:val="nil"/>
              <w:left w:val="nil"/>
              <w:bottom w:val="nil"/>
              <w:right w:val="nil"/>
            </w:tcBorders>
            <w:shd w:val="clear" w:color="auto" w:fill="auto"/>
            <w:noWrap/>
            <w:vAlign w:val="bottom"/>
            <w:hideMark/>
          </w:tcPr>
          <w:p w:rsidR="00530358" w:rsidRPr="004B7295" w:rsidRDefault="00170501" w:rsidP="00B149FD">
            <w:pPr>
              <w:spacing w:beforeLines="60" w:before="144" w:afterLines="60" w:after="144"/>
              <w:rPr>
                <w:rFonts w:cs="Arial"/>
                <w:color w:val="000000"/>
                <w:sz w:val="16"/>
                <w:szCs w:val="16"/>
              </w:rPr>
            </w:pPr>
            <w:r>
              <w:rPr>
                <w:rFonts w:cs="Arial"/>
                <w:color w:val="000000"/>
                <w:sz w:val="16"/>
                <w:szCs w:val="16"/>
              </w:rPr>
              <w:t>p</w:t>
            </w:r>
            <w:r w:rsidR="00530358" w:rsidRPr="004B7295">
              <w:rPr>
                <w:rFonts w:cs="Arial"/>
                <w:color w:val="000000"/>
                <w:sz w:val="16"/>
                <w:szCs w:val="16"/>
              </w:rPr>
              <w:t>otkat nové lidi, pro zábavu</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21</w:t>
            </w:r>
          </w:p>
        </w:tc>
        <w:tc>
          <w:tcPr>
            <w:tcW w:w="992" w:type="dxa"/>
            <w:gridSpan w:val="2"/>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22</w:t>
            </w:r>
          </w:p>
        </w:tc>
        <w:tc>
          <w:tcPr>
            <w:tcW w:w="992" w:type="dxa"/>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18</w:t>
            </w:r>
          </w:p>
        </w:tc>
        <w:tc>
          <w:tcPr>
            <w:tcW w:w="992" w:type="dxa"/>
            <w:gridSpan w:val="2"/>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22</w:t>
            </w:r>
          </w:p>
        </w:tc>
        <w:tc>
          <w:tcPr>
            <w:tcW w:w="912" w:type="dxa"/>
            <w:gridSpan w:val="2"/>
            <w:tcBorders>
              <w:top w:val="nil"/>
              <w:left w:val="nil"/>
              <w:bottom w:val="nil"/>
              <w:right w:val="nil"/>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14</w:t>
            </w:r>
          </w:p>
        </w:tc>
      </w:tr>
      <w:tr w:rsidR="00530358" w:rsidRPr="004B7295" w:rsidTr="00530358">
        <w:trPr>
          <w:gridAfter w:val="2"/>
          <w:wAfter w:w="2152" w:type="dxa"/>
          <w:trHeight w:val="20"/>
        </w:trPr>
        <w:tc>
          <w:tcPr>
            <w:tcW w:w="4872" w:type="dxa"/>
            <w:tcBorders>
              <w:top w:val="nil"/>
              <w:left w:val="nil"/>
              <w:bottom w:val="nil"/>
              <w:right w:val="nil"/>
            </w:tcBorders>
            <w:shd w:val="clear" w:color="auto" w:fill="auto"/>
            <w:noWrap/>
            <w:vAlign w:val="bottom"/>
            <w:hideMark/>
          </w:tcPr>
          <w:p w:rsidR="00530358" w:rsidRPr="004B7295" w:rsidRDefault="00170501" w:rsidP="00B149FD">
            <w:pPr>
              <w:spacing w:beforeLines="60" w:before="144" w:afterLines="60" w:after="144"/>
              <w:rPr>
                <w:rFonts w:cs="Arial"/>
                <w:color w:val="000000"/>
                <w:sz w:val="16"/>
                <w:szCs w:val="16"/>
              </w:rPr>
            </w:pPr>
            <w:r>
              <w:rPr>
                <w:rFonts w:cs="Arial"/>
                <w:color w:val="000000"/>
                <w:sz w:val="16"/>
                <w:szCs w:val="16"/>
              </w:rPr>
              <w:t>v</w:t>
            </w:r>
            <w:r w:rsidR="00530358" w:rsidRPr="004B7295">
              <w:rPr>
                <w:rFonts w:cs="Arial"/>
                <w:color w:val="000000"/>
                <w:sz w:val="16"/>
                <w:szCs w:val="16"/>
              </w:rPr>
              <w:t>ykonávat lépe svou práci</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17</w:t>
            </w:r>
          </w:p>
        </w:tc>
        <w:tc>
          <w:tcPr>
            <w:tcW w:w="992" w:type="dxa"/>
            <w:gridSpan w:val="2"/>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11</w:t>
            </w:r>
          </w:p>
        </w:tc>
        <w:tc>
          <w:tcPr>
            <w:tcW w:w="992" w:type="dxa"/>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37</w:t>
            </w:r>
          </w:p>
        </w:tc>
        <w:tc>
          <w:tcPr>
            <w:tcW w:w="992" w:type="dxa"/>
            <w:gridSpan w:val="2"/>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13</w:t>
            </w:r>
          </w:p>
        </w:tc>
        <w:tc>
          <w:tcPr>
            <w:tcW w:w="912" w:type="dxa"/>
            <w:gridSpan w:val="2"/>
            <w:tcBorders>
              <w:top w:val="nil"/>
              <w:left w:val="nil"/>
              <w:bottom w:val="nil"/>
              <w:right w:val="nil"/>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42</w:t>
            </w:r>
          </w:p>
        </w:tc>
      </w:tr>
      <w:tr w:rsidR="00530358" w:rsidRPr="004B7295" w:rsidTr="00530358">
        <w:trPr>
          <w:gridAfter w:val="2"/>
          <w:wAfter w:w="2152" w:type="dxa"/>
          <w:trHeight w:val="20"/>
        </w:trPr>
        <w:tc>
          <w:tcPr>
            <w:tcW w:w="4872" w:type="dxa"/>
            <w:tcBorders>
              <w:top w:val="nil"/>
              <w:left w:val="nil"/>
              <w:bottom w:val="nil"/>
              <w:right w:val="nil"/>
            </w:tcBorders>
            <w:shd w:val="clear" w:color="auto" w:fill="auto"/>
            <w:noWrap/>
            <w:vAlign w:val="bottom"/>
            <w:hideMark/>
          </w:tcPr>
          <w:p w:rsidR="00530358" w:rsidRPr="004B7295" w:rsidRDefault="00170501" w:rsidP="00B149FD">
            <w:pPr>
              <w:spacing w:beforeLines="60" w:before="144" w:afterLines="60" w:after="144"/>
              <w:rPr>
                <w:rFonts w:cs="Arial"/>
                <w:color w:val="000000"/>
                <w:sz w:val="16"/>
                <w:szCs w:val="16"/>
              </w:rPr>
            </w:pPr>
            <w:r>
              <w:rPr>
                <w:rFonts w:cs="Arial"/>
                <w:color w:val="000000"/>
                <w:sz w:val="16"/>
                <w:szCs w:val="16"/>
              </w:rPr>
              <w:t>s</w:t>
            </w:r>
            <w:r w:rsidR="00530358" w:rsidRPr="004B7295">
              <w:rPr>
                <w:rFonts w:cs="Arial"/>
                <w:color w:val="000000"/>
                <w:sz w:val="16"/>
                <w:szCs w:val="16"/>
              </w:rPr>
              <w:t>nížit pravděpodobnost ztráty zaměstnání</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8</w:t>
            </w:r>
          </w:p>
        </w:tc>
        <w:tc>
          <w:tcPr>
            <w:tcW w:w="992" w:type="dxa"/>
            <w:gridSpan w:val="2"/>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3</w:t>
            </w:r>
          </w:p>
        </w:tc>
        <w:tc>
          <w:tcPr>
            <w:tcW w:w="992" w:type="dxa"/>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23</w:t>
            </w:r>
          </w:p>
        </w:tc>
        <w:tc>
          <w:tcPr>
            <w:tcW w:w="992" w:type="dxa"/>
            <w:gridSpan w:val="2"/>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3</w:t>
            </w:r>
          </w:p>
        </w:tc>
        <w:tc>
          <w:tcPr>
            <w:tcW w:w="912" w:type="dxa"/>
            <w:gridSpan w:val="2"/>
            <w:tcBorders>
              <w:top w:val="nil"/>
              <w:left w:val="nil"/>
              <w:bottom w:val="nil"/>
              <w:right w:val="nil"/>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33</w:t>
            </w:r>
          </w:p>
        </w:tc>
      </w:tr>
      <w:tr w:rsidR="00530358" w:rsidRPr="004B7295" w:rsidTr="00530358">
        <w:trPr>
          <w:gridAfter w:val="2"/>
          <w:wAfter w:w="2152" w:type="dxa"/>
          <w:trHeight w:val="20"/>
        </w:trPr>
        <w:tc>
          <w:tcPr>
            <w:tcW w:w="4872" w:type="dxa"/>
            <w:tcBorders>
              <w:top w:val="nil"/>
              <w:left w:val="nil"/>
              <w:bottom w:val="nil"/>
              <w:right w:val="nil"/>
            </w:tcBorders>
            <w:shd w:val="clear" w:color="auto" w:fill="auto"/>
            <w:noWrap/>
            <w:vAlign w:val="bottom"/>
            <w:hideMark/>
          </w:tcPr>
          <w:p w:rsidR="00530358" w:rsidRPr="004B7295" w:rsidRDefault="00170501" w:rsidP="00B149FD">
            <w:pPr>
              <w:spacing w:beforeLines="60" w:before="144" w:afterLines="60" w:after="144"/>
              <w:rPr>
                <w:rFonts w:cs="Arial"/>
                <w:color w:val="000000"/>
                <w:sz w:val="16"/>
                <w:szCs w:val="16"/>
              </w:rPr>
            </w:pPr>
            <w:r>
              <w:rPr>
                <w:rFonts w:cs="Arial"/>
                <w:color w:val="000000"/>
                <w:sz w:val="16"/>
                <w:szCs w:val="16"/>
              </w:rPr>
              <w:t>m</w:t>
            </w:r>
            <w:r w:rsidR="00530358" w:rsidRPr="004B7295">
              <w:rPr>
                <w:rFonts w:cs="Arial"/>
                <w:color w:val="000000"/>
                <w:sz w:val="16"/>
                <w:szCs w:val="16"/>
              </w:rPr>
              <w:t>usel/a jsem se účastnit</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6</w:t>
            </w:r>
          </w:p>
        </w:tc>
        <w:tc>
          <w:tcPr>
            <w:tcW w:w="992" w:type="dxa"/>
            <w:gridSpan w:val="2"/>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5</w:t>
            </w:r>
          </w:p>
        </w:tc>
        <w:tc>
          <w:tcPr>
            <w:tcW w:w="992" w:type="dxa"/>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7</w:t>
            </w:r>
          </w:p>
        </w:tc>
        <w:tc>
          <w:tcPr>
            <w:tcW w:w="992" w:type="dxa"/>
            <w:gridSpan w:val="2"/>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5</w:t>
            </w:r>
          </w:p>
        </w:tc>
        <w:tc>
          <w:tcPr>
            <w:tcW w:w="912" w:type="dxa"/>
            <w:gridSpan w:val="2"/>
            <w:tcBorders>
              <w:top w:val="nil"/>
              <w:left w:val="nil"/>
              <w:bottom w:val="nil"/>
              <w:right w:val="nil"/>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9</w:t>
            </w:r>
          </w:p>
        </w:tc>
      </w:tr>
      <w:tr w:rsidR="00530358" w:rsidRPr="004B7295" w:rsidTr="00530358">
        <w:trPr>
          <w:gridAfter w:val="2"/>
          <w:wAfter w:w="2152" w:type="dxa"/>
          <w:trHeight w:val="20"/>
        </w:trPr>
        <w:tc>
          <w:tcPr>
            <w:tcW w:w="4872" w:type="dxa"/>
            <w:tcBorders>
              <w:top w:val="nil"/>
              <w:left w:val="nil"/>
              <w:bottom w:val="nil"/>
              <w:right w:val="nil"/>
            </w:tcBorders>
            <w:shd w:val="clear" w:color="auto" w:fill="auto"/>
            <w:noWrap/>
            <w:vAlign w:val="bottom"/>
            <w:hideMark/>
          </w:tcPr>
          <w:p w:rsidR="00530358" w:rsidRPr="004B7295" w:rsidRDefault="00170501" w:rsidP="00B149FD">
            <w:pPr>
              <w:spacing w:beforeLines="60" w:before="144" w:afterLines="60" w:after="144"/>
              <w:rPr>
                <w:rFonts w:cs="Arial"/>
                <w:color w:val="000000"/>
                <w:sz w:val="16"/>
                <w:szCs w:val="16"/>
              </w:rPr>
            </w:pPr>
            <w:r>
              <w:rPr>
                <w:rFonts w:cs="Arial"/>
                <w:color w:val="000000"/>
                <w:sz w:val="16"/>
                <w:szCs w:val="16"/>
              </w:rPr>
              <w:t>z</w:t>
            </w:r>
            <w:r w:rsidR="00530358" w:rsidRPr="004B7295">
              <w:rPr>
                <w:rFonts w:cs="Arial"/>
                <w:color w:val="000000"/>
                <w:sz w:val="16"/>
                <w:szCs w:val="16"/>
              </w:rPr>
              <w:t>ačít své vlastní podnikání</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5</w:t>
            </w:r>
          </w:p>
        </w:tc>
        <w:tc>
          <w:tcPr>
            <w:tcW w:w="992" w:type="dxa"/>
            <w:gridSpan w:val="2"/>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5</w:t>
            </w:r>
          </w:p>
        </w:tc>
        <w:tc>
          <w:tcPr>
            <w:tcW w:w="992" w:type="dxa"/>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7</w:t>
            </w:r>
          </w:p>
        </w:tc>
        <w:tc>
          <w:tcPr>
            <w:tcW w:w="992" w:type="dxa"/>
            <w:gridSpan w:val="2"/>
            <w:tcBorders>
              <w:top w:val="nil"/>
              <w:left w:val="nil"/>
              <w:bottom w:val="nil"/>
              <w:right w:val="single" w:sz="8" w:space="0" w:color="auto"/>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6</w:t>
            </w:r>
          </w:p>
        </w:tc>
        <w:tc>
          <w:tcPr>
            <w:tcW w:w="912" w:type="dxa"/>
            <w:gridSpan w:val="2"/>
            <w:tcBorders>
              <w:top w:val="nil"/>
              <w:left w:val="nil"/>
              <w:bottom w:val="nil"/>
              <w:right w:val="nil"/>
            </w:tcBorders>
            <w:shd w:val="clear" w:color="auto" w:fill="auto"/>
            <w:noWrap/>
            <w:vAlign w:val="bottom"/>
            <w:hideMark/>
          </w:tcPr>
          <w:p w:rsidR="00530358" w:rsidRPr="004B7295" w:rsidRDefault="00530358" w:rsidP="00256DD2">
            <w:pPr>
              <w:spacing w:beforeLines="60" w:before="144" w:afterLines="60" w:after="144"/>
              <w:jc w:val="right"/>
              <w:rPr>
                <w:rFonts w:cs="Arial"/>
                <w:color w:val="000000"/>
                <w:sz w:val="16"/>
                <w:szCs w:val="16"/>
              </w:rPr>
            </w:pPr>
            <w:r w:rsidRPr="004B7295">
              <w:rPr>
                <w:rFonts w:cs="Arial"/>
                <w:color w:val="000000"/>
                <w:sz w:val="16"/>
                <w:szCs w:val="18"/>
              </w:rPr>
              <w:t>3</w:t>
            </w:r>
          </w:p>
        </w:tc>
      </w:tr>
      <w:tr w:rsidR="00893E85" w:rsidRPr="004B7295" w:rsidTr="00E33857">
        <w:trPr>
          <w:trHeight w:val="170"/>
        </w:trPr>
        <w:tc>
          <w:tcPr>
            <w:tcW w:w="4872" w:type="dxa"/>
            <w:tcBorders>
              <w:top w:val="nil"/>
              <w:left w:val="nil"/>
              <w:bottom w:val="nil"/>
              <w:right w:val="nil"/>
            </w:tcBorders>
            <w:shd w:val="clear" w:color="auto" w:fill="auto"/>
            <w:vAlign w:val="center"/>
            <w:hideMark/>
          </w:tcPr>
          <w:p w:rsidR="00893E85" w:rsidRPr="004B7295" w:rsidRDefault="00893E85" w:rsidP="00332190">
            <w:pPr>
              <w:pStyle w:val="Zkladnodstavec"/>
              <w:rPr>
                <w:rFonts w:cs="Arial"/>
                <w:sz w:val="16"/>
                <w:szCs w:val="16"/>
              </w:rPr>
            </w:pPr>
          </w:p>
        </w:tc>
        <w:tc>
          <w:tcPr>
            <w:tcW w:w="162" w:type="dxa"/>
            <w:tcBorders>
              <w:top w:val="nil"/>
              <w:left w:val="nil"/>
              <w:bottom w:val="nil"/>
              <w:right w:val="nil"/>
            </w:tcBorders>
            <w:shd w:val="clear" w:color="auto" w:fill="auto"/>
            <w:noWrap/>
            <w:vAlign w:val="bottom"/>
            <w:hideMark/>
          </w:tcPr>
          <w:p w:rsidR="00893E85" w:rsidRPr="004B7295" w:rsidRDefault="00893E85" w:rsidP="00332190">
            <w:pPr>
              <w:pStyle w:val="Zkladnodstavec"/>
              <w:rPr>
                <w:rFonts w:cs="Arial"/>
                <w:sz w:val="16"/>
                <w:szCs w:val="16"/>
              </w:rPr>
            </w:pPr>
          </w:p>
        </w:tc>
        <w:tc>
          <w:tcPr>
            <w:tcW w:w="1349" w:type="dxa"/>
            <w:gridSpan w:val="2"/>
            <w:tcBorders>
              <w:top w:val="nil"/>
              <w:left w:val="nil"/>
              <w:bottom w:val="nil"/>
              <w:right w:val="nil"/>
            </w:tcBorders>
            <w:shd w:val="clear" w:color="auto" w:fill="auto"/>
            <w:noWrap/>
            <w:vAlign w:val="bottom"/>
            <w:hideMark/>
          </w:tcPr>
          <w:p w:rsidR="00893E85" w:rsidRPr="004B7295" w:rsidRDefault="00893E85" w:rsidP="00332190">
            <w:pPr>
              <w:pStyle w:val="Zkladnodstavec"/>
              <w:rPr>
                <w:rFonts w:cs="Arial"/>
                <w:sz w:val="16"/>
                <w:szCs w:val="16"/>
              </w:rPr>
            </w:pPr>
          </w:p>
        </w:tc>
        <w:tc>
          <w:tcPr>
            <w:tcW w:w="1476" w:type="dxa"/>
            <w:gridSpan w:val="3"/>
            <w:tcBorders>
              <w:top w:val="nil"/>
              <w:left w:val="nil"/>
              <w:bottom w:val="nil"/>
              <w:right w:val="nil"/>
            </w:tcBorders>
            <w:shd w:val="clear" w:color="auto" w:fill="auto"/>
            <w:noWrap/>
            <w:vAlign w:val="bottom"/>
            <w:hideMark/>
          </w:tcPr>
          <w:p w:rsidR="00893E85" w:rsidRPr="004B7295" w:rsidRDefault="00893E85" w:rsidP="00332190">
            <w:pPr>
              <w:pStyle w:val="Zkladnodstavec"/>
              <w:rPr>
                <w:rFonts w:cs="Arial"/>
                <w:sz w:val="16"/>
                <w:szCs w:val="16"/>
              </w:rPr>
            </w:pPr>
          </w:p>
        </w:tc>
        <w:tc>
          <w:tcPr>
            <w:tcW w:w="1340" w:type="dxa"/>
            <w:gridSpan w:val="2"/>
            <w:tcBorders>
              <w:top w:val="nil"/>
              <w:left w:val="nil"/>
              <w:bottom w:val="nil"/>
              <w:right w:val="nil"/>
            </w:tcBorders>
            <w:shd w:val="clear" w:color="auto" w:fill="auto"/>
            <w:noWrap/>
            <w:vAlign w:val="bottom"/>
            <w:hideMark/>
          </w:tcPr>
          <w:p w:rsidR="00893E85" w:rsidRPr="004B7295" w:rsidRDefault="00893E85" w:rsidP="00332190">
            <w:pPr>
              <w:pStyle w:val="Zkladnodstavec"/>
              <w:rPr>
                <w:rFonts w:cs="Arial"/>
                <w:sz w:val="16"/>
                <w:szCs w:val="16"/>
              </w:rPr>
            </w:pPr>
          </w:p>
        </w:tc>
        <w:tc>
          <w:tcPr>
            <w:tcW w:w="1094" w:type="dxa"/>
            <w:gridSpan w:val="2"/>
            <w:tcBorders>
              <w:top w:val="nil"/>
              <w:left w:val="nil"/>
              <w:bottom w:val="nil"/>
              <w:right w:val="nil"/>
            </w:tcBorders>
            <w:shd w:val="clear" w:color="auto" w:fill="auto"/>
            <w:noWrap/>
            <w:vAlign w:val="bottom"/>
            <w:hideMark/>
          </w:tcPr>
          <w:p w:rsidR="00893E85" w:rsidRPr="004B7295" w:rsidRDefault="00893E85" w:rsidP="00332190">
            <w:pPr>
              <w:pStyle w:val="Zkladnodstavec"/>
              <w:rPr>
                <w:rFonts w:cs="Arial"/>
                <w:sz w:val="16"/>
                <w:szCs w:val="16"/>
              </w:rPr>
            </w:pPr>
          </w:p>
        </w:tc>
        <w:tc>
          <w:tcPr>
            <w:tcW w:w="1586" w:type="dxa"/>
            <w:tcBorders>
              <w:top w:val="nil"/>
              <w:left w:val="nil"/>
              <w:bottom w:val="nil"/>
              <w:right w:val="nil"/>
            </w:tcBorders>
            <w:shd w:val="clear" w:color="auto" w:fill="auto"/>
            <w:noWrap/>
            <w:vAlign w:val="bottom"/>
            <w:hideMark/>
          </w:tcPr>
          <w:p w:rsidR="00893E85" w:rsidRPr="004B7295" w:rsidRDefault="00893E85" w:rsidP="00332190">
            <w:pPr>
              <w:pStyle w:val="Zkladnodstavec"/>
              <w:rPr>
                <w:rFonts w:cs="Arial"/>
                <w:sz w:val="16"/>
                <w:szCs w:val="16"/>
              </w:rPr>
            </w:pPr>
          </w:p>
        </w:tc>
      </w:tr>
      <w:tr w:rsidR="00893E85" w:rsidRPr="004B7295" w:rsidTr="00E33857">
        <w:trPr>
          <w:gridAfter w:val="2"/>
          <w:wAfter w:w="2152" w:type="dxa"/>
          <w:trHeight w:val="450"/>
        </w:trPr>
        <w:tc>
          <w:tcPr>
            <w:tcW w:w="9727" w:type="dxa"/>
            <w:gridSpan w:val="10"/>
            <w:tcBorders>
              <w:top w:val="nil"/>
              <w:left w:val="nil"/>
              <w:bottom w:val="nil"/>
              <w:right w:val="nil"/>
            </w:tcBorders>
            <w:shd w:val="clear" w:color="auto" w:fill="auto"/>
            <w:hideMark/>
          </w:tcPr>
          <w:p w:rsidR="00893E85" w:rsidRPr="008C5DD0" w:rsidRDefault="00E33857" w:rsidP="00AC2D7F">
            <w:pPr>
              <w:pStyle w:val="Zkladnodstavec"/>
              <w:spacing w:line="288" w:lineRule="auto"/>
              <w:rPr>
                <w:rFonts w:cs="Arial"/>
                <w:szCs w:val="14"/>
              </w:rPr>
            </w:pPr>
            <w:r w:rsidRPr="008C5DD0">
              <w:rPr>
                <w:rFonts w:cs="Arial"/>
                <w:szCs w:val="14"/>
              </w:rPr>
              <w:t>Zdroj: AES 2016</w:t>
            </w:r>
          </w:p>
        </w:tc>
      </w:tr>
    </w:tbl>
    <w:p w:rsidR="0076343F" w:rsidRDefault="00B219C0" w:rsidP="008E4D08">
      <w:pPr>
        <w:jc w:val="both"/>
      </w:pPr>
      <w:r w:rsidRPr="004B7295">
        <w:t xml:space="preserve">Uvedené důvody reflektují rozdělení </w:t>
      </w:r>
      <w:r w:rsidR="00F04FD7" w:rsidRPr="004B7295">
        <w:t xml:space="preserve">dle analytických kategorií studentů. Jak je z tabulky zřejmé, starší studenti a </w:t>
      </w:r>
      <w:r w:rsidR="0076343F">
        <w:t>účastníci</w:t>
      </w:r>
      <w:r w:rsidR="00F04FD7" w:rsidRPr="004B7295">
        <w:t xml:space="preserve"> dalšího vzdělávání se již mnohem více, resp. konkrétněji</w:t>
      </w:r>
      <w:r w:rsidR="003D4BC6" w:rsidRPr="004B7295">
        <w:t>,</w:t>
      </w:r>
      <w:r w:rsidR="00F04FD7" w:rsidRPr="004B7295">
        <w:t xml:space="preserve"> orientují na své postavení na</w:t>
      </w:r>
      <w:r w:rsidR="0006282F">
        <w:t> </w:t>
      </w:r>
      <w:r w:rsidR="00F04FD7" w:rsidRPr="004B7295">
        <w:t>trhu práce</w:t>
      </w:r>
      <w:r w:rsidR="00536ED4">
        <w:t>,</w:t>
      </w:r>
      <w:r w:rsidR="00F04FD7" w:rsidRPr="004B7295">
        <w:t xml:space="preserve"> a to bez ohledu na jejich aktuální pracovní status. Mezi mladšími studenty je naopak častější preference odpovědí orientující se na (dosud patrně nepracovní) běžný život.</w:t>
      </w:r>
      <w:r w:rsidR="00DA3268" w:rsidRPr="004B7295">
        <w:t xml:space="preserve"> </w:t>
      </w:r>
    </w:p>
    <w:p w:rsidR="001A2E6F" w:rsidRPr="004B7295" w:rsidRDefault="00DA3268" w:rsidP="008E4D08">
      <w:pPr>
        <w:jc w:val="both"/>
      </w:pPr>
      <w:r w:rsidRPr="004B7295">
        <w:t>U pracujících studentů je zajímavé podívat se také na efekt, který mělo nabytí nových dovedností a znalostí získaných v rámci formálního vzdělávání v souvislosti s jejich pracovní pozicí. Více než čtvrtina pracujících studentů formálního vzdělávání uvádí, že studium pozitivně ovlivnilo jejich výk</w:t>
      </w:r>
      <w:r w:rsidR="00610A12" w:rsidRPr="004B7295">
        <w:t>on ve stávajícím zaměstnání:</w:t>
      </w:r>
      <w:r w:rsidRPr="004B7295">
        <w:t xml:space="preserve"> 15 % přineslo nové zajímavé (pracovní) úkoly a u 11 % pracujících studentů formálního vzdělávání bylo jedním z jeho efektů zvýšení platu. Jak pracující, tak nepracující studenti bez ohledu na věk uvádí (přibližně ve 40 %) mezi pozitivy </w:t>
      </w:r>
      <w:r w:rsidR="00AC2D7F">
        <w:t>svého</w:t>
      </w:r>
      <w:r w:rsidRPr="004B7295">
        <w:t xml:space="preserve"> studia také obohacení osobního života (setkávání se s lidmi, lepší všeobecný přehled apod.), nicméně podíl takto smýšlejících je mírně nižší (32 %) u studentů dalšího vzdělávání. </w:t>
      </w:r>
      <w:r w:rsidR="00D3473E" w:rsidRPr="004B7295">
        <w:lastRenderedPageBreak/>
        <w:t>U</w:t>
      </w:r>
      <w:r w:rsidR="00CB7412">
        <w:t> </w:t>
      </w:r>
      <w:r w:rsidR="00D3473E" w:rsidRPr="004B7295">
        <w:t>velké</w:t>
      </w:r>
      <w:r w:rsidRPr="004B7295">
        <w:t xml:space="preserve"> část</w:t>
      </w:r>
      <w:r w:rsidR="00D3473E" w:rsidRPr="004B7295">
        <w:t>i (37 %)</w:t>
      </w:r>
      <w:r w:rsidRPr="004B7295">
        <w:t xml:space="preserve"> těch, kteří se v roce 2016 nějakého formá</w:t>
      </w:r>
      <w:r w:rsidR="00D3473E" w:rsidRPr="004B7295">
        <w:t>lního vzdělávání účastnili, se však doposud dle jejich vyjádření žádné pozitivní výsledky neprojevily. Zde je nutné připomenout, že v rámci dotazování velká část osob referovala o vzdělávacím programu, který dosud neukončila a nacházela se v určité fázi jeho procesu, nicméně podíl odpovědí zůstává obdobný i v případě, kdy se zaměříme pouze na osoby, které již daný vzdělávací program formálního vzdělávání úspěšně dokončily</w:t>
      </w:r>
      <w:r w:rsidR="00610A12" w:rsidRPr="004B7295">
        <w:rPr>
          <w:rStyle w:val="Znakapoznpodarou"/>
        </w:rPr>
        <w:footnoteReference w:id="16"/>
      </w:r>
      <w:r w:rsidR="00D3473E" w:rsidRPr="004B7295">
        <w:t>.</w:t>
      </w:r>
      <w:r w:rsidR="003D4BC6" w:rsidRPr="004B7295">
        <w:t xml:space="preserve"> S</w:t>
      </w:r>
      <w:r w:rsidR="001A2E6F" w:rsidRPr="004B7295">
        <w:t> </w:t>
      </w:r>
      <w:r w:rsidR="003D4BC6" w:rsidRPr="004B7295">
        <w:t>tím</w:t>
      </w:r>
      <w:r w:rsidR="001A2E6F" w:rsidRPr="004B7295">
        <w:t>, že většina respondentů se v době dotazování nacházela stále v procesu studia,</w:t>
      </w:r>
      <w:r w:rsidR="003D4BC6" w:rsidRPr="004B7295">
        <w:t xml:space="preserve"> patrně souvisí také zhodnocení aktuální míry využitelnosti studiem získaných poznatků a</w:t>
      </w:r>
      <w:r w:rsidR="001A2E6F" w:rsidRPr="004B7295">
        <w:t xml:space="preserve"> dovedností. Tu </w:t>
      </w:r>
      <w:r w:rsidR="003D4BC6" w:rsidRPr="004B7295">
        <w:t>většina studentů nehodnotí příliš vysoko</w:t>
      </w:r>
      <w:r w:rsidR="001A2E6F" w:rsidRPr="004B7295">
        <w:t>:</w:t>
      </w:r>
      <w:r w:rsidR="003D4BC6" w:rsidRPr="004B7295">
        <w:t xml:space="preserve"> 56 % studentů formálního vzdělávání uvádí, že dovednosti a znalosti získané současným studiem využívá celkem málo či vůbec ne. </w:t>
      </w:r>
      <w:r w:rsidR="001A2E6F" w:rsidRPr="004B7295">
        <w:t>Pozitivnějším jevem, který patrně lépe odráží z</w:t>
      </w:r>
      <w:r w:rsidR="008E4D08" w:rsidRPr="004B7295">
        <w:t>hodnocení kvality a přínos studia</w:t>
      </w:r>
      <w:r w:rsidR="00E55E47">
        <w:t>,</w:t>
      </w:r>
      <w:r w:rsidR="008E4D08" w:rsidRPr="004B7295">
        <w:t xml:space="preserve"> tak </w:t>
      </w:r>
      <w:r w:rsidR="001A2E6F" w:rsidRPr="004B7295">
        <w:t>je zjištění</w:t>
      </w:r>
      <w:r w:rsidR="008E4D08" w:rsidRPr="004B7295">
        <w:t>, že b</w:t>
      </w:r>
      <w:r w:rsidR="003D4BC6" w:rsidRPr="004B7295">
        <w:t xml:space="preserve">udoucí využitelnost studia </w:t>
      </w:r>
      <w:r w:rsidR="008E4D08" w:rsidRPr="004B7295">
        <w:t>hodnotí</w:t>
      </w:r>
      <w:r w:rsidR="003D4BC6" w:rsidRPr="004B7295">
        <w:t xml:space="preserve"> naprostá většina studentů </w:t>
      </w:r>
      <w:r w:rsidR="008E4D08" w:rsidRPr="004B7295">
        <w:t>(</w:t>
      </w:r>
      <w:r w:rsidR="003D4BC6" w:rsidRPr="004B7295">
        <w:t>celkem</w:t>
      </w:r>
      <w:r w:rsidR="00BD08CF">
        <w:t> </w:t>
      </w:r>
      <w:r w:rsidR="003D4BC6" w:rsidRPr="004B7295">
        <w:t>i</w:t>
      </w:r>
      <w:r w:rsidR="00BD08CF">
        <w:t> </w:t>
      </w:r>
      <w:r w:rsidR="003D4BC6" w:rsidRPr="004B7295">
        <w:t>v jednotlivých kategorií</w:t>
      </w:r>
      <w:r w:rsidR="008E4D08" w:rsidRPr="004B7295">
        <w:t>ch)</w:t>
      </w:r>
      <w:r w:rsidR="003D4BC6" w:rsidRPr="004B7295">
        <w:t xml:space="preserve"> naopak velmi </w:t>
      </w:r>
      <w:r w:rsidR="001A2E6F" w:rsidRPr="004B7295">
        <w:t>optimisticky</w:t>
      </w:r>
      <w:r w:rsidR="003D4BC6" w:rsidRPr="004B7295">
        <w:t xml:space="preserve"> </w:t>
      </w:r>
      <w:r w:rsidR="00AC2D7F">
        <w:t>–</w:t>
      </w:r>
      <w:r w:rsidR="003D4BC6" w:rsidRPr="004B7295">
        <w:t xml:space="preserve"> téměř </w:t>
      </w:r>
      <w:r w:rsidR="001A2E6F" w:rsidRPr="004B7295">
        <w:t>absolutní</w:t>
      </w:r>
      <w:r w:rsidR="003D4BC6" w:rsidRPr="004B7295">
        <w:t xml:space="preserve"> využitelnost </w:t>
      </w:r>
      <w:r w:rsidR="008E4D08" w:rsidRPr="004B7295">
        <w:t xml:space="preserve">studia </w:t>
      </w:r>
      <w:r w:rsidR="003D4BC6" w:rsidRPr="004B7295">
        <w:t>předpokládá 45 %</w:t>
      </w:r>
      <w:r w:rsidR="008E4D08" w:rsidRPr="004B7295">
        <w:t xml:space="preserve"> účastníků formálního vzdělávání</w:t>
      </w:r>
      <w:r w:rsidR="003D4BC6" w:rsidRPr="004B7295">
        <w:t>, značné využití získaných znalostí očekává dalších 48</w:t>
      </w:r>
      <w:r w:rsidR="008E4D08" w:rsidRPr="004B7295">
        <w:t> </w:t>
      </w:r>
      <w:r w:rsidR="003D4BC6" w:rsidRPr="004B7295">
        <w:t>%. Podíly studentů, kteří své studium nepovažují ani do budoucna za perspektivní (ať už většinově či celkově) jsou tak velmi nízké a ani v</w:t>
      </w:r>
      <w:r w:rsidR="0006282F">
        <w:t> </w:t>
      </w:r>
      <w:r w:rsidR="003D4BC6" w:rsidRPr="004B7295">
        <w:t>jednotlivých analytic</w:t>
      </w:r>
      <w:r w:rsidR="008E4D08" w:rsidRPr="004B7295">
        <w:t>kých kategorií</w:t>
      </w:r>
      <w:r w:rsidR="001A2E6F" w:rsidRPr="004B7295">
        <w:t>ch</w:t>
      </w:r>
      <w:r w:rsidR="008E4D08" w:rsidRPr="004B7295">
        <w:t xml:space="preserve"> studentů nepřekra</w:t>
      </w:r>
      <w:r w:rsidR="003D4BC6" w:rsidRPr="004B7295">
        <w:t>čují 10 %.</w:t>
      </w:r>
    </w:p>
    <w:p w:rsidR="001A2E6F" w:rsidRPr="004B7295" w:rsidRDefault="001A2E6F">
      <w:pPr>
        <w:spacing w:after="0" w:line="240" w:lineRule="auto"/>
      </w:pPr>
      <w:r w:rsidRPr="004B7295">
        <w:br w:type="page"/>
      </w:r>
    </w:p>
    <w:p w:rsidR="00D3473E" w:rsidRPr="004B7295" w:rsidRDefault="008A4F1C" w:rsidP="008A4F1C">
      <w:pPr>
        <w:pStyle w:val="Nadpis1"/>
      </w:pPr>
      <w:bookmarkStart w:id="62" w:name="_Toc505785833"/>
      <w:bookmarkStart w:id="63" w:name="_Toc506969418"/>
      <w:r w:rsidRPr="004B7295">
        <w:lastRenderedPageBreak/>
        <w:t>Neformální vzdělávání</w:t>
      </w:r>
      <w:bookmarkEnd w:id="62"/>
      <w:bookmarkEnd w:id="63"/>
    </w:p>
    <w:p w:rsidR="008A4F1C" w:rsidRPr="004B7295" w:rsidRDefault="008A4F1C" w:rsidP="00CE3A26">
      <w:pPr>
        <w:spacing w:line="312" w:lineRule="auto"/>
        <w:jc w:val="both"/>
        <w:rPr>
          <w:rFonts w:cs="Arial"/>
        </w:rPr>
      </w:pPr>
      <w:r w:rsidRPr="004B7295">
        <w:rPr>
          <w:rFonts w:cs="Arial"/>
        </w:rPr>
        <w:t>Neformální vzdělávání je nejčastěji absolvovanou uspořádanou formou dalšího vzdělávání v dospělosti. Spočívá v organizovaném získávání vědomostí a dovedností za účasti učitele, odborného lektora či jiné vzdělávací autority, které může či nemusí být zakončeno výstupním certifikátem. Toto vzdělávání probíhá vedle hlavních vzdělávacích systémů a nekončí završením určitého stupně vzdělání</w:t>
      </w:r>
      <w:r w:rsidR="00CE3A26" w:rsidRPr="004B7295">
        <w:rPr>
          <w:rFonts w:cs="Arial"/>
        </w:rPr>
        <w:t xml:space="preserve"> (středoškolského, vysokoškolského apod.)</w:t>
      </w:r>
      <w:r w:rsidRPr="004B7295">
        <w:rPr>
          <w:rFonts w:cs="Arial"/>
        </w:rPr>
        <w:t>, jako je tomu v případě formálního vzdělávání. Neformální vzdělávací aktivity jsou více organizačně decentralizované, obsahově i procesně pružnější a mohou mít relativně kratší trvání, což z nich činí účinný nástroj k vyrovnávání se s aktuálními potřebami v osobním životě, v zaměstnání, v</w:t>
      </w:r>
      <w:r w:rsidR="00BD08CF">
        <w:rPr>
          <w:rFonts w:cs="Arial"/>
        </w:rPr>
        <w:t> </w:t>
      </w:r>
      <w:r w:rsidRPr="004B7295">
        <w:rPr>
          <w:rFonts w:cs="Arial"/>
        </w:rPr>
        <w:t>podnikání či </w:t>
      </w:r>
      <w:r w:rsidR="00AC4EB9">
        <w:rPr>
          <w:rFonts w:cs="Arial"/>
        </w:rPr>
        <w:t xml:space="preserve">obecněji </w:t>
      </w:r>
      <w:r w:rsidR="00CC5F2F">
        <w:rPr>
          <w:rFonts w:cs="Arial"/>
        </w:rPr>
        <w:t xml:space="preserve">s požadavky </w:t>
      </w:r>
      <w:r w:rsidRPr="004B7295">
        <w:rPr>
          <w:rFonts w:cs="Arial"/>
        </w:rPr>
        <w:t xml:space="preserve">na trhu práce. </w:t>
      </w:r>
    </w:p>
    <w:p w:rsidR="008A4F1C" w:rsidRPr="004B7295" w:rsidRDefault="008A4F1C" w:rsidP="00CE3A26">
      <w:pPr>
        <w:spacing w:line="312" w:lineRule="auto"/>
        <w:jc w:val="both"/>
        <w:rPr>
          <w:rFonts w:cs="Arial"/>
        </w:rPr>
      </w:pPr>
      <w:r w:rsidRPr="004B7295">
        <w:rPr>
          <w:rFonts w:cs="Arial"/>
        </w:rPr>
        <w:t xml:space="preserve">Do neformálního vzdělávání řadíme různé zájmové i profesně orientované kurzy </w:t>
      </w:r>
      <w:r w:rsidR="00733B26" w:rsidRPr="004B7295">
        <w:rPr>
          <w:rFonts w:cs="Arial"/>
        </w:rPr>
        <w:t xml:space="preserve">(např. jazykové kurzy jazykových škol či soukromých lektorů) </w:t>
      </w:r>
      <w:r w:rsidRPr="004B7295">
        <w:rPr>
          <w:rFonts w:cs="Arial"/>
        </w:rPr>
        <w:t>pořádané ve volném</w:t>
      </w:r>
      <w:r w:rsidR="0003132C" w:rsidRPr="004B7295">
        <w:rPr>
          <w:rFonts w:cs="Arial"/>
        </w:rPr>
        <w:t xml:space="preserve"> i pracovním</w:t>
      </w:r>
      <w:r w:rsidRPr="004B7295">
        <w:rPr>
          <w:rFonts w:cs="Arial"/>
        </w:rPr>
        <w:t xml:space="preserve"> čase vzdělávaných, krátkodobá pracovní školení či mimo</w:t>
      </w:r>
      <w:r w:rsidR="00733B26" w:rsidRPr="004B7295">
        <w:rPr>
          <w:rFonts w:cs="Arial"/>
        </w:rPr>
        <w:t>/</w:t>
      </w:r>
      <w:r w:rsidRPr="004B7295">
        <w:rPr>
          <w:rFonts w:cs="Arial"/>
        </w:rPr>
        <w:t>pracovní přednášky</w:t>
      </w:r>
      <w:r w:rsidR="00733B26" w:rsidRPr="004B7295">
        <w:rPr>
          <w:rFonts w:cs="Arial"/>
        </w:rPr>
        <w:t xml:space="preserve"> a semináře, ale také </w:t>
      </w:r>
      <w:r w:rsidRPr="004B7295">
        <w:rPr>
          <w:rFonts w:cs="Arial"/>
        </w:rPr>
        <w:t>rekvalifikace či vzdělávání zaměstnanců organizované zaměstnavatelem</w:t>
      </w:r>
      <w:r w:rsidR="0003132C" w:rsidRPr="004B7295">
        <w:rPr>
          <w:rFonts w:cs="Arial"/>
        </w:rPr>
        <w:t xml:space="preserve"> a další podobné vzdělávací aktivity</w:t>
      </w:r>
      <w:r w:rsidRPr="004B7295">
        <w:rPr>
          <w:rFonts w:cs="Arial"/>
        </w:rPr>
        <w:t xml:space="preserve">. </w:t>
      </w:r>
      <w:r w:rsidR="00733B26" w:rsidRPr="004B7295">
        <w:rPr>
          <w:rFonts w:cs="Arial"/>
        </w:rPr>
        <w:t>Jedná se o jakékoli vzdělávání,</w:t>
      </w:r>
      <w:r w:rsidR="0003132C" w:rsidRPr="004B7295">
        <w:rPr>
          <w:rFonts w:cs="Arial"/>
        </w:rPr>
        <w:t xml:space="preserve"> které probíhá</w:t>
      </w:r>
      <w:r w:rsidR="00733B26" w:rsidRPr="004B7295">
        <w:rPr>
          <w:rFonts w:cs="Arial"/>
        </w:rPr>
        <w:t xml:space="preserve"> ve strukturovaných vzdělávacích programech, zaměřených na získávání dovedností a kompetencí, které mohou účastníkovi pomoci zlepšit jeho společenské či pracovní uplatnění. </w:t>
      </w:r>
      <w:r w:rsidRPr="004B7295">
        <w:rPr>
          <w:rFonts w:cs="Arial"/>
        </w:rPr>
        <w:t>Pro lepší zachycení účasti v neformálním vzdělávání jsou v rámci šetření AES rozlišeny čtyři hlavní formy neformálních vzdělávacích činností a programů: kurzy, workshopy/semináře, pracovní školení</w:t>
      </w:r>
      <w:r w:rsidRPr="004B7295">
        <w:rPr>
          <w:rStyle w:val="Znakapoznpodarou"/>
          <w:rFonts w:eastAsia="MS Gothic" w:cs="Arial"/>
        </w:rPr>
        <w:footnoteReference w:id="17"/>
      </w:r>
      <w:r w:rsidRPr="004B7295">
        <w:rPr>
          <w:rFonts w:cs="Arial"/>
        </w:rPr>
        <w:t xml:space="preserve"> a soukromé lekce. </w:t>
      </w:r>
      <w:r w:rsidR="00733B26" w:rsidRPr="004B7295">
        <w:rPr>
          <w:rFonts w:cs="Arial"/>
        </w:rPr>
        <w:t>Respondenti šetření byli dotazování, zda se v posledních 12 měsících předcházejících datu šetření účastnili některé z výše uvedených forem neformálního vzdělávání.</w:t>
      </w:r>
    </w:p>
    <w:p w:rsidR="008A4F1C" w:rsidRPr="004B7295" w:rsidRDefault="008A4F1C" w:rsidP="00CE3A26">
      <w:pPr>
        <w:spacing w:line="312" w:lineRule="auto"/>
        <w:jc w:val="both"/>
        <w:rPr>
          <w:rFonts w:cs="Arial"/>
        </w:rPr>
      </w:pPr>
      <w:r w:rsidRPr="004B7295">
        <w:rPr>
          <w:rFonts w:cs="Arial"/>
        </w:rPr>
        <w:t xml:space="preserve">Podobně jako u formálního vzdělávání je i </w:t>
      </w:r>
      <w:r w:rsidR="00CE3A26" w:rsidRPr="004B7295">
        <w:rPr>
          <w:rFonts w:cs="Arial"/>
        </w:rPr>
        <w:t>zapojení osob do neformálního vzdělávání ovlivněno celou řadou faktorů:</w:t>
      </w:r>
      <w:r w:rsidRPr="004B7295">
        <w:rPr>
          <w:rFonts w:cs="Arial"/>
        </w:rPr>
        <w:t xml:space="preserve"> institucionálním prostředím,</w:t>
      </w:r>
      <w:r w:rsidR="00CE3A26" w:rsidRPr="004B7295">
        <w:rPr>
          <w:rFonts w:cs="Arial"/>
        </w:rPr>
        <w:t xml:space="preserve"> stavem ekonomiky,</w:t>
      </w:r>
      <w:r w:rsidRPr="004B7295">
        <w:rPr>
          <w:rFonts w:cs="Arial"/>
        </w:rPr>
        <w:t xml:space="preserve"> kulturou a zejm</w:t>
      </w:r>
      <w:r w:rsidR="00256DD2">
        <w:rPr>
          <w:rFonts w:cs="Arial"/>
        </w:rPr>
        <w:t>éna</w:t>
      </w:r>
      <w:r w:rsidRPr="004B7295">
        <w:rPr>
          <w:rFonts w:cs="Arial"/>
        </w:rPr>
        <w:t xml:space="preserve"> postoji lidí, kteří buď považují další </w:t>
      </w:r>
      <w:r w:rsidR="00AC4EB9">
        <w:rPr>
          <w:rFonts w:cs="Arial"/>
        </w:rPr>
        <w:t xml:space="preserve">(neformální) </w:t>
      </w:r>
      <w:r w:rsidRPr="004B7295">
        <w:rPr>
          <w:rFonts w:cs="Arial"/>
        </w:rPr>
        <w:t>vzdělávání za nezbytnou součást profesního i osobního života, nebo v něm spatřují spíše časový a</w:t>
      </w:r>
      <w:r w:rsidR="00CE3A26" w:rsidRPr="004B7295">
        <w:rPr>
          <w:rFonts w:cs="Arial"/>
        </w:rPr>
        <w:t> </w:t>
      </w:r>
      <w:r w:rsidRPr="004B7295">
        <w:rPr>
          <w:rFonts w:cs="Arial"/>
        </w:rPr>
        <w:t>finanční náklad s nejistým přínosem do budoucna.</w:t>
      </w:r>
      <w:r w:rsidR="00CE3A26" w:rsidRPr="004B7295">
        <w:rPr>
          <w:rFonts w:cs="Arial"/>
        </w:rPr>
        <w:t xml:space="preserve"> Tyto postoje přitom neovlivňují pouze potenciální účastníky neformálního vzdělávání, ale také jeho poskytovatele. V</w:t>
      </w:r>
      <w:r w:rsidRPr="004B7295">
        <w:rPr>
          <w:rFonts w:cs="Arial"/>
        </w:rPr>
        <w:t> případě neformálního vzdělávání hovoříme z velké části o pracovně či kariérně motivovaném vzdělávání spojeném s postavením jedince na trhu práce. Často se jedná o vzdělávání probíhající na pracovišti či v úzké vazbě na vykonávanou profesi, mnohdy přímo z popudu zaměstnavatele</w:t>
      </w:r>
      <w:r w:rsidR="00CE3A26" w:rsidRPr="004B7295">
        <w:rPr>
          <w:rFonts w:cs="Arial"/>
        </w:rPr>
        <w:t>, ale např. také úřadu práce či jiných veřejných institucí</w:t>
      </w:r>
      <w:r w:rsidRPr="004B7295">
        <w:rPr>
          <w:rFonts w:cs="Arial"/>
        </w:rPr>
        <w:t xml:space="preserve">. </w:t>
      </w:r>
      <w:r w:rsidR="00CE3A26" w:rsidRPr="004B7295">
        <w:rPr>
          <w:rFonts w:cs="Arial"/>
        </w:rPr>
        <w:t>Vzdělávání pro práci a vzdělávání v práci obvykle představuje nečastější podnět k zapojení do vzdělávání, roli zde hraje</w:t>
      </w:r>
      <w:r w:rsidRPr="004B7295">
        <w:rPr>
          <w:rFonts w:cs="Arial"/>
        </w:rPr>
        <w:t> tedy nejen profesní orientace, ale též úprava zaměstnaneckých smluv a přístup zaměstnavatele, který je podmíněn v první řadě jeho rozpočtovými možnostmi a ekonomickými zájmy. Rozhodování zaměstnavatelů</w:t>
      </w:r>
      <w:r w:rsidR="00CE3A26" w:rsidRPr="004B7295">
        <w:rPr>
          <w:rFonts w:cs="Arial"/>
        </w:rPr>
        <w:t xml:space="preserve"> přitom</w:t>
      </w:r>
      <w:r w:rsidRPr="004B7295">
        <w:rPr>
          <w:rFonts w:cs="Arial"/>
        </w:rPr>
        <w:t xml:space="preserve"> musí zohledňovat platnou pracovní a daňovou legislativu, </w:t>
      </w:r>
      <w:r w:rsidR="00CE3A26" w:rsidRPr="004B7295">
        <w:rPr>
          <w:rFonts w:cs="Arial"/>
        </w:rPr>
        <w:t xml:space="preserve">v řadě </w:t>
      </w:r>
      <w:r w:rsidR="0003132C" w:rsidRPr="004B7295">
        <w:rPr>
          <w:rFonts w:cs="Arial"/>
        </w:rPr>
        <w:t>případů</w:t>
      </w:r>
      <w:r w:rsidR="00CE3A26" w:rsidRPr="004B7295">
        <w:rPr>
          <w:rFonts w:cs="Arial"/>
        </w:rPr>
        <w:t xml:space="preserve"> jsou </w:t>
      </w:r>
      <w:r w:rsidRPr="004B7295">
        <w:rPr>
          <w:rFonts w:cs="Arial"/>
        </w:rPr>
        <w:t>pravidla chování podniků vytvářena rovněž úlohou kolektivního vyjednávání. Výraznou roli jak z hlediska pracovně orientovaného</w:t>
      </w:r>
      <w:r w:rsidR="00AC2D7F">
        <w:rPr>
          <w:rFonts w:cs="Arial"/>
        </w:rPr>
        <w:t>,</w:t>
      </w:r>
      <w:r w:rsidRPr="004B7295">
        <w:rPr>
          <w:rFonts w:cs="Arial"/>
        </w:rPr>
        <w:t xml:space="preserve"> tak z hlediska soukromě motivovaného vzdělávání hrají i další kontextuální faktory ekonomického, sociálního, geografického či </w:t>
      </w:r>
      <w:proofErr w:type="spellStart"/>
      <w:r w:rsidRPr="004B7295">
        <w:rPr>
          <w:rFonts w:cs="Arial"/>
        </w:rPr>
        <w:t>technicko-technologického</w:t>
      </w:r>
      <w:proofErr w:type="spellEnd"/>
      <w:r w:rsidRPr="004B7295">
        <w:rPr>
          <w:rFonts w:cs="Arial"/>
        </w:rPr>
        <w:t xml:space="preserve"> typu, jako je hospodářská vyspělost </w:t>
      </w:r>
      <w:r w:rsidR="0003132C" w:rsidRPr="004B7295">
        <w:rPr>
          <w:rFonts w:cs="Arial"/>
        </w:rPr>
        <w:t>geografické oblasti</w:t>
      </w:r>
      <w:r w:rsidRPr="004B7295">
        <w:rPr>
          <w:rFonts w:cs="Arial"/>
        </w:rPr>
        <w:t xml:space="preserve"> a s ní související životní úroveň obyvatelstva, struktura hospodářství a technická náročnost produkce, míra zavádění inovací v podnikové i nepodnikové sféře, vzdělanostní a věková struktura populace či rozvoj občanské společnosti a tradice ke vzdělávání. </w:t>
      </w:r>
    </w:p>
    <w:p w:rsidR="008F617E" w:rsidRPr="004B7295" w:rsidRDefault="008F617E" w:rsidP="003D4835">
      <w:pPr>
        <w:pStyle w:val="Nadpis3"/>
      </w:pPr>
      <w:bookmarkStart w:id="64" w:name="_Toc505785835"/>
      <w:bookmarkStart w:id="65" w:name="_Toc506969419"/>
      <w:r w:rsidRPr="004B7295">
        <w:t xml:space="preserve">Zapojení dospělých do </w:t>
      </w:r>
      <w:r w:rsidR="00B418A2" w:rsidRPr="004B7295">
        <w:t xml:space="preserve">neformálního </w:t>
      </w:r>
      <w:r w:rsidRPr="004B7295">
        <w:t>vzdělávání</w:t>
      </w:r>
      <w:bookmarkEnd w:id="64"/>
      <w:bookmarkEnd w:id="65"/>
      <w:r w:rsidRPr="004B7295">
        <w:t xml:space="preserve"> </w:t>
      </w:r>
    </w:p>
    <w:p w:rsidR="00135429" w:rsidRDefault="006C1898" w:rsidP="00135429">
      <w:pPr>
        <w:jc w:val="both"/>
      </w:pPr>
      <w:r w:rsidRPr="004B7295">
        <w:t xml:space="preserve">Základní ukazatel pro sledování zapojení dospělých osob do neformálního vzdělávání představuje míra účasti v neformálním vzdělávání. Ta zachycuje podíl osob, </w:t>
      </w:r>
      <w:r w:rsidR="00AC4EB9">
        <w:t>které v rámci šetření AES uvedly</w:t>
      </w:r>
      <w:r w:rsidRPr="004B7295">
        <w:t>, že se v</w:t>
      </w:r>
      <w:r w:rsidR="00BD08CF">
        <w:t> </w:t>
      </w:r>
      <w:r w:rsidRPr="004B7295">
        <w:t>12</w:t>
      </w:r>
      <w:r w:rsidR="00BD08CF">
        <w:t> </w:t>
      </w:r>
      <w:r w:rsidRPr="004B7295">
        <w:t>měsících předcháze</w:t>
      </w:r>
      <w:r w:rsidR="00AC4EB9">
        <w:t>jících datu dotazování účastnily</w:t>
      </w:r>
      <w:r w:rsidRPr="004B7295">
        <w:t xml:space="preserve"> alespoň jedné aktivity neformálního vzdělávání </w:t>
      </w:r>
      <w:r w:rsidRPr="004B7295">
        <w:lastRenderedPageBreak/>
        <w:t>(tj.</w:t>
      </w:r>
      <w:r w:rsidR="00BD08CF">
        <w:t> </w:t>
      </w:r>
      <w:r w:rsidR="00AC4EB9">
        <w:t>zapojily</w:t>
      </w:r>
      <w:r w:rsidRPr="004B7295">
        <w:t xml:space="preserve"> s</w:t>
      </w:r>
      <w:r w:rsidR="00AC4EB9">
        <w:t>e do jakéhokoli kurzu, účastnily</w:t>
      </w:r>
      <w:r w:rsidRPr="004B7295">
        <w:t xml:space="preserve"> se pracovního školení,</w:t>
      </w:r>
      <w:r w:rsidR="00AC4EB9">
        <w:t xml:space="preserve"> navštívily workshop či seminář, účastnily se</w:t>
      </w:r>
      <w:r w:rsidRPr="004B7295">
        <w:t xml:space="preserve"> </w:t>
      </w:r>
      <w:r w:rsidR="00CC5F2F">
        <w:t>soukromých lekcí</w:t>
      </w:r>
      <w:r w:rsidRPr="004B7295">
        <w:t xml:space="preserve"> apod., viz výše). Délka trvání takového vzdělávání či to, zda již bylo v době dotazování ukončeno, či stále probíhalo, přitom </w:t>
      </w:r>
      <w:r w:rsidR="00AC4EB9">
        <w:t>nebyla</w:t>
      </w:r>
      <w:r w:rsidRPr="004B7295">
        <w:t xml:space="preserve"> rozhodující. </w:t>
      </w:r>
    </w:p>
    <w:p w:rsidR="006C1898" w:rsidRPr="004B7295" w:rsidRDefault="006C1898" w:rsidP="00135429">
      <w:pPr>
        <w:jc w:val="both"/>
      </w:pPr>
      <w:r w:rsidRPr="004B7295">
        <w:t>Celková účast dospělých v neformálním vzdělávání v České republice dosáhla v roce 2016 40 % (pro</w:t>
      </w:r>
      <w:r w:rsidR="00BD08CF">
        <w:t> </w:t>
      </w:r>
      <w:r w:rsidRPr="004B7295">
        <w:t>věkovou kategorii 18–69 let), resp. 45 % pro věkovou kategorii osob v produktivním věku 25–64 let. Z </w:t>
      </w:r>
      <w:r w:rsidR="00CC5F2F">
        <w:t>hlediska časového srovnání s ob</w:t>
      </w:r>
      <w:r w:rsidRPr="004B7295">
        <w:t>d</w:t>
      </w:r>
      <w:r w:rsidR="00CC5F2F">
        <w:t>o</w:t>
      </w:r>
      <w:r w:rsidRPr="004B7295">
        <w:t>bím před pěti lety se jedná o celkový nárůst v hodnotě 8, resp. 10 procentních bodů.</w:t>
      </w:r>
    </w:p>
    <w:p w:rsidR="006C1898" w:rsidRPr="004B7295" w:rsidRDefault="006C1898" w:rsidP="008C5DD0">
      <w:pPr>
        <w:pStyle w:val="Nadpis4"/>
      </w:pPr>
      <w:bookmarkStart w:id="66" w:name="_Toc505872827"/>
      <w:bookmarkStart w:id="67" w:name="_Toc506308535"/>
      <w:r w:rsidRPr="004B7295">
        <w:t xml:space="preserve">Graf č. </w:t>
      </w:r>
      <w:r w:rsidR="008C5DD0">
        <w:t>15</w:t>
      </w:r>
      <w:r w:rsidRPr="004B7295">
        <w:t>: Účast</w:t>
      </w:r>
      <w:r w:rsidR="003963DC">
        <w:t xml:space="preserve"> dospělých</w:t>
      </w:r>
      <w:r w:rsidRPr="004B7295">
        <w:t xml:space="preserve"> v neformálním vzdělávání dle věkových kategorií</w:t>
      </w:r>
      <w:bookmarkEnd w:id="66"/>
      <w:r w:rsidR="00170501">
        <w:t>, 2007</w:t>
      </w:r>
      <w:r w:rsidR="00AC2D7F">
        <w:t>–</w:t>
      </w:r>
      <w:r w:rsidR="00170501">
        <w:t>2016</w:t>
      </w:r>
      <w:bookmarkEnd w:id="67"/>
    </w:p>
    <w:p w:rsidR="006C1898" w:rsidRPr="004B7295" w:rsidRDefault="002C4590" w:rsidP="00135429">
      <w:pPr>
        <w:spacing w:after="120"/>
        <w:jc w:val="both"/>
      </w:pPr>
      <w:r w:rsidRPr="002C4590">
        <w:rPr>
          <w:noProof/>
        </w:rPr>
        <w:drawing>
          <wp:inline distT="0" distB="0" distL="0" distR="0" wp14:anchorId="2137FF09" wp14:editId="7C3FCB17">
            <wp:extent cx="6124575" cy="2695575"/>
            <wp:effectExtent l="0" t="0" r="0" b="0"/>
            <wp:docPr id="60"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6C1898" w:rsidRPr="004B7295" w:rsidRDefault="006C1898" w:rsidP="008E4D08">
      <w:pPr>
        <w:jc w:val="both"/>
      </w:pPr>
      <w:r w:rsidRPr="004B7295">
        <w:t xml:space="preserve">Zdroj: AES </w:t>
      </w:r>
      <w:r w:rsidR="00143760">
        <w:t xml:space="preserve">2007, 2011, </w:t>
      </w:r>
      <w:r w:rsidRPr="004B7295">
        <w:t>2016, ČSÚ</w:t>
      </w:r>
    </w:p>
    <w:p w:rsidR="008F617E" w:rsidRDefault="00CC5F2F" w:rsidP="008E4D08">
      <w:pPr>
        <w:jc w:val="both"/>
      </w:pPr>
      <w:r>
        <w:t>Při</w:t>
      </w:r>
      <w:r w:rsidR="008F617E" w:rsidRPr="004B7295">
        <w:t> pohledu na celkov</w:t>
      </w:r>
      <w:r w:rsidR="003B6228" w:rsidRPr="004B7295">
        <w:t>ý</w:t>
      </w:r>
      <w:r w:rsidR="008F617E" w:rsidRPr="004B7295">
        <w:t xml:space="preserve"> </w:t>
      </w:r>
      <w:r w:rsidR="003B6228" w:rsidRPr="004B7295">
        <w:t>soubor sledovaných osob ve věku 18–69 let</w:t>
      </w:r>
      <w:r w:rsidR="008F617E" w:rsidRPr="004B7295">
        <w:t xml:space="preserve"> tak lze konstatovat, že s neformálním vzděláváním se ve sledovaném období setkala méně než polovina populace</w:t>
      </w:r>
      <w:r w:rsidR="003B6228" w:rsidRPr="004B7295">
        <w:t>:</w:t>
      </w:r>
      <w:r w:rsidR="008F617E" w:rsidRPr="004B7295">
        <w:t xml:space="preserve"> 60 % dospělých Čechů se do</w:t>
      </w:r>
      <w:r w:rsidR="00135429">
        <w:t> </w:t>
      </w:r>
      <w:r w:rsidR="008F617E" w:rsidRPr="004B7295">
        <w:t>něj žádným způsobem nezapojil</w:t>
      </w:r>
      <w:r w:rsidR="00AC2D7F">
        <w:t>o</w:t>
      </w:r>
      <w:r w:rsidR="008F617E" w:rsidRPr="004B7295">
        <w:t xml:space="preserve"> a ve sledovaném období se žádným z výš</w:t>
      </w:r>
      <w:r w:rsidR="00AC2D7F">
        <w:t>e uvedených způsobů nevzdělávalo</w:t>
      </w:r>
      <w:r w:rsidR="008F617E" w:rsidRPr="004B7295">
        <w:t>. Z těch, kteří se nějakého vzdělávání účastnili</w:t>
      </w:r>
      <w:r w:rsidR="00E55E47">
        <w:t>,</w:t>
      </w:r>
      <w:r w:rsidR="008F617E" w:rsidRPr="004B7295">
        <w:t xml:space="preserve"> </w:t>
      </w:r>
      <w:r w:rsidR="003B6228" w:rsidRPr="004B7295">
        <w:t xml:space="preserve">pak </w:t>
      </w:r>
      <w:r w:rsidR="008F617E" w:rsidRPr="004B7295">
        <w:t>téměř dvě třetiny (63 %) osob absolvoval</w:t>
      </w:r>
      <w:r w:rsidR="00AC2D7F">
        <w:t>y</w:t>
      </w:r>
      <w:r w:rsidR="008F617E" w:rsidRPr="004B7295">
        <w:t xml:space="preserve"> pouze jednu aktivitu neformálního vzdělávání (účastnil</w:t>
      </w:r>
      <w:r w:rsidR="00AC2D7F">
        <w:t>y</w:t>
      </w:r>
      <w:r w:rsidR="008F617E" w:rsidRPr="004B7295">
        <w:t xml:space="preserve"> se jednoho školení, byl</w:t>
      </w:r>
      <w:r w:rsidR="00AC2D7F">
        <w:t>y</w:t>
      </w:r>
      <w:r w:rsidR="00CB7412">
        <w:t xml:space="preserve"> zapsány</w:t>
      </w:r>
      <w:r w:rsidR="008F617E" w:rsidRPr="004B7295">
        <w:t xml:space="preserve"> v jednom kurzu apod.), čtvrtina (26 </w:t>
      </w:r>
      <w:r w:rsidR="003B6228" w:rsidRPr="004B7295">
        <w:t>%) osob se v daných 12 měsících účastnila dvou aktivit. Aktivněji, formou účasti ve třech a více aktivitách neformálního vzdělávání</w:t>
      </w:r>
      <w:r w:rsidR="00AC4EB9">
        <w:t xml:space="preserve"> po dobu 12 měsíců</w:t>
      </w:r>
      <w:r w:rsidR="003B6228" w:rsidRPr="004B7295">
        <w:t xml:space="preserve"> se tak vzdělávalo pouze 11 % účastníků neformálního vzdělávání, resp. 4 % dospělých Čechů. Průměrně tak na každého účastníka neformálního vzdělávání v ČR připadá 1,6 aktivi</w:t>
      </w:r>
      <w:r w:rsidR="00AC26F5" w:rsidRPr="004B7295">
        <w:t>t neformálního vzdělávání, kterými</w:t>
      </w:r>
      <w:r w:rsidR="003B6228" w:rsidRPr="004B7295">
        <w:t xml:space="preserve"> ve sledovaném období 12 měsíců</w:t>
      </w:r>
      <w:r w:rsidR="00AC26F5" w:rsidRPr="004B7295">
        <w:t xml:space="preserve"> průměrně strávil</w:t>
      </w:r>
      <w:r w:rsidR="003B6228" w:rsidRPr="004B7295">
        <w:t xml:space="preserve"> 36 hodin. Po</w:t>
      </w:r>
      <w:r w:rsidR="00AC26F5" w:rsidRPr="004B7295">
        <w:t> </w:t>
      </w:r>
      <w:r w:rsidR="003B6228" w:rsidRPr="004B7295">
        <w:t xml:space="preserve">přepočtení těchto indikátorů na mezinárodně srovnatelné vymezení cílové populace ve věku 25–64 let lze </w:t>
      </w:r>
      <w:r w:rsidR="00AC26F5" w:rsidRPr="004B7295">
        <w:t xml:space="preserve">zařadit tyto údaje do mezinárodního kontextu evropských zemí, jak nabízí </w:t>
      </w:r>
      <w:hyperlink w:anchor="_Graf_č._16:" w:history="1">
        <w:r w:rsidR="00AC26F5" w:rsidRPr="0077612E">
          <w:rPr>
            <w:rStyle w:val="Hypertextovodkaz"/>
          </w:rPr>
          <w:t xml:space="preserve">graf č. </w:t>
        </w:r>
        <w:r w:rsidR="00AC4EB9" w:rsidRPr="0077612E">
          <w:rPr>
            <w:rStyle w:val="Hypertextovodkaz"/>
          </w:rPr>
          <w:t>16</w:t>
        </w:r>
      </w:hyperlink>
      <w:r w:rsidR="00AC26F5" w:rsidRPr="004B7295">
        <w:t>.</w:t>
      </w:r>
    </w:p>
    <w:p w:rsidR="00143760" w:rsidRPr="004B7295" w:rsidRDefault="00143760" w:rsidP="008E4D08">
      <w:pPr>
        <w:jc w:val="both"/>
      </w:pPr>
      <w:r w:rsidRPr="004B7295">
        <w:t>Z tohoto srovnání je zřejmé, že stejně jako v případě formálního vzdělávání existují i v oblasti neformálního vzdělávání mezi jednotlivými zeměmi značné rozdíly. V Rumunsku, Makedonii, či Řecku se neformálního vzdělávání účastní jen malá část populace (přibližně každý desátý), naopak ve Švýcarsku, Nizozemí, severských státech a Rakousku je to více než polovina populace. Česká republika si co do účasti v neformálním vzdělávání stojí lépe než v případě vzdělávání formálního, nacházíme se zhruba na průměrné úrovni Evropské unie</w:t>
      </w:r>
      <w:r w:rsidRPr="004B7295">
        <w:rPr>
          <w:rStyle w:val="Znakapoznpodarou"/>
        </w:rPr>
        <w:footnoteReference w:id="18"/>
      </w:r>
      <w:r w:rsidRPr="004B7295">
        <w:t>.</w:t>
      </w:r>
    </w:p>
    <w:p w:rsidR="00AC26F5" w:rsidRPr="004B7295" w:rsidRDefault="00AC26F5" w:rsidP="008C5DD0">
      <w:pPr>
        <w:pStyle w:val="Nadpis4"/>
      </w:pPr>
      <w:bookmarkStart w:id="68" w:name="_Graf_č._16:"/>
      <w:bookmarkStart w:id="69" w:name="_Toc506308536"/>
      <w:bookmarkStart w:id="70" w:name="_Toc505872828"/>
      <w:bookmarkEnd w:id="68"/>
      <w:r w:rsidRPr="004B7295">
        <w:lastRenderedPageBreak/>
        <w:t xml:space="preserve">Graf č. </w:t>
      </w:r>
      <w:r w:rsidR="008C5DD0">
        <w:t>16</w:t>
      </w:r>
      <w:r w:rsidRPr="004B7295">
        <w:t>: Účast</w:t>
      </w:r>
      <w:r w:rsidR="00A536A6">
        <w:t xml:space="preserve"> a průměrný počet hodin neformálního</w:t>
      </w:r>
      <w:r w:rsidRPr="004B7295">
        <w:t xml:space="preserve"> vzdělávání</w:t>
      </w:r>
      <w:r w:rsidR="00A536A6">
        <w:t xml:space="preserve"> ročně</w:t>
      </w:r>
      <w:r w:rsidR="00462266">
        <w:t xml:space="preserve"> (25–64 let)</w:t>
      </w:r>
      <w:r w:rsidRPr="004B7295">
        <w:t xml:space="preserve"> – mezinárodní srovnání</w:t>
      </w:r>
      <w:bookmarkEnd w:id="69"/>
      <w:r w:rsidR="008C5DD0">
        <w:t xml:space="preserve"> </w:t>
      </w:r>
      <w:bookmarkEnd w:id="70"/>
    </w:p>
    <w:p w:rsidR="008C5DD0" w:rsidRDefault="00A00352" w:rsidP="008E4D08">
      <w:pPr>
        <w:jc w:val="both"/>
      </w:pPr>
      <w:r>
        <w:rPr>
          <w:noProof/>
        </w:rPr>
        <w:drawing>
          <wp:inline distT="0" distB="0" distL="0" distR="0" wp14:anchorId="7FA741FB" wp14:editId="4E9B24BB">
            <wp:extent cx="6057900" cy="405765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8C5DD0">
        <w:t xml:space="preserve">Zdroj: AES 2016, </w:t>
      </w:r>
      <w:proofErr w:type="spellStart"/>
      <w:r w:rsidR="008C5DD0">
        <w:t>Eurostat</w:t>
      </w:r>
      <w:proofErr w:type="spellEnd"/>
    </w:p>
    <w:p w:rsidR="00135429" w:rsidRDefault="00AC27E7" w:rsidP="008E4D08">
      <w:pPr>
        <w:jc w:val="both"/>
      </w:pPr>
      <w:r w:rsidRPr="004B7295">
        <w:t>V</w:t>
      </w:r>
      <w:r w:rsidR="00596AC3" w:rsidRPr="004B7295">
        <w:t> </w:t>
      </w:r>
      <w:r w:rsidRPr="004B7295">
        <w:t>podprůměrných hodnotách</w:t>
      </w:r>
      <w:r w:rsidR="00596AC3" w:rsidRPr="004B7295">
        <w:t>, resp. na samém konci pomyslného žebříčku (při výčtu 25 evropských zemí, jejichž data byla dostupná v době psaní této publikace)</w:t>
      </w:r>
      <w:r w:rsidRPr="004B7295">
        <w:t xml:space="preserve"> se však ocitáme při srovnání časové investice, kterou účastníci neformálního vzdělávání do vzdělávacích aktivit vkládají. Více času tráví neformálním vzdělávání nejen v těch zemích, kde je zapojení osob vyšší a lze tam tak v</w:t>
      </w:r>
      <w:r w:rsidR="00E55E47">
        <w:t>yšší časovou investici očekávat, ale také v zemích, kde je</w:t>
      </w:r>
      <w:r w:rsidR="00596AC3" w:rsidRPr="004B7295">
        <w:t xml:space="preserve"> zapojení osob do neformálního vzdělávání i několikrát nižší než v České republice. Je tak možné konstatovat, že přestože se v České republice do neformálního vzdělávání zapojuje relativně významná část populace, jsou</w:t>
      </w:r>
      <w:r w:rsidR="00CC5F2F">
        <w:t xml:space="preserve"> místní aktivity neformálního vzdělávání</w:t>
      </w:r>
      <w:r w:rsidR="00596AC3" w:rsidRPr="004B7295">
        <w:t xml:space="preserve"> v mezinárodním srovnání charakteristické kratším trváním.</w:t>
      </w:r>
      <w:r w:rsidR="005022F5" w:rsidRPr="004B7295">
        <w:t xml:space="preserve"> Důvodů </w:t>
      </w:r>
      <w:r w:rsidR="00CC5F2F">
        <w:t>pro vyšší časové</w:t>
      </w:r>
      <w:r w:rsidR="005022F5" w:rsidRPr="004B7295">
        <w:t xml:space="preserve"> zapojení </w:t>
      </w:r>
      <w:r w:rsidR="00CC5F2F">
        <w:t xml:space="preserve">do neformálního vzdělávání v zahraničí může být několik </w:t>
      </w:r>
      <w:r w:rsidR="00AC2D7F">
        <w:t>–</w:t>
      </w:r>
      <w:r w:rsidR="005022F5" w:rsidRPr="004B7295">
        <w:t xml:space="preserve"> např. vyšší množství </w:t>
      </w:r>
      <w:r w:rsidR="00C82BB1">
        <w:t>vzdělávacích aktivit</w:t>
      </w:r>
      <w:r w:rsidR="005022F5" w:rsidRPr="004B7295">
        <w:t xml:space="preserve"> na účastníka, vyšší zastoupení déle trvajících, resp. dlouhodobých vzdělávacích aktivit (např. rekvalifikace, dlouhodobé kurzy apod.) oproti preferenci krátkodobých (jednodenních) školení v</w:t>
      </w:r>
      <w:r w:rsidR="00E55E47">
        <w:t> </w:t>
      </w:r>
      <w:r w:rsidR="005022F5" w:rsidRPr="004B7295">
        <w:t>ČR</w:t>
      </w:r>
      <w:r w:rsidR="00E55E47">
        <w:t>,</w:t>
      </w:r>
      <w:r w:rsidR="005022F5" w:rsidRPr="004B7295">
        <w:t xml:space="preserve"> či vyšší podíl mimopracovně orientovaného vzdělávání, </w:t>
      </w:r>
      <w:r w:rsidR="00B418A2" w:rsidRPr="004B7295">
        <w:t>které často bývá dlouhodobějšího charakteru. Konkrétnější závěry však bude možné uč</w:t>
      </w:r>
      <w:r w:rsidR="00143760">
        <w:t xml:space="preserve">init až na základě analýzy </w:t>
      </w:r>
      <w:r w:rsidR="00B418A2" w:rsidRPr="004B7295">
        <w:t>datových souborů jednotlivých zúčastněných států, které v době psaní publikace nejsou k dispozici.</w:t>
      </w:r>
    </w:p>
    <w:p w:rsidR="00135429" w:rsidRDefault="00135429">
      <w:pPr>
        <w:spacing w:after="0" w:line="240" w:lineRule="auto"/>
      </w:pPr>
      <w:r>
        <w:br w:type="page"/>
      </w:r>
    </w:p>
    <w:p w:rsidR="003952A6" w:rsidRPr="004B7295" w:rsidRDefault="00FC2F5E" w:rsidP="008E4D08">
      <w:pPr>
        <w:jc w:val="both"/>
      </w:pPr>
      <w:r w:rsidRPr="004B7295">
        <w:lastRenderedPageBreak/>
        <w:t>Kromě typu vzdělávacích aktivit, do kterých se lidé zapojují (tedy kurzy, workshopy či semináře, pracovní školení či soukromé (individuální) lekce), bylo jedním z klíčových zjišťovaných aspektů neformálního vzdělávání také to, z jakých důvodů se do něj zapojují. Konkrétně respondenti odpovídali na otázku, jaký byl převažující důvod jejich úč</w:t>
      </w:r>
      <w:r w:rsidR="00E55E47">
        <w:t xml:space="preserve">asti v dané vzdělávací aktivitě, jestli </w:t>
      </w:r>
      <w:r w:rsidRPr="004B7295">
        <w:t>převážně pracovní, tj. dané vzdělávání bylo relevantní zejm</w:t>
      </w:r>
      <w:r w:rsidR="00256DD2">
        <w:t>éna</w:t>
      </w:r>
      <w:r w:rsidRPr="004B7295">
        <w:t xml:space="preserve"> pro současné zaměstnání a/či další kariéru res</w:t>
      </w:r>
      <w:r w:rsidR="00E55E47">
        <w:t>pondenta, nebo převážně soukromý</w:t>
      </w:r>
      <w:r w:rsidRPr="004B7295">
        <w:t>, tj.</w:t>
      </w:r>
      <w:r w:rsidR="00BD08CF">
        <w:t> </w:t>
      </w:r>
      <w:r w:rsidRPr="004B7295">
        <w:t xml:space="preserve">mimopracovní důvod. Je možné konstatovat, že stejně jako v ostatních sledovaných státech, je i v České republice významná </w:t>
      </w:r>
      <w:r w:rsidR="00F64261" w:rsidRPr="004B7295">
        <w:t xml:space="preserve">většina neformálního vzdělávání </w:t>
      </w:r>
      <w:r w:rsidR="00AC2D7F">
        <w:t>–</w:t>
      </w:r>
      <w:r w:rsidRPr="004B7295">
        <w:t xml:space="preserve"> až z 86 %</w:t>
      </w:r>
      <w:r w:rsidR="00F64261" w:rsidRPr="004B7295">
        <w:t xml:space="preserve"> (a u mužů dokonce 91 %)</w:t>
      </w:r>
      <w:r w:rsidRPr="004B7295">
        <w:t>, dlouhodobě motivována pracovními důvody a největší podíl na celku aktivit neformálního vzdělávání zaujímají právě nejrůznější pracovní školení. St</w:t>
      </w:r>
      <w:r w:rsidR="00C82BB1">
        <w:t>r</w:t>
      </w:r>
      <w:r w:rsidRPr="004B7295">
        <w:t xml:space="preserve">uktura veškerých absolvovaných aktivit neformálního vzdělávání dle jejich typu a důvodu </w:t>
      </w:r>
      <w:r w:rsidR="0061298D">
        <w:t>(resp. orientace)</w:t>
      </w:r>
      <w:r w:rsidRPr="004B7295">
        <w:t xml:space="preserve"> vzdělávání je znázorněna na </w:t>
      </w:r>
      <w:hyperlink w:anchor="_Graf_č._17:" w:history="1">
        <w:r w:rsidRPr="0077612E">
          <w:rPr>
            <w:rStyle w:val="Hypertextovodkaz"/>
          </w:rPr>
          <w:t xml:space="preserve">grafu č. </w:t>
        </w:r>
        <w:r w:rsidR="00C82BB1" w:rsidRPr="0077612E">
          <w:rPr>
            <w:rStyle w:val="Hypertextovodkaz"/>
          </w:rPr>
          <w:t>17</w:t>
        </w:r>
      </w:hyperlink>
      <w:r w:rsidRPr="004B7295">
        <w:t xml:space="preserve">. </w:t>
      </w:r>
    </w:p>
    <w:p w:rsidR="003952A6" w:rsidRPr="004B7295" w:rsidRDefault="003952A6" w:rsidP="008C5DD0">
      <w:pPr>
        <w:pStyle w:val="Nadpis4"/>
      </w:pPr>
      <w:bookmarkStart w:id="71" w:name="_Graf_č._17:"/>
      <w:bookmarkStart w:id="72" w:name="_Toc505872829"/>
      <w:bookmarkStart w:id="73" w:name="_Toc506308537"/>
      <w:bookmarkEnd w:id="71"/>
      <w:r w:rsidRPr="004B7295">
        <w:t xml:space="preserve">Graf č. </w:t>
      </w:r>
      <w:r w:rsidR="008C5DD0">
        <w:t>17</w:t>
      </w:r>
      <w:r w:rsidRPr="004B7295">
        <w:t xml:space="preserve">: Struktura neformálního vzdělávání dle typu aktivity a </w:t>
      </w:r>
      <w:r w:rsidR="0061298D">
        <w:t>orientace</w:t>
      </w:r>
      <w:r w:rsidRPr="004B7295">
        <w:t xml:space="preserve"> vzdělávání (18–69 let)</w:t>
      </w:r>
      <w:bookmarkEnd w:id="72"/>
      <w:bookmarkEnd w:id="73"/>
    </w:p>
    <w:p w:rsidR="003952A6" w:rsidRPr="004B7295" w:rsidRDefault="00143760" w:rsidP="00135429">
      <w:pPr>
        <w:spacing w:after="120"/>
        <w:jc w:val="both"/>
      </w:pPr>
      <w:r w:rsidRPr="00143760">
        <w:rPr>
          <w:noProof/>
        </w:rPr>
        <w:drawing>
          <wp:inline distT="0" distB="0" distL="0" distR="0" wp14:anchorId="06F71C37" wp14:editId="51021E5B">
            <wp:extent cx="6067425" cy="2638425"/>
            <wp:effectExtent l="0" t="0" r="0" b="0"/>
            <wp:docPr id="63"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A3D15" w:rsidRDefault="003952A6" w:rsidP="00135429">
      <w:pPr>
        <w:spacing w:before="120"/>
        <w:jc w:val="both"/>
      </w:pPr>
      <w:r w:rsidRPr="004B7295">
        <w:t>Zdroj: AES 2016, ČSÚ</w:t>
      </w:r>
    </w:p>
    <w:p w:rsidR="003A3D15" w:rsidRDefault="003A3D15">
      <w:pPr>
        <w:spacing w:after="0" w:line="240" w:lineRule="auto"/>
      </w:pPr>
      <w:r>
        <w:br w:type="page"/>
      </w:r>
    </w:p>
    <w:p w:rsidR="00B418A2" w:rsidRPr="004B7295" w:rsidRDefault="00705950" w:rsidP="00135429">
      <w:pPr>
        <w:pStyle w:val="Nadpis3"/>
        <w:spacing w:before="240"/>
      </w:pPr>
      <w:bookmarkStart w:id="74" w:name="_Toc506969420"/>
      <w:r>
        <w:lastRenderedPageBreak/>
        <w:t>Charakteristika účastníků neformálního vzdělávání</w:t>
      </w:r>
      <w:bookmarkEnd w:id="74"/>
    </w:p>
    <w:p w:rsidR="00B418A2" w:rsidRPr="004B7295" w:rsidRDefault="00EC58D3" w:rsidP="008E4D08">
      <w:pPr>
        <w:jc w:val="both"/>
      </w:pPr>
      <w:r w:rsidRPr="004B7295">
        <w:t>Výše</w:t>
      </w:r>
      <w:r w:rsidR="00B418A2" w:rsidRPr="004B7295">
        <w:t xml:space="preserve"> zapojení </w:t>
      </w:r>
      <w:r w:rsidR="00B418A2" w:rsidRPr="00705950">
        <w:t>do</w:t>
      </w:r>
      <w:r w:rsidR="00B418A2" w:rsidRPr="004B7295">
        <w:t xml:space="preserve"> neformálního vzdělávání</w:t>
      </w:r>
      <w:r w:rsidRPr="004B7295">
        <w:t xml:space="preserve"> se v České republice, stejně jako v ostatních sledovaných státech,</w:t>
      </w:r>
      <w:r w:rsidR="00B418A2" w:rsidRPr="004B7295">
        <w:t xml:space="preserve"> liší mezi jednotlivými skupinami obyvatelstva dle určujících socioekonomických faktorů, jako je věk, pohlaví, nejvyšší dosažené vzdělání, postavení na trhu práce </w:t>
      </w:r>
      <w:r w:rsidRPr="004B7295">
        <w:t>(</w:t>
      </w:r>
      <w:r w:rsidR="00B418A2" w:rsidRPr="004B7295">
        <w:t>a s profesí související podmínky konkrétní pracovní pozice</w:t>
      </w:r>
      <w:r w:rsidRPr="004B7295">
        <w:t>) či příjem domácnosti</w:t>
      </w:r>
      <w:r w:rsidR="00B418A2" w:rsidRPr="004B7295">
        <w:t>.</w:t>
      </w:r>
      <w:r w:rsidRPr="004B7295">
        <w:t xml:space="preserve"> Nejrůznější kombinace těchto faktorů vytvářejí, společně s dalšími činiteli, odlišné podmínky a aspirace k účasti v aktivitách neformálního vzdělávání.</w:t>
      </w:r>
    </w:p>
    <w:p w:rsidR="002C6976" w:rsidRPr="004B7295" w:rsidRDefault="002C6976" w:rsidP="008C5DD0">
      <w:pPr>
        <w:pStyle w:val="Nadpis4"/>
      </w:pPr>
      <w:bookmarkStart w:id="75" w:name="_Graf_č._18:"/>
      <w:bookmarkStart w:id="76" w:name="_Toc505872830"/>
      <w:bookmarkStart w:id="77" w:name="_Toc506308538"/>
      <w:bookmarkEnd w:id="75"/>
      <w:r w:rsidRPr="00925D42">
        <w:t xml:space="preserve">Graf č. </w:t>
      </w:r>
      <w:r w:rsidR="008C5DD0" w:rsidRPr="00925D42">
        <w:t>18</w:t>
      </w:r>
      <w:r w:rsidRPr="00925D42">
        <w:t xml:space="preserve">: Účast v neformálním vzdělávání dle </w:t>
      </w:r>
      <w:r w:rsidR="00170501">
        <w:t>orientace vzdělávání</w:t>
      </w:r>
      <w:r w:rsidRPr="00925D42">
        <w:t xml:space="preserve">, věkových </w:t>
      </w:r>
      <w:r w:rsidR="00170501">
        <w:t>kategorií</w:t>
      </w:r>
      <w:r w:rsidRPr="00925D42">
        <w:t xml:space="preserve"> a pohlaví</w:t>
      </w:r>
      <w:bookmarkEnd w:id="76"/>
      <w:bookmarkEnd w:id="77"/>
    </w:p>
    <w:p w:rsidR="006C1898" w:rsidRPr="004B7295" w:rsidRDefault="00143760" w:rsidP="003A3D15">
      <w:pPr>
        <w:spacing w:after="120"/>
        <w:jc w:val="both"/>
      </w:pPr>
      <w:r w:rsidRPr="00143760">
        <w:rPr>
          <w:noProof/>
        </w:rPr>
        <w:drawing>
          <wp:inline distT="0" distB="0" distL="0" distR="0" wp14:anchorId="5953619F" wp14:editId="6ED5056C">
            <wp:extent cx="6257925" cy="7096125"/>
            <wp:effectExtent l="0" t="0" r="0" b="0"/>
            <wp:docPr id="64"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2C6976" w:rsidRPr="004B7295" w:rsidRDefault="002C6976" w:rsidP="008E4D08">
      <w:pPr>
        <w:jc w:val="both"/>
      </w:pPr>
      <w:r w:rsidRPr="004B7295">
        <w:t>Zdroj: AES 2016, ČSÚ</w:t>
      </w:r>
    </w:p>
    <w:p w:rsidR="002C6976" w:rsidRPr="004B7295" w:rsidRDefault="002C6976" w:rsidP="002C6976">
      <w:pPr>
        <w:jc w:val="both"/>
      </w:pPr>
      <w:r w:rsidRPr="004B7295">
        <w:lastRenderedPageBreak/>
        <w:t>Z hlediska pohlaví vykazují vyšší účast v neformálním vzdělávání muži – nějaké aktivity neformálního vzdělávání se jich</w:t>
      </w:r>
      <w:r w:rsidR="003952A6" w:rsidRPr="004B7295">
        <w:t xml:space="preserve"> ve 12 měsících předcházejících datu šetření</w:t>
      </w:r>
      <w:r w:rsidRPr="004B7295">
        <w:t xml:space="preserve"> účastnilo 42 %, oproti </w:t>
      </w:r>
      <w:proofErr w:type="gramStart"/>
      <w:r w:rsidRPr="004B7295">
        <w:t>37%</w:t>
      </w:r>
      <w:proofErr w:type="gramEnd"/>
      <w:r w:rsidRPr="004B7295">
        <w:t xml:space="preserve"> zapojení žen. Při</w:t>
      </w:r>
      <w:r w:rsidR="00BD08CF">
        <w:t> </w:t>
      </w:r>
      <w:r w:rsidRPr="004B7295">
        <w:t>srovnání se situací v roce 2011, kdy byla účast obou pohlaví totožná (32 %), tak lze odvodit, že</w:t>
      </w:r>
      <w:r w:rsidR="00BD08CF">
        <w:t> </w:t>
      </w:r>
      <w:r w:rsidRPr="004B7295">
        <w:t>v uplynulém období pěti let rostlo zapojení mužů do neformálního vzdělávání mnohem významněji (nárůst</w:t>
      </w:r>
      <w:r w:rsidR="00BD08CF">
        <w:t> </w:t>
      </w:r>
      <w:r w:rsidRPr="004B7295">
        <w:t>o 10 p. b.), než účast žen (nárůst o 5 p. b.). Jak je zřejmé z </w:t>
      </w:r>
      <w:hyperlink w:anchor="_Graf_č._18:" w:history="1">
        <w:r w:rsidRPr="0077612E">
          <w:rPr>
            <w:rStyle w:val="Hypertextovodkaz"/>
          </w:rPr>
          <w:t xml:space="preserve">grafu č. </w:t>
        </w:r>
        <w:r w:rsidR="0061298D" w:rsidRPr="0077612E">
          <w:rPr>
            <w:rStyle w:val="Hypertextovodkaz"/>
          </w:rPr>
          <w:t>18</w:t>
        </w:r>
      </w:hyperlink>
      <w:r w:rsidRPr="0061298D">
        <w:t>,</w:t>
      </w:r>
      <w:r w:rsidRPr="004B7295">
        <w:t xml:space="preserve"> rozdíly mezi pohlavími se ještě zvýší, pokud se zaměříme na </w:t>
      </w:r>
      <w:r w:rsidR="00CC5F2F">
        <w:t>orientaci vzdělávání, na základě které</w:t>
      </w:r>
      <w:r w:rsidRPr="004B7295">
        <w:t xml:space="preserve"> se účastníci neformálního vzdělávání do vzdělávání </w:t>
      </w:r>
      <w:r w:rsidR="00012274" w:rsidRPr="004B7295">
        <w:t>zapojili</w:t>
      </w:r>
      <w:r w:rsidRPr="004B7295">
        <w:t>. Ve sledované skupině 18–69 let se nějakého pracovně orientovaného vzdělávání účastnilo 38 % mužů, ale jen 29 % žen. Ženy se naopak častěji účastní mimopracovně, tj.</w:t>
      </w:r>
      <w:r w:rsidR="00BD08CF">
        <w:t> </w:t>
      </w:r>
      <w:r w:rsidRPr="004B7295">
        <w:t xml:space="preserve">soukromě orientovaného vzdělávání (13 % žen oproti 6 % mužů). </w:t>
      </w:r>
    </w:p>
    <w:p w:rsidR="001054D9" w:rsidRPr="004B7295" w:rsidRDefault="001054D9" w:rsidP="001054D9">
      <w:pPr>
        <w:jc w:val="both"/>
      </w:pPr>
      <w:r w:rsidRPr="004B7295">
        <w:t>Významné jsou rozdíly v zapojení mužů a žen do neformálního vzdělávání také z hlediska věkových kohort. U nejmladší sledované věkové skupiny, kde je vysoký podíl studentů a dochází tak k častému souběhu formálního a neformálního vzdělávání, j</w:t>
      </w:r>
      <w:r w:rsidR="00006B90">
        <w:t xml:space="preserve">e zřejmá vysoká obliba soukromě </w:t>
      </w:r>
      <w:r w:rsidRPr="004B7295">
        <w:t xml:space="preserve">orientovaného neformálního vzdělávání, které u žen dokonce převažuje. Zatímco ženy se na mimopracovní neformální vzdělávání orientují i v následujících věkových skupinách, u mužů se jeho podíl </w:t>
      </w:r>
      <w:r w:rsidR="00CC5F2F">
        <w:t xml:space="preserve">s rostoucím věkem </w:t>
      </w:r>
      <w:r w:rsidRPr="004B7295">
        <w:t>významným způsobem snižuje a jejich neformální vzdělávání se redukuje téměř pouze na vzdělávání pracovní. Z </w:t>
      </w:r>
      <w:hyperlink w:anchor="_Graf_č._18:" w:history="1">
        <w:r w:rsidRPr="0077612E">
          <w:rPr>
            <w:rStyle w:val="Hypertextovodkaz"/>
          </w:rPr>
          <w:t>grafu č.</w:t>
        </w:r>
        <w:r w:rsidR="0061298D" w:rsidRPr="0077612E">
          <w:rPr>
            <w:rStyle w:val="Hypertextovodkaz"/>
          </w:rPr>
          <w:t> 18</w:t>
        </w:r>
      </w:hyperlink>
      <w:r w:rsidRPr="004B7295">
        <w:t xml:space="preserve"> je také z</w:t>
      </w:r>
      <w:r w:rsidR="00006B90">
        <w:t xml:space="preserve">řejmý rychlejší nástup pracovně </w:t>
      </w:r>
      <w:r w:rsidRPr="004B7295">
        <w:t>orientovaného neformálního vzdělávání u mužů, kterému se věnuje polovina z nich již ve věku mezi 25 a 34 lety. Ženy, které tak vysokého zapojení nedosahují v žádné věkov</w:t>
      </w:r>
      <w:r w:rsidR="00006B90">
        <w:t xml:space="preserve">é skupině, se začínají pracovně </w:t>
      </w:r>
      <w:r w:rsidRPr="004B7295">
        <w:t>orientovanému neformálnímu vzdělávání více věnovat až v pozdějším produktivním věku, což může souviset také s přerušením jejich pracovní kariéry vlivem mateřské a</w:t>
      </w:r>
      <w:r w:rsidR="0061298D">
        <w:t> </w:t>
      </w:r>
      <w:r w:rsidRPr="004B7295">
        <w:t>rodičovské dovolené.</w:t>
      </w:r>
    </w:p>
    <w:p w:rsidR="00E8785C" w:rsidRPr="004B7295" w:rsidRDefault="00E8785C" w:rsidP="00E8785C">
      <w:pPr>
        <w:jc w:val="both"/>
      </w:pPr>
      <w:r w:rsidRPr="004B7295">
        <w:t>Přes vyšší míru účasti mužů je však možné konstatovat, že zapojení žen, které se rozhodly nějakým aktivitám neformálního vzdělávání věnovat, je</w:t>
      </w:r>
      <w:r w:rsidR="00012274" w:rsidRPr="004B7295">
        <w:t>,</w:t>
      </w:r>
      <w:r w:rsidRPr="004B7295">
        <w:t xml:space="preserve"> ve srovnání s</w:t>
      </w:r>
      <w:r w:rsidR="00012274" w:rsidRPr="004B7295">
        <w:t> </w:t>
      </w:r>
      <w:r w:rsidRPr="004B7295">
        <w:t>muži</w:t>
      </w:r>
      <w:r w:rsidR="00012274" w:rsidRPr="004B7295">
        <w:t>,</w:t>
      </w:r>
      <w:r w:rsidRPr="004B7295">
        <w:t xml:space="preserve"> mírně intenzivnější. </w:t>
      </w:r>
      <w:r w:rsidR="00012274" w:rsidRPr="004B7295">
        <w:t>Vzdělávající se ženy</w:t>
      </w:r>
      <w:r w:rsidRPr="004B7295">
        <w:t xml:space="preserve"> se </w:t>
      </w:r>
      <w:r w:rsidR="00012274" w:rsidRPr="004B7295">
        <w:t xml:space="preserve">věnují </w:t>
      </w:r>
      <w:r w:rsidRPr="004B7295">
        <w:t>více vzdělávacím aktivitám (na jednoho muže</w:t>
      </w:r>
      <w:r w:rsidR="00AC2D7F">
        <w:t xml:space="preserve"> </w:t>
      </w:r>
      <w:r w:rsidR="00170501" w:rsidRPr="004B7295">
        <w:t>–</w:t>
      </w:r>
      <w:r w:rsidR="00AC2D7F">
        <w:t xml:space="preserve"> </w:t>
      </w:r>
      <w:r w:rsidRPr="004B7295">
        <w:t xml:space="preserve">účastníka neformálního vzdělávání průměrně připadá 1,52 </w:t>
      </w:r>
      <w:r w:rsidR="001054D9" w:rsidRPr="004B7295">
        <w:t>vzdělávacích aktivit, na ženu 1,</w:t>
      </w:r>
      <w:r w:rsidRPr="004B7295">
        <w:t>62 aktivity) a věnují jim více času (muži 33 hodin, ženy 39</w:t>
      </w:r>
      <w:r w:rsidR="0006282F">
        <w:t> </w:t>
      </w:r>
      <w:r w:rsidRPr="004B7295">
        <w:t>hodin), přičemž toto rozdělení platí i v případě, kdy se zaměříme pouze na pracovně orientované vzdělávání</w:t>
      </w:r>
      <w:r w:rsidRPr="004B7295">
        <w:rPr>
          <w:rStyle w:val="Znakapoznpodarou"/>
        </w:rPr>
        <w:footnoteReference w:id="19"/>
      </w:r>
      <w:r w:rsidRPr="004B7295">
        <w:t>. To může souviset zejm</w:t>
      </w:r>
      <w:r w:rsidR="00256DD2">
        <w:t>éna</w:t>
      </w:r>
      <w:r w:rsidRPr="004B7295">
        <w:t xml:space="preserve"> s rozdíly v postavení v zaměstnání a odvětvové a profesní skladbě mužů a žen (zejm</w:t>
      </w:r>
      <w:r w:rsidR="00256DD2">
        <w:t>éna</w:t>
      </w:r>
      <w:r w:rsidRPr="004B7295">
        <w:t xml:space="preserve"> v méně kvalifikovaných profesích) a z nich vyplývajících potřeb vzdělávání. Na nižších kvalifikačních úrovních pracují muži častěji v technických profesích, které se vyznačují vyšším podílem zaškolení na pracovišti, než služby, ve kterých pracují </w:t>
      </w:r>
      <w:r w:rsidR="00AC2D7F">
        <w:t>spíše</w:t>
      </w:r>
      <w:r w:rsidRPr="004B7295">
        <w:t xml:space="preserve"> ženy. Mírně odlišné struktuře forem vzdělávání (krátkodobá </w:t>
      </w:r>
      <w:r w:rsidR="001054D9" w:rsidRPr="004B7295">
        <w:t>pracovní školení</w:t>
      </w:r>
      <w:r w:rsidRPr="004B7295">
        <w:t xml:space="preserve"> vs. dlouhodobější ostatní formy) i jeho zaměření (pracovně vs. soukromě orientované) pak odpovídá celkově mírně vyšší časové zapojení žen do neformálního vzdělávání.</w:t>
      </w:r>
    </w:p>
    <w:p w:rsidR="001054D9" w:rsidRPr="004B7295" w:rsidRDefault="001054D9" w:rsidP="001054D9">
      <w:pPr>
        <w:jc w:val="both"/>
      </w:pPr>
      <w:r w:rsidRPr="004B7295">
        <w:t>Velmi vysoký vliv na účast jednotlivců v neformálním vzdělávání v dospělosti má jejich nejvyšší dosažené vzdělání, od kterého se částečně odvozuje i postavení na trhu práce, charakter zaměstnání a s ním spojené podmínky konkrétního pracovního místa. Platí, že s vyšším dosaženým vzděláním roste přímo úměrně míra účasti v neformálním vzdělávání</w:t>
      </w:r>
      <w:r w:rsidR="00AC2D7F">
        <w:t>,</w:t>
      </w:r>
      <w:r w:rsidRPr="004B7295">
        <w:t xml:space="preserve"> a to jak pracovně, tak mimopracovně orientovaného</w:t>
      </w:r>
      <w:r w:rsidR="00ED5565" w:rsidRPr="004B7295">
        <w:t>. U žen je vliv nejvyššího dosaženého vzdělání v kontextu výše uvedeného tvrzení o o</w:t>
      </w:r>
      <w:r w:rsidR="00012274" w:rsidRPr="004B7295">
        <w:t>dlišné odvětvové a profesní skladbě mužů a žen silnější než u mužů:</w:t>
      </w:r>
      <w:r w:rsidR="00ED5565" w:rsidRPr="004B7295">
        <w:t xml:space="preserve"> míra zapojení vysokoškolaček (61 %) je až pětkrát vyšší než zapojení žen s nejvýše základním vzděláním (12 %) a více než dvakrát vyšší než účast žen se středním vzděláním bez</w:t>
      </w:r>
      <w:r w:rsidR="006F0AA1">
        <w:t> </w:t>
      </w:r>
      <w:r w:rsidR="00ED5565" w:rsidRPr="004B7295">
        <w:t xml:space="preserve">maturity, tj. </w:t>
      </w:r>
      <w:r w:rsidR="00012274" w:rsidRPr="004B7295">
        <w:t>(</w:t>
      </w:r>
      <w:r w:rsidR="00ED5565" w:rsidRPr="004B7295">
        <w:t>nejčastěji</w:t>
      </w:r>
      <w:r w:rsidR="00012274" w:rsidRPr="004B7295">
        <w:t>)</w:t>
      </w:r>
      <w:r w:rsidR="00ED5565" w:rsidRPr="004B7295">
        <w:t xml:space="preserve"> vyučených (26 %)</w:t>
      </w:r>
      <w:r w:rsidR="00012274" w:rsidRPr="004B7295">
        <w:t>. Je zřejmé, že ú</w:t>
      </w:r>
      <w:r w:rsidRPr="004B7295">
        <w:t>spěch v počátečním formálním vzdělávání do</w:t>
      </w:r>
      <w:r w:rsidR="0006282F">
        <w:t> </w:t>
      </w:r>
      <w:r w:rsidRPr="004B7295">
        <w:t>značné míry podmiňuje rozsah dalšího vzdělávání v pozdějším věku.</w:t>
      </w:r>
    </w:p>
    <w:p w:rsidR="00E8785C" w:rsidRPr="004B7295" w:rsidRDefault="00E8785C" w:rsidP="002C6976">
      <w:pPr>
        <w:jc w:val="both"/>
        <w:rPr>
          <w:b/>
        </w:rPr>
      </w:pPr>
    </w:p>
    <w:p w:rsidR="002C6976" w:rsidRPr="004B7295" w:rsidRDefault="002C6976" w:rsidP="008C5DD0">
      <w:pPr>
        <w:pStyle w:val="Nadpis4"/>
      </w:pPr>
      <w:bookmarkStart w:id="78" w:name="_Graf_č._19:"/>
      <w:bookmarkStart w:id="79" w:name="_Toc505872831"/>
      <w:bookmarkStart w:id="80" w:name="_Toc506308539"/>
      <w:bookmarkEnd w:id="78"/>
      <w:r w:rsidRPr="00B327BB">
        <w:lastRenderedPageBreak/>
        <w:t xml:space="preserve">Graf č. </w:t>
      </w:r>
      <w:r w:rsidR="008C5DD0" w:rsidRPr="00B327BB">
        <w:t>19</w:t>
      </w:r>
      <w:r w:rsidRPr="00B327BB">
        <w:t xml:space="preserve">: Účast v neformálním vzdělávání dle </w:t>
      </w:r>
      <w:r w:rsidR="00170501">
        <w:t>orientace vzdělávání</w:t>
      </w:r>
      <w:r w:rsidRPr="00B327BB">
        <w:t xml:space="preserve">, </w:t>
      </w:r>
      <w:r w:rsidR="00170501">
        <w:t xml:space="preserve">pohlaví a </w:t>
      </w:r>
      <w:r w:rsidRPr="00B327BB">
        <w:t xml:space="preserve">nejvyššího dosaženého vzdělání </w:t>
      </w:r>
      <w:r w:rsidR="00567CCB">
        <w:t>(18</w:t>
      </w:r>
      <w:r w:rsidR="00ED5565" w:rsidRPr="00B327BB">
        <w:t>–6</w:t>
      </w:r>
      <w:r w:rsidR="00567CCB">
        <w:t>9</w:t>
      </w:r>
      <w:r w:rsidR="00ED5565" w:rsidRPr="00B327BB">
        <w:t xml:space="preserve"> let)</w:t>
      </w:r>
      <w:bookmarkEnd w:id="79"/>
      <w:bookmarkEnd w:id="80"/>
    </w:p>
    <w:p w:rsidR="00ED5565" w:rsidRPr="004B7295" w:rsidRDefault="00A344BE" w:rsidP="006F0AA1">
      <w:pPr>
        <w:spacing w:after="120"/>
        <w:jc w:val="both"/>
      </w:pPr>
      <w:r w:rsidRPr="00A344BE">
        <w:rPr>
          <w:noProof/>
        </w:rPr>
        <w:drawing>
          <wp:inline distT="0" distB="0" distL="0" distR="0" wp14:anchorId="7D3DF951" wp14:editId="4D9286A5">
            <wp:extent cx="6207125" cy="6324600"/>
            <wp:effectExtent l="0" t="0" r="0" b="0"/>
            <wp:docPr id="78" name="Graf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2C6976" w:rsidRPr="004B7295" w:rsidRDefault="002C6976" w:rsidP="002C6976">
      <w:pPr>
        <w:jc w:val="both"/>
      </w:pPr>
      <w:r w:rsidRPr="004B7295">
        <w:t>Zdroj: AES 2016, ČSÚ</w:t>
      </w:r>
    </w:p>
    <w:p w:rsidR="002C6976" w:rsidRPr="004B7295" w:rsidRDefault="00012274" w:rsidP="003D4835">
      <w:pPr>
        <w:pStyle w:val="Nadpis3"/>
      </w:pPr>
      <w:bookmarkStart w:id="81" w:name="_Toc505785837"/>
      <w:bookmarkStart w:id="82" w:name="_Toc506969421"/>
      <w:r w:rsidRPr="004B7295">
        <w:t>Pracovně orientované neformální vzdělávání</w:t>
      </w:r>
      <w:bookmarkEnd w:id="81"/>
      <w:bookmarkEnd w:id="82"/>
    </w:p>
    <w:p w:rsidR="003952A6" w:rsidRDefault="003952A6" w:rsidP="003D4835">
      <w:pPr>
        <w:spacing w:after="0"/>
        <w:jc w:val="both"/>
      </w:pPr>
      <w:r w:rsidRPr="004B7295">
        <w:t xml:space="preserve">Jak je patrné z předchozích odstavců, většinový podíl absolvovaného neformálního vzdělávání byl motivován pracovními důvody. </w:t>
      </w:r>
      <w:r w:rsidR="0003395C" w:rsidRPr="004B7295">
        <w:t xml:space="preserve">Nabytí znalostí a dovedností, které lze upotřebit v aktuálním či (potenciálně) budoucím pracovním prostředí představuje nejčastější důvod, proč se lidé do dalšího vzdělávání zapojují. </w:t>
      </w:r>
      <w:r w:rsidR="00F64261" w:rsidRPr="004B7295">
        <w:t>Nejrůznější aktivity neformálního</w:t>
      </w:r>
      <w:r w:rsidRPr="004B7295">
        <w:t xml:space="preserve"> vzdělávání tvoří důležitou součást nárazových snah či dlouhodobě realizovaných strategií získávání relevantních znalostí a dovedností a tím zlepšování post</w:t>
      </w:r>
      <w:r w:rsidR="00F64261" w:rsidRPr="004B7295">
        <w:t>avení v </w:t>
      </w:r>
      <w:r w:rsidR="00AC2D7F">
        <w:t>současném</w:t>
      </w:r>
      <w:r w:rsidR="00F64261" w:rsidRPr="004B7295">
        <w:t xml:space="preserve"> zaměstnání či</w:t>
      </w:r>
      <w:r w:rsidRPr="004B7295">
        <w:t xml:space="preserve"> zvyšování konkurenceschopnosti na trhu práce.</w:t>
      </w:r>
      <w:r w:rsidR="00F64261" w:rsidRPr="004B7295">
        <w:t xml:space="preserve"> Ze struktury absolvovaných aktivit neformálního vzdělávání (viz </w:t>
      </w:r>
      <w:hyperlink w:anchor="_Graf_č._17:" w:history="1">
        <w:r w:rsidR="00AC2D7F">
          <w:rPr>
            <w:rStyle w:val="Hypertextovodkaz"/>
          </w:rPr>
          <w:t>g</w:t>
        </w:r>
        <w:r w:rsidR="00F64261" w:rsidRPr="0077612E">
          <w:rPr>
            <w:rStyle w:val="Hypertextovodkaz"/>
          </w:rPr>
          <w:t xml:space="preserve">raf č. </w:t>
        </w:r>
        <w:r w:rsidR="0061298D" w:rsidRPr="0077612E">
          <w:rPr>
            <w:rStyle w:val="Hypertextovodkaz"/>
          </w:rPr>
          <w:t>17</w:t>
        </w:r>
      </w:hyperlink>
      <w:r w:rsidR="00F64261" w:rsidRPr="004B7295">
        <w:t xml:space="preserve">) či mírně odlišné preference vzdělávacích aktivit jednotlivých </w:t>
      </w:r>
      <w:proofErr w:type="spellStart"/>
      <w:r w:rsidR="00F64261" w:rsidRPr="004B7295">
        <w:t>socio</w:t>
      </w:r>
      <w:proofErr w:type="spellEnd"/>
      <w:r w:rsidR="00143760">
        <w:t>-</w:t>
      </w:r>
      <w:r w:rsidR="00F64261" w:rsidRPr="004B7295">
        <w:t xml:space="preserve">demografických skupin (viz </w:t>
      </w:r>
      <w:hyperlink w:anchor="_Graf_č._18:" w:history="1">
        <w:r w:rsidR="00AC2D7F">
          <w:rPr>
            <w:rStyle w:val="Hypertextovodkaz"/>
          </w:rPr>
          <w:t>g</w:t>
        </w:r>
        <w:r w:rsidR="00F64261" w:rsidRPr="0077612E">
          <w:rPr>
            <w:rStyle w:val="Hypertextovodkaz"/>
          </w:rPr>
          <w:t xml:space="preserve">raf č. </w:t>
        </w:r>
        <w:r w:rsidR="0061298D" w:rsidRPr="0077612E">
          <w:rPr>
            <w:rStyle w:val="Hypertextovodkaz"/>
          </w:rPr>
          <w:t>18</w:t>
        </w:r>
      </w:hyperlink>
      <w:r w:rsidR="00F64261" w:rsidRPr="004B7295">
        <w:t xml:space="preserve"> a </w:t>
      </w:r>
      <w:hyperlink w:anchor="_Graf_č._19:" w:history="1">
        <w:r w:rsidR="00AC2D7F">
          <w:rPr>
            <w:rStyle w:val="Hypertextovodkaz"/>
          </w:rPr>
          <w:t>g</w:t>
        </w:r>
        <w:r w:rsidR="00F64261" w:rsidRPr="0077612E">
          <w:rPr>
            <w:rStyle w:val="Hypertextovodkaz"/>
          </w:rPr>
          <w:t xml:space="preserve">raf č. </w:t>
        </w:r>
        <w:r w:rsidR="0061298D" w:rsidRPr="0077612E">
          <w:rPr>
            <w:rStyle w:val="Hypertextovodkaz"/>
          </w:rPr>
          <w:t>19</w:t>
        </w:r>
      </w:hyperlink>
      <w:r w:rsidR="00F64261" w:rsidRPr="004B7295">
        <w:t xml:space="preserve">) je zřejmé, že pracovní a mimopracovní aktivity mají </w:t>
      </w:r>
      <w:r w:rsidR="00F64261" w:rsidRPr="004B7295">
        <w:lastRenderedPageBreak/>
        <w:t>v řadě případů značně odlišný charakter. Následující části textu se tedy zaměřují pouze na takové vzdělávání, za jehož absolvováním stály především pracovní důvody.</w:t>
      </w:r>
    </w:p>
    <w:p w:rsidR="0064701B" w:rsidRPr="004B7295" w:rsidRDefault="0064701B" w:rsidP="003D4835">
      <w:pPr>
        <w:spacing w:after="0"/>
        <w:jc w:val="both"/>
      </w:pPr>
    </w:p>
    <w:p w:rsidR="00CA6ECE" w:rsidRPr="004B7295" w:rsidRDefault="00CA6ECE" w:rsidP="00CA6ECE">
      <w:pPr>
        <w:jc w:val="both"/>
      </w:pPr>
      <w:r w:rsidRPr="004B7295">
        <w:t xml:space="preserve">Zapojení mužů a žen v odlišných věkových kategoriích, jako i </w:t>
      </w:r>
      <w:r w:rsidR="00CD5780" w:rsidRPr="004B7295">
        <w:t>osob s různou úrovní nejvyššího dosaženého vzdělání do aktivit neformálního vzdělávání je patrné z </w:t>
      </w:r>
      <w:hyperlink w:anchor="_Graf_č._18:" w:history="1">
        <w:r w:rsidR="00AC2D7F">
          <w:rPr>
            <w:rStyle w:val="Hypertextovodkaz"/>
          </w:rPr>
          <w:t>g</w:t>
        </w:r>
        <w:r w:rsidR="00CD5780" w:rsidRPr="0077612E">
          <w:rPr>
            <w:rStyle w:val="Hypertextovodkaz"/>
          </w:rPr>
          <w:t xml:space="preserve">rafu č. </w:t>
        </w:r>
        <w:r w:rsidR="0061298D" w:rsidRPr="0077612E">
          <w:rPr>
            <w:rStyle w:val="Hypertextovodkaz"/>
          </w:rPr>
          <w:t>18</w:t>
        </w:r>
      </w:hyperlink>
      <w:r w:rsidR="00CD5780" w:rsidRPr="004B7295">
        <w:t xml:space="preserve"> a </w:t>
      </w:r>
      <w:hyperlink w:anchor="_Graf_č._19:" w:history="1">
        <w:r w:rsidR="00AC2D7F">
          <w:rPr>
            <w:rStyle w:val="Hypertextovodkaz"/>
          </w:rPr>
          <w:t>g</w:t>
        </w:r>
        <w:r w:rsidR="00CD5780" w:rsidRPr="0077612E">
          <w:rPr>
            <w:rStyle w:val="Hypertextovodkaz"/>
          </w:rPr>
          <w:t xml:space="preserve">rafu č </w:t>
        </w:r>
        <w:r w:rsidR="0061298D" w:rsidRPr="0077612E">
          <w:rPr>
            <w:rStyle w:val="Hypertextovodkaz"/>
          </w:rPr>
          <w:t>19</w:t>
        </w:r>
      </w:hyperlink>
      <w:r w:rsidR="00CD5780" w:rsidRPr="004B7295">
        <w:t xml:space="preserve">. Následující </w:t>
      </w:r>
      <w:hyperlink w:anchor="_Graf_č._20:" w:history="1">
        <w:r w:rsidR="00AC2D7F">
          <w:rPr>
            <w:rStyle w:val="Hypertextovodkaz"/>
          </w:rPr>
          <w:t>g</w:t>
        </w:r>
        <w:r w:rsidR="00CD5780" w:rsidRPr="0077612E">
          <w:rPr>
            <w:rStyle w:val="Hypertextovodkaz"/>
          </w:rPr>
          <w:t xml:space="preserve">raf č. </w:t>
        </w:r>
        <w:r w:rsidR="0061298D" w:rsidRPr="0077612E">
          <w:rPr>
            <w:rStyle w:val="Hypertextovodkaz"/>
          </w:rPr>
          <w:t>20</w:t>
        </w:r>
      </w:hyperlink>
      <w:r w:rsidR="006F0AA1">
        <w:t xml:space="preserve"> po</w:t>
      </w:r>
      <w:r w:rsidR="00CD5780" w:rsidRPr="004B7295">
        <w:t>dává přehled o tom, jak se pracovně</w:t>
      </w:r>
      <w:r w:rsidR="00006B90">
        <w:t xml:space="preserve"> </w:t>
      </w:r>
      <w:r w:rsidR="00CD5780" w:rsidRPr="004B7295">
        <w:t xml:space="preserve">orientovaného neformálního vzdělávání účastní jednotlivé skupiny dle svého obvyklého ekonomického postavení. </w:t>
      </w:r>
    </w:p>
    <w:p w:rsidR="001467A5" w:rsidRPr="004B7295" w:rsidRDefault="001467A5" w:rsidP="008C5DD0">
      <w:pPr>
        <w:pStyle w:val="Nadpis4"/>
      </w:pPr>
      <w:bookmarkStart w:id="83" w:name="_Graf_č._20:"/>
      <w:bookmarkStart w:id="84" w:name="_Toc505872832"/>
      <w:bookmarkStart w:id="85" w:name="_Toc506308540"/>
      <w:bookmarkEnd w:id="83"/>
      <w:r w:rsidRPr="004B7295">
        <w:t xml:space="preserve">Graf č. </w:t>
      </w:r>
      <w:r w:rsidR="008C5DD0">
        <w:t>20</w:t>
      </w:r>
      <w:r w:rsidRPr="004B7295">
        <w:t xml:space="preserve">: Účast </w:t>
      </w:r>
      <w:r w:rsidR="00006B90">
        <w:t xml:space="preserve">a </w:t>
      </w:r>
      <w:r w:rsidR="00CD2B68">
        <w:t xml:space="preserve">průměrný </w:t>
      </w:r>
      <w:r w:rsidR="00006B90">
        <w:t xml:space="preserve">počet hodin strávený pracovně </w:t>
      </w:r>
      <w:r w:rsidRPr="004B7295">
        <w:t>orientovaným neformálním vzděláváním dle ekonomického postavení (18</w:t>
      </w:r>
      <w:r w:rsidR="00280ED7">
        <w:t>–</w:t>
      </w:r>
      <w:r w:rsidRPr="004B7295">
        <w:t>69 let)</w:t>
      </w:r>
      <w:bookmarkEnd w:id="84"/>
      <w:bookmarkEnd w:id="85"/>
    </w:p>
    <w:p w:rsidR="001467A5" w:rsidRPr="004B7295" w:rsidRDefault="008346B5" w:rsidP="006F0AA1">
      <w:pPr>
        <w:spacing w:after="120"/>
        <w:jc w:val="both"/>
      </w:pPr>
      <w:r>
        <w:rPr>
          <w:noProof/>
        </w:rPr>
        <mc:AlternateContent>
          <mc:Choice Requires="wps">
            <w:drawing>
              <wp:anchor distT="0" distB="0" distL="114300" distR="114300" simplePos="0" relativeHeight="251670016" behindDoc="0" locked="0" layoutInCell="1" allowOverlap="1" wp14:anchorId="76875A7F" wp14:editId="41A7B120">
                <wp:simplePos x="0" y="0"/>
                <wp:positionH relativeFrom="column">
                  <wp:posOffset>851535</wp:posOffset>
                </wp:positionH>
                <wp:positionV relativeFrom="paragraph">
                  <wp:posOffset>3593465</wp:posOffset>
                </wp:positionV>
                <wp:extent cx="71755" cy="71755"/>
                <wp:effectExtent l="0" t="0" r="23495" b="23495"/>
                <wp:wrapNone/>
                <wp:docPr id="18"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55" cy="71755"/>
                        </a:xfrm>
                        <a:prstGeom prst="rect">
                          <a:avLst/>
                        </a:prstGeom>
                        <a:solidFill>
                          <a:schemeClr val="bg1"/>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rect id="Obdélník 1" o:spid="_x0000_s1026" style="position:absolute;margin-left:67.05pt;margin-top:282.95pt;width:5.65pt;height:5.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" fillcolor="white [3212]" strokecolor="windowText" strokeweight="1.5pt">
                <v:path arrowok="t"/>
              </v:rect>
            </w:pict>
          </mc:Fallback>
        </mc:AlternateContent>
      </w:r>
      <w:r w:rsidR="002B69D9">
        <w:rPr>
          <w:noProof/>
        </w:rPr>
        <mc:AlternateContent>
          <mc:Choice Requires="wps">
            <w:drawing>
              <wp:anchor distT="0" distB="0" distL="114300" distR="114300" simplePos="0" relativeHeight="251665920" behindDoc="0" locked="0" layoutInCell="1" allowOverlap="1" wp14:anchorId="18C45F68" wp14:editId="408CD9AB">
                <wp:simplePos x="0" y="0"/>
                <wp:positionH relativeFrom="column">
                  <wp:posOffset>994410</wp:posOffset>
                </wp:positionH>
                <wp:positionV relativeFrom="paragraph">
                  <wp:posOffset>1388745</wp:posOffset>
                </wp:positionV>
                <wp:extent cx="2857500" cy="0"/>
                <wp:effectExtent l="1428750" t="0" r="0" b="144780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575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78.3pt;margin-top:109.35pt;width:225pt;height:0;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">
                <v:stroke dashstyle="dash"/>
              </v:shape>
            </w:pict>
          </mc:Fallback>
        </mc:AlternateContent>
      </w:r>
      <w:r w:rsidR="00143760" w:rsidRPr="00143760">
        <w:rPr>
          <w:noProof/>
        </w:rPr>
        <w:drawing>
          <wp:inline distT="0" distB="0" distL="0" distR="0" wp14:anchorId="1B599BE2" wp14:editId="57BDDDCE">
            <wp:extent cx="6153150" cy="3752850"/>
            <wp:effectExtent l="0" t="0" r="0" b="0"/>
            <wp:docPr id="65"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61298D" w:rsidRPr="0061298D" w:rsidRDefault="0061298D" w:rsidP="0061298D">
      <w:pPr>
        <w:spacing w:after="0" w:line="240" w:lineRule="auto"/>
        <w:jc w:val="both"/>
        <w:rPr>
          <w:sz w:val="16"/>
        </w:rPr>
      </w:pPr>
      <w:r w:rsidRPr="0061298D">
        <w:rPr>
          <w:sz w:val="16"/>
        </w:rPr>
        <w:t>Pozn.: RD = rodičovská dovolená</w:t>
      </w:r>
    </w:p>
    <w:p w:rsidR="0061298D" w:rsidRPr="0061298D" w:rsidRDefault="0061298D" w:rsidP="0061298D">
      <w:pPr>
        <w:spacing w:after="0" w:line="240" w:lineRule="auto"/>
        <w:jc w:val="both"/>
        <w:rPr>
          <w:sz w:val="16"/>
        </w:rPr>
      </w:pPr>
      <w:r w:rsidRPr="0061298D">
        <w:rPr>
          <w:sz w:val="16"/>
        </w:rPr>
        <w:t>nedostatečný počet pozorování u indikátor</w:t>
      </w:r>
      <w:r w:rsidR="00006B90">
        <w:rPr>
          <w:sz w:val="16"/>
        </w:rPr>
        <w:t xml:space="preserve">u počet hodin strávený pracovně </w:t>
      </w:r>
      <w:r w:rsidRPr="0061298D">
        <w:rPr>
          <w:sz w:val="16"/>
        </w:rPr>
        <w:t>orientovaným neformálním vzděláváním za rok pro</w:t>
      </w:r>
      <w:r w:rsidR="00241789">
        <w:rPr>
          <w:sz w:val="16"/>
        </w:rPr>
        <w:t> </w:t>
      </w:r>
      <w:r w:rsidRPr="0061298D">
        <w:rPr>
          <w:sz w:val="16"/>
        </w:rPr>
        <w:t>kategori</w:t>
      </w:r>
      <w:r w:rsidR="0064701B">
        <w:rPr>
          <w:sz w:val="16"/>
        </w:rPr>
        <w:t>i</w:t>
      </w:r>
      <w:r w:rsidRPr="0061298D">
        <w:rPr>
          <w:sz w:val="16"/>
        </w:rPr>
        <w:t xml:space="preserve"> invalidních důchodců, nízký počet pozorování </w:t>
      </w:r>
      <w:r w:rsidR="0064701B">
        <w:rPr>
          <w:sz w:val="16"/>
        </w:rPr>
        <w:t xml:space="preserve">pro </w:t>
      </w:r>
      <w:r>
        <w:rPr>
          <w:sz w:val="16"/>
        </w:rPr>
        <w:t>kategorie studenti a na RD/v domácnosti</w:t>
      </w:r>
    </w:p>
    <w:p w:rsidR="003952A6" w:rsidRPr="004B7295" w:rsidRDefault="001467A5" w:rsidP="008E4D08">
      <w:pPr>
        <w:jc w:val="both"/>
      </w:pPr>
      <w:r w:rsidRPr="004B7295">
        <w:t>Zdroj: AES 2016, ČSÚ</w:t>
      </w:r>
    </w:p>
    <w:p w:rsidR="00255583" w:rsidRDefault="001467A5" w:rsidP="008E4D08">
      <w:pPr>
        <w:jc w:val="both"/>
      </w:pPr>
      <w:r w:rsidRPr="004B7295">
        <w:t>Není překvapivé (zvláště když uvážíme strukturu pracovně</w:t>
      </w:r>
      <w:r w:rsidR="00006B90">
        <w:t xml:space="preserve"> </w:t>
      </w:r>
      <w:r w:rsidRPr="004B7295">
        <w:t>orientovaných aktivit neformálního vzdělávání, ve</w:t>
      </w:r>
      <w:r w:rsidR="0006282F">
        <w:t> </w:t>
      </w:r>
      <w:r w:rsidRPr="004B7295">
        <w:t xml:space="preserve">které převažují pracovní školení, viz </w:t>
      </w:r>
      <w:hyperlink w:anchor="_Graf_č._17:" w:history="1">
        <w:r w:rsidR="00CB7412">
          <w:rPr>
            <w:rStyle w:val="Hypertextovodkaz"/>
          </w:rPr>
          <w:t>g</w:t>
        </w:r>
        <w:r w:rsidRPr="0077612E">
          <w:rPr>
            <w:rStyle w:val="Hypertextovodkaz"/>
          </w:rPr>
          <w:t xml:space="preserve">raf č. </w:t>
        </w:r>
        <w:r w:rsidR="00255583" w:rsidRPr="0077612E">
          <w:rPr>
            <w:rStyle w:val="Hypertextovodkaz"/>
          </w:rPr>
          <w:t>17</w:t>
        </w:r>
      </w:hyperlink>
      <w:r w:rsidRPr="004B7295">
        <w:t>), že se míra participace v neformálním vzdělávání související s pracovním výkonem odvíjí od aktuálního postavení na trhu práce. Nejčastěji se ve sledované věkové skupině 18–69 let vzdělávají ekonomicky aktivní lidé, kteří vykonávají výdělečnou činnost na plný či částečný úvazek. Mezi pracujícími míra účasti v aktivitách neformálního vzdělávání představuje 48 % (resp.</w:t>
      </w:r>
      <w:r w:rsidR="006F0AA1">
        <w:t> </w:t>
      </w:r>
      <w:r w:rsidRPr="004B7295">
        <w:t>50 % u mužů a 46 % u žen), ze zaměstnanců se ve sledovaném období vzdělával průměrně každý druhý (resp.</w:t>
      </w:r>
      <w:r w:rsidR="00280ED7">
        <w:t> </w:t>
      </w:r>
      <w:r w:rsidRPr="004B7295">
        <w:t>53</w:t>
      </w:r>
      <w:r w:rsidR="00280ED7">
        <w:t> </w:t>
      </w:r>
      <w:r w:rsidRPr="004B7295">
        <w:t xml:space="preserve">% zaměstnaných mužů a 47 % zaměstnaných žen). U podnikatelů, kteří zahrnují jak podnikatele se zaměstnanci, tak ty bez zaměstnanců (tj. nejčastěji OSVČ) účast klesá na </w:t>
      </w:r>
      <w:r w:rsidR="00E55E47">
        <w:t>více</w:t>
      </w:r>
      <w:r w:rsidRPr="004B7295">
        <w:t xml:space="preserve"> než každého třetího, resp.</w:t>
      </w:r>
      <w:r w:rsidR="00280ED7">
        <w:t> </w:t>
      </w:r>
      <w:r w:rsidRPr="004B7295">
        <w:t>36 %. Svým vzděláváním přitom tráví</w:t>
      </w:r>
      <w:r w:rsidR="00F8446D" w:rsidRPr="004B7295">
        <w:t xml:space="preserve"> pracující</w:t>
      </w:r>
      <w:r w:rsidRPr="004B7295">
        <w:t xml:space="preserve"> shodně </w:t>
      </w:r>
      <w:r w:rsidR="00255583">
        <w:t xml:space="preserve">přibližně </w:t>
      </w:r>
      <w:r w:rsidRPr="004B7295">
        <w:t>mezi 27</w:t>
      </w:r>
      <w:r w:rsidR="00804953" w:rsidRPr="004B7295">
        <w:t xml:space="preserve"> až </w:t>
      </w:r>
      <w:r w:rsidRPr="004B7295">
        <w:t>30 hodinami ročně</w:t>
      </w:r>
      <w:r w:rsidR="00804953" w:rsidRPr="004B7295">
        <w:t xml:space="preserve">. </w:t>
      </w:r>
    </w:p>
    <w:p w:rsidR="00804953" w:rsidRPr="004B7295" w:rsidRDefault="00804953" w:rsidP="008E4D08">
      <w:pPr>
        <w:jc w:val="both"/>
      </w:pPr>
      <w:r w:rsidRPr="004B7295">
        <w:t xml:space="preserve">Mezi nezaměstnanými se do </w:t>
      </w:r>
      <w:r w:rsidR="00255583">
        <w:t>nějakých</w:t>
      </w:r>
      <w:r w:rsidRPr="004B7295">
        <w:t xml:space="preserve"> pracovně</w:t>
      </w:r>
      <w:r w:rsidR="00006B90">
        <w:t xml:space="preserve"> </w:t>
      </w:r>
      <w:r w:rsidRPr="004B7295">
        <w:t>orientovaných aktivit neformálního vzdělávání zapojilo přibližně 13 % z nich, přičemž průměrně vyšší objem neformální</w:t>
      </w:r>
      <w:r w:rsidR="006F0AA1">
        <w:t>ho vzdělávání lze přičítat zejm</w:t>
      </w:r>
      <w:r w:rsidR="00256DD2">
        <w:t>éna</w:t>
      </w:r>
      <w:r w:rsidRPr="004B7295">
        <w:t xml:space="preserve"> déle trvajícím rekvalifikačním kurzům. Mezi ostatním</w:t>
      </w:r>
      <w:r w:rsidR="00F8446D" w:rsidRPr="004B7295">
        <w:t xml:space="preserve">i skupinami </w:t>
      </w:r>
      <w:r w:rsidR="00CD2B68">
        <w:t>osob definovanými</w:t>
      </w:r>
      <w:r w:rsidRPr="004B7295">
        <w:t xml:space="preserve"> na základě jejich převažujícího ekonomického po</w:t>
      </w:r>
      <w:r w:rsidR="00006B90">
        <w:t xml:space="preserve">stavení je zapojení do pracovně </w:t>
      </w:r>
      <w:r w:rsidRPr="004B7295">
        <w:t xml:space="preserve">orientovaných aktivit neformálního vzdělávání spíše výjimečné, což lze přičítat jejich specifickému přístupu </w:t>
      </w:r>
      <w:r w:rsidR="00CD2B68">
        <w:t>na trh</w:t>
      </w:r>
      <w:r w:rsidRPr="004B7295">
        <w:t xml:space="preserve"> práce, který zohledňuje </w:t>
      </w:r>
      <w:r w:rsidRPr="004B7295">
        <w:lastRenderedPageBreak/>
        <w:t>předpokládané budoucí či minulé začlenění mezi ekonomicky aktivní. Pro jasnější interpretaci tohoto ukazatele je také nutné zohlednit, že zde uvedené ekonomické postavení vypoví</w:t>
      </w:r>
      <w:r w:rsidR="00042C60" w:rsidRPr="004B7295">
        <w:t>dá o aktuálním stavu deklarované</w:t>
      </w:r>
      <w:r w:rsidRPr="004B7295">
        <w:t xml:space="preserve">m respondentem k datu šetření a může se tak v některých případech lišit od ekonomického postavení v době zapojení do absolvovaných aktivit neformálního vzdělávání. </w:t>
      </w:r>
    </w:p>
    <w:p w:rsidR="00804953" w:rsidRPr="004B7295" w:rsidRDefault="00F8446D" w:rsidP="008E4D08">
      <w:pPr>
        <w:jc w:val="both"/>
      </w:pPr>
      <w:r w:rsidRPr="004B7295">
        <w:t>Jakého vzdělávání se lidé z prac</w:t>
      </w:r>
      <w:r w:rsidR="00170501">
        <w:t>ovních důvodů nejčastěji účastní</w:t>
      </w:r>
      <w:r w:rsidRPr="004B7295">
        <w:t xml:space="preserve">? K zařazení oborů, či tematických oblastí absolvovaných vzdělávacích aktivit byl použit mezinárodní standard klasifikace oborů vzdělání </w:t>
      </w:r>
      <w:hyperlink r:id="rId59" w:history="1">
        <w:r w:rsidRPr="004B7295">
          <w:rPr>
            <w:rStyle w:val="Hypertextovodkaz"/>
          </w:rPr>
          <w:t>CZ-ISCED-F 2013</w:t>
        </w:r>
      </w:hyperlink>
      <w:r w:rsidRPr="004B7295">
        <w:t xml:space="preserve">. </w:t>
      </w:r>
      <w:r w:rsidR="00006B90">
        <w:t xml:space="preserve">Nejvíce pracovně </w:t>
      </w:r>
      <w:r w:rsidR="00AC5216" w:rsidRPr="004B7295">
        <w:t xml:space="preserve">orientovaných aktivit neformálního vzdělávání připadalo na oblast </w:t>
      </w:r>
      <w:r w:rsidR="000412FF">
        <w:t>S</w:t>
      </w:r>
      <w:r w:rsidR="00AC5216" w:rsidRPr="004B7295">
        <w:t>lužeb, která zahrnuje rozmanitou oblast činnos</w:t>
      </w:r>
      <w:r w:rsidR="00AC5216" w:rsidRPr="00462266">
        <w:t>tí v oborech, jako jsou hotelnictví a restauratérství, kadeřnictví či</w:t>
      </w:r>
      <w:r w:rsidR="00BD08CF" w:rsidRPr="00462266">
        <w:t> </w:t>
      </w:r>
      <w:r w:rsidR="00AC5216" w:rsidRPr="00462266">
        <w:t>kosmetické služby, ale také ochranu zdraví při práci</w:t>
      </w:r>
      <w:r w:rsidR="00AC5216" w:rsidRPr="00462266">
        <w:rPr>
          <w:rStyle w:val="Znakapoznpodarou"/>
        </w:rPr>
        <w:footnoteReference w:id="20"/>
      </w:r>
      <w:r w:rsidR="00AC5216" w:rsidRPr="00462266">
        <w:t>, bezpečnostní služby či oblast dopravy, resp.</w:t>
      </w:r>
      <w:r w:rsidR="00BD08CF" w:rsidRPr="00462266">
        <w:t> </w:t>
      </w:r>
      <w:r w:rsidR="00CD2B68">
        <w:t xml:space="preserve">oblast </w:t>
      </w:r>
      <w:r w:rsidR="00AC5216" w:rsidRPr="00462266">
        <w:t xml:space="preserve">přepravních služeb a spojů. </w:t>
      </w:r>
      <w:r w:rsidR="00462266" w:rsidRPr="00462266">
        <w:t>Průměrná doba vzdělávacích aktivit v tomto oboru však byla kratší a</w:t>
      </w:r>
      <w:r w:rsidR="00462266">
        <w:t> </w:t>
      </w:r>
      <w:r w:rsidR="00462266" w:rsidRPr="00462266">
        <w:t xml:space="preserve">představovala 16 % </w:t>
      </w:r>
      <w:r w:rsidR="00462266">
        <w:t>časového</w:t>
      </w:r>
      <w:r w:rsidR="00462266" w:rsidRPr="00462266">
        <w:t xml:space="preserve"> objemu stráveného pracovně orientovanými aktivitami neformálního vzdělávání.</w:t>
      </w:r>
      <w:r w:rsidR="00AC5216" w:rsidRPr="00462266">
        <w:t xml:space="preserve"> Ne</w:t>
      </w:r>
      <w:r w:rsidR="00462266" w:rsidRPr="00462266">
        <w:t>jčastěji se jednalo</w:t>
      </w:r>
      <w:r w:rsidR="00CB67EE" w:rsidRPr="00462266">
        <w:t xml:space="preserve"> o krátkodobá p</w:t>
      </w:r>
      <w:r w:rsidR="00AC5216" w:rsidRPr="00462266">
        <w:t>racovní školení. Druhou oblast s nejvyšším podílem vzdělávacích aktivit tvoří kategorie sdružující obory Obchodu, administrativy a práva. Zde absolvované vzdělávací aktivity představují zejm</w:t>
      </w:r>
      <w:r w:rsidR="00256DD2">
        <w:t>éna</w:t>
      </w:r>
      <w:r w:rsidR="00AC5216" w:rsidRPr="004B7295">
        <w:t xml:space="preserve"> nejrůznější kurzy, školení a </w:t>
      </w:r>
      <w:r w:rsidR="000412FF">
        <w:t>semináře absolvované v oborech účetnictví a daní, financí</w:t>
      </w:r>
      <w:r w:rsidR="006921DA" w:rsidRPr="004B7295">
        <w:t xml:space="preserve">, bankovnictví a pojišťovnictví, </w:t>
      </w:r>
      <w:r w:rsidR="000412FF">
        <w:t>práva, m</w:t>
      </w:r>
      <w:r w:rsidR="006921DA" w:rsidRPr="004B7295">
        <w:t>anagementu a správy, ale např. také řad</w:t>
      </w:r>
      <w:r w:rsidR="00042C60" w:rsidRPr="004B7295">
        <w:t>u</w:t>
      </w:r>
      <w:r w:rsidR="006921DA" w:rsidRPr="004B7295">
        <w:t xml:space="preserve"> školení souvisejících s pracovními dovednostmi ve velkoobchodě a maloobchodě. Třetí nejčastěji zastoupené aktivity spadají do oblasti Te</w:t>
      </w:r>
      <w:r w:rsidR="00042C60" w:rsidRPr="004B7295">
        <w:t>chniky, výroby a stavebnictví se</w:t>
      </w:r>
      <w:r w:rsidR="006921DA" w:rsidRPr="004B7295">
        <w:t xml:space="preserve"> školení</w:t>
      </w:r>
      <w:r w:rsidR="00042C60" w:rsidRPr="004B7295">
        <w:t>mi a kurzy</w:t>
      </w:r>
      <w:r w:rsidR="000412FF">
        <w:t xml:space="preserve"> v oblastech i</w:t>
      </w:r>
      <w:r w:rsidR="006921DA" w:rsidRPr="004B7295">
        <w:t>nženýrství a</w:t>
      </w:r>
      <w:r w:rsidR="000412FF">
        <w:t> strojírenství, v</w:t>
      </w:r>
      <w:r w:rsidR="006921DA" w:rsidRPr="004B7295">
        <w:t xml:space="preserve">ýroby a zpracování či </w:t>
      </w:r>
      <w:r w:rsidR="000412FF">
        <w:t>a</w:t>
      </w:r>
      <w:r w:rsidR="006921DA" w:rsidRPr="004B7295">
        <w:t xml:space="preserve">rchitektuře a stavebnictví. </w:t>
      </w:r>
    </w:p>
    <w:p w:rsidR="00F8446D" w:rsidRPr="004B7295" w:rsidRDefault="00A536A6" w:rsidP="008C5DD0">
      <w:pPr>
        <w:pStyle w:val="Nadpis4"/>
      </w:pPr>
      <w:r>
        <w:rPr>
          <w:noProof/>
        </w:rPr>
        <w:drawing>
          <wp:anchor distT="0" distB="0" distL="114300" distR="114300" simplePos="0" relativeHeight="251663872" behindDoc="1" locked="0" layoutInCell="1" allowOverlap="1" wp14:anchorId="29F30439" wp14:editId="6AF5D71F">
            <wp:simplePos x="0" y="0"/>
            <wp:positionH relativeFrom="column">
              <wp:posOffset>3366135</wp:posOffset>
            </wp:positionH>
            <wp:positionV relativeFrom="paragraph">
              <wp:posOffset>294005</wp:posOffset>
            </wp:positionV>
            <wp:extent cx="2914650" cy="2647950"/>
            <wp:effectExtent l="0" t="0" r="0" b="0"/>
            <wp:wrapNone/>
            <wp:docPr id="29"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anchor>
        </w:drawing>
      </w:r>
      <w:bookmarkStart w:id="86" w:name="_Toc505872833"/>
      <w:bookmarkStart w:id="87" w:name="_Toc506308541"/>
      <w:r w:rsidR="008C5DD0" w:rsidRPr="004B7295">
        <w:t xml:space="preserve">Graf č. </w:t>
      </w:r>
      <w:r w:rsidR="008C5DD0">
        <w:t>21</w:t>
      </w:r>
      <w:r w:rsidR="008C5DD0" w:rsidRPr="004B7295">
        <w:t xml:space="preserve">: </w:t>
      </w:r>
      <w:r w:rsidR="00006B90">
        <w:t xml:space="preserve">Struktura aktivit pracovně </w:t>
      </w:r>
      <w:r w:rsidR="008C5DD0" w:rsidRPr="00A344BE">
        <w:t>orientovaného neformálního vzdělávání dle oborů vzdělávání ISCED-F (18–69 let)</w:t>
      </w:r>
      <w:bookmarkEnd w:id="86"/>
      <w:bookmarkEnd w:id="87"/>
    </w:p>
    <w:p w:rsidR="00F8446D" w:rsidRPr="004B7295" w:rsidRDefault="00A344BE" w:rsidP="000412FF">
      <w:pPr>
        <w:spacing w:after="120"/>
      </w:pPr>
      <w:r>
        <w:rPr>
          <w:noProof/>
        </w:rPr>
        <w:drawing>
          <wp:anchor distT="0" distB="0" distL="114300" distR="114300" simplePos="0" relativeHeight="251671040" behindDoc="1" locked="0" layoutInCell="1" allowOverlap="1" wp14:anchorId="744AA6FC" wp14:editId="6EF512F2">
            <wp:simplePos x="0" y="0"/>
            <wp:positionH relativeFrom="column">
              <wp:posOffset>3213735</wp:posOffset>
            </wp:positionH>
            <wp:positionV relativeFrom="paragraph">
              <wp:posOffset>-3174</wp:posOffset>
            </wp:positionV>
            <wp:extent cx="2981325" cy="2514600"/>
            <wp:effectExtent l="0" t="0" r="0" b="0"/>
            <wp:wrapNone/>
            <wp:docPr id="80" name="Graf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anchor>
        </w:drawing>
      </w:r>
      <w:r w:rsidRPr="00A344BE">
        <w:rPr>
          <w:noProof/>
        </w:rPr>
        <w:drawing>
          <wp:inline distT="0" distB="0" distL="0" distR="0" wp14:anchorId="4AE4C26D" wp14:editId="4503BAD2">
            <wp:extent cx="3724275" cy="2686050"/>
            <wp:effectExtent l="0" t="0" r="0" b="0"/>
            <wp:docPr id="79" name="Graf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F67E01" w:rsidRPr="004B7295" w:rsidRDefault="00F8446D" w:rsidP="00CB67EE">
      <w:pPr>
        <w:spacing w:after="0" w:line="240" w:lineRule="auto"/>
        <w:jc w:val="both"/>
      </w:pPr>
      <w:r w:rsidRPr="004B7295">
        <w:br w:type="textWrapping" w:clear="all"/>
      </w:r>
      <w:r w:rsidR="00092457">
        <w:rPr>
          <w:sz w:val="16"/>
        </w:rPr>
        <w:t>Pozn.: kategorie O</w:t>
      </w:r>
      <w:r w:rsidRPr="008C5DD0">
        <w:rPr>
          <w:sz w:val="16"/>
        </w:rPr>
        <w:t xml:space="preserve">statní zahrnuje </w:t>
      </w:r>
      <w:r w:rsidR="007F41A4" w:rsidRPr="004B7295">
        <w:rPr>
          <w:sz w:val="16"/>
        </w:rPr>
        <w:t>v pořadí od nejčastěji zastoupených</w:t>
      </w:r>
      <w:r w:rsidR="007F41A4">
        <w:rPr>
          <w:sz w:val="16"/>
        </w:rPr>
        <w:t xml:space="preserve"> </w:t>
      </w:r>
      <w:r w:rsidR="00462266">
        <w:rPr>
          <w:sz w:val="16"/>
        </w:rPr>
        <w:t xml:space="preserve">(dle počtu aktivit) </w:t>
      </w:r>
      <w:r w:rsidR="007F41A4">
        <w:rPr>
          <w:sz w:val="16"/>
        </w:rPr>
        <w:t>následující</w:t>
      </w:r>
      <w:r w:rsidR="007F41A4" w:rsidRPr="004B7295">
        <w:rPr>
          <w:sz w:val="16"/>
        </w:rPr>
        <w:t xml:space="preserve"> kategorie</w:t>
      </w:r>
      <w:r w:rsidR="007F41A4">
        <w:rPr>
          <w:sz w:val="16"/>
        </w:rPr>
        <w:t>:</w:t>
      </w:r>
      <w:r w:rsidR="007F41A4" w:rsidRPr="004B7295">
        <w:rPr>
          <w:sz w:val="16"/>
        </w:rPr>
        <w:t xml:space="preserve"> </w:t>
      </w:r>
      <w:r w:rsidRPr="008C5DD0">
        <w:rPr>
          <w:sz w:val="16"/>
        </w:rPr>
        <w:t>Všeobecné vzdělávání, Vzdělávání a</w:t>
      </w:r>
      <w:r w:rsidR="00BD08CF">
        <w:rPr>
          <w:sz w:val="16"/>
        </w:rPr>
        <w:t> </w:t>
      </w:r>
      <w:r w:rsidRPr="008C5DD0">
        <w:rPr>
          <w:sz w:val="16"/>
        </w:rPr>
        <w:t>výchova, Společenské vědy, žurnalistika a informační vědy, Zemědělství, lesnictví, rybářství a veterinářství</w:t>
      </w:r>
      <w:r w:rsidR="007F41A4">
        <w:rPr>
          <w:sz w:val="16"/>
        </w:rPr>
        <w:t xml:space="preserve"> a </w:t>
      </w:r>
      <w:r w:rsidR="007F41A4" w:rsidRPr="008C5DD0">
        <w:rPr>
          <w:sz w:val="16"/>
        </w:rPr>
        <w:t>Přírodní vědy, matematika a statistika</w:t>
      </w:r>
      <w:r w:rsidR="00F67E01" w:rsidRPr="008C5DD0">
        <w:rPr>
          <w:sz w:val="16"/>
        </w:rPr>
        <w:t>.</w:t>
      </w:r>
    </w:p>
    <w:p w:rsidR="008C5DD0" w:rsidRPr="004B7295" w:rsidRDefault="008C5DD0" w:rsidP="008C5DD0">
      <w:pPr>
        <w:spacing w:after="0"/>
        <w:jc w:val="both"/>
      </w:pPr>
      <w:r w:rsidRPr="004B7295">
        <w:t>Zdroj: AES 2016, ČSÚ</w:t>
      </w:r>
    </w:p>
    <w:p w:rsidR="00CB67EE" w:rsidRPr="00CB67EE" w:rsidRDefault="00CB67EE" w:rsidP="00CB67EE">
      <w:pPr>
        <w:jc w:val="both"/>
        <w:rPr>
          <w:sz w:val="2"/>
        </w:rPr>
      </w:pPr>
    </w:p>
    <w:p w:rsidR="00CB67EE" w:rsidRPr="004B7295" w:rsidRDefault="00CB67EE" w:rsidP="00CB67EE">
      <w:pPr>
        <w:jc w:val="both"/>
      </w:pPr>
      <w:r w:rsidRPr="004B7295">
        <w:t xml:space="preserve">Z pohledu časových investic do vzdělávání je zajímavý podíl </w:t>
      </w:r>
      <w:r w:rsidR="00006B90">
        <w:t xml:space="preserve">celkového objemu hodin pracovně </w:t>
      </w:r>
      <w:r w:rsidRPr="004B7295">
        <w:t>orientovaného neformálního vzdělávání strávený v kurzech (či soukromých lekcích) věnujících se cizím jazykům. Přestože vzdělávání v oblasti cizích jazyků (resp. oborové kategorie Umění a humanitní vědy, kde</w:t>
      </w:r>
      <w:r w:rsidR="00BD08CF">
        <w:t> </w:t>
      </w:r>
      <w:r w:rsidRPr="004B7295">
        <w:t>však v</w:t>
      </w:r>
      <w:r w:rsidR="00006B90">
        <w:t xml:space="preserve"> pracovně </w:t>
      </w:r>
      <w:r w:rsidRPr="004B7295">
        <w:t xml:space="preserve">orientovaném vzdělávání tvoří cizí jazyky zcela převažující podíl) představuje pouze </w:t>
      </w:r>
      <w:r w:rsidRPr="004B7295">
        <w:lastRenderedPageBreak/>
        <w:t>6</w:t>
      </w:r>
      <w:r w:rsidR="00BD08CF">
        <w:t> </w:t>
      </w:r>
      <w:r w:rsidR="00006B90">
        <w:t xml:space="preserve">% všech pracovně </w:t>
      </w:r>
      <w:r w:rsidRPr="004B7295">
        <w:t>orientovaných vzdělávacích aktivit, tvoří celou pětinu veškerého času investovaného do</w:t>
      </w:r>
      <w:r w:rsidR="0006282F">
        <w:t> </w:t>
      </w:r>
      <w:r w:rsidRPr="004B7295">
        <w:t>pracovního neformálního vzdělávání. To lze přičíst obvykle dlouhotrvajícímu charakteru jazykového vzdělávání, kterého se řada pracujících účastní kontinuálně po dobu několika měsíců (či let). Investice Čechů do jazykového vzdělávání přitom ještě vzrostou, když uvážíme, že jazykového vzdělávání se účastní řada osob také ze souk</w:t>
      </w:r>
      <w:r w:rsidR="000412FF">
        <w:t>romých důvodů. Jak je zřejmé z t</w:t>
      </w:r>
      <w:r w:rsidRPr="004B7295">
        <w:t>abulky č. 11a v tabulkové části této publikace, do</w:t>
      </w:r>
      <w:r w:rsidR="0006282F">
        <w:t> </w:t>
      </w:r>
      <w:r w:rsidRPr="004B7295">
        <w:t>jazykového vzdělávání se ve sledovaném roce zapojilo přibližně 7 % populace ve věku 18–69 let, přičemž 3 % byla motivována převážně pracovními, 4 % spíše mimopracovními důvody</w:t>
      </w:r>
      <w:r w:rsidRPr="004B7295">
        <w:rPr>
          <w:rStyle w:val="Znakapoznpodarou"/>
        </w:rPr>
        <w:footnoteReference w:id="21"/>
      </w:r>
      <w:r w:rsidRPr="004B7295">
        <w:t xml:space="preserve">.  </w:t>
      </w:r>
    </w:p>
    <w:p w:rsidR="005E1EDF" w:rsidRPr="004B7295" w:rsidRDefault="005E1EDF" w:rsidP="008C5DD0">
      <w:pPr>
        <w:pStyle w:val="Nadpis4"/>
      </w:pPr>
      <w:bookmarkStart w:id="88" w:name="_Toc505872834"/>
      <w:bookmarkStart w:id="89" w:name="_Toc506308542"/>
      <w:r w:rsidRPr="004B7295">
        <w:t xml:space="preserve">Graf č. </w:t>
      </w:r>
      <w:r w:rsidR="008C5DD0">
        <w:t>22</w:t>
      </w:r>
      <w:r w:rsidRPr="004B7295">
        <w:t>: Účast pracujících a průměrn</w:t>
      </w:r>
      <w:r w:rsidR="00006B90">
        <w:t xml:space="preserve">ý počet hodin strávený pracovně </w:t>
      </w:r>
      <w:r w:rsidRPr="004B7295">
        <w:t>orientovaným neformálním vzděláváním dle hlavních tříd zaměstnání CZ-ISCO (18–69 let)</w:t>
      </w:r>
      <w:bookmarkEnd w:id="88"/>
      <w:bookmarkEnd w:id="89"/>
    </w:p>
    <w:p w:rsidR="00C06B29" w:rsidRPr="004B7295" w:rsidRDefault="003505DF" w:rsidP="000412FF">
      <w:pPr>
        <w:spacing w:after="120"/>
        <w:jc w:val="both"/>
      </w:pPr>
      <w:r>
        <w:rPr>
          <w:noProof/>
        </w:rPr>
        <mc:AlternateContent>
          <mc:Choice Requires="wps">
            <w:drawing>
              <wp:anchor distT="0" distB="0" distL="114300" distR="114300" simplePos="0" relativeHeight="251667968" behindDoc="0" locked="0" layoutInCell="1" allowOverlap="1" wp14:anchorId="3B22E15B" wp14:editId="442C3C72">
                <wp:simplePos x="0" y="0"/>
                <wp:positionH relativeFrom="column">
                  <wp:posOffset>1051560</wp:posOffset>
                </wp:positionH>
                <wp:positionV relativeFrom="paragraph">
                  <wp:posOffset>5590540</wp:posOffset>
                </wp:positionV>
                <wp:extent cx="71755" cy="71755"/>
                <wp:effectExtent l="0" t="0" r="23495" b="23495"/>
                <wp:wrapNone/>
                <wp:docPr id="19"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55" cy="71755"/>
                        </a:xfrm>
                        <a:prstGeom prst="rect">
                          <a:avLst/>
                        </a:prstGeom>
                        <a:solidFill>
                          <a:schemeClr val="bg1"/>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rect id="Obdélník 1" o:spid="_x0000_s1026" style="position:absolute;margin-left:82.8pt;margin-top:440.2pt;width:5.65pt;height:5.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" fillcolor="white [3212]" strokecolor="windowText" strokeweight="1.5pt">
                <v:path arrowok="t"/>
              </v:rect>
            </w:pict>
          </mc:Fallback>
        </mc:AlternateContent>
      </w:r>
      <w:r w:rsidR="00575CAF" w:rsidRPr="00575CAF">
        <w:rPr>
          <w:noProof/>
        </w:rPr>
        <w:drawing>
          <wp:inline distT="0" distB="0" distL="0" distR="0" wp14:anchorId="7017B9D4" wp14:editId="5940E0BE">
            <wp:extent cx="6143625" cy="5848350"/>
            <wp:effectExtent l="0" t="0" r="0" b="0"/>
            <wp:docPr id="66"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8C5DD0" w:rsidRPr="008C5DD0" w:rsidRDefault="008C5DD0" w:rsidP="008C5DD0">
      <w:pPr>
        <w:spacing w:after="0"/>
        <w:jc w:val="both"/>
        <w:rPr>
          <w:sz w:val="16"/>
        </w:rPr>
      </w:pPr>
      <w:r w:rsidRPr="008C5DD0">
        <w:rPr>
          <w:sz w:val="16"/>
        </w:rPr>
        <w:t>Pozn.: nedostatek pozorování v kategorii Zaměstnanci v ozbrojených silách</w:t>
      </w:r>
    </w:p>
    <w:p w:rsidR="000412FF" w:rsidRDefault="005E1EDF" w:rsidP="008E4D08">
      <w:pPr>
        <w:jc w:val="both"/>
      </w:pPr>
      <w:r w:rsidRPr="004B7295">
        <w:t>Zdroj: AES 2016, ČSÚ</w:t>
      </w:r>
    </w:p>
    <w:p w:rsidR="000412FF" w:rsidRDefault="000412FF">
      <w:pPr>
        <w:spacing w:after="0" w:line="240" w:lineRule="auto"/>
      </w:pPr>
      <w:r>
        <w:br w:type="page"/>
      </w:r>
    </w:p>
    <w:p w:rsidR="00575CAF" w:rsidRPr="004B7295" w:rsidRDefault="00575CAF" w:rsidP="002D7715">
      <w:pPr>
        <w:jc w:val="both"/>
      </w:pPr>
      <w:r w:rsidRPr="004B7295">
        <w:lastRenderedPageBreak/>
        <w:t>Z logiky věci i informací uvedených v předchozích čás</w:t>
      </w:r>
      <w:r w:rsidR="00006B90">
        <w:t xml:space="preserve">tech textu vyplývá, že pracovně </w:t>
      </w:r>
      <w:r w:rsidRPr="004B7295">
        <w:t>orientované vzdělávání se týká zejména ekonomicky aktivních, resp. pracujících osob, které realizovaly celkem 97 %, resp. 96 % veškerých pracovn</w:t>
      </w:r>
      <w:r w:rsidR="00006B90">
        <w:t xml:space="preserve">ě </w:t>
      </w:r>
      <w:r w:rsidRPr="004B7295">
        <w:t>orientovaných aktivit neformálního vzdělávání. Účast mezi pracujícími a</w:t>
      </w:r>
      <w:r w:rsidR="00BD08CF">
        <w:t> </w:t>
      </w:r>
      <w:r w:rsidRPr="004B7295">
        <w:t xml:space="preserve">počet hodin, které vzděláváním tráví, se však výrazně odvíjí od dvou klíčových charakteristik – jejich postavení v zaměstnání (zde zachyceno pomocí hlavních tříd </w:t>
      </w:r>
      <w:hyperlink r:id="rId64" w:history="1">
        <w:r w:rsidRPr="004B7295">
          <w:rPr>
            <w:rStyle w:val="Hypertextovodkaz"/>
          </w:rPr>
          <w:t>klasifikace zaměstnání CZ-ISCO</w:t>
        </w:r>
      </w:hyperlink>
      <w:r w:rsidRPr="004B7295">
        <w:t>) a</w:t>
      </w:r>
      <w:r w:rsidR="00BD08CF">
        <w:t> </w:t>
      </w:r>
      <w:r w:rsidRPr="004B7295">
        <w:t xml:space="preserve">ekonomického odvětví (znázorněno pomocí sekcí </w:t>
      </w:r>
      <w:hyperlink r:id="rId65" w:history="1">
        <w:r w:rsidRPr="004B7295">
          <w:rPr>
            <w:rStyle w:val="Hypertextovodkaz"/>
          </w:rPr>
          <w:t>klasifikace ekonomických činností CZ-NACE</w:t>
        </w:r>
      </w:hyperlink>
      <w:r w:rsidRPr="004B7295">
        <w:t xml:space="preserve">), ve kterém působí. Obě tyto charakteristiky do jisté míry reflektují pracovní zařazení pracující osoby, povahu jím vykonávané činnosti, stupeň její složitosti, rozsah úkolů a míru nezávislosti a odpovědnosti při vykonávání pracovních úkonů. </w:t>
      </w:r>
    </w:p>
    <w:p w:rsidR="0077066B" w:rsidRDefault="001913B8" w:rsidP="0077066B">
      <w:pPr>
        <w:jc w:val="both"/>
      </w:pPr>
      <w:r w:rsidRPr="004B7295">
        <w:t>Co se týče postavení osoby v zaměstnání, jednotlivé třídy klasifikace CZ-ISCO tvoří kvazi-hierarchicky uspořádanou strukturu odlišující jednotlivé skupiny podle stupně složitosti pracovních úkonů, vzdělanostních či kvalifikačních požadavků. Z tohoto pohledu účast pracujících v</w:t>
      </w:r>
      <w:r w:rsidR="00006B90">
        <w:t> </w:t>
      </w:r>
      <w:r w:rsidRPr="004B7295">
        <w:t>pracovně</w:t>
      </w:r>
      <w:r w:rsidR="00006B90">
        <w:t xml:space="preserve"> </w:t>
      </w:r>
      <w:r w:rsidRPr="004B7295">
        <w:t>orientovaném neformálním vzdělávání v zásadě zachovává předpoklad rostoucí míry participace ve vztahu ke složitosti vykonávané činnosti. Nejvíce se ve sledovaném období vzdělávali pracovníci spadající do kategorie specialistů (63 %), techničtí a odborní pracovníci (61 %) a zákonodárci a řídící pracovníci (59 %). Lidé vykonávající zaměstnání spadající do těchto kategorií zpravidla realizují úkoly zahrnující řešení komplexních problémů vyžadujících rozsáhlé dovednosti a znalosti v příslušném oboru a jejich kvalifikace často odpovídá vyšším stupňům vzděl</w:t>
      </w:r>
      <w:r w:rsidR="00E55E47">
        <w:t>ání. Více než poloviční (tj. 56</w:t>
      </w:r>
      <w:r w:rsidRPr="004B7295">
        <w:t>%</w:t>
      </w:r>
      <w:r w:rsidR="0077066B">
        <w:t xml:space="preserve">) účasti dosahují také úředníci, nějakého neformálního vzdělávání, často </w:t>
      </w:r>
      <w:r w:rsidRPr="004B7295">
        <w:t>školení na pracovišti</w:t>
      </w:r>
      <w:r w:rsidR="00462266">
        <w:t>,</w:t>
      </w:r>
      <w:r w:rsidRPr="004B7295">
        <w:t xml:space="preserve"> </w:t>
      </w:r>
      <w:r w:rsidR="0077066B">
        <w:t xml:space="preserve">se pak účastnil každý druhý pracující z oblasti </w:t>
      </w:r>
      <w:r w:rsidRPr="004B7295">
        <w:t>obsluhy strojů a zařízení a</w:t>
      </w:r>
      <w:r w:rsidR="00462266">
        <w:t> </w:t>
      </w:r>
      <w:r w:rsidRPr="004B7295">
        <w:t>montéři.</w:t>
      </w:r>
      <w:r w:rsidR="0077066B">
        <w:t xml:space="preserve"> </w:t>
      </w:r>
    </w:p>
    <w:p w:rsidR="0077066B" w:rsidRPr="0077066B" w:rsidRDefault="0077066B" w:rsidP="0077066B">
      <w:pPr>
        <w:jc w:val="both"/>
        <w:rPr>
          <w:rFonts w:cs="Arial"/>
          <w:szCs w:val="20"/>
        </w:rPr>
      </w:pPr>
      <w:r>
        <w:t xml:space="preserve">Výrazné rozdíly nalézáme v časovém zapojení, tj. průměrném počtu hodin ročně, který pracující tráví svými pracovně orientovanými neformálního vzdělávacími aktivitami. Hranice v míře investovaného času je patrná zejména mezi manuálními a nemanuálními profesemi. </w:t>
      </w:r>
      <w:r w:rsidRPr="0077066B">
        <w:rPr>
          <w:rFonts w:cs="Arial"/>
          <w:szCs w:val="20"/>
        </w:rPr>
        <w:t>Odborné nemanuální profese častěji vybízí k pravidelné aktualizaci znalostí a dalšímu investování času, energie a financí za účelem zvyšování šancí na</w:t>
      </w:r>
      <w:r w:rsidR="0006282F">
        <w:rPr>
          <w:rFonts w:cs="Arial"/>
          <w:szCs w:val="20"/>
        </w:rPr>
        <w:t> </w:t>
      </w:r>
      <w:r w:rsidRPr="0077066B">
        <w:rPr>
          <w:rFonts w:cs="Arial"/>
          <w:szCs w:val="20"/>
        </w:rPr>
        <w:t>profesní a osobní růst, spojený s dosažením vyšších příjmů či platového ohodnocení. Zároveň často platí, že lidé, kteří již v počátečním vzděláván</w:t>
      </w:r>
      <w:r>
        <w:rPr>
          <w:rFonts w:cs="Arial"/>
          <w:szCs w:val="20"/>
        </w:rPr>
        <w:t>í dosáhli vyšší úrovně vzdělání a v pracovním uplatnění častěji zastávají odborné nemanuální pozice,</w:t>
      </w:r>
      <w:r w:rsidRPr="0077066B">
        <w:rPr>
          <w:rFonts w:cs="Arial"/>
          <w:szCs w:val="20"/>
        </w:rPr>
        <w:t> mají ke vzdělávání obecněji pozitivnější vztah. Tyto dva faktory jsou pak reflektovány též v</w:t>
      </w:r>
      <w:r>
        <w:rPr>
          <w:rFonts w:cs="Arial"/>
          <w:szCs w:val="20"/>
        </w:rPr>
        <w:t> motivaci k</w:t>
      </w:r>
      <w:r w:rsidRPr="0077066B">
        <w:rPr>
          <w:rFonts w:cs="Arial"/>
          <w:szCs w:val="20"/>
        </w:rPr>
        <w:t xml:space="preserve"> účasti </w:t>
      </w:r>
      <w:r>
        <w:rPr>
          <w:rFonts w:cs="Arial"/>
          <w:szCs w:val="20"/>
        </w:rPr>
        <w:t>ve</w:t>
      </w:r>
      <w:r w:rsidRPr="0077066B">
        <w:rPr>
          <w:rFonts w:cs="Arial"/>
          <w:szCs w:val="20"/>
        </w:rPr>
        <w:t xml:space="preserve"> vzděláván</w:t>
      </w:r>
      <w:r>
        <w:rPr>
          <w:rFonts w:cs="Arial"/>
          <w:szCs w:val="20"/>
        </w:rPr>
        <w:t>í různě kvalifikovaných skupin, kdy se o</w:t>
      </w:r>
      <w:r w:rsidRPr="0077066B">
        <w:rPr>
          <w:rFonts w:cs="Arial"/>
          <w:szCs w:val="20"/>
        </w:rPr>
        <w:t xml:space="preserve">soby s vyšším dosaženým vzděláním zastávající kvalifikované pozice častěji účastní vzdělávání z důvodů zlepšení kariérních vyhlídek či prohloubení znalostí a dovedností v oblasti odborných zájmů. Oproti tomu lidé s nižší kvalifikací se výrazně častěji účastní </w:t>
      </w:r>
      <w:r>
        <w:rPr>
          <w:rFonts w:cs="Arial"/>
          <w:szCs w:val="20"/>
        </w:rPr>
        <w:t>pracovních školení, která mají obvykle kratší dobu trvání a účast na</w:t>
      </w:r>
      <w:r w:rsidR="0006282F">
        <w:rPr>
          <w:rFonts w:cs="Arial"/>
          <w:szCs w:val="20"/>
        </w:rPr>
        <w:t> </w:t>
      </w:r>
      <w:r>
        <w:rPr>
          <w:rFonts w:cs="Arial"/>
          <w:szCs w:val="20"/>
        </w:rPr>
        <w:t xml:space="preserve">nich je vymiňována </w:t>
      </w:r>
      <w:r w:rsidRPr="0077066B">
        <w:rPr>
          <w:rFonts w:cs="Arial"/>
          <w:szCs w:val="20"/>
        </w:rPr>
        <w:t>zaměstnavatele</w:t>
      </w:r>
      <w:r>
        <w:rPr>
          <w:rFonts w:cs="Arial"/>
          <w:szCs w:val="20"/>
        </w:rPr>
        <w:t>m</w:t>
      </w:r>
      <w:r w:rsidRPr="0077066B">
        <w:rPr>
          <w:rFonts w:cs="Arial"/>
          <w:szCs w:val="20"/>
        </w:rPr>
        <w:t xml:space="preserve"> </w:t>
      </w:r>
      <w:r>
        <w:rPr>
          <w:rFonts w:cs="Arial"/>
          <w:szCs w:val="20"/>
        </w:rPr>
        <w:t>(v případě nepracujících jiným vnějším tlakem, např. úřadem</w:t>
      </w:r>
      <w:r w:rsidRPr="0077066B">
        <w:rPr>
          <w:rFonts w:cs="Arial"/>
          <w:szCs w:val="20"/>
        </w:rPr>
        <w:t xml:space="preserve"> práce</w:t>
      </w:r>
      <w:r>
        <w:rPr>
          <w:rFonts w:cs="Arial"/>
          <w:szCs w:val="20"/>
        </w:rPr>
        <w:t>)</w:t>
      </w:r>
      <w:r w:rsidRPr="0077066B">
        <w:rPr>
          <w:rFonts w:cs="Arial"/>
          <w:szCs w:val="20"/>
        </w:rPr>
        <w:t xml:space="preserve">. </w:t>
      </w:r>
    </w:p>
    <w:p w:rsidR="00575CAF" w:rsidRPr="004B7295" w:rsidRDefault="00575CAF" w:rsidP="00575CAF">
      <w:pPr>
        <w:jc w:val="both"/>
      </w:pPr>
      <w:r w:rsidRPr="004B7295">
        <w:t>Účast pracujících a průměrný počet hodin strávený pracovně</w:t>
      </w:r>
      <w:r w:rsidR="00006B90">
        <w:t xml:space="preserve"> </w:t>
      </w:r>
      <w:r w:rsidRPr="004B7295">
        <w:t>orientovaným neformálním vzděláváním dle</w:t>
      </w:r>
      <w:r w:rsidR="00FF1D87">
        <w:t> </w:t>
      </w:r>
      <w:r w:rsidRPr="004B7295">
        <w:t xml:space="preserve">ekonomické činnosti hlavních sekcí klasifikace CZ-NACE zobrazuje </w:t>
      </w:r>
      <w:hyperlink w:anchor="_Graf_č._23:" w:history="1">
        <w:r w:rsidRPr="0077612E">
          <w:rPr>
            <w:rStyle w:val="Hypertextovodkaz"/>
          </w:rPr>
          <w:t>graf č. 23</w:t>
        </w:r>
      </w:hyperlink>
      <w:r w:rsidRPr="004B7295">
        <w:t>. Z něj je patrné, že nejvíce se pro pracovní účely vzdělávají pracující z oblasti Peněžnictví a pojišťovnictví, kde je takovéto vzdělávání běžné téměř pro dvě třetiny z nich (65 %), následované pracujícími v oblasti Veřejné správy, obrany a</w:t>
      </w:r>
      <w:r w:rsidR="00BD08CF">
        <w:t> </w:t>
      </w:r>
      <w:r w:rsidRPr="004B7295">
        <w:t>sociálního zabezpečení, ale také Výroby elektřiny, plynu</w:t>
      </w:r>
      <w:r w:rsidR="00E55E47">
        <w:t>,</w:t>
      </w:r>
      <w:r w:rsidRPr="004B7295">
        <w:t xml:space="preserve"> tepla a klimatizovaného vzduchu (shodně 64 %). Časté další vzdělávání podstupují také zaměstnaní v oblasti Zdravotní a sociální péče (63 %) či Dopravě a</w:t>
      </w:r>
      <w:r w:rsidR="00BD08CF">
        <w:t> </w:t>
      </w:r>
      <w:r w:rsidRPr="004B7295">
        <w:t>s</w:t>
      </w:r>
      <w:r w:rsidR="002B132D">
        <w:t>klad</w:t>
      </w:r>
      <w:r w:rsidRPr="004B7295">
        <w:t>ování (61 %). Nejméně častou součástí pracovního života je neformální vzdělávání me</w:t>
      </w:r>
      <w:r w:rsidR="0064701B">
        <w:t>zi lidmi pracujícími v oblasti U</w:t>
      </w:r>
      <w:r w:rsidRPr="004B7295">
        <w:t>bytování, stravování a pohostinství, kde se ho v posledním roce předcházejícím datu dotazování účastnil méně než každý pátý (19 %).</w:t>
      </w:r>
    </w:p>
    <w:p w:rsidR="0077066B" w:rsidRPr="004B7295" w:rsidRDefault="0077066B" w:rsidP="001913B8">
      <w:pPr>
        <w:jc w:val="both"/>
      </w:pPr>
    </w:p>
    <w:p w:rsidR="000B3EB4" w:rsidRPr="004B7295" w:rsidRDefault="000B3EB4" w:rsidP="008C5DD0">
      <w:pPr>
        <w:pStyle w:val="Nadpis4"/>
      </w:pPr>
      <w:bookmarkStart w:id="90" w:name="_Graf_č._23:"/>
      <w:bookmarkStart w:id="91" w:name="_Toc505872835"/>
      <w:bookmarkStart w:id="92" w:name="_Toc506308543"/>
      <w:bookmarkEnd w:id="90"/>
      <w:r w:rsidRPr="004B7295">
        <w:lastRenderedPageBreak/>
        <w:t xml:space="preserve">Graf č. </w:t>
      </w:r>
      <w:r w:rsidR="008C5DD0">
        <w:t>23</w:t>
      </w:r>
      <w:r w:rsidRPr="004B7295">
        <w:t>: Účast pracujících a průměrný počet hodin strávený pracovně</w:t>
      </w:r>
      <w:r w:rsidR="00006B90">
        <w:t xml:space="preserve"> </w:t>
      </w:r>
      <w:r w:rsidRPr="004B7295">
        <w:t>orientovaným neformálním vzděláváním dle ekonomické činnosti CZ-NACE (18–69 let)</w:t>
      </w:r>
      <w:bookmarkEnd w:id="91"/>
      <w:bookmarkEnd w:id="92"/>
    </w:p>
    <w:p w:rsidR="001913B8" w:rsidRDefault="002D7715" w:rsidP="00E462B7">
      <w:pPr>
        <w:spacing w:after="120"/>
        <w:jc w:val="both"/>
      </w:pPr>
      <w:r w:rsidRPr="002D7715">
        <w:rPr>
          <w:noProof/>
        </w:rPr>
        <w:drawing>
          <wp:inline distT="0" distB="0" distL="0" distR="0" wp14:anchorId="28FAB410" wp14:editId="34DA97E4">
            <wp:extent cx="6181725" cy="7239000"/>
            <wp:effectExtent l="0" t="0" r="0" b="0"/>
            <wp:docPr id="67"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44416B" w:rsidRPr="004B7295" w:rsidRDefault="0044416B" w:rsidP="008E4D08">
      <w:pPr>
        <w:jc w:val="both"/>
      </w:pPr>
      <w:r>
        <w:t>Zdroj: AES 2016, ČSÚ</w:t>
      </w:r>
      <w:r w:rsidR="006650D4">
        <w:t xml:space="preserve"> </w:t>
      </w:r>
    </w:p>
    <w:p w:rsidR="00AC0E34" w:rsidRPr="004B7295" w:rsidRDefault="003B5D01" w:rsidP="008E4D08">
      <w:pPr>
        <w:jc w:val="both"/>
      </w:pPr>
      <w:r w:rsidRPr="004B7295">
        <w:t>Dalším významný</w:t>
      </w:r>
      <w:r w:rsidR="00006B90">
        <w:t xml:space="preserve">m faktorem zapojení do pracovně </w:t>
      </w:r>
      <w:r w:rsidRPr="004B7295">
        <w:t>orientovaného neformálního vzdělávání je velikost firmy, ve které jedinec pracuje. Zde je možné konstatovat, že nejen samotná účast ve vzdělávání, ale tak</w:t>
      </w:r>
      <w:r w:rsidR="00006B90">
        <w:t xml:space="preserve">é počet hodin strávený pracovně </w:t>
      </w:r>
      <w:r w:rsidRPr="004B7295">
        <w:t>orientovaným neformálním vzděláváním progresivně roste společně s velikostí firmy,</w:t>
      </w:r>
      <w:r w:rsidR="00CD2B68">
        <w:t xml:space="preserve"> resp. počtem zaměstnanců, kteří</w:t>
      </w:r>
      <w:r w:rsidRPr="004B7295">
        <w:t xml:space="preserve"> v dané firmě pracují</w:t>
      </w:r>
      <w:r w:rsidR="0029684A" w:rsidRPr="004B7295">
        <w:t>. Zatímco v nejmenších firmách o velikosti do</w:t>
      </w:r>
      <w:r w:rsidR="0006282F">
        <w:t> </w:t>
      </w:r>
      <w:r w:rsidR="0029684A" w:rsidRPr="004B7295">
        <w:t>10</w:t>
      </w:r>
      <w:r w:rsidR="00BD08CF">
        <w:t> </w:t>
      </w:r>
      <w:r w:rsidR="0029684A" w:rsidRPr="004B7295">
        <w:t>zaměstnanců se nějakého prac</w:t>
      </w:r>
      <w:r w:rsidR="00006B90">
        <w:t xml:space="preserve">ovně </w:t>
      </w:r>
      <w:r w:rsidR="0029684A" w:rsidRPr="004B7295">
        <w:t xml:space="preserve">orientovaného vzdělávání účastnilo 39 % osob, ve firmách </w:t>
      </w:r>
      <w:r w:rsidR="0029684A" w:rsidRPr="004B7295">
        <w:lastRenderedPageBreak/>
        <w:t>z kategorie 20–49 zaměstnanců a vyšších to byla více než polovina pracujících. Na zaměstnance větších a</w:t>
      </w:r>
      <w:r w:rsidR="00BD08CF">
        <w:t> </w:t>
      </w:r>
      <w:r w:rsidR="0029684A" w:rsidRPr="004B7295">
        <w:t>velkých firem připadá také průměrně vyšší počet absolvovaných vzdělávacích aktivit, což se odráží také v celkovém počtu hodin absolvovaného vzdělávání, ve kterém je mezi účastníky vzdělávání z nejmenších a</w:t>
      </w:r>
      <w:r w:rsidR="00BD08CF">
        <w:t> </w:t>
      </w:r>
      <w:r w:rsidR="0029684A" w:rsidRPr="004B7295">
        <w:t>největších firem rozdíl více než 13 hodin ročně. Vztah velikosti firmy i ekonomického odvětví, ve kterém daný ekonomický subjekt působí, je</w:t>
      </w:r>
      <w:r w:rsidR="0077066B">
        <w:t>,</w:t>
      </w:r>
      <w:r w:rsidR="0029684A" w:rsidRPr="004B7295">
        <w:t xml:space="preserve"> společně s kontextem vzdělávacích politik firem</w:t>
      </w:r>
      <w:r w:rsidR="0077066B">
        <w:t>,</w:t>
      </w:r>
      <w:r w:rsidR="0029684A" w:rsidRPr="004B7295">
        <w:t xml:space="preserve"> podrobně rozebrán v publikaci ČSÚ </w:t>
      </w:r>
      <w:hyperlink r:id="rId67" w:history="1">
        <w:r w:rsidR="0029684A" w:rsidRPr="004B7295">
          <w:rPr>
            <w:rStyle w:val="Hypertextovodkaz"/>
          </w:rPr>
          <w:t>Vzdělávání zaměstnaných osob 2015</w:t>
        </w:r>
      </w:hyperlink>
      <w:r w:rsidR="0077066B">
        <w:t xml:space="preserve">, která vychází z výstupů </w:t>
      </w:r>
      <w:r w:rsidR="0077066B" w:rsidRPr="004B7295">
        <w:t xml:space="preserve">šetření </w:t>
      </w:r>
      <w:r w:rsidR="0077066B" w:rsidRPr="00241789">
        <w:t>CVTS</w:t>
      </w:r>
      <w:r w:rsidR="0029684A" w:rsidRPr="004B7295">
        <w:t>.</w:t>
      </w:r>
      <w:r w:rsidR="00AC0E34" w:rsidRPr="004B7295">
        <w:t xml:space="preserve"> V této publikaci jsou též zevrubně rozebrány náklady firem na vzdělávání, které svým zaměstnancům poskytují. Šetření AES, které se věnuje stejné oblasti, ovšem nikoli optikou ekonomických subjektů, ale přímo vzdělávajících se osob, umožňuje zachytit také ostatní formy neformálního vzdělávání, než jen ty poskytované zaměstnavatelem. Je však nutné říci, že v oblasti pracovně</w:t>
      </w:r>
      <w:r w:rsidR="00006B90">
        <w:t xml:space="preserve"> </w:t>
      </w:r>
      <w:r w:rsidR="00AC0E34" w:rsidRPr="004B7295">
        <w:t xml:space="preserve">orientovaného neformálního vzdělávání není podíl takovýchto vzdělávacích aktivit nikterak vysoký, naopak téměř veškeré vzdělávání, které pracující realizují z pracovních důvodů, je do značné míry podporováno (obvykle také přímo </w:t>
      </w:r>
      <w:r w:rsidR="005252C7" w:rsidRPr="004B7295">
        <w:t>iniciováno</w:t>
      </w:r>
      <w:r w:rsidR="00AC0E34" w:rsidRPr="004B7295">
        <w:t xml:space="preserve">) zaměstnavatelem. </w:t>
      </w:r>
      <w:r w:rsidR="00AC0CBE" w:rsidRPr="004B7295">
        <w:t>Pouze 2 % zaměstnanců v šetření uvedla, že se účastnila nějakého pracovně</w:t>
      </w:r>
      <w:r w:rsidR="00006B90">
        <w:t xml:space="preserve"> </w:t>
      </w:r>
      <w:r w:rsidR="00AC0CBE" w:rsidRPr="004B7295">
        <w:t xml:space="preserve">orientovaného neformálního vzdělávání mimo placenou pracovní dobu a pouze 1 % se takového vzdělávání účastnilo bez finanční podpory zaměstnavatele, přičemž nelze říci, že by se pro jednotlivé zaměstnance situace významně lišila v závislosti na ekonomickém odvětví, postavení v zaměstnání či velikosti ekonomického subjektu, ve kterém působí. Podíváme-li se na stejnou situaci optikou </w:t>
      </w:r>
      <w:r w:rsidR="00462266">
        <w:t xml:space="preserve">všech pracovně </w:t>
      </w:r>
      <w:r w:rsidR="00AC0CBE" w:rsidRPr="004B7295">
        <w:t>orientovaných aktivit neformálního vzdělávání</w:t>
      </w:r>
      <w:r w:rsidR="00462266">
        <w:t xml:space="preserve"> pracujících</w:t>
      </w:r>
      <w:r w:rsidR="00E27C4A" w:rsidRPr="004B7295">
        <w:t>,</w:t>
      </w:r>
      <w:r w:rsidR="00AC0CBE" w:rsidRPr="004B7295">
        <w:t xml:space="preserve"> lze konstatovat, že pouze 10 % z</w:t>
      </w:r>
      <w:r w:rsidR="00BD08CF">
        <w:t> </w:t>
      </w:r>
      <w:r w:rsidR="00AC0CBE" w:rsidRPr="004B7295">
        <w:t xml:space="preserve">nich bylo realizováno mimo placenou pracovní dobu a 9 % nebylo hrazeno zaměstnavatelem. </w:t>
      </w:r>
      <w:r w:rsidR="00E27C4A" w:rsidRPr="004B7295">
        <w:t>Tyto</w:t>
      </w:r>
      <w:r w:rsidR="00BD08CF">
        <w:t> </w:t>
      </w:r>
      <w:r w:rsidR="00E27C4A" w:rsidRPr="004B7295">
        <w:t xml:space="preserve">vzdělávací aktivity, realizované především na vlastní časové a finanční náklady vzdělávaného představují pestrou </w:t>
      </w:r>
      <w:r w:rsidR="00462266">
        <w:t>paletu</w:t>
      </w:r>
      <w:r w:rsidR="00E27C4A" w:rsidRPr="004B7295">
        <w:t xml:space="preserve"> (zejména) kurzů, mezi kterými převažují (z 28 %) jazykové kurzy, následované vzděláváním v oblasti zdravotnictví (17 </w:t>
      </w:r>
      <w:r w:rsidR="00B77EA5" w:rsidRPr="004B7295">
        <w:t>%)</w:t>
      </w:r>
      <w:r w:rsidR="00E27C4A" w:rsidRPr="004B7295">
        <w:t xml:space="preserve">, služeb (14 %) či ICT (7 %). Obecně však lze říci, že hovoříme-li v kontextu dat šetření AES o vzdělávání pracujících, realizovaném z pracovních důvodů, odehrává se toto vzdělávání v pracovní době účastníků a je plně či z velké části hrazeno zaměstnavatelem. </w:t>
      </w:r>
    </w:p>
    <w:p w:rsidR="00B77EA5" w:rsidRDefault="00B77EA5" w:rsidP="008E4D08">
      <w:pPr>
        <w:jc w:val="both"/>
      </w:pPr>
      <w:r w:rsidRPr="004B7295">
        <w:t>Od výše uvedeného se poté odvíjí také nejčastější důvody, které účastníci vzdělávání uvádí jako zdůvodnění svého zapojení do konkrétních pracovně</w:t>
      </w:r>
      <w:r w:rsidR="00006B90">
        <w:t xml:space="preserve"> </w:t>
      </w:r>
      <w:r w:rsidRPr="004B7295">
        <w:t>orientovaných vzdělávacích aktivit. Mezi zaměstnanci, kteří tvoří většinu ekonomicky aktivní pracovní síly, jako hlavní důvod účasti převažuje to, že absolvování vzdělávání bylo vyžadováno zaměstnavatelem. V takových případech se z naprosté</w:t>
      </w:r>
      <w:r w:rsidR="000211A4">
        <w:t xml:space="preserve"> většiny (82 %) jedná o pracovní školení</w:t>
      </w:r>
      <w:r w:rsidRPr="004B7295">
        <w:t>, méně často (v 10 %, resp. 7 %) pak o kurzy či workshopy a semináře. Ze třetiny tvoří tyto “zaměstnavatelem vymíněné” aktivity školení v oblasti služeb, ve kterém jednoznačně převažují školení o</w:t>
      </w:r>
      <w:r w:rsidR="00BD08CF">
        <w:t> </w:t>
      </w:r>
      <w:r w:rsidRPr="004B7295">
        <w:t>bezpečnosti a ochraně zdraví</w:t>
      </w:r>
      <w:r w:rsidR="0064701B">
        <w:t xml:space="preserve"> při práci a školení z oblasti P</w:t>
      </w:r>
      <w:r w:rsidRPr="004B7295">
        <w:t>řepravních služeb a spojů. Významně, téměř jednou pět</w:t>
      </w:r>
      <w:r w:rsidR="00CD2B68">
        <w:t>inou (19 %) jsou zastoupena také školení z oblasti O</w:t>
      </w:r>
      <w:r w:rsidRPr="004B7295">
        <w:t xml:space="preserve">bchodu, administrativy a práva, následované (17 %) školeními v oblasti </w:t>
      </w:r>
      <w:r w:rsidR="00CD2B68">
        <w:t>T</w:t>
      </w:r>
      <w:r w:rsidRPr="004B7295">
        <w:t>echniky, výroby a stavebnictví, kde jsou nejčastěji „z povinnosti“</w:t>
      </w:r>
      <w:r w:rsidR="00CD2B68">
        <w:t xml:space="preserve"> absolvována školení v oblasti I</w:t>
      </w:r>
      <w:r w:rsidRPr="004B7295">
        <w:t xml:space="preserve">nženýrství a strojírenství. </w:t>
      </w:r>
      <w:r w:rsidR="005F103E" w:rsidRPr="004B7295">
        <w:t xml:space="preserve">Menší část mezi aktivitami, u nichž byl důvodem k zapojení požadavek zaměstnavatele, poté tvoří vzdělávání v oblasti </w:t>
      </w:r>
      <w:r w:rsidR="00CD2B68">
        <w:t>I</w:t>
      </w:r>
      <w:r w:rsidR="005F103E" w:rsidRPr="004B7295">
        <w:t xml:space="preserve">nformačních a komunikačních technologií (10 %) a </w:t>
      </w:r>
      <w:r w:rsidR="00CD2B68">
        <w:t>Z</w:t>
      </w:r>
      <w:r w:rsidR="005F103E" w:rsidRPr="004B7295">
        <w:t xml:space="preserve">dravotnictví (8 %). Tato nařízená povinnost k účasti ve vzdělávání se týká zaměstnanců většiny kategorií, nicméně je mírně nižší mezi vysokoškolsky vzdělanými osobami a těmi, </w:t>
      </w:r>
      <w:r w:rsidR="00462266">
        <w:t>působícími</w:t>
      </w:r>
      <w:r w:rsidR="005F103E" w:rsidRPr="004B7295">
        <w:t xml:space="preserve"> spíše v nemanuálních, nerutinních pracovních pozicích. </w:t>
      </w:r>
    </w:p>
    <w:p w:rsidR="00575CAF" w:rsidRPr="004B7295" w:rsidRDefault="00575CAF" w:rsidP="00575CAF">
      <w:pPr>
        <w:jc w:val="both"/>
      </w:pPr>
      <w:r w:rsidRPr="004B7295">
        <w:t xml:space="preserve">Pozitivním jevem však jistě </w:t>
      </w:r>
      <w:r w:rsidR="00006B90">
        <w:t xml:space="preserve">je, že u většiny svých pracovně </w:t>
      </w:r>
      <w:r w:rsidRPr="004B7295">
        <w:t>orientovaných vzdělávacích aktivit účastníci jako velmi častý důvod uvádějí také motivaci k lepšímu výkonu svého zaměstnání, zlepšení kariérních vyhlídek či snížení pravděpodobnosti ztráty zaměstnání. Tedy důvody spojené se snahou o získání výhodnějšího postavení v současném zaměstnání či obecněji na trhu práce. S tím souvisí také snaha o získání oficiální certifikace potvrzující vzděláváním (nově) nabyté schopnosti. Kromě těchto důvodů pak roli hraje také obecný zájem o probírané téma, reprezentovaný především důvody, jako jsou prohloubení znalostí a dovedností v oblasti zájmu či získání znalostí a dovedností užitečných v každodenním životě, které (spolu)motivují k účasti v pětině až čtvrtině vzdělávacích aktivit. Tyto faktory hrají přitom významnější roli v</w:t>
      </w:r>
      <w:r w:rsidR="00006B90">
        <w:t> </w:t>
      </w:r>
      <w:r w:rsidRPr="004B7295">
        <w:t>pracovně</w:t>
      </w:r>
      <w:r w:rsidR="00006B90">
        <w:t xml:space="preserve"> </w:t>
      </w:r>
      <w:r w:rsidRPr="004B7295">
        <w:t>orientovaném vzdělávání podnikatelů, u kterých lze předpokládat častější průnik pracovního a mimopracovního života. Celkový přehled důvodů však do značné míry naplňuje předpoklad účasti v pracovním vzdělávání především v takovém případě, je-li iniciováno (či přímo vyžadováno) zaměstnavatelem či obecněji vnějšími okolnostmi.</w:t>
      </w:r>
    </w:p>
    <w:p w:rsidR="00917D79" w:rsidRPr="00CD2B68" w:rsidRDefault="00F55B0B" w:rsidP="003B3766">
      <w:pPr>
        <w:pStyle w:val="Nadpis5"/>
        <w:rPr>
          <w:spacing w:val="-2"/>
        </w:rPr>
      </w:pPr>
      <w:bookmarkStart w:id="93" w:name="_Tabulka_č._2:"/>
      <w:bookmarkStart w:id="94" w:name="_Toc505957354"/>
      <w:bookmarkStart w:id="95" w:name="_Toc505958380"/>
      <w:bookmarkEnd w:id="93"/>
      <w:r w:rsidRPr="00CD2B68">
        <w:rPr>
          <w:spacing w:val="-2"/>
        </w:rPr>
        <w:lastRenderedPageBreak/>
        <w:t xml:space="preserve">Tabulka č. </w:t>
      </w:r>
      <w:r w:rsidR="00A536A6" w:rsidRPr="00CD2B68">
        <w:rPr>
          <w:spacing w:val="-2"/>
        </w:rPr>
        <w:t>2</w:t>
      </w:r>
      <w:r w:rsidRPr="00CD2B68">
        <w:rPr>
          <w:spacing w:val="-2"/>
        </w:rPr>
        <w:t>: Důvody účasti v</w:t>
      </w:r>
      <w:r w:rsidR="00006B90" w:rsidRPr="00CD2B68">
        <w:rPr>
          <w:spacing w:val="-2"/>
        </w:rPr>
        <w:t> </w:t>
      </w:r>
      <w:r w:rsidRPr="00CD2B68">
        <w:rPr>
          <w:spacing w:val="-2"/>
        </w:rPr>
        <w:t>pracovně</w:t>
      </w:r>
      <w:r w:rsidR="00006B90" w:rsidRPr="00CD2B68">
        <w:rPr>
          <w:spacing w:val="-2"/>
        </w:rPr>
        <w:t xml:space="preserve"> </w:t>
      </w:r>
      <w:r w:rsidRPr="00CD2B68">
        <w:rPr>
          <w:spacing w:val="-2"/>
        </w:rPr>
        <w:t>orientovaných aktivitách neformálního vzdělávání (18–69 let)</w:t>
      </w:r>
      <w:bookmarkEnd w:id="94"/>
      <w:bookmarkEnd w:id="95"/>
    </w:p>
    <w:tbl>
      <w:tblPr>
        <w:tblW w:w="10221" w:type="dxa"/>
        <w:tblInd w:w="55" w:type="dxa"/>
        <w:tblCellMar>
          <w:left w:w="70" w:type="dxa"/>
          <w:right w:w="70" w:type="dxa"/>
        </w:tblCellMar>
        <w:tblLook w:val="04A0" w:firstRow="1" w:lastRow="0" w:firstColumn="1" w:lastColumn="0" w:noHBand="0" w:noVBand="1"/>
      </w:tblPr>
      <w:tblGrid>
        <w:gridCol w:w="4126"/>
        <w:gridCol w:w="992"/>
        <w:gridCol w:w="993"/>
        <w:gridCol w:w="1134"/>
        <w:gridCol w:w="1030"/>
        <w:gridCol w:w="1238"/>
        <w:gridCol w:w="708"/>
      </w:tblGrid>
      <w:tr w:rsidR="0089396E" w:rsidRPr="0089396E" w:rsidTr="0089396E">
        <w:trPr>
          <w:trHeight w:val="300"/>
        </w:trPr>
        <w:tc>
          <w:tcPr>
            <w:tcW w:w="10221" w:type="dxa"/>
            <w:gridSpan w:val="7"/>
            <w:tcBorders>
              <w:top w:val="nil"/>
              <w:left w:val="nil"/>
              <w:bottom w:val="nil"/>
              <w:right w:val="nil"/>
            </w:tcBorders>
            <w:shd w:val="clear" w:color="auto" w:fill="auto"/>
            <w:noWrap/>
            <w:vAlign w:val="bottom"/>
            <w:hideMark/>
          </w:tcPr>
          <w:p w:rsidR="0089396E" w:rsidRPr="0089396E" w:rsidRDefault="0089396E" w:rsidP="00A344BE">
            <w:pPr>
              <w:spacing w:after="0" w:line="240" w:lineRule="auto"/>
              <w:ind w:left="-844" w:right="638"/>
              <w:jc w:val="right"/>
              <w:rPr>
                <w:rFonts w:cs="Arial"/>
                <w:color w:val="000000"/>
                <w:sz w:val="16"/>
                <w:szCs w:val="16"/>
              </w:rPr>
            </w:pPr>
            <w:r w:rsidRPr="0089396E">
              <w:rPr>
                <w:rFonts w:cs="Arial"/>
                <w:color w:val="000000"/>
                <w:sz w:val="16"/>
                <w:szCs w:val="16"/>
              </w:rPr>
              <w:t>%</w:t>
            </w:r>
          </w:p>
        </w:tc>
      </w:tr>
      <w:tr w:rsidR="0089396E" w:rsidRPr="0089396E" w:rsidTr="00A344BE">
        <w:trPr>
          <w:gridAfter w:val="1"/>
          <w:wAfter w:w="708" w:type="dxa"/>
          <w:trHeight w:val="300"/>
        </w:trPr>
        <w:tc>
          <w:tcPr>
            <w:tcW w:w="4126" w:type="dxa"/>
            <w:vMerge w:val="restart"/>
            <w:tcBorders>
              <w:top w:val="single" w:sz="4" w:space="0" w:color="auto"/>
              <w:left w:val="nil"/>
              <w:bottom w:val="single" w:sz="4" w:space="0" w:color="auto"/>
              <w:right w:val="single" w:sz="4" w:space="0" w:color="auto"/>
            </w:tcBorders>
            <w:shd w:val="clear" w:color="000000" w:fill="F2DDDC"/>
            <w:noWrap/>
            <w:vAlign w:val="center"/>
            <w:hideMark/>
          </w:tcPr>
          <w:p w:rsidR="0089396E" w:rsidRPr="0089396E" w:rsidRDefault="00006B90" w:rsidP="0089396E">
            <w:pPr>
              <w:spacing w:after="0" w:line="240" w:lineRule="auto"/>
              <w:jc w:val="center"/>
              <w:rPr>
                <w:rFonts w:cs="Arial"/>
                <w:b/>
                <w:bCs/>
                <w:color w:val="000000"/>
                <w:sz w:val="16"/>
                <w:szCs w:val="16"/>
              </w:rPr>
            </w:pPr>
            <w:r>
              <w:rPr>
                <w:rFonts w:cs="Arial"/>
                <w:b/>
                <w:bCs/>
                <w:color w:val="000000"/>
                <w:sz w:val="16"/>
                <w:szCs w:val="16"/>
              </w:rPr>
              <w:t xml:space="preserve">důvody účasti v pracovně </w:t>
            </w:r>
            <w:r w:rsidR="0089396E" w:rsidRPr="0089396E">
              <w:rPr>
                <w:rFonts w:cs="Arial"/>
                <w:b/>
                <w:bCs/>
                <w:color w:val="000000"/>
                <w:sz w:val="16"/>
                <w:szCs w:val="16"/>
              </w:rPr>
              <w:t>orientovaném neformálním vzdělávání</w:t>
            </w:r>
          </w:p>
        </w:tc>
        <w:tc>
          <w:tcPr>
            <w:tcW w:w="5387" w:type="dxa"/>
            <w:gridSpan w:val="5"/>
            <w:tcBorders>
              <w:top w:val="single" w:sz="4" w:space="0" w:color="auto"/>
              <w:left w:val="nil"/>
              <w:bottom w:val="single" w:sz="4" w:space="0" w:color="auto"/>
            </w:tcBorders>
            <w:shd w:val="clear" w:color="000000" w:fill="F2DDDC"/>
            <w:noWrap/>
            <w:vAlign w:val="center"/>
            <w:hideMark/>
          </w:tcPr>
          <w:p w:rsidR="0089396E" w:rsidRPr="0089396E" w:rsidRDefault="00006B90" w:rsidP="0089396E">
            <w:pPr>
              <w:spacing w:after="0" w:line="240" w:lineRule="auto"/>
              <w:jc w:val="center"/>
              <w:rPr>
                <w:rFonts w:cs="Arial"/>
                <w:b/>
                <w:bCs/>
                <w:color w:val="000000"/>
                <w:sz w:val="16"/>
                <w:szCs w:val="16"/>
              </w:rPr>
            </w:pPr>
            <w:r>
              <w:rPr>
                <w:rFonts w:cs="Arial"/>
                <w:b/>
                <w:bCs/>
                <w:color w:val="000000"/>
                <w:sz w:val="16"/>
                <w:szCs w:val="16"/>
              </w:rPr>
              <w:t xml:space="preserve">pracovně </w:t>
            </w:r>
            <w:r w:rsidR="0089396E" w:rsidRPr="0089396E">
              <w:rPr>
                <w:rFonts w:cs="Arial"/>
                <w:b/>
                <w:bCs/>
                <w:color w:val="000000"/>
                <w:sz w:val="16"/>
                <w:szCs w:val="16"/>
              </w:rPr>
              <w:t>orientované aktivity</w:t>
            </w:r>
          </w:p>
        </w:tc>
      </w:tr>
      <w:tr w:rsidR="0089396E" w:rsidRPr="0089396E" w:rsidTr="00A344BE">
        <w:trPr>
          <w:gridAfter w:val="1"/>
          <w:wAfter w:w="708" w:type="dxa"/>
          <w:trHeight w:val="300"/>
        </w:trPr>
        <w:tc>
          <w:tcPr>
            <w:tcW w:w="4126" w:type="dxa"/>
            <w:vMerge/>
            <w:tcBorders>
              <w:top w:val="single" w:sz="4" w:space="0" w:color="auto"/>
              <w:left w:val="nil"/>
              <w:bottom w:val="single" w:sz="4" w:space="0" w:color="auto"/>
              <w:right w:val="single" w:sz="4" w:space="0" w:color="auto"/>
            </w:tcBorders>
            <w:vAlign w:val="center"/>
            <w:hideMark/>
          </w:tcPr>
          <w:p w:rsidR="0089396E" w:rsidRPr="0089396E" w:rsidRDefault="0089396E" w:rsidP="0089396E">
            <w:pPr>
              <w:spacing w:after="0" w:line="240" w:lineRule="auto"/>
              <w:rPr>
                <w:rFonts w:cs="Arial"/>
                <w:b/>
                <w:bCs/>
                <w:color w:val="000000"/>
                <w:sz w:val="16"/>
                <w:szCs w:val="16"/>
              </w:rPr>
            </w:pPr>
          </w:p>
        </w:tc>
        <w:tc>
          <w:tcPr>
            <w:tcW w:w="992" w:type="dxa"/>
            <w:vMerge w:val="restart"/>
            <w:tcBorders>
              <w:top w:val="nil"/>
              <w:left w:val="single" w:sz="4" w:space="0" w:color="auto"/>
              <w:bottom w:val="single" w:sz="4" w:space="0" w:color="auto"/>
              <w:right w:val="single" w:sz="4" w:space="0" w:color="auto"/>
            </w:tcBorders>
            <w:shd w:val="clear" w:color="000000" w:fill="F2DDDC"/>
            <w:noWrap/>
            <w:vAlign w:val="center"/>
            <w:hideMark/>
          </w:tcPr>
          <w:p w:rsidR="0089396E" w:rsidRPr="0089396E" w:rsidRDefault="0089396E" w:rsidP="0089396E">
            <w:pPr>
              <w:spacing w:after="0" w:line="240" w:lineRule="auto"/>
              <w:jc w:val="center"/>
              <w:rPr>
                <w:rFonts w:cs="Arial"/>
                <w:b/>
                <w:bCs/>
                <w:color w:val="000000"/>
                <w:sz w:val="16"/>
                <w:szCs w:val="16"/>
              </w:rPr>
            </w:pPr>
            <w:r w:rsidRPr="0089396E">
              <w:rPr>
                <w:rFonts w:cs="Arial"/>
                <w:b/>
                <w:bCs/>
                <w:color w:val="000000"/>
                <w:sz w:val="16"/>
                <w:szCs w:val="16"/>
              </w:rPr>
              <w:t>celkem</w:t>
            </w:r>
          </w:p>
        </w:tc>
        <w:tc>
          <w:tcPr>
            <w:tcW w:w="4395" w:type="dxa"/>
            <w:gridSpan w:val="4"/>
            <w:tcBorders>
              <w:top w:val="single" w:sz="4" w:space="0" w:color="auto"/>
              <w:left w:val="nil"/>
              <w:bottom w:val="single" w:sz="4" w:space="0" w:color="auto"/>
            </w:tcBorders>
            <w:shd w:val="clear" w:color="000000" w:fill="F2DDDC"/>
            <w:noWrap/>
            <w:vAlign w:val="center"/>
            <w:hideMark/>
          </w:tcPr>
          <w:p w:rsidR="0089396E" w:rsidRPr="0089396E" w:rsidRDefault="0089396E" w:rsidP="0089396E">
            <w:pPr>
              <w:spacing w:after="0" w:line="240" w:lineRule="auto"/>
              <w:jc w:val="center"/>
              <w:rPr>
                <w:rFonts w:cs="Arial"/>
                <w:b/>
                <w:bCs/>
                <w:color w:val="000000"/>
                <w:sz w:val="16"/>
                <w:szCs w:val="16"/>
              </w:rPr>
            </w:pPr>
            <w:r w:rsidRPr="0089396E">
              <w:rPr>
                <w:rFonts w:cs="Arial"/>
                <w:b/>
                <w:bCs/>
                <w:color w:val="000000"/>
                <w:sz w:val="16"/>
                <w:szCs w:val="16"/>
              </w:rPr>
              <w:t>dle ekonomického postavení</w:t>
            </w:r>
          </w:p>
        </w:tc>
      </w:tr>
      <w:tr w:rsidR="0089396E" w:rsidRPr="0089396E" w:rsidTr="00A344BE">
        <w:trPr>
          <w:gridAfter w:val="1"/>
          <w:wAfter w:w="708" w:type="dxa"/>
          <w:trHeight w:val="300"/>
        </w:trPr>
        <w:tc>
          <w:tcPr>
            <w:tcW w:w="4126" w:type="dxa"/>
            <w:vMerge/>
            <w:tcBorders>
              <w:top w:val="single" w:sz="4" w:space="0" w:color="auto"/>
              <w:left w:val="nil"/>
              <w:bottom w:val="single" w:sz="4" w:space="0" w:color="auto"/>
              <w:right w:val="single" w:sz="4" w:space="0" w:color="auto"/>
            </w:tcBorders>
            <w:vAlign w:val="center"/>
            <w:hideMark/>
          </w:tcPr>
          <w:p w:rsidR="0089396E" w:rsidRPr="0089396E" w:rsidRDefault="0089396E" w:rsidP="0089396E">
            <w:pPr>
              <w:spacing w:after="0" w:line="240" w:lineRule="auto"/>
              <w:rPr>
                <w:rFonts w:cs="Arial"/>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89396E" w:rsidRPr="0089396E" w:rsidRDefault="0089396E" w:rsidP="0089396E">
            <w:pPr>
              <w:spacing w:after="0" w:line="240" w:lineRule="auto"/>
              <w:rPr>
                <w:rFonts w:cs="Arial"/>
                <w:b/>
                <w:bCs/>
                <w:color w:val="000000"/>
                <w:sz w:val="16"/>
                <w:szCs w:val="16"/>
              </w:rPr>
            </w:pPr>
          </w:p>
        </w:tc>
        <w:tc>
          <w:tcPr>
            <w:tcW w:w="993" w:type="dxa"/>
            <w:vMerge w:val="restart"/>
            <w:tcBorders>
              <w:top w:val="nil"/>
              <w:left w:val="single" w:sz="4" w:space="0" w:color="auto"/>
              <w:bottom w:val="single" w:sz="4" w:space="0" w:color="auto"/>
              <w:right w:val="single" w:sz="4" w:space="0" w:color="auto"/>
            </w:tcBorders>
            <w:shd w:val="clear" w:color="000000" w:fill="F2DDDC"/>
            <w:noWrap/>
            <w:vAlign w:val="center"/>
            <w:hideMark/>
          </w:tcPr>
          <w:p w:rsidR="0089396E" w:rsidRPr="0089396E" w:rsidRDefault="0089396E" w:rsidP="0089396E">
            <w:pPr>
              <w:spacing w:after="0" w:line="240" w:lineRule="auto"/>
              <w:jc w:val="center"/>
              <w:rPr>
                <w:rFonts w:cs="Arial"/>
                <w:b/>
                <w:bCs/>
                <w:color w:val="000000"/>
                <w:sz w:val="16"/>
                <w:szCs w:val="16"/>
              </w:rPr>
            </w:pPr>
            <w:r w:rsidRPr="0089396E">
              <w:rPr>
                <w:rFonts w:cs="Arial"/>
                <w:b/>
                <w:bCs/>
                <w:color w:val="000000"/>
                <w:sz w:val="16"/>
                <w:szCs w:val="16"/>
              </w:rPr>
              <w:t>pracující</w:t>
            </w:r>
          </w:p>
        </w:tc>
        <w:tc>
          <w:tcPr>
            <w:tcW w:w="2164" w:type="dxa"/>
            <w:gridSpan w:val="2"/>
            <w:tcBorders>
              <w:top w:val="single" w:sz="4" w:space="0" w:color="auto"/>
              <w:left w:val="nil"/>
              <w:bottom w:val="single" w:sz="4" w:space="0" w:color="auto"/>
              <w:right w:val="single" w:sz="4" w:space="0" w:color="auto"/>
            </w:tcBorders>
            <w:shd w:val="clear" w:color="000000" w:fill="F2DDDC"/>
            <w:noWrap/>
            <w:vAlign w:val="center"/>
            <w:hideMark/>
          </w:tcPr>
          <w:p w:rsidR="0089396E" w:rsidRPr="0089396E" w:rsidRDefault="0089396E" w:rsidP="0089396E">
            <w:pPr>
              <w:spacing w:after="0" w:line="240" w:lineRule="auto"/>
              <w:jc w:val="center"/>
              <w:rPr>
                <w:rFonts w:cs="Arial"/>
                <w:b/>
                <w:bCs/>
                <w:color w:val="000000"/>
                <w:sz w:val="16"/>
                <w:szCs w:val="16"/>
              </w:rPr>
            </w:pPr>
            <w:r w:rsidRPr="0089396E">
              <w:rPr>
                <w:rFonts w:cs="Arial"/>
                <w:b/>
                <w:bCs/>
                <w:color w:val="000000"/>
                <w:sz w:val="16"/>
                <w:szCs w:val="16"/>
              </w:rPr>
              <w:t>z pracujících</w:t>
            </w:r>
          </w:p>
        </w:tc>
        <w:tc>
          <w:tcPr>
            <w:tcW w:w="1238" w:type="dxa"/>
            <w:vMerge w:val="restart"/>
            <w:tcBorders>
              <w:top w:val="nil"/>
              <w:left w:val="single" w:sz="4" w:space="0" w:color="auto"/>
              <w:bottom w:val="single" w:sz="4" w:space="0" w:color="auto"/>
              <w:right w:val="nil"/>
            </w:tcBorders>
            <w:shd w:val="clear" w:color="000000" w:fill="F2DDDC"/>
            <w:noWrap/>
            <w:vAlign w:val="center"/>
            <w:hideMark/>
          </w:tcPr>
          <w:p w:rsidR="0089396E" w:rsidRPr="0089396E" w:rsidRDefault="0089396E" w:rsidP="0089396E">
            <w:pPr>
              <w:spacing w:after="0" w:line="240" w:lineRule="auto"/>
              <w:jc w:val="center"/>
              <w:rPr>
                <w:rFonts w:cs="Arial"/>
                <w:b/>
                <w:bCs/>
                <w:color w:val="000000"/>
                <w:sz w:val="16"/>
                <w:szCs w:val="16"/>
              </w:rPr>
            </w:pPr>
            <w:r w:rsidRPr="0089396E">
              <w:rPr>
                <w:rFonts w:cs="Arial"/>
                <w:b/>
                <w:bCs/>
                <w:color w:val="000000"/>
                <w:sz w:val="16"/>
                <w:szCs w:val="16"/>
              </w:rPr>
              <w:t>nezaměstnaní</w:t>
            </w:r>
          </w:p>
        </w:tc>
      </w:tr>
      <w:tr w:rsidR="0089396E" w:rsidRPr="0089396E" w:rsidTr="00A344BE">
        <w:trPr>
          <w:gridAfter w:val="1"/>
          <w:wAfter w:w="708" w:type="dxa"/>
          <w:trHeight w:val="300"/>
        </w:trPr>
        <w:tc>
          <w:tcPr>
            <w:tcW w:w="4126" w:type="dxa"/>
            <w:vMerge/>
            <w:tcBorders>
              <w:top w:val="single" w:sz="4" w:space="0" w:color="auto"/>
              <w:left w:val="nil"/>
              <w:bottom w:val="single" w:sz="4" w:space="0" w:color="auto"/>
              <w:right w:val="single" w:sz="4" w:space="0" w:color="auto"/>
            </w:tcBorders>
            <w:vAlign w:val="center"/>
            <w:hideMark/>
          </w:tcPr>
          <w:p w:rsidR="0089396E" w:rsidRPr="0089396E" w:rsidRDefault="0089396E" w:rsidP="0089396E">
            <w:pPr>
              <w:spacing w:after="0" w:line="240" w:lineRule="auto"/>
              <w:rPr>
                <w:rFonts w:cs="Arial"/>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89396E" w:rsidRPr="0089396E" w:rsidRDefault="0089396E" w:rsidP="0089396E">
            <w:pPr>
              <w:spacing w:after="0" w:line="240" w:lineRule="auto"/>
              <w:rPr>
                <w:rFonts w:cs="Arial"/>
                <w:b/>
                <w:bCs/>
                <w:color w:val="000000"/>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89396E" w:rsidRPr="0089396E" w:rsidRDefault="0089396E" w:rsidP="0089396E">
            <w:pPr>
              <w:spacing w:after="0" w:line="240" w:lineRule="auto"/>
              <w:rPr>
                <w:rFonts w:cs="Arial"/>
                <w:b/>
                <w:bCs/>
                <w:color w:val="000000"/>
                <w:sz w:val="16"/>
                <w:szCs w:val="16"/>
              </w:rPr>
            </w:pPr>
          </w:p>
        </w:tc>
        <w:tc>
          <w:tcPr>
            <w:tcW w:w="1134" w:type="dxa"/>
            <w:tcBorders>
              <w:top w:val="nil"/>
              <w:left w:val="nil"/>
              <w:bottom w:val="single" w:sz="4" w:space="0" w:color="auto"/>
              <w:right w:val="single" w:sz="4" w:space="0" w:color="auto"/>
            </w:tcBorders>
            <w:shd w:val="clear" w:color="000000" w:fill="F2DDDC"/>
            <w:noWrap/>
            <w:vAlign w:val="center"/>
            <w:hideMark/>
          </w:tcPr>
          <w:p w:rsidR="0089396E" w:rsidRPr="0089396E" w:rsidRDefault="0089396E" w:rsidP="0089396E">
            <w:pPr>
              <w:spacing w:after="0" w:line="240" w:lineRule="auto"/>
              <w:rPr>
                <w:rFonts w:cs="Arial"/>
                <w:b/>
                <w:bCs/>
                <w:color w:val="000000"/>
                <w:sz w:val="16"/>
                <w:szCs w:val="16"/>
              </w:rPr>
            </w:pPr>
            <w:r w:rsidRPr="0089396E">
              <w:rPr>
                <w:rFonts w:cs="Arial"/>
                <w:b/>
                <w:bCs/>
                <w:color w:val="000000"/>
                <w:sz w:val="16"/>
                <w:szCs w:val="16"/>
              </w:rPr>
              <w:t>zaměstnanci</w:t>
            </w:r>
          </w:p>
        </w:tc>
        <w:tc>
          <w:tcPr>
            <w:tcW w:w="1030" w:type="dxa"/>
            <w:tcBorders>
              <w:top w:val="nil"/>
              <w:left w:val="nil"/>
              <w:bottom w:val="single" w:sz="4" w:space="0" w:color="auto"/>
              <w:right w:val="single" w:sz="4" w:space="0" w:color="auto"/>
            </w:tcBorders>
            <w:shd w:val="clear" w:color="000000" w:fill="F2DDDC"/>
            <w:noWrap/>
            <w:vAlign w:val="center"/>
            <w:hideMark/>
          </w:tcPr>
          <w:p w:rsidR="0089396E" w:rsidRPr="0089396E" w:rsidRDefault="0089396E" w:rsidP="0089396E">
            <w:pPr>
              <w:spacing w:after="0" w:line="240" w:lineRule="auto"/>
              <w:rPr>
                <w:rFonts w:cs="Arial"/>
                <w:b/>
                <w:bCs/>
                <w:color w:val="000000"/>
                <w:sz w:val="16"/>
                <w:szCs w:val="16"/>
              </w:rPr>
            </w:pPr>
            <w:r w:rsidRPr="0089396E">
              <w:rPr>
                <w:rFonts w:cs="Arial"/>
                <w:b/>
                <w:bCs/>
                <w:color w:val="000000"/>
                <w:sz w:val="16"/>
                <w:szCs w:val="16"/>
              </w:rPr>
              <w:t>podnikatelé</w:t>
            </w:r>
          </w:p>
        </w:tc>
        <w:tc>
          <w:tcPr>
            <w:tcW w:w="1238" w:type="dxa"/>
            <w:vMerge/>
            <w:tcBorders>
              <w:top w:val="nil"/>
              <w:left w:val="single" w:sz="4" w:space="0" w:color="auto"/>
              <w:bottom w:val="single" w:sz="4" w:space="0" w:color="auto"/>
              <w:right w:val="nil"/>
            </w:tcBorders>
            <w:vAlign w:val="center"/>
            <w:hideMark/>
          </w:tcPr>
          <w:p w:rsidR="0089396E" w:rsidRPr="0089396E" w:rsidRDefault="0089396E" w:rsidP="0089396E">
            <w:pPr>
              <w:spacing w:after="0" w:line="240" w:lineRule="auto"/>
              <w:rPr>
                <w:rFonts w:cs="Arial"/>
                <w:b/>
                <w:bCs/>
                <w:color w:val="000000"/>
                <w:sz w:val="16"/>
                <w:szCs w:val="16"/>
              </w:rPr>
            </w:pPr>
          </w:p>
        </w:tc>
      </w:tr>
      <w:tr w:rsidR="0089396E" w:rsidRPr="0089396E" w:rsidTr="00256DD2">
        <w:trPr>
          <w:gridAfter w:val="1"/>
          <w:wAfter w:w="708" w:type="dxa"/>
          <w:trHeight w:val="300"/>
        </w:trPr>
        <w:tc>
          <w:tcPr>
            <w:tcW w:w="4126" w:type="dxa"/>
            <w:tcBorders>
              <w:top w:val="nil"/>
              <w:left w:val="nil"/>
              <w:bottom w:val="nil"/>
              <w:right w:val="nil"/>
            </w:tcBorders>
            <w:shd w:val="clear" w:color="auto" w:fill="auto"/>
            <w:noWrap/>
            <w:vAlign w:val="center"/>
            <w:hideMark/>
          </w:tcPr>
          <w:p w:rsidR="0089396E" w:rsidRPr="0089396E" w:rsidRDefault="0089396E" w:rsidP="00256DD2">
            <w:pPr>
              <w:spacing w:before="120" w:after="0" w:line="480" w:lineRule="auto"/>
              <w:rPr>
                <w:rFonts w:cs="Arial"/>
                <w:color w:val="000000"/>
                <w:sz w:val="16"/>
                <w:szCs w:val="16"/>
              </w:rPr>
            </w:pPr>
            <w:r w:rsidRPr="0089396E">
              <w:rPr>
                <w:rFonts w:cs="Arial"/>
                <w:color w:val="000000"/>
                <w:sz w:val="16"/>
                <w:szCs w:val="16"/>
              </w:rPr>
              <w:t>vykonávat lépe svou práci</w:t>
            </w:r>
          </w:p>
        </w:tc>
        <w:tc>
          <w:tcPr>
            <w:tcW w:w="992" w:type="dxa"/>
            <w:tcBorders>
              <w:top w:val="nil"/>
              <w:left w:val="single" w:sz="4" w:space="0" w:color="auto"/>
              <w:bottom w:val="nil"/>
              <w:right w:val="nil"/>
            </w:tcBorders>
            <w:shd w:val="clear" w:color="auto" w:fill="auto"/>
            <w:noWrap/>
            <w:hideMark/>
          </w:tcPr>
          <w:p w:rsidR="0089396E" w:rsidRPr="0089396E" w:rsidRDefault="0089396E" w:rsidP="00256DD2">
            <w:pPr>
              <w:spacing w:before="120" w:after="0" w:line="240" w:lineRule="auto"/>
              <w:jc w:val="right"/>
              <w:rPr>
                <w:rFonts w:cs="Arial"/>
                <w:color w:val="000000"/>
                <w:sz w:val="16"/>
                <w:szCs w:val="16"/>
              </w:rPr>
            </w:pPr>
            <w:r w:rsidRPr="0089396E">
              <w:rPr>
                <w:rFonts w:cs="Arial"/>
                <w:color w:val="000000"/>
                <w:sz w:val="16"/>
                <w:szCs w:val="16"/>
              </w:rPr>
              <w:t>62</w:t>
            </w:r>
          </w:p>
        </w:tc>
        <w:tc>
          <w:tcPr>
            <w:tcW w:w="993" w:type="dxa"/>
            <w:tcBorders>
              <w:top w:val="nil"/>
              <w:left w:val="single" w:sz="4" w:space="0" w:color="auto"/>
              <w:bottom w:val="nil"/>
              <w:right w:val="nil"/>
            </w:tcBorders>
            <w:shd w:val="clear" w:color="auto" w:fill="auto"/>
            <w:noWrap/>
            <w:hideMark/>
          </w:tcPr>
          <w:p w:rsidR="0089396E" w:rsidRPr="0089396E" w:rsidRDefault="0089396E" w:rsidP="00256DD2">
            <w:pPr>
              <w:spacing w:before="120" w:after="0" w:line="240" w:lineRule="auto"/>
              <w:jc w:val="right"/>
              <w:rPr>
                <w:rFonts w:cs="Arial"/>
                <w:color w:val="000000"/>
                <w:sz w:val="16"/>
                <w:szCs w:val="16"/>
              </w:rPr>
            </w:pPr>
            <w:r w:rsidRPr="0089396E">
              <w:rPr>
                <w:rFonts w:cs="Arial"/>
                <w:color w:val="000000"/>
                <w:sz w:val="16"/>
                <w:szCs w:val="16"/>
              </w:rPr>
              <w:t>63</w:t>
            </w:r>
          </w:p>
        </w:tc>
        <w:tc>
          <w:tcPr>
            <w:tcW w:w="1134" w:type="dxa"/>
            <w:tcBorders>
              <w:top w:val="nil"/>
              <w:left w:val="single" w:sz="4" w:space="0" w:color="auto"/>
              <w:bottom w:val="nil"/>
              <w:right w:val="single" w:sz="4" w:space="0" w:color="auto"/>
            </w:tcBorders>
            <w:shd w:val="clear" w:color="auto" w:fill="auto"/>
            <w:noWrap/>
            <w:hideMark/>
          </w:tcPr>
          <w:p w:rsidR="0089396E" w:rsidRPr="0089396E" w:rsidRDefault="0089396E" w:rsidP="00256DD2">
            <w:pPr>
              <w:spacing w:before="120" w:after="0" w:line="240" w:lineRule="auto"/>
              <w:jc w:val="right"/>
              <w:rPr>
                <w:rFonts w:cs="Arial"/>
                <w:color w:val="000000"/>
                <w:sz w:val="16"/>
                <w:szCs w:val="16"/>
              </w:rPr>
            </w:pPr>
            <w:r w:rsidRPr="0089396E">
              <w:rPr>
                <w:rFonts w:cs="Arial"/>
                <w:color w:val="000000"/>
                <w:sz w:val="16"/>
                <w:szCs w:val="16"/>
              </w:rPr>
              <w:t>61</w:t>
            </w:r>
          </w:p>
        </w:tc>
        <w:tc>
          <w:tcPr>
            <w:tcW w:w="1030" w:type="dxa"/>
            <w:tcBorders>
              <w:top w:val="nil"/>
              <w:left w:val="nil"/>
              <w:bottom w:val="nil"/>
              <w:right w:val="nil"/>
            </w:tcBorders>
            <w:shd w:val="clear" w:color="auto" w:fill="auto"/>
            <w:noWrap/>
            <w:hideMark/>
          </w:tcPr>
          <w:p w:rsidR="0089396E" w:rsidRPr="0089396E" w:rsidRDefault="0089396E" w:rsidP="00256DD2">
            <w:pPr>
              <w:spacing w:before="120" w:after="0" w:line="240" w:lineRule="auto"/>
              <w:jc w:val="right"/>
              <w:rPr>
                <w:rFonts w:cs="Arial"/>
                <w:color w:val="000000"/>
                <w:sz w:val="16"/>
                <w:szCs w:val="16"/>
              </w:rPr>
            </w:pPr>
            <w:r w:rsidRPr="0089396E">
              <w:rPr>
                <w:rFonts w:cs="Arial"/>
                <w:color w:val="000000"/>
                <w:sz w:val="16"/>
                <w:szCs w:val="16"/>
              </w:rPr>
              <w:t>79</w:t>
            </w:r>
          </w:p>
        </w:tc>
        <w:tc>
          <w:tcPr>
            <w:tcW w:w="1238" w:type="dxa"/>
            <w:tcBorders>
              <w:top w:val="nil"/>
              <w:left w:val="single" w:sz="4" w:space="0" w:color="auto"/>
              <w:bottom w:val="nil"/>
              <w:right w:val="nil"/>
            </w:tcBorders>
            <w:shd w:val="clear" w:color="auto" w:fill="auto"/>
            <w:noWrap/>
            <w:hideMark/>
          </w:tcPr>
          <w:p w:rsidR="0089396E" w:rsidRPr="0089396E" w:rsidRDefault="0089396E" w:rsidP="00256DD2">
            <w:pPr>
              <w:spacing w:before="120" w:after="0" w:line="240" w:lineRule="auto"/>
              <w:jc w:val="right"/>
              <w:rPr>
                <w:rFonts w:cs="Arial"/>
                <w:color w:val="000000"/>
                <w:sz w:val="16"/>
                <w:szCs w:val="16"/>
              </w:rPr>
            </w:pPr>
            <w:r w:rsidRPr="0089396E">
              <w:rPr>
                <w:rFonts w:cs="Arial"/>
                <w:color w:val="000000"/>
                <w:sz w:val="16"/>
                <w:szCs w:val="16"/>
              </w:rPr>
              <w:t>40</w:t>
            </w:r>
          </w:p>
        </w:tc>
      </w:tr>
      <w:tr w:rsidR="0089396E" w:rsidRPr="0089396E" w:rsidTr="00256DD2">
        <w:trPr>
          <w:gridAfter w:val="1"/>
          <w:wAfter w:w="708" w:type="dxa"/>
          <w:trHeight w:val="300"/>
        </w:trPr>
        <w:tc>
          <w:tcPr>
            <w:tcW w:w="4126" w:type="dxa"/>
            <w:tcBorders>
              <w:top w:val="nil"/>
              <w:left w:val="nil"/>
              <w:bottom w:val="nil"/>
              <w:right w:val="nil"/>
            </w:tcBorders>
            <w:shd w:val="clear" w:color="auto" w:fill="auto"/>
            <w:noWrap/>
            <w:vAlign w:val="center"/>
            <w:hideMark/>
          </w:tcPr>
          <w:p w:rsidR="0089396E" w:rsidRPr="0089396E" w:rsidRDefault="0089396E" w:rsidP="00256DD2">
            <w:pPr>
              <w:spacing w:after="0" w:line="480" w:lineRule="auto"/>
              <w:rPr>
                <w:rFonts w:cs="Arial"/>
                <w:color w:val="000000"/>
                <w:sz w:val="16"/>
                <w:szCs w:val="16"/>
              </w:rPr>
            </w:pPr>
            <w:r w:rsidRPr="0089396E">
              <w:rPr>
                <w:rFonts w:cs="Arial"/>
                <w:color w:val="000000"/>
                <w:sz w:val="16"/>
                <w:szCs w:val="16"/>
              </w:rPr>
              <w:t>účast byla vyžadována zaměstnavatelem</w:t>
            </w:r>
          </w:p>
        </w:tc>
        <w:tc>
          <w:tcPr>
            <w:tcW w:w="992"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61</w:t>
            </w:r>
          </w:p>
        </w:tc>
        <w:tc>
          <w:tcPr>
            <w:tcW w:w="993"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62</w:t>
            </w:r>
          </w:p>
        </w:tc>
        <w:tc>
          <w:tcPr>
            <w:tcW w:w="1134" w:type="dxa"/>
            <w:tcBorders>
              <w:top w:val="nil"/>
              <w:left w:val="single" w:sz="4" w:space="0" w:color="auto"/>
              <w:bottom w:val="nil"/>
              <w:right w:val="single" w:sz="4" w:space="0" w:color="auto"/>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68</w:t>
            </w:r>
          </w:p>
        </w:tc>
        <w:tc>
          <w:tcPr>
            <w:tcW w:w="1030" w:type="dxa"/>
            <w:tcBorders>
              <w:top w:val="nil"/>
              <w:left w:val="nil"/>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16</w:t>
            </w:r>
          </w:p>
        </w:tc>
        <w:tc>
          <w:tcPr>
            <w:tcW w:w="1238"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46</w:t>
            </w:r>
          </w:p>
        </w:tc>
      </w:tr>
      <w:tr w:rsidR="0089396E" w:rsidRPr="0089396E" w:rsidTr="00256DD2">
        <w:trPr>
          <w:gridAfter w:val="1"/>
          <w:wAfter w:w="708" w:type="dxa"/>
          <w:trHeight w:val="300"/>
        </w:trPr>
        <w:tc>
          <w:tcPr>
            <w:tcW w:w="4126" w:type="dxa"/>
            <w:tcBorders>
              <w:top w:val="nil"/>
              <w:left w:val="nil"/>
              <w:bottom w:val="nil"/>
              <w:right w:val="nil"/>
            </w:tcBorders>
            <w:shd w:val="clear" w:color="auto" w:fill="auto"/>
            <w:noWrap/>
            <w:vAlign w:val="center"/>
            <w:hideMark/>
          </w:tcPr>
          <w:p w:rsidR="0089396E" w:rsidRPr="0089396E" w:rsidRDefault="0089396E" w:rsidP="00256DD2">
            <w:pPr>
              <w:spacing w:after="0" w:line="480" w:lineRule="auto"/>
              <w:rPr>
                <w:rFonts w:cs="Arial"/>
                <w:color w:val="000000"/>
                <w:sz w:val="16"/>
                <w:szCs w:val="16"/>
              </w:rPr>
            </w:pPr>
            <w:r w:rsidRPr="0089396E">
              <w:rPr>
                <w:rFonts w:cs="Arial"/>
                <w:color w:val="000000"/>
                <w:sz w:val="16"/>
                <w:szCs w:val="16"/>
              </w:rPr>
              <w:t>prohloubit znalosti/dovednosti v oblasti, která mě zajímá</w:t>
            </w:r>
          </w:p>
        </w:tc>
        <w:tc>
          <w:tcPr>
            <w:tcW w:w="992"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30</w:t>
            </w:r>
          </w:p>
        </w:tc>
        <w:tc>
          <w:tcPr>
            <w:tcW w:w="993"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29</w:t>
            </w:r>
          </w:p>
        </w:tc>
        <w:tc>
          <w:tcPr>
            <w:tcW w:w="1134" w:type="dxa"/>
            <w:tcBorders>
              <w:top w:val="nil"/>
              <w:left w:val="single" w:sz="4" w:space="0" w:color="auto"/>
              <w:bottom w:val="nil"/>
              <w:right w:val="single" w:sz="4" w:space="0" w:color="auto"/>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27</w:t>
            </w:r>
          </w:p>
        </w:tc>
        <w:tc>
          <w:tcPr>
            <w:tcW w:w="1030" w:type="dxa"/>
            <w:tcBorders>
              <w:top w:val="nil"/>
              <w:left w:val="nil"/>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51</w:t>
            </w:r>
          </w:p>
        </w:tc>
        <w:tc>
          <w:tcPr>
            <w:tcW w:w="1238"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26</w:t>
            </w:r>
          </w:p>
        </w:tc>
      </w:tr>
      <w:tr w:rsidR="0089396E" w:rsidRPr="0089396E" w:rsidTr="00256DD2">
        <w:trPr>
          <w:gridAfter w:val="1"/>
          <w:wAfter w:w="708" w:type="dxa"/>
          <w:trHeight w:val="300"/>
        </w:trPr>
        <w:tc>
          <w:tcPr>
            <w:tcW w:w="4126" w:type="dxa"/>
            <w:tcBorders>
              <w:top w:val="nil"/>
              <w:left w:val="nil"/>
              <w:bottom w:val="nil"/>
              <w:right w:val="nil"/>
            </w:tcBorders>
            <w:shd w:val="clear" w:color="auto" w:fill="auto"/>
            <w:noWrap/>
            <w:vAlign w:val="center"/>
            <w:hideMark/>
          </w:tcPr>
          <w:p w:rsidR="0089396E" w:rsidRPr="0089396E" w:rsidRDefault="0089396E" w:rsidP="00256DD2">
            <w:pPr>
              <w:spacing w:after="0" w:line="480" w:lineRule="auto"/>
              <w:rPr>
                <w:rFonts w:cs="Arial"/>
                <w:color w:val="000000"/>
                <w:sz w:val="16"/>
                <w:szCs w:val="16"/>
              </w:rPr>
            </w:pPr>
            <w:r w:rsidRPr="0089396E">
              <w:rPr>
                <w:rFonts w:cs="Arial"/>
                <w:color w:val="000000"/>
                <w:sz w:val="16"/>
                <w:szCs w:val="16"/>
              </w:rPr>
              <w:t xml:space="preserve">přizpůsobit se </w:t>
            </w:r>
            <w:proofErr w:type="spellStart"/>
            <w:r w:rsidRPr="0089396E">
              <w:rPr>
                <w:rFonts w:cs="Arial"/>
                <w:color w:val="000000"/>
                <w:sz w:val="16"/>
                <w:szCs w:val="16"/>
              </w:rPr>
              <w:t>organiz</w:t>
            </w:r>
            <w:proofErr w:type="spellEnd"/>
            <w:r>
              <w:rPr>
                <w:rFonts w:cs="Arial"/>
                <w:color w:val="000000"/>
                <w:sz w:val="16"/>
                <w:szCs w:val="16"/>
              </w:rPr>
              <w:t xml:space="preserve">. a/či </w:t>
            </w:r>
            <w:r w:rsidRPr="0089396E">
              <w:rPr>
                <w:rFonts w:cs="Arial"/>
                <w:color w:val="000000"/>
                <w:sz w:val="16"/>
                <w:szCs w:val="16"/>
              </w:rPr>
              <w:t xml:space="preserve"> technolog</w:t>
            </w:r>
            <w:r>
              <w:rPr>
                <w:rFonts w:cs="Arial"/>
                <w:color w:val="000000"/>
                <w:sz w:val="16"/>
                <w:szCs w:val="16"/>
              </w:rPr>
              <w:t>.</w:t>
            </w:r>
            <w:r w:rsidRPr="0089396E">
              <w:rPr>
                <w:rFonts w:cs="Arial"/>
                <w:color w:val="000000"/>
                <w:sz w:val="16"/>
                <w:szCs w:val="16"/>
              </w:rPr>
              <w:t xml:space="preserve"> </w:t>
            </w:r>
            <w:proofErr w:type="gramStart"/>
            <w:r w:rsidRPr="0089396E">
              <w:rPr>
                <w:rFonts w:cs="Arial"/>
                <w:color w:val="000000"/>
                <w:sz w:val="16"/>
                <w:szCs w:val="16"/>
              </w:rPr>
              <w:t>změnám</w:t>
            </w:r>
            <w:proofErr w:type="gramEnd"/>
            <w:r w:rsidRPr="0089396E">
              <w:rPr>
                <w:rFonts w:cs="Arial"/>
                <w:color w:val="000000"/>
                <w:sz w:val="16"/>
                <w:szCs w:val="16"/>
              </w:rPr>
              <w:t xml:space="preserve"> v práci</w:t>
            </w:r>
          </w:p>
        </w:tc>
        <w:tc>
          <w:tcPr>
            <w:tcW w:w="992"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26</w:t>
            </w:r>
          </w:p>
        </w:tc>
        <w:tc>
          <w:tcPr>
            <w:tcW w:w="993"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27</w:t>
            </w:r>
          </w:p>
        </w:tc>
        <w:tc>
          <w:tcPr>
            <w:tcW w:w="1134" w:type="dxa"/>
            <w:tcBorders>
              <w:top w:val="nil"/>
              <w:left w:val="single" w:sz="4" w:space="0" w:color="auto"/>
              <w:bottom w:val="nil"/>
              <w:right w:val="single" w:sz="4" w:space="0" w:color="auto"/>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27</w:t>
            </w:r>
          </w:p>
        </w:tc>
        <w:tc>
          <w:tcPr>
            <w:tcW w:w="1030" w:type="dxa"/>
            <w:tcBorders>
              <w:top w:val="nil"/>
              <w:left w:val="nil"/>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23</w:t>
            </w:r>
          </w:p>
        </w:tc>
        <w:tc>
          <w:tcPr>
            <w:tcW w:w="1238"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10</w:t>
            </w:r>
          </w:p>
        </w:tc>
      </w:tr>
      <w:tr w:rsidR="0089396E" w:rsidRPr="0089396E" w:rsidTr="00256DD2">
        <w:trPr>
          <w:gridAfter w:val="1"/>
          <w:wAfter w:w="708" w:type="dxa"/>
          <w:trHeight w:val="300"/>
        </w:trPr>
        <w:tc>
          <w:tcPr>
            <w:tcW w:w="4126" w:type="dxa"/>
            <w:tcBorders>
              <w:top w:val="nil"/>
              <w:left w:val="nil"/>
              <w:bottom w:val="nil"/>
              <w:right w:val="nil"/>
            </w:tcBorders>
            <w:shd w:val="clear" w:color="auto" w:fill="auto"/>
            <w:noWrap/>
            <w:vAlign w:val="center"/>
            <w:hideMark/>
          </w:tcPr>
          <w:p w:rsidR="0089396E" w:rsidRPr="0089396E" w:rsidRDefault="0089396E" w:rsidP="00256DD2">
            <w:pPr>
              <w:spacing w:after="0" w:line="480" w:lineRule="auto"/>
              <w:rPr>
                <w:rFonts w:cs="Arial"/>
                <w:color w:val="000000"/>
                <w:sz w:val="16"/>
                <w:szCs w:val="16"/>
              </w:rPr>
            </w:pPr>
            <w:r w:rsidRPr="0089396E">
              <w:rPr>
                <w:rFonts w:cs="Arial"/>
                <w:color w:val="000000"/>
                <w:sz w:val="16"/>
                <w:szCs w:val="16"/>
              </w:rPr>
              <w:t>musel/a jsem se účastnit kvůli zákonným požadavkům</w:t>
            </w:r>
          </w:p>
        </w:tc>
        <w:tc>
          <w:tcPr>
            <w:tcW w:w="992"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24</w:t>
            </w:r>
          </w:p>
        </w:tc>
        <w:tc>
          <w:tcPr>
            <w:tcW w:w="993"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24</w:t>
            </w:r>
          </w:p>
        </w:tc>
        <w:tc>
          <w:tcPr>
            <w:tcW w:w="1134" w:type="dxa"/>
            <w:tcBorders>
              <w:top w:val="nil"/>
              <w:left w:val="single" w:sz="4" w:space="0" w:color="auto"/>
              <w:bottom w:val="nil"/>
              <w:right w:val="single" w:sz="4" w:space="0" w:color="auto"/>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24</w:t>
            </w:r>
          </w:p>
        </w:tc>
        <w:tc>
          <w:tcPr>
            <w:tcW w:w="1030" w:type="dxa"/>
            <w:tcBorders>
              <w:top w:val="nil"/>
              <w:left w:val="nil"/>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22</w:t>
            </w:r>
          </w:p>
        </w:tc>
        <w:tc>
          <w:tcPr>
            <w:tcW w:w="1238"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19</w:t>
            </w:r>
          </w:p>
        </w:tc>
      </w:tr>
      <w:tr w:rsidR="0089396E" w:rsidRPr="0089396E" w:rsidTr="00256DD2">
        <w:trPr>
          <w:gridAfter w:val="1"/>
          <w:wAfter w:w="708" w:type="dxa"/>
          <w:trHeight w:val="300"/>
        </w:trPr>
        <w:tc>
          <w:tcPr>
            <w:tcW w:w="4126" w:type="dxa"/>
            <w:tcBorders>
              <w:top w:val="nil"/>
              <w:left w:val="nil"/>
              <w:bottom w:val="nil"/>
              <w:right w:val="nil"/>
            </w:tcBorders>
            <w:shd w:val="clear" w:color="auto" w:fill="auto"/>
            <w:noWrap/>
            <w:vAlign w:val="center"/>
            <w:hideMark/>
          </w:tcPr>
          <w:p w:rsidR="0089396E" w:rsidRPr="0089396E" w:rsidRDefault="0089396E" w:rsidP="00256DD2">
            <w:pPr>
              <w:spacing w:after="0" w:line="480" w:lineRule="auto"/>
              <w:rPr>
                <w:rFonts w:cs="Arial"/>
                <w:color w:val="000000"/>
                <w:sz w:val="16"/>
                <w:szCs w:val="16"/>
              </w:rPr>
            </w:pPr>
            <w:r w:rsidRPr="0089396E">
              <w:rPr>
                <w:rFonts w:cs="Arial"/>
                <w:color w:val="000000"/>
                <w:sz w:val="16"/>
                <w:szCs w:val="16"/>
              </w:rPr>
              <w:t>zlepšit kariérní vyhlídky</w:t>
            </w:r>
          </w:p>
        </w:tc>
        <w:tc>
          <w:tcPr>
            <w:tcW w:w="992"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22</w:t>
            </w:r>
          </w:p>
        </w:tc>
        <w:tc>
          <w:tcPr>
            <w:tcW w:w="993"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22</w:t>
            </w:r>
          </w:p>
        </w:tc>
        <w:tc>
          <w:tcPr>
            <w:tcW w:w="1134" w:type="dxa"/>
            <w:tcBorders>
              <w:top w:val="nil"/>
              <w:left w:val="single" w:sz="4" w:space="0" w:color="auto"/>
              <w:bottom w:val="nil"/>
              <w:right w:val="single" w:sz="4" w:space="0" w:color="auto"/>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22</w:t>
            </w:r>
          </w:p>
        </w:tc>
        <w:tc>
          <w:tcPr>
            <w:tcW w:w="1030" w:type="dxa"/>
            <w:tcBorders>
              <w:top w:val="nil"/>
              <w:left w:val="nil"/>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21</w:t>
            </w:r>
          </w:p>
        </w:tc>
        <w:tc>
          <w:tcPr>
            <w:tcW w:w="1238"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32</w:t>
            </w:r>
          </w:p>
        </w:tc>
      </w:tr>
      <w:tr w:rsidR="0089396E" w:rsidRPr="0089396E" w:rsidTr="00256DD2">
        <w:trPr>
          <w:gridAfter w:val="1"/>
          <w:wAfter w:w="708" w:type="dxa"/>
          <w:trHeight w:val="300"/>
        </w:trPr>
        <w:tc>
          <w:tcPr>
            <w:tcW w:w="4126" w:type="dxa"/>
            <w:tcBorders>
              <w:top w:val="nil"/>
              <w:left w:val="nil"/>
              <w:bottom w:val="nil"/>
              <w:right w:val="nil"/>
            </w:tcBorders>
            <w:shd w:val="clear" w:color="auto" w:fill="auto"/>
            <w:noWrap/>
            <w:vAlign w:val="center"/>
            <w:hideMark/>
          </w:tcPr>
          <w:p w:rsidR="0089396E" w:rsidRPr="0089396E" w:rsidRDefault="0089396E" w:rsidP="00256DD2">
            <w:pPr>
              <w:spacing w:after="0" w:line="480" w:lineRule="auto"/>
              <w:rPr>
                <w:rFonts w:cs="Arial"/>
                <w:color w:val="000000"/>
                <w:sz w:val="16"/>
                <w:szCs w:val="16"/>
              </w:rPr>
            </w:pPr>
            <w:r w:rsidRPr="0089396E">
              <w:rPr>
                <w:rFonts w:cs="Arial"/>
                <w:color w:val="000000"/>
                <w:sz w:val="16"/>
                <w:szCs w:val="16"/>
              </w:rPr>
              <w:t>snížit pravděpodobnost ztráty zaměstnání</w:t>
            </w:r>
          </w:p>
        </w:tc>
        <w:tc>
          <w:tcPr>
            <w:tcW w:w="992"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22</w:t>
            </w:r>
          </w:p>
        </w:tc>
        <w:tc>
          <w:tcPr>
            <w:tcW w:w="993"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22</w:t>
            </w:r>
          </w:p>
        </w:tc>
        <w:tc>
          <w:tcPr>
            <w:tcW w:w="1134" w:type="dxa"/>
            <w:tcBorders>
              <w:top w:val="nil"/>
              <w:left w:val="single" w:sz="4" w:space="0" w:color="auto"/>
              <w:bottom w:val="nil"/>
              <w:right w:val="single" w:sz="4" w:space="0" w:color="auto"/>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24</w:t>
            </w:r>
          </w:p>
        </w:tc>
        <w:tc>
          <w:tcPr>
            <w:tcW w:w="1030" w:type="dxa"/>
            <w:tcBorders>
              <w:top w:val="nil"/>
              <w:left w:val="nil"/>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11</w:t>
            </w:r>
          </w:p>
        </w:tc>
        <w:tc>
          <w:tcPr>
            <w:tcW w:w="1238"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8</w:t>
            </w:r>
          </w:p>
        </w:tc>
      </w:tr>
      <w:tr w:rsidR="0089396E" w:rsidRPr="0089396E" w:rsidTr="00256DD2">
        <w:trPr>
          <w:gridAfter w:val="1"/>
          <w:wAfter w:w="708" w:type="dxa"/>
          <w:trHeight w:val="300"/>
        </w:trPr>
        <w:tc>
          <w:tcPr>
            <w:tcW w:w="4126" w:type="dxa"/>
            <w:tcBorders>
              <w:top w:val="nil"/>
              <w:left w:val="nil"/>
              <w:bottom w:val="nil"/>
              <w:right w:val="nil"/>
            </w:tcBorders>
            <w:shd w:val="clear" w:color="auto" w:fill="auto"/>
            <w:noWrap/>
            <w:vAlign w:val="center"/>
            <w:hideMark/>
          </w:tcPr>
          <w:p w:rsidR="0089396E" w:rsidRDefault="0089396E" w:rsidP="00256DD2">
            <w:pPr>
              <w:spacing w:after="0" w:line="240" w:lineRule="auto"/>
              <w:rPr>
                <w:rFonts w:cs="Arial"/>
                <w:color w:val="000000"/>
                <w:sz w:val="16"/>
                <w:szCs w:val="16"/>
              </w:rPr>
            </w:pPr>
            <w:r w:rsidRPr="0089396E">
              <w:rPr>
                <w:rFonts w:cs="Arial"/>
                <w:color w:val="000000"/>
                <w:sz w:val="16"/>
                <w:szCs w:val="16"/>
              </w:rPr>
              <w:t>získat znalosti/dovednosti užitečné v každodenním životě</w:t>
            </w:r>
          </w:p>
          <w:p w:rsidR="00E462B7" w:rsidRPr="0089396E" w:rsidRDefault="00E462B7" w:rsidP="00256DD2">
            <w:pPr>
              <w:spacing w:after="0" w:line="240" w:lineRule="auto"/>
              <w:rPr>
                <w:rFonts w:cs="Arial"/>
                <w:color w:val="000000"/>
                <w:sz w:val="16"/>
                <w:szCs w:val="16"/>
              </w:rPr>
            </w:pPr>
          </w:p>
        </w:tc>
        <w:tc>
          <w:tcPr>
            <w:tcW w:w="992" w:type="dxa"/>
            <w:tcBorders>
              <w:top w:val="nil"/>
              <w:left w:val="single" w:sz="4" w:space="0" w:color="auto"/>
              <w:bottom w:val="nil"/>
              <w:right w:val="nil"/>
            </w:tcBorders>
            <w:shd w:val="clear" w:color="auto" w:fill="auto"/>
            <w:noWrap/>
            <w:vAlign w:val="center"/>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20</w:t>
            </w:r>
          </w:p>
        </w:tc>
        <w:tc>
          <w:tcPr>
            <w:tcW w:w="993" w:type="dxa"/>
            <w:tcBorders>
              <w:top w:val="nil"/>
              <w:left w:val="single" w:sz="4" w:space="0" w:color="auto"/>
              <w:bottom w:val="nil"/>
              <w:right w:val="nil"/>
            </w:tcBorders>
            <w:shd w:val="clear" w:color="auto" w:fill="auto"/>
            <w:noWrap/>
            <w:vAlign w:val="center"/>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20</w:t>
            </w:r>
          </w:p>
        </w:tc>
        <w:tc>
          <w:tcPr>
            <w:tcW w:w="1134" w:type="dxa"/>
            <w:tcBorders>
              <w:top w:val="nil"/>
              <w:left w:val="single" w:sz="4" w:space="0" w:color="auto"/>
              <w:bottom w:val="nil"/>
              <w:right w:val="single" w:sz="4" w:space="0" w:color="auto"/>
            </w:tcBorders>
            <w:shd w:val="clear" w:color="auto" w:fill="auto"/>
            <w:noWrap/>
            <w:vAlign w:val="center"/>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19</w:t>
            </w:r>
          </w:p>
        </w:tc>
        <w:tc>
          <w:tcPr>
            <w:tcW w:w="1030" w:type="dxa"/>
            <w:tcBorders>
              <w:top w:val="nil"/>
              <w:left w:val="nil"/>
              <w:bottom w:val="nil"/>
              <w:right w:val="nil"/>
            </w:tcBorders>
            <w:shd w:val="clear" w:color="auto" w:fill="auto"/>
            <w:noWrap/>
            <w:vAlign w:val="center"/>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27</w:t>
            </w:r>
          </w:p>
        </w:tc>
        <w:tc>
          <w:tcPr>
            <w:tcW w:w="1238" w:type="dxa"/>
            <w:tcBorders>
              <w:top w:val="nil"/>
              <w:left w:val="single" w:sz="4" w:space="0" w:color="auto"/>
              <w:bottom w:val="nil"/>
              <w:right w:val="nil"/>
            </w:tcBorders>
            <w:shd w:val="clear" w:color="auto" w:fill="auto"/>
            <w:noWrap/>
            <w:vAlign w:val="center"/>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27</w:t>
            </w:r>
          </w:p>
        </w:tc>
      </w:tr>
      <w:tr w:rsidR="0089396E" w:rsidRPr="0089396E" w:rsidTr="00256DD2">
        <w:trPr>
          <w:gridAfter w:val="1"/>
          <w:wAfter w:w="708" w:type="dxa"/>
          <w:trHeight w:val="300"/>
        </w:trPr>
        <w:tc>
          <w:tcPr>
            <w:tcW w:w="4126" w:type="dxa"/>
            <w:tcBorders>
              <w:top w:val="nil"/>
              <w:left w:val="nil"/>
              <w:bottom w:val="nil"/>
              <w:right w:val="nil"/>
            </w:tcBorders>
            <w:shd w:val="clear" w:color="auto" w:fill="auto"/>
            <w:noWrap/>
            <w:vAlign w:val="center"/>
            <w:hideMark/>
          </w:tcPr>
          <w:p w:rsidR="0089396E" w:rsidRPr="0089396E" w:rsidRDefault="0089396E" w:rsidP="00256DD2">
            <w:pPr>
              <w:spacing w:after="0" w:line="480" w:lineRule="auto"/>
              <w:rPr>
                <w:rFonts w:cs="Arial"/>
                <w:color w:val="000000"/>
                <w:sz w:val="16"/>
                <w:szCs w:val="16"/>
              </w:rPr>
            </w:pPr>
            <w:r w:rsidRPr="0089396E">
              <w:rPr>
                <w:rFonts w:cs="Arial"/>
                <w:color w:val="000000"/>
                <w:sz w:val="16"/>
                <w:szCs w:val="16"/>
              </w:rPr>
              <w:t>získat certifikát</w:t>
            </w:r>
          </w:p>
        </w:tc>
        <w:tc>
          <w:tcPr>
            <w:tcW w:w="992"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18</w:t>
            </w:r>
          </w:p>
        </w:tc>
        <w:tc>
          <w:tcPr>
            <w:tcW w:w="993"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18</w:t>
            </w:r>
          </w:p>
        </w:tc>
        <w:tc>
          <w:tcPr>
            <w:tcW w:w="1134" w:type="dxa"/>
            <w:tcBorders>
              <w:top w:val="nil"/>
              <w:left w:val="single" w:sz="4" w:space="0" w:color="auto"/>
              <w:bottom w:val="nil"/>
              <w:right w:val="single" w:sz="4" w:space="0" w:color="auto"/>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17</w:t>
            </w:r>
          </w:p>
        </w:tc>
        <w:tc>
          <w:tcPr>
            <w:tcW w:w="1030" w:type="dxa"/>
            <w:tcBorders>
              <w:top w:val="nil"/>
              <w:left w:val="nil"/>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29</w:t>
            </w:r>
          </w:p>
        </w:tc>
        <w:tc>
          <w:tcPr>
            <w:tcW w:w="1238"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27</w:t>
            </w:r>
          </w:p>
        </w:tc>
      </w:tr>
      <w:tr w:rsidR="0089396E" w:rsidRPr="0089396E" w:rsidTr="00256DD2">
        <w:trPr>
          <w:gridAfter w:val="1"/>
          <w:wAfter w:w="708" w:type="dxa"/>
          <w:trHeight w:val="300"/>
        </w:trPr>
        <w:tc>
          <w:tcPr>
            <w:tcW w:w="4126" w:type="dxa"/>
            <w:tcBorders>
              <w:top w:val="nil"/>
              <w:left w:val="nil"/>
              <w:bottom w:val="nil"/>
              <w:right w:val="nil"/>
            </w:tcBorders>
            <w:shd w:val="clear" w:color="auto" w:fill="auto"/>
            <w:noWrap/>
            <w:vAlign w:val="center"/>
            <w:hideMark/>
          </w:tcPr>
          <w:p w:rsidR="0089396E" w:rsidRPr="0089396E" w:rsidRDefault="0089396E" w:rsidP="00256DD2">
            <w:pPr>
              <w:spacing w:after="0" w:line="480" w:lineRule="auto"/>
              <w:rPr>
                <w:rFonts w:cs="Arial"/>
                <w:color w:val="000000"/>
                <w:sz w:val="16"/>
                <w:szCs w:val="16"/>
              </w:rPr>
            </w:pPr>
            <w:r w:rsidRPr="0089396E">
              <w:rPr>
                <w:rFonts w:cs="Arial"/>
                <w:color w:val="000000"/>
                <w:sz w:val="16"/>
                <w:szCs w:val="16"/>
              </w:rPr>
              <w:t>zlepšit vyhlídky na získání nebo změnu práce</w:t>
            </w:r>
          </w:p>
        </w:tc>
        <w:tc>
          <w:tcPr>
            <w:tcW w:w="992"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8</w:t>
            </w:r>
          </w:p>
        </w:tc>
        <w:tc>
          <w:tcPr>
            <w:tcW w:w="993"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7</w:t>
            </w:r>
          </w:p>
        </w:tc>
        <w:tc>
          <w:tcPr>
            <w:tcW w:w="1134" w:type="dxa"/>
            <w:tcBorders>
              <w:top w:val="nil"/>
              <w:left w:val="single" w:sz="4" w:space="0" w:color="auto"/>
              <w:bottom w:val="nil"/>
              <w:right w:val="single" w:sz="4" w:space="0" w:color="auto"/>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7</w:t>
            </w:r>
          </w:p>
        </w:tc>
        <w:tc>
          <w:tcPr>
            <w:tcW w:w="1030" w:type="dxa"/>
            <w:tcBorders>
              <w:top w:val="nil"/>
              <w:left w:val="nil"/>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5</w:t>
            </w:r>
          </w:p>
        </w:tc>
        <w:tc>
          <w:tcPr>
            <w:tcW w:w="1238"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40</w:t>
            </w:r>
          </w:p>
        </w:tc>
      </w:tr>
      <w:tr w:rsidR="0089396E" w:rsidRPr="0089396E" w:rsidTr="00256DD2">
        <w:trPr>
          <w:gridAfter w:val="1"/>
          <w:wAfter w:w="708" w:type="dxa"/>
          <w:trHeight w:val="300"/>
        </w:trPr>
        <w:tc>
          <w:tcPr>
            <w:tcW w:w="4126" w:type="dxa"/>
            <w:tcBorders>
              <w:top w:val="nil"/>
              <w:left w:val="nil"/>
              <w:bottom w:val="nil"/>
              <w:right w:val="nil"/>
            </w:tcBorders>
            <w:shd w:val="clear" w:color="auto" w:fill="auto"/>
            <w:noWrap/>
            <w:vAlign w:val="center"/>
            <w:hideMark/>
          </w:tcPr>
          <w:p w:rsidR="0089396E" w:rsidRPr="0089396E" w:rsidRDefault="0089396E" w:rsidP="00256DD2">
            <w:pPr>
              <w:spacing w:after="0" w:line="480" w:lineRule="auto"/>
              <w:rPr>
                <w:rFonts w:cs="Arial"/>
                <w:color w:val="000000"/>
                <w:sz w:val="16"/>
                <w:szCs w:val="16"/>
              </w:rPr>
            </w:pPr>
            <w:r w:rsidRPr="0089396E">
              <w:rPr>
                <w:rFonts w:cs="Arial"/>
                <w:color w:val="000000"/>
                <w:sz w:val="16"/>
                <w:szCs w:val="16"/>
              </w:rPr>
              <w:t>potkat nové lidi, pro zábavu</w:t>
            </w:r>
          </w:p>
        </w:tc>
        <w:tc>
          <w:tcPr>
            <w:tcW w:w="992"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5</w:t>
            </w:r>
          </w:p>
        </w:tc>
        <w:tc>
          <w:tcPr>
            <w:tcW w:w="993"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5</w:t>
            </w:r>
          </w:p>
        </w:tc>
        <w:tc>
          <w:tcPr>
            <w:tcW w:w="1134" w:type="dxa"/>
            <w:tcBorders>
              <w:top w:val="nil"/>
              <w:left w:val="single" w:sz="4" w:space="0" w:color="auto"/>
              <w:bottom w:val="nil"/>
              <w:right w:val="single" w:sz="4" w:space="0" w:color="auto"/>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4</w:t>
            </w:r>
          </w:p>
        </w:tc>
        <w:tc>
          <w:tcPr>
            <w:tcW w:w="1030" w:type="dxa"/>
            <w:tcBorders>
              <w:top w:val="nil"/>
              <w:left w:val="nil"/>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8</w:t>
            </w:r>
          </w:p>
        </w:tc>
        <w:tc>
          <w:tcPr>
            <w:tcW w:w="1238"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17</w:t>
            </w:r>
          </w:p>
        </w:tc>
      </w:tr>
      <w:tr w:rsidR="0089396E" w:rsidRPr="0089396E" w:rsidTr="00256DD2">
        <w:trPr>
          <w:gridAfter w:val="1"/>
          <w:wAfter w:w="708" w:type="dxa"/>
          <w:trHeight w:val="300"/>
        </w:trPr>
        <w:tc>
          <w:tcPr>
            <w:tcW w:w="4126" w:type="dxa"/>
            <w:tcBorders>
              <w:top w:val="nil"/>
              <w:left w:val="nil"/>
              <w:bottom w:val="nil"/>
              <w:right w:val="nil"/>
            </w:tcBorders>
            <w:shd w:val="clear" w:color="auto" w:fill="auto"/>
            <w:noWrap/>
            <w:vAlign w:val="center"/>
            <w:hideMark/>
          </w:tcPr>
          <w:p w:rsidR="0089396E" w:rsidRPr="0089396E" w:rsidRDefault="0089396E" w:rsidP="00256DD2">
            <w:pPr>
              <w:spacing w:after="0" w:line="480" w:lineRule="auto"/>
              <w:rPr>
                <w:rFonts w:cs="Arial"/>
                <w:color w:val="000000"/>
                <w:sz w:val="16"/>
                <w:szCs w:val="16"/>
              </w:rPr>
            </w:pPr>
            <w:r w:rsidRPr="0089396E">
              <w:rPr>
                <w:rFonts w:cs="Arial"/>
                <w:color w:val="000000"/>
                <w:sz w:val="16"/>
                <w:szCs w:val="16"/>
              </w:rPr>
              <w:t>začít své vlastní podnikání</w:t>
            </w:r>
          </w:p>
        </w:tc>
        <w:tc>
          <w:tcPr>
            <w:tcW w:w="992"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1</w:t>
            </w:r>
          </w:p>
        </w:tc>
        <w:tc>
          <w:tcPr>
            <w:tcW w:w="993"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1</w:t>
            </w:r>
          </w:p>
        </w:tc>
        <w:tc>
          <w:tcPr>
            <w:tcW w:w="1134" w:type="dxa"/>
            <w:tcBorders>
              <w:top w:val="nil"/>
              <w:left w:val="single" w:sz="4" w:space="0" w:color="auto"/>
              <w:bottom w:val="nil"/>
              <w:right w:val="single" w:sz="4" w:space="0" w:color="auto"/>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1</w:t>
            </w:r>
          </w:p>
        </w:tc>
        <w:tc>
          <w:tcPr>
            <w:tcW w:w="1030" w:type="dxa"/>
            <w:tcBorders>
              <w:top w:val="nil"/>
              <w:left w:val="nil"/>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3</w:t>
            </w:r>
          </w:p>
        </w:tc>
        <w:tc>
          <w:tcPr>
            <w:tcW w:w="1238"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3</w:t>
            </w:r>
          </w:p>
        </w:tc>
      </w:tr>
      <w:tr w:rsidR="0089396E" w:rsidRPr="0089396E" w:rsidTr="00256DD2">
        <w:trPr>
          <w:gridAfter w:val="1"/>
          <w:wAfter w:w="708" w:type="dxa"/>
          <w:trHeight w:val="300"/>
        </w:trPr>
        <w:tc>
          <w:tcPr>
            <w:tcW w:w="4126" w:type="dxa"/>
            <w:tcBorders>
              <w:top w:val="nil"/>
              <w:left w:val="nil"/>
              <w:bottom w:val="nil"/>
              <w:right w:val="nil"/>
            </w:tcBorders>
            <w:shd w:val="clear" w:color="auto" w:fill="auto"/>
            <w:noWrap/>
            <w:vAlign w:val="center"/>
            <w:hideMark/>
          </w:tcPr>
          <w:p w:rsidR="0089396E" w:rsidRPr="0089396E" w:rsidRDefault="0089396E" w:rsidP="00256DD2">
            <w:pPr>
              <w:spacing w:after="0" w:line="480" w:lineRule="auto"/>
              <w:rPr>
                <w:rFonts w:cs="Arial"/>
                <w:color w:val="000000"/>
                <w:sz w:val="16"/>
                <w:szCs w:val="16"/>
              </w:rPr>
            </w:pPr>
            <w:r w:rsidRPr="0089396E">
              <w:rPr>
                <w:rFonts w:cs="Arial"/>
                <w:color w:val="000000"/>
                <w:sz w:val="16"/>
                <w:szCs w:val="16"/>
              </w:rPr>
              <w:t>dělat lépe dobrovolnickou práci</w:t>
            </w:r>
          </w:p>
        </w:tc>
        <w:tc>
          <w:tcPr>
            <w:tcW w:w="992"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1</w:t>
            </w:r>
          </w:p>
        </w:tc>
        <w:tc>
          <w:tcPr>
            <w:tcW w:w="993"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1</w:t>
            </w:r>
          </w:p>
        </w:tc>
        <w:tc>
          <w:tcPr>
            <w:tcW w:w="1134" w:type="dxa"/>
            <w:tcBorders>
              <w:top w:val="nil"/>
              <w:left w:val="single" w:sz="4" w:space="0" w:color="auto"/>
              <w:bottom w:val="nil"/>
              <w:right w:val="single" w:sz="4" w:space="0" w:color="auto"/>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1</w:t>
            </w:r>
          </w:p>
        </w:tc>
        <w:tc>
          <w:tcPr>
            <w:tcW w:w="1030" w:type="dxa"/>
            <w:tcBorders>
              <w:top w:val="nil"/>
              <w:left w:val="nil"/>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1</w:t>
            </w:r>
          </w:p>
        </w:tc>
        <w:tc>
          <w:tcPr>
            <w:tcW w:w="1238"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3</w:t>
            </w:r>
          </w:p>
        </w:tc>
      </w:tr>
      <w:tr w:rsidR="0089396E" w:rsidRPr="0089396E" w:rsidTr="00256DD2">
        <w:trPr>
          <w:gridAfter w:val="1"/>
          <w:wAfter w:w="708" w:type="dxa"/>
          <w:trHeight w:val="300"/>
        </w:trPr>
        <w:tc>
          <w:tcPr>
            <w:tcW w:w="4126" w:type="dxa"/>
            <w:tcBorders>
              <w:top w:val="nil"/>
              <w:left w:val="nil"/>
              <w:bottom w:val="nil"/>
              <w:right w:val="nil"/>
            </w:tcBorders>
            <w:shd w:val="clear" w:color="auto" w:fill="auto"/>
            <w:noWrap/>
            <w:vAlign w:val="center"/>
            <w:hideMark/>
          </w:tcPr>
          <w:p w:rsidR="0089396E" w:rsidRPr="0089396E" w:rsidRDefault="0089396E" w:rsidP="00256DD2">
            <w:pPr>
              <w:spacing w:after="0" w:line="480" w:lineRule="auto"/>
              <w:rPr>
                <w:rFonts w:cs="Arial"/>
                <w:color w:val="000000"/>
                <w:sz w:val="16"/>
                <w:szCs w:val="16"/>
              </w:rPr>
            </w:pPr>
            <w:r w:rsidRPr="0089396E">
              <w:rPr>
                <w:rFonts w:cs="Arial"/>
                <w:color w:val="000000"/>
                <w:sz w:val="16"/>
                <w:szCs w:val="16"/>
              </w:rPr>
              <w:t>zdravotní důvody</w:t>
            </w:r>
          </w:p>
        </w:tc>
        <w:tc>
          <w:tcPr>
            <w:tcW w:w="992"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&lt;1</w:t>
            </w:r>
          </w:p>
        </w:tc>
        <w:tc>
          <w:tcPr>
            <w:tcW w:w="993"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&lt;1</w:t>
            </w:r>
          </w:p>
        </w:tc>
        <w:tc>
          <w:tcPr>
            <w:tcW w:w="1134"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&lt;1</w:t>
            </w:r>
          </w:p>
        </w:tc>
        <w:tc>
          <w:tcPr>
            <w:tcW w:w="1030"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&lt;1</w:t>
            </w:r>
          </w:p>
        </w:tc>
        <w:tc>
          <w:tcPr>
            <w:tcW w:w="1238"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&lt;1</w:t>
            </w:r>
          </w:p>
        </w:tc>
      </w:tr>
      <w:tr w:rsidR="0089396E" w:rsidRPr="0089396E" w:rsidTr="00256DD2">
        <w:trPr>
          <w:gridAfter w:val="1"/>
          <w:wAfter w:w="708" w:type="dxa"/>
          <w:trHeight w:val="229"/>
        </w:trPr>
        <w:tc>
          <w:tcPr>
            <w:tcW w:w="4126" w:type="dxa"/>
            <w:tcBorders>
              <w:top w:val="nil"/>
              <w:left w:val="nil"/>
              <w:bottom w:val="nil"/>
              <w:right w:val="nil"/>
            </w:tcBorders>
            <w:shd w:val="clear" w:color="auto" w:fill="auto"/>
            <w:noWrap/>
            <w:vAlign w:val="center"/>
            <w:hideMark/>
          </w:tcPr>
          <w:p w:rsidR="0089396E" w:rsidRPr="0089396E" w:rsidRDefault="0089396E" w:rsidP="00256DD2">
            <w:pPr>
              <w:spacing w:after="0" w:line="480" w:lineRule="auto"/>
              <w:rPr>
                <w:rFonts w:cs="Arial"/>
                <w:color w:val="000000"/>
                <w:sz w:val="16"/>
                <w:szCs w:val="16"/>
              </w:rPr>
            </w:pPr>
            <w:r w:rsidRPr="0089396E">
              <w:rPr>
                <w:rFonts w:cs="Arial"/>
                <w:color w:val="000000"/>
                <w:sz w:val="16"/>
                <w:szCs w:val="16"/>
              </w:rPr>
              <w:t>žádný z výše uvedených důvodů</w:t>
            </w:r>
          </w:p>
        </w:tc>
        <w:tc>
          <w:tcPr>
            <w:tcW w:w="992"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&lt;1</w:t>
            </w:r>
          </w:p>
        </w:tc>
        <w:tc>
          <w:tcPr>
            <w:tcW w:w="993"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&lt;1</w:t>
            </w:r>
          </w:p>
        </w:tc>
        <w:tc>
          <w:tcPr>
            <w:tcW w:w="1134"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&lt;1</w:t>
            </w:r>
          </w:p>
        </w:tc>
        <w:tc>
          <w:tcPr>
            <w:tcW w:w="1030"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&lt;1</w:t>
            </w:r>
          </w:p>
        </w:tc>
        <w:tc>
          <w:tcPr>
            <w:tcW w:w="1238" w:type="dxa"/>
            <w:tcBorders>
              <w:top w:val="nil"/>
              <w:left w:val="single" w:sz="4" w:space="0" w:color="auto"/>
              <w:bottom w:val="nil"/>
              <w:right w:val="nil"/>
            </w:tcBorders>
            <w:shd w:val="clear" w:color="auto" w:fill="auto"/>
            <w:noWrap/>
            <w:hideMark/>
          </w:tcPr>
          <w:p w:rsidR="0089396E" w:rsidRPr="0089396E" w:rsidRDefault="0089396E" w:rsidP="00256DD2">
            <w:pPr>
              <w:spacing w:after="0" w:line="240" w:lineRule="auto"/>
              <w:jc w:val="right"/>
              <w:rPr>
                <w:rFonts w:cs="Arial"/>
                <w:color w:val="000000"/>
                <w:sz w:val="16"/>
                <w:szCs w:val="16"/>
              </w:rPr>
            </w:pPr>
            <w:r w:rsidRPr="0089396E">
              <w:rPr>
                <w:rFonts w:cs="Arial"/>
                <w:color w:val="000000"/>
                <w:sz w:val="16"/>
                <w:szCs w:val="16"/>
              </w:rPr>
              <w:t>&lt;1</w:t>
            </w:r>
          </w:p>
        </w:tc>
      </w:tr>
    </w:tbl>
    <w:p w:rsidR="00917D79" w:rsidRPr="004B7295" w:rsidRDefault="00917D79">
      <w:pPr>
        <w:spacing w:after="0" w:line="240" w:lineRule="auto"/>
      </w:pPr>
    </w:p>
    <w:p w:rsidR="005F103E" w:rsidRPr="004B7295" w:rsidRDefault="005F103E">
      <w:pPr>
        <w:spacing w:after="0" w:line="240" w:lineRule="auto"/>
        <w:rPr>
          <w:sz w:val="16"/>
        </w:rPr>
      </w:pPr>
      <w:r w:rsidRPr="004B7295">
        <w:rPr>
          <w:sz w:val="16"/>
        </w:rPr>
        <w:t xml:space="preserve">Pozn.: upozornění na nižší spolehlivost údajů v kategorii nezaměstnaných z důvodu </w:t>
      </w:r>
      <w:r w:rsidR="00A502C3">
        <w:rPr>
          <w:sz w:val="16"/>
        </w:rPr>
        <w:t>nízkého</w:t>
      </w:r>
      <w:r w:rsidRPr="004B7295">
        <w:rPr>
          <w:sz w:val="16"/>
        </w:rPr>
        <w:t xml:space="preserve"> počtu pozorování</w:t>
      </w:r>
    </w:p>
    <w:p w:rsidR="005F103E" w:rsidRPr="004B7295" w:rsidRDefault="005F103E" w:rsidP="005F103E">
      <w:pPr>
        <w:spacing w:after="0" w:line="240" w:lineRule="auto"/>
      </w:pPr>
      <w:r w:rsidRPr="004B7295">
        <w:t>Zdroj: AES 2016, ČSÚ</w:t>
      </w:r>
    </w:p>
    <w:p w:rsidR="005F103E" w:rsidRPr="004B7295" w:rsidRDefault="005F103E" w:rsidP="000211A4"/>
    <w:p w:rsidR="00F55B0B" w:rsidRPr="004B7295" w:rsidRDefault="00F55B0B">
      <w:pPr>
        <w:spacing w:after="0" w:line="240" w:lineRule="auto"/>
      </w:pPr>
    </w:p>
    <w:p w:rsidR="000211A4" w:rsidRDefault="000211A4">
      <w:pPr>
        <w:spacing w:after="0" w:line="240" w:lineRule="auto"/>
        <w:rPr>
          <w:rFonts w:eastAsia="MS Gothic"/>
          <w:b/>
          <w:bCs/>
          <w:color w:val="BC091B"/>
          <w:sz w:val="24"/>
        </w:rPr>
      </w:pPr>
      <w:bookmarkStart w:id="96" w:name="_Toc505785838"/>
      <w:r>
        <w:br w:type="page"/>
      </w:r>
    </w:p>
    <w:p w:rsidR="005036C1" w:rsidRPr="004B7295" w:rsidRDefault="00940D55" w:rsidP="00A536A6">
      <w:pPr>
        <w:pStyle w:val="Nadpis3"/>
      </w:pPr>
      <w:bookmarkStart w:id="97" w:name="_Toc506969422"/>
      <w:r w:rsidRPr="004B7295">
        <w:lastRenderedPageBreak/>
        <w:t>Mimopracovně orientované neformální vzdělávání</w:t>
      </w:r>
      <w:bookmarkEnd w:id="96"/>
      <w:bookmarkEnd w:id="97"/>
      <w:r w:rsidRPr="004B7295">
        <w:t xml:space="preserve"> </w:t>
      </w:r>
    </w:p>
    <w:p w:rsidR="00C73AA9" w:rsidRPr="004B7295" w:rsidRDefault="00092457" w:rsidP="00280224">
      <w:pPr>
        <w:jc w:val="both"/>
      </w:pPr>
      <w:r>
        <w:t xml:space="preserve">Vedle profesně </w:t>
      </w:r>
      <w:r w:rsidR="006F56C4" w:rsidRPr="004B7295">
        <w:t>vzdělávacích aktivit, které byly předmětem předchozí podkapitoly, zůstává početná skupina vzdělávacích aktivit realizovaných převážně z mimopracovních a soukromých důvodů. Mezi takové vzdělávání byly v rámci šetření AES řazeny vzdělávací aktivity, které, dle vyjádření respondentů, směř</w:t>
      </w:r>
      <w:r w:rsidR="00280224" w:rsidRPr="004B7295">
        <w:t xml:space="preserve">ovaly </w:t>
      </w:r>
      <w:r w:rsidR="006F56C4" w:rsidRPr="004B7295">
        <w:t xml:space="preserve">zejména k osvojování znalostí a dovedností využitelných především při mimopracovních (zájmových či volnočasových) </w:t>
      </w:r>
      <w:r w:rsidR="00280224" w:rsidRPr="004B7295">
        <w:t>činnostech</w:t>
      </w:r>
      <w:r w:rsidR="006F56C4" w:rsidRPr="004B7295">
        <w:t>.</w:t>
      </w:r>
      <w:r w:rsidR="00280224" w:rsidRPr="004B7295">
        <w:t xml:space="preserve"> Vzdělávání pro </w:t>
      </w:r>
      <w:r w:rsidR="000211A4">
        <w:t>soukromý (mimopracovní)</w:t>
      </w:r>
      <w:r w:rsidR="00280224" w:rsidRPr="004B7295">
        <w:t xml:space="preserve"> život však tvoří relativně malou část celku neformálního vzdělávání. Z celkového objemu realizovaných aktivit neformálního vzdělávání jich pouze 14 % bylo motivováno mimopracovně. Nějakého takového vzdělávání se ve sledovaném období účastnil pouze každý desátý ze sledované věkové skupiny 18–69 let, přičemž výrazně vyšší byl zájem o</w:t>
      </w:r>
      <w:r w:rsidR="00BD08CF">
        <w:t> </w:t>
      </w:r>
      <w:r w:rsidR="00280224" w:rsidRPr="004B7295">
        <w:t>toto vzdělávání u žen</w:t>
      </w:r>
      <w:r w:rsidR="0090250A">
        <w:t xml:space="preserve"> </w:t>
      </w:r>
      <w:r w:rsidR="0090250A" w:rsidRPr="004B7295">
        <w:t>(13 %)</w:t>
      </w:r>
      <w:r w:rsidR="00280224" w:rsidRPr="004B7295">
        <w:t xml:space="preserve"> než u mužů, kterých se takto vzdělávalo pouze 6 %</w:t>
      </w:r>
      <w:r w:rsidR="000211A4">
        <w:t xml:space="preserve"> (podrobněji viz </w:t>
      </w:r>
      <w:hyperlink w:anchor="_Graf_č._18:" w:history="1">
        <w:r w:rsidR="00CB7412">
          <w:rPr>
            <w:rStyle w:val="Hypertextovodkaz"/>
          </w:rPr>
          <w:t>g</w:t>
        </w:r>
        <w:r w:rsidR="000211A4" w:rsidRPr="0077612E">
          <w:rPr>
            <w:rStyle w:val="Hypertextovodkaz"/>
          </w:rPr>
          <w:t>raf</w:t>
        </w:r>
        <w:r w:rsidR="00BD08CF" w:rsidRPr="0077612E">
          <w:rPr>
            <w:rStyle w:val="Hypertextovodkaz"/>
          </w:rPr>
          <w:t> </w:t>
        </w:r>
        <w:r w:rsidR="000211A4" w:rsidRPr="0077612E">
          <w:rPr>
            <w:rStyle w:val="Hypertextovodkaz"/>
          </w:rPr>
          <w:t>č.</w:t>
        </w:r>
        <w:r w:rsidR="00BD08CF" w:rsidRPr="0077612E">
          <w:rPr>
            <w:rStyle w:val="Hypertextovodkaz"/>
          </w:rPr>
          <w:t> </w:t>
        </w:r>
        <w:r w:rsidR="000211A4" w:rsidRPr="0077612E">
          <w:rPr>
            <w:rStyle w:val="Hypertextovodkaz"/>
          </w:rPr>
          <w:t>18</w:t>
        </w:r>
      </w:hyperlink>
      <w:r w:rsidR="000211A4">
        <w:t>)</w:t>
      </w:r>
      <w:r w:rsidR="00280224" w:rsidRPr="004B7295">
        <w:t>. Na</w:t>
      </w:r>
      <w:r w:rsidR="0006282F">
        <w:t> </w:t>
      </w:r>
      <w:r w:rsidR="00280224" w:rsidRPr="004B7295">
        <w:t>rozdíl od pracovně orientovaného vzdělávání, kde se účast odvíjí především od postavení na trhu práce, je zapojení do mimopracovního vzdělávání mnohem spíš</w:t>
      </w:r>
      <w:r w:rsidR="000211A4">
        <w:t>e</w:t>
      </w:r>
      <w:r w:rsidR="00280224" w:rsidRPr="004B7295">
        <w:t xml:space="preserve"> otázkou věku</w:t>
      </w:r>
      <w:r w:rsidR="00E5165F" w:rsidRPr="004B7295">
        <w:t>, resp. disponibilního volného času,</w:t>
      </w:r>
      <w:r w:rsidR="00280224" w:rsidRPr="004B7295">
        <w:t xml:space="preserve"> </w:t>
      </w:r>
      <w:r w:rsidR="00C73AA9" w:rsidRPr="004B7295">
        <w:t xml:space="preserve">pohlaví </w:t>
      </w:r>
      <w:r w:rsidR="00280224" w:rsidRPr="004B7295">
        <w:t xml:space="preserve">a místa bydliště. </w:t>
      </w:r>
      <w:r w:rsidR="00C73AA9" w:rsidRPr="004B7295">
        <w:t>Tyto faktory přitom ovlivňují spíše samotné zapojení se do volnočasových vzdělávacích aktivit než jejich následnou délku trvání, na kterou nemají natolik zásadní vliv.</w:t>
      </w:r>
    </w:p>
    <w:p w:rsidR="00C73AA9" w:rsidRPr="004B7295" w:rsidRDefault="00A536A6" w:rsidP="00462266">
      <w:pPr>
        <w:pStyle w:val="Nadpis4"/>
        <w:jc w:val="both"/>
      </w:pPr>
      <w:bookmarkStart w:id="98" w:name="_Toc505872836"/>
      <w:bookmarkStart w:id="99" w:name="_Toc506308544"/>
      <w:r>
        <w:t>Graf č. 24</w:t>
      </w:r>
      <w:r w:rsidR="00C73AA9" w:rsidRPr="004B7295">
        <w:t>: Úča</w:t>
      </w:r>
      <w:r w:rsidR="00462266">
        <w:t>st v mimopracovně orientovaném neformálním</w:t>
      </w:r>
      <w:r w:rsidR="00C73AA9" w:rsidRPr="004B7295">
        <w:t xml:space="preserve"> vzdělávání dle věkových skupin a</w:t>
      </w:r>
      <w:r w:rsidR="00462266">
        <w:t> </w:t>
      </w:r>
      <w:r w:rsidR="00C73AA9" w:rsidRPr="004B7295">
        <w:t>pohlaví</w:t>
      </w:r>
      <w:bookmarkEnd w:id="98"/>
      <w:bookmarkEnd w:id="99"/>
    </w:p>
    <w:p w:rsidR="00C73AA9" w:rsidRPr="004B7295" w:rsidRDefault="00303EBB" w:rsidP="00092457">
      <w:pPr>
        <w:spacing w:after="120"/>
        <w:jc w:val="both"/>
      </w:pPr>
      <w:r>
        <w:rPr>
          <w:noProof/>
        </w:rPr>
        <w:drawing>
          <wp:inline distT="0" distB="0" distL="0" distR="0" wp14:anchorId="4101C3A5" wp14:editId="7BBB6528">
            <wp:extent cx="6115050" cy="29337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EE4666" w:rsidRPr="004B7295" w:rsidRDefault="00C73AA9" w:rsidP="00280224">
      <w:pPr>
        <w:jc w:val="both"/>
      </w:pPr>
      <w:r w:rsidRPr="004B7295">
        <w:t>Zdroj: AES 2016, ČSÚ</w:t>
      </w:r>
    </w:p>
    <w:p w:rsidR="00B814A3" w:rsidRPr="004B7295" w:rsidRDefault="00EE4666" w:rsidP="00280224">
      <w:pPr>
        <w:jc w:val="both"/>
      </w:pPr>
      <w:r w:rsidRPr="004B7295">
        <w:t>S výjimkou nejmladší sledované věkové kategorie se ženy ve všech životních fázích zapojují do</w:t>
      </w:r>
      <w:r w:rsidR="0006282F">
        <w:t> </w:t>
      </w:r>
      <w:r w:rsidRPr="004B7295">
        <w:t>mimopracovně</w:t>
      </w:r>
      <w:r w:rsidR="00006B90">
        <w:t xml:space="preserve"> </w:t>
      </w:r>
      <w:r w:rsidRPr="004B7295">
        <w:t xml:space="preserve">orientovaných vzdělávacích aktivit dvakrát či dokonce </w:t>
      </w:r>
      <w:r w:rsidR="0090250A">
        <w:t xml:space="preserve">ještě </w:t>
      </w:r>
      <w:r w:rsidRPr="004B7295">
        <w:t>vícekrát častěji než muži. Stejně</w:t>
      </w:r>
      <w:r w:rsidR="00CD2B68">
        <w:t> </w:t>
      </w:r>
      <w:r w:rsidRPr="004B7295">
        <w:t>tak je jejich zapojení o něco méně závislé na věku. Obecně nejvíce se do volnočasových vzdělávacích aktivit zapojují studenti, kterých nějaké vzdělávání z této kategorie absolvovala</w:t>
      </w:r>
      <w:r w:rsidR="00444D0E" w:rsidRPr="004B7295">
        <w:t xml:space="preserve"> i přes souběh s probíhajícím formálním vzdělávání</w:t>
      </w:r>
      <w:r w:rsidRPr="004B7295">
        <w:t xml:space="preserve"> čtvrtina (25 %). I zde svou účastí převažují studentky (29 %) </w:t>
      </w:r>
      <w:r w:rsidR="00444D0E" w:rsidRPr="004B7295">
        <w:t>nad</w:t>
      </w:r>
      <w:r w:rsidR="0006282F">
        <w:t> </w:t>
      </w:r>
      <w:r w:rsidRPr="004B7295">
        <w:t>studenty mužského pohlaví (22 %). Ještě vyšší disproporce v účasti je poté patrná mezi starobními důchodci mlad</w:t>
      </w:r>
      <w:r w:rsidR="00CD2B68">
        <w:t>šími 70 let, kdy se z mužů mimo</w:t>
      </w:r>
      <w:r w:rsidRPr="004B7295">
        <w:t xml:space="preserve">pracovně vzdělávala jen 3 %, </w:t>
      </w:r>
      <w:r w:rsidR="00444D0E" w:rsidRPr="004B7295">
        <w:t>zatímco stejně aktivních důchodkyň</w:t>
      </w:r>
      <w:r w:rsidRPr="004B7295">
        <w:t xml:space="preserve"> bylo téměř 10 %.</w:t>
      </w:r>
      <w:r w:rsidR="00006B90">
        <w:t xml:space="preserve">  Ženy jsou však v mimopracovně </w:t>
      </w:r>
      <w:r w:rsidRPr="004B7295">
        <w:t xml:space="preserve">orientovaném vzdělávání </w:t>
      </w:r>
      <w:r w:rsidR="00444D0E" w:rsidRPr="004B7295">
        <w:t xml:space="preserve">dvakrát </w:t>
      </w:r>
      <w:r w:rsidRPr="004B7295">
        <w:t>aktivnější také v produktivním věku</w:t>
      </w:r>
      <w:r w:rsidR="00444D0E" w:rsidRPr="004B7295">
        <w:t xml:space="preserve">, kdy si ve sledovaném období našlo čas na mimopracovní vzdělávání 12 % pracujících žen, oproti 6 % pracujících mužů. Jak je patrné </w:t>
      </w:r>
      <w:r w:rsidR="00444D0E" w:rsidRPr="000211A4">
        <w:t>z </w:t>
      </w:r>
      <w:hyperlink w:anchor="_Graf_č._18:" w:history="1">
        <w:r w:rsidR="00CB7412">
          <w:rPr>
            <w:rStyle w:val="Hypertextovodkaz"/>
          </w:rPr>
          <w:t>g</w:t>
        </w:r>
        <w:r w:rsidR="00444D0E" w:rsidRPr="0077612E">
          <w:rPr>
            <w:rStyle w:val="Hypertextovodkaz"/>
          </w:rPr>
          <w:t xml:space="preserve">rafu č. </w:t>
        </w:r>
        <w:r w:rsidR="000211A4" w:rsidRPr="0077612E">
          <w:rPr>
            <w:rStyle w:val="Hypertextovodkaz"/>
          </w:rPr>
          <w:t>18</w:t>
        </w:r>
      </w:hyperlink>
      <w:r w:rsidR="00444D0E" w:rsidRPr="000211A4">
        <w:t xml:space="preserve"> a </w:t>
      </w:r>
      <w:hyperlink w:anchor="_Graf_č._19:" w:history="1">
        <w:r w:rsidR="00CB7412">
          <w:rPr>
            <w:rStyle w:val="Hypertextovodkaz"/>
          </w:rPr>
          <w:t>g</w:t>
        </w:r>
        <w:r w:rsidR="00444D0E" w:rsidRPr="0077612E">
          <w:rPr>
            <w:rStyle w:val="Hypertextovodkaz"/>
          </w:rPr>
          <w:t xml:space="preserve">rafu č. </w:t>
        </w:r>
        <w:r w:rsidR="000211A4" w:rsidRPr="0077612E">
          <w:rPr>
            <w:rStyle w:val="Hypertextovodkaz"/>
          </w:rPr>
          <w:t>19</w:t>
        </w:r>
      </w:hyperlink>
      <w:r w:rsidR="00444D0E" w:rsidRPr="004B7295">
        <w:t>, pro ženy je také mnohem obvyklejší</w:t>
      </w:r>
      <w:r w:rsidR="00B814A3" w:rsidRPr="004B7295">
        <w:t xml:space="preserve"> </w:t>
      </w:r>
      <w:r w:rsidR="00CD2B68">
        <w:t>–</w:t>
      </w:r>
      <w:r w:rsidR="0008793A" w:rsidRPr="004B7295">
        <w:t xml:space="preserve"> zejména ve výše kvalifikovaných skupinách,</w:t>
      </w:r>
      <w:r w:rsidR="00444D0E" w:rsidRPr="004B7295">
        <w:t xml:space="preserve"> kombinovat mimopracovně</w:t>
      </w:r>
      <w:r w:rsidR="00006B90">
        <w:t xml:space="preserve"> </w:t>
      </w:r>
      <w:r w:rsidR="00444D0E" w:rsidRPr="004B7295">
        <w:t>orientované neformální vzdělávání se vzdělávacími aktivitami, které absolvují v práci (resp. z pracovních důvodů).</w:t>
      </w:r>
    </w:p>
    <w:p w:rsidR="00B814A3" w:rsidRPr="003419D8" w:rsidRDefault="00844EE4" w:rsidP="00280224">
      <w:pPr>
        <w:jc w:val="both"/>
      </w:pPr>
      <w:r w:rsidRPr="004B7295">
        <w:t xml:space="preserve">Z hlediska absolvovaných </w:t>
      </w:r>
      <w:r w:rsidR="00006B90">
        <w:t xml:space="preserve">aktivit odpovídají mimopracovně </w:t>
      </w:r>
      <w:r w:rsidRPr="004B7295">
        <w:t xml:space="preserve">orientované aktivity neformálního vzdělávání </w:t>
      </w:r>
      <w:r w:rsidR="00977C02" w:rsidRPr="003419D8">
        <w:t xml:space="preserve">obvyklé představě „tradičního“ volnočasového vzdělávání. </w:t>
      </w:r>
    </w:p>
    <w:p w:rsidR="00977C02" w:rsidRPr="004B7295" w:rsidRDefault="00977C02" w:rsidP="00A536A6">
      <w:pPr>
        <w:pStyle w:val="Nadpis4"/>
      </w:pPr>
      <w:bookmarkStart w:id="100" w:name="_Toc505872837"/>
      <w:bookmarkStart w:id="101" w:name="_Toc506308545"/>
      <w:r w:rsidRPr="003419D8">
        <w:lastRenderedPageBreak/>
        <w:t xml:space="preserve">Graf č. </w:t>
      </w:r>
      <w:r w:rsidR="00A536A6" w:rsidRPr="003419D8">
        <w:t>25</w:t>
      </w:r>
      <w:r w:rsidRPr="003419D8">
        <w:t xml:space="preserve">: Struktura aktivit </w:t>
      </w:r>
      <w:r w:rsidR="00705950" w:rsidRPr="003419D8">
        <w:t>mimo</w:t>
      </w:r>
      <w:r w:rsidR="00462266">
        <w:t xml:space="preserve">pracovně </w:t>
      </w:r>
      <w:r w:rsidRPr="003419D8">
        <w:t>orientovaného neformálního vzdělávání</w:t>
      </w:r>
      <w:r w:rsidR="00462266">
        <w:t xml:space="preserve"> dle oborů vzdělávání ISCED-F</w:t>
      </w:r>
      <w:r w:rsidRPr="003419D8">
        <w:t xml:space="preserve"> (18–69 let)</w:t>
      </w:r>
      <w:bookmarkEnd w:id="100"/>
      <w:bookmarkEnd w:id="101"/>
    </w:p>
    <w:p w:rsidR="00977C02" w:rsidRPr="004B7295" w:rsidRDefault="00A344BE" w:rsidP="00092457">
      <w:pPr>
        <w:spacing w:after="120"/>
        <w:jc w:val="both"/>
      </w:pPr>
      <w:r>
        <w:rPr>
          <w:noProof/>
        </w:rPr>
        <w:drawing>
          <wp:anchor distT="0" distB="0" distL="114300" distR="114300" simplePos="0" relativeHeight="251672064" behindDoc="1" locked="0" layoutInCell="1" allowOverlap="1" wp14:anchorId="5F24B607" wp14:editId="1E68062F">
            <wp:simplePos x="0" y="0"/>
            <wp:positionH relativeFrom="column">
              <wp:posOffset>2508885</wp:posOffset>
            </wp:positionH>
            <wp:positionV relativeFrom="paragraph">
              <wp:posOffset>-1905</wp:posOffset>
            </wp:positionV>
            <wp:extent cx="3467100" cy="2543175"/>
            <wp:effectExtent l="0" t="0" r="0" b="0"/>
            <wp:wrapNone/>
            <wp:docPr id="82" name="Graf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anchor>
        </w:drawing>
      </w:r>
      <w:r w:rsidR="00977C02" w:rsidRPr="004B7295">
        <w:rPr>
          <w:noProof/>
        </w:rPr>
        <w:t xml:space="preserve"> </w:t>
      </w:r>
      <w:r w:rsidRPr="00A344BE">
        <w:rPr>
          <w:noProof/>
        </w:rPr>
        <w:drawing>
          <wp:inline distT="0" distB="0" distL="0" distR="0" wp14:anchorId="17C1F22C" wp14:editId="06744533">
            <wp:extent cx="3457575" cy="2781300"/>
            <wp:effectExtent l="0" t="0" r="0" b="0"/>
            <wp:docPr id="81" name="Graf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r w:rsidRPr="00A344BE">
        <w:rPr>
          <w:noProof/>
        </w:rPr>
        <w:t xml:space="preserve"> </w:t>
      </w:r>
    </w:p>
    <w:p w:rsidR="00977C02" w:rsidRPr="004B7295" w:rsidRDefault="00092457" w:rsidP="00977C02">
      <w:pPr>
        <w:spacing w:after="0"/>
        <w:jc w:val="both"/>
        <w:rPr>
          <w:sz w:val="16"/>
        </w:rPr>
      </w:pPr>
      <w:r>
        <w:rPr>
          <w:sz w:val="16"/>
        </w:rPr>
        <w:t>Pozn.: kategorie O</w:t>
      </w:r>
      <w:r w:rsidR="00977C02" w:rsidRPr="004B7295">
        <w:rPr>
          <w:sz w:val="16"/>
        </w:rPr>
        <w:t>statní zahrnuje v pořadí od nejčastěji zastoupených</w:t>
      </w:r>
      <w:r w:rsidR="00462266">
        <w:rPr>
          <w:sz w:val="16"/>
        </w:rPr>
        <w:t xml:space="preserve"> (dle počtu aktivit) následující</w:t>
      </w:r>
      <w:r w:rsidR="00977C02" w:rsidRPr="004B7295">
        <w:rPr>
          <w:sz w:val="16"/>
        </w:rPr>
        <w:t xml:space="preserve"> kategorie</w:t>
      </w:r>
      <w:r w:rsidR="004A2FDF">
        <w:rPr>
          <w:sz w:val="16"/>
        </w:rPr>
        <w:t>:</w:t>
      </w:r>
      <w:r w:rsidR="00977C02" w:rsidRPr="004B7295">
        <w:rPr>
          <w:sz w:val="16"/>
        </w:rPr>
        <w:t xml:space="preserve"> Obchod, administrativa a</w:t>
      </w:r>
      <w:r w:rsidR="00462266">
        <w:rPr>
          <w:sz w:val="16"/>
        </w:rPr>
        <w:t> </w:t>
      </w:r>
      <w:r w:rsidR="00977C02" w:rsidRPr="004B7295">
        <w:rPr>
          <w:sz w:val="16"/>
        </w:rPr>
        <w:t>právo, Informační a</w:t>
      </w:r>
      <w:r w:rsidR="00BD08CF">
        <w:rPr>
          <w:sz w:val="16"/>
        </w:rPr>
        <w:t> </w:t>
      </w:r>
      <w:r w:rsidR="00977C02" w:rsidRPr="004B7295">
        <w:rPr>
          <w:sz w:val="16"/>
        </w:rPr>
        <w:t>komunikační technologie, Všeobecné vzdělávání, Společenské vědy, žurnalistika a informační vědy, Technika, výroba a stavebnictví, Zemědělství, lesnictví, rybářství a veterinářství, Vzdělávání a výchova, Přírodní vědy, matematika a statistika.</w:t>
      </w:r>
    </w:p>
    <w:p w:rsidR="00977C02" w:rsidRPr="004B7295" w:rsidRDefault="00977C02" w:rsidP="00092457">
      <w:pPr>
        <w:jc w:val="both"/>
      </w:pPr>
      <w:r w:rsidRPr="004B7295">
        <w:t>Zdroj: AES 2016, ČSÚ</w:t>
      </w:r>
    </w:p>
    <w:p w:rsidR="00977C02" w:rsidRPr="006241DA" w:rsidRDefault="00006B90" w:rsidP="00092457">
      <w:pPr>
        <w:jc w:val="both"/>
      </w:pPr>
      <w:r>
        <w:t xml:space="preserve">Obdobně jako v případě pracovně </w:t>
      </w:r>
      <w:r w:rsidR="00977C02" w:rsidRPr="006241DA">
        <w:t>orientovaného vzdělávání představují významnou část mimopracovně</w:t>
      </w:r>
      <w:r>
        <w:t xml:space="preserve"> </w:t>
      </w:r>
      <w:r w:rsidR="00977C02" w:rsidRPr="006241DA">
        <w:t>orientovaného vzdělávání kurzy či soukromé lekce cizích jazyků, kterých se ve sledovaném období 12</w:t>
      </w:r>
      <w:r w:rsidR="006241DA">
        <w:t> </w:t>
      </w:r>
      <w:r w:rsidR="00977C02" w:rsidRPr="006241DA">
        <w:t xml:space="preserve">měsíců účastnila z mimopracovních důvodů 4 % populace </w:t>
      </w:r>
      <w:r w:rsidR="000211A4" w:rsidRPr="006241DA">
        <w:t xml:space="preserve">ve věku </w:t>
      </w:r>
      <w:r w:rsidR="00092457">
        <w:t>18–69 let (a např.</w:t>
      </w:r>
      <w:r w:rsidR="00977C02" w:rsidRPr="006241DA">
        <w:t xml:space="preserve"> více než každý desátý student). Další frekventovaná oblast sdružuje pod souhrnným názvem </w:t>
      </w:r>
      <w:r w:rsidR="0090250A" w:rsidRPr="006241DA">
        <w:t>S</w:t>
      </w:r>
      <w:r w:rsidR="00977C02" w:rsidRPr="006241DA">
        <w:t>lužby rozmanitou kategorii vzdělávacích aktivit. Nejčastěji j</w:t>
      </w:r>
      <w:r w:rsidR="0090250A" w:rsidRPr="006241DA">
        <w:t>e</w:t>
      </w:r>
      <w:r w:rsidR="00977C02" w:rsidRPr="006241DA">
        <w:t xml:space="preserve"> zde zastoupen</w:t>
      </w:r>
      <w:r w:rsidR="0090250A" w:rsidRPr="006241DA">
        <w:t>o</w:t>
      </w:r>
      <w:r w:rsidR="00977C02" w:rsidRPr="006241DA">
        <w:t xml:space="preserve"> </w:t>
      </w:r>
      <w:r w:rsidR="0090250A" w:rsidRPr="006241DA">
        <w:t>vzdělávání</w:t>
      </w:r>
      <w:r w:rsidR="004B7295" w:rsidRPr="006241DA">
        <w:t xml:space="preserve"> v oblasti sportu (9 %), </w:t>
      </w:r>
      <w:r w:rsidR="00977C02" w:rsidRPr="006241DA">
        <w:t>následova</w:t>
      </w:r>
      <w:r w:rsidR="004B7295" w:rsidRPr="006241DA">
        <w:t>né vzděláváním spadajícím do kategorie Přepravní služby a spoje (7 %), které z naprosté většiny zahrnují kurzy pro získání řidičského oprávnění</w:t>
      </w:r>
      <w:r w:rsidR="004A2FDF" w:rsidRPr="006241DA">
        <w:t xml:space="preserve"> (či zdokonalení řidičských schopností)</w:t>
      </w:r>
      <w:r w:rsidR="0090250A" w:rsidRPr="006241DA">
        <w:t>. D</w:t>
      </w:r>
      <w:r w:rsidR="004B7295" w:rsidRPr="006241DA">
        <w:t>ále zde však lze nalézt také kurzy vaření (resp. hotelnictví, restauratérství apod. – 2 %) či vzdělávání z oblasti bezpečnostních služeb (2</w:t>
      </w:r>
      <w:r w:rsidR="006241DA">
        <w:t> </w:t>
      </w:r>
      <w:r w:rsidR="004B7295" w:rsidRPr="006241DA">
        <w:t>%), zahrnující kurzy sebeobrany, hasičského výcviku, střelby apod. Třetí nejobsáhlejší kategorii mimo-pracovního nefor</w:t>
      </w:r>
      <w:r w:rsidR="000211A4" w:rsidRPr="006241DA">
        <w:t>málního vzdělávání představuje U</w:t>
      </w:r>
      <w:r w:rsidR="004B7295" w:rsidRPr="006241DA">
        <w:t>mění a humanitní vědy, ve kter</w:t>
      </w:r>
      <w:r w:rsidR="00092457">
        <w:t>é</w:t>
      </w:r>
      <w:r w:rsidR="0090250A" w:rsidRPr="006241DA">
        <w:t xml:space="preserve"> </w:t>
      </w:r>
      <w:r w:rsidR="00CD2B68">
        <w:t>–</w:t>
      </w:r>
      <w:r w:rsidR="004B7295" w:rsidRPr="006241DA">
        <w:t xml:space="preserve"> po vyjmutí cizích jazyků, které tato kategorie v širším členě</w:t>
      </w:r>
      <w:r w:rsidR="006241DA">
        <w:t>ní zahrnuje</w:t>
      </w:r>
      <w:r w:rsidR="00092457">
        <w:t xml:space="preserve"> –</w:t>
      </w:r>
      <w:r w:rsidR="006241DA">
        <w:t xml:space="preserve"> převažují výtvarné</w:t>
      </w:r>
      <w:r w:rsidR="004B7295" w:rsidRPr="006241DA">
        <w:t xml:space="preserve"> kurzy (4 %), vzdělávání v oblasti uměleckých řemesel (5 %) či hudební a taneční kurzy (6 %). </w:t>
      </w:r>
      <w:r w:rsidR="004A2FDF" w:rsidRPr="006241DA">
        <w:t xml:space="preserve">V oblasti Zdravotní a sociální péče jsou poté nejčastěji zastoupeny vzdělávací aktivity z oblasti Terapie a rehabilitace, Alternativní medicíny či Péče o děti a mládež. </w:t>
      </w:r>
    </w:p>
    <w:p w:rsidR="004A2FDF" w:rsidRPr="006241DA" w:rsidRDefault="004A2FDF" w:rsidP="00280224">
      <w:pPr>
        <w:jc w:val="both"/>
      </w:pPr>
      <w:r w:rsidRPr="006241DA">
        <w:t>K takto nastíněné podobě volnočasového vzdělávání se poté váže také délka trvání těchto vzdělávacích aktivit, která je značně variabilní, ale z velké části zahrnuje dlouhotrvajíc</w:t>
      </w:r>
      <w:r w:rsidR="00A238C2" w:rsidRPr="006241DA">
        <w:t>í kurzy, jejichž výsledkem je</w:t>
      </w:r>
      <w:r w:rsidRPr="006241DA">
        <w:t>, že</w:t>
      </w:r>
      <w:r w:rsidR="00CD2B68">
        <w:t> </w:t>
      </w:r>
      <w:r w:rsidRPr="006241DA">
        <w:t>m</w:t>
      </w:r>
      <w:r w:rsidR="00A238C2" w:rsidRPr="006241DA">
        <w:t>i</w:t>
      </w:r>
      <w:r w:rsidRPr="006241DA">
        <w:t>m</w:t>
      </w:r>
      <w:r w:rsidR="00A238C2" w:rsidRPr="006241DA">
        <w:t>o</w:t>
      </w:r>
      <w:r w:rsidRPr="006241DA">
        <w:t xml:space="preserve">pracovně orientovaným vzděláváním jeho účastníci tráví průměrně dvakrát více času, než vzděláváním pracovním (54 hodin ročně vs. 28 hodin ročně). </w:t>
      </w:r>
      <w:r w:rsidR="00E80A44" w:rsidRPr="006241DA">
        <w:t>Také důvody účasti odpovídají požadovanému zhodnocení do</w:t>
      </w:r>
      <w:r w:rsidR="0090250A" w:rsidRPr="006241DA">
        <w:t xml:space="preserve"> vzdělávání investovaného času </w:t>
      </w:r>
      <w:r w:rsidR="00CD2B68">
        <w:t>–</w:t>
      </w:r>
      <w:r w:rsidR="0090250A" w:rsidRPr="006241DA">
        <w:t xml:space="preserve"> </w:t>
      </w:r>
      <w:r w:rsidR="00E80A44" w:rsidRPr="006241DA">
        <w:t xml:space="preserve">lidé </w:t>
      </w:r>
      <w:r w:rsidR="0090250A" w:rsidRPr="006241DA">
        <w:t xml:space="preserve">se </w:t>
      </w:r>
      <w:r w:rsidR="00E80A44" w:rsidRPr="006241DA">
        <w:t>nejčastěji účastní jiného než pracovního vzdělávání z důvodu prohloubení znalostí a dovedností v oblasti, která je zajímá (tento důvod byl deklarován u více než 73 %</w:t>
      </w:r>
      <w:r w:rsidR="0090250A" w:rsidRPr="006241DA">
        <w:t xml:space="preserve"> aktivit), následova</w:t>
      </w:r>
      <w:r w:rsidR="00E80A44" w:rsidRPr="006241DA">
        <w:t>n</w:t>
      </w:r>
      <w:r w:rsidR="0090250A" w:rsidRPr="006241DA">
        <w:t>ým</w:t>
      </w:r>
      <w:r w:rsidR="00E80A44" w:rsidRPr="006241DA">
        <w:t xml:space="preserve"> snahou získat znalosti a dovednosti užitečné v každodenním životě (44 %) a</w:t>
      </w:r>
      <w:r w:rsidR="00BD08CF">
        <w:t> </w:t>
      </w:r>
      <w:r w:rsidR="00E80A44" w:rsidRPr="006241DA">
        <w:t>společenskou motivací, resp. zájmem potkat nové lidi či se zabavit (41 %). Ostatní důvody (jejichž</w:t>
      </w:r>
      <w:r w:rsidR="00CD2B68">
        <w:t xml:space="preserve"> výčet odpovídá těm</w:t>
      </w:r>
      <w:r w:rsidR="000211A4" w:rsidRPr="006241DA">
        <w:t xml:space="preserve"> uvedeným</w:t>
      </w:r>
      <w:r w:rsidR="00E80A44" w:rsidRPr="006241DA">
        <w:t xml:space="preserve"> v </w:t>
      </w:r>
      <w:hyperlink w:anchor="_Tabulka_č._2:" w:history="1">
        <w:r w:rsidR="00CB7412">
          <w:rPr>
            <w:rStyle w:val="Hypertextovodkaz"/>
          </w:rPr>
          <w:t>t</w:t>
        </w:r>
        <w:r w:rsidR="00E80A44" w:rsidRPr="00CD2B68">
          <w:rPr>
            <w:rStyle w:val="Hypertextovodkaz"/>
          </w:rPr>
          <w:t xml:space="preserve">abulce č. </w:t>
        </w:r>
        <w:r w:rsidR="000211A4" w:rsidRPr="00CD2B68">
          <w:rPr>
            <w:rStyle w:val="Hypertextovodkaz"/>
          </w:rPr>
          <w:t>2</w:t>
        </w:r>
      </w:hyperlink>
      <w:r w:rsidR="00E80A44" w:rsidRPr="006241DA">
        <w:t>) jsou zastoupeny spíše minoritně s výjimkou snahy o získání certifikátu, která byla jedním z důvodů účast</w:t>
      </w:r>
      <w:r w:rsidR="00006B90">
        <w:t xml:space="preserve">i ve více než 17 % mimopracovně </w:t>
      </w:r>
      <w:r w:rsidR="00E80A44" w:rsidRPr="006241DA">
        <w:t>orientovaných aktivit (přičemž se jednalo o pestrý mix vzdělávacích aktivit s převahou jazykových kurzů</w:t>
      </w:r>
      <w:r w:rsidR="0042619C" w:rsidRPr="006241DA">
        <w:t xml:space="preserve"> a vzdělávání v oblasti dopravy či sportu).</w:t>
      </w:r>
      <w:r w:rsidR="00E80A44" w:rsidRPr="006241DA">
        <w:t xml:space="preserve"> </w:t>
      </w:r>
    </w:p>
    <w:p w:rsidR="00844EE4" w:rsidRDefault="0042619C" w:rsidP="00280224">
      <w:pPr>
        <w:jc w:val="both"/>
      </w:pPr>
      <w:r w:rsidRPr="006241DA">
        <w:lastRenderedPageBreak/>
        <w:t>Poskytovatelem vzdělávání byla přibližně v polovině příkladů vzdělávací</w:t>
      </w:r>
      <w:r>
        <w:t xml:space="preserve"> instituce poskytující převážně neformální vzdělávání (tj. např. jazyková škola, autoškola, taneční škola apod.), následovaná ve více než čtvrtině případů jednotlivcem (soukromou osobou, např. lektorem poskytujícím soukromé lekce). </w:t>
      </w:r>
      <w:r w:rsidR="00006B90">
        <w:t xml:space="preserve">Přibližně desetinu mimopracovně </w:t>
      </w:r>
      <w:r>
        <w:t xml:space="preserve">orientovaných vzdělávacích aktivit pak účastníci absolvovali prostřednictvím formální vzdělávací instituce (např. vysoká škola poskytující kurzy univerzity třetího věku apod.). </w:t>
      </w:r>
    </w:p>
    <w:p w:rsidR="00A0046C" w:rsidRPr="00A0046C" w:rsidRDefault="0042619C" w:rsidP="00280224">
      <w:pPr>
        <w:jc w:val="both"/>
      </w:pPr>
      <w:r>
        <w:t>Co se týče hrazení nákladů za toto vz</w:t>
      </w:r>
      <w:r w:rsidR="00006B90">
        <w:t xml:space="preserve">dělávání, na rozdíl od pracovně </w:t>
      </w:r>
      <w:r>
        <w:t xml:space="preserve">orientovaného vzdělávání, které je v naprosté většině případů hrazeno zaměstnavatelem, </w:t>
      </w:r>
      <w:r w:rsidR="00A0046C">
        <w:t>museli</w:t>
      </w:r>
      <w:r>
        <w:t xml:space="preserve"> účastníci volnočasových aktivit </w:t>
      </w:r>
      <w:r w:rsidR="00A0046C">
        <w:t>hradit toto vzdělávání z vlastních zdrojů</w:t>
      </w:r>
      <w:r>
        <w:t>.</w:t>
      </w:r>
      <w:r w:rsidR="00A0046C">
        <w:t xml:space="preserve"> Příspěvek zaměstnavatele (ať už v plné či částečné výši nákladů na</w:t>
      </w:r>
      <w:r w:rsidR="0006282F">
        <w:t> </w:t>
      </w:r>
      <w:r w:rsidR="00A0046C">
        <w:t xml:space="preserve">vzdělávání) se týkal pouze zanedbatelného množství (přibližně 4 </w:t>
      </w:r>
      <w:r w:rsidR="00A0046C">
        <w:rPr>
          <w:lang w:val="en-US"/>
        </w:rPr>
        <w:t xml:space="preserve">%) </w:t>
      </w:r>
      <w:r w:rsidR="00A0046C" w:rsidRPr="006241DA">
        <w:t>volnočasových</w:t>
      </w:r>
      <w:r w:rsidR="00A0046C">
        <w:t xml:space="preserve"> vzdělávacích aktivit. Průměrné osobní náklady hrazené účastníkem mimopracovně</w:t>
      </w:r>
      <w:r w:rsidR="00006B90">
        <w:t xml:space="preserve"> </w:t>
      </w:r>
      <w:r w:rsidR="00A0046C">
        <w:t>orientovaného vzdělávání za jeho vzdělávací aktivity v předc</w:t>
      </w:r>
      <w:r w:rsidR="0090250A">
        <w:t>hozích 12 měsících představovaly</w:t>
      </w:r>
      <w:r w:rsidR="00A0046C">
        <w:t xml:space="preserve"> přibližně 5 </w:t>
      </w:r>
      <w:r w:rsidR="0090250A">
        <w:t>600 Kč, přičemž významně klesaly</w:t>
      </w:r>
      <w:r w:rsidR="00A0046C">
        <w:t xml:space="preserve"> s věkem. Zatímco mladší osoby z v</w:t>
      </w:r>
      <w:r w:rsidR="0090250A">
        <w:t>ěkové kategorie 18–24 vydávaly</w:t>
      </w:r>
      <w:r w:rsidR="00A0046C">
        <w:t xml:space="preserve"> za své volnočasové vzdělávání až 7 400 Kč ročně a výše nákladů u osob v produktivním věku stále ještě převyšovala průměr, ve věkové kategorii 55–64 let hradili účastníci mimopracovně</w:t>
      </w:r>
      <w:r w:rsidR="00006B90">
        <w:t xml:space="preserve"> </w:t>
      </w:r>
      <w:r w:rsidR="00A0046C">
        <w:t>orientovaného neformálního vzdělávání průměrně 3 600 Kč ročně a</w:t>
      </w:r>
      <w:r w:rsidR="0006282F">
        <w:t> </w:t>
      </w:r>
      <w:r w:rsidR="00A0046C">
        <w:t>v</w:t>
      </w:r>
      <w:r w:rsidR="00CD2B68">
        <w:t> </w:t>
      </w:r>
      <w:r w:rsidR="00A0046C">
        <w:t>nejs</w:t>
      </w:r>
      <w:r w:rsidR="00906275">
        <w:t>tarší sledované věkové kategorii</w:t>
      </w:r>
      <w:r w:rsidR="00A0046C">
        <w:t xml:space="preserve"> 65–69 let již „jen“ 2 800 Kč. Tomuto přehledu odpovídá rozdělení nákladů dle obvyklého ekonomického postavení, kdy se studenti účastní </w:t>
      </w:r>
      <w:r w:rsidR="0057104E">
        <w:t xml:space="preserve">téměř </w:t>
      </w:r>
      <w:r w:rsidR="00A0046C">
        <w:t>třikrát nákladnějšího mimopracovně</w:t>
      </w:r>
      <w:r w:rsidR="00006B90">
        <w:t xml:space="preserve"> </w:t>
      </w:r>
      <w:r w:rsidR="00A0046C">
        <w:t>orientovaného neformálního vzdělávání (7 500 Kč) než starobní důchodci</w:t>
      </w:r>
      <w:r w:rsidR="00A11CE9">
        <w:t xml:space="preserve"> do věku 69 let</w:t>
      </w:r>
      <w:r w:rsidR="00A0046C">
        <w:t xml:space="preserve"> (</w:t>
      </w:r>
      <w:r w:rsidR="0057104E">
        <w:t xml:space="preserve">2 800 Kč). </w:t>
      </w:r>
    </w:p>
    <w:p w:rsidR="006F56C4" w:rsidRPr="004B7295" w:rsidRDefault="006F56C4" w:rsidP="00280224">
      <w:pPr>
        <w:jc w:val="both"/>
      </w:pPr>
      <w:r w:rsidRPr="004B7295">
        <w:br w:type="page"/>
      </w:r>
    </w:p>
    <w:p w:rsidR="00C73AA9" w:rsidRPr="004B7295" w:rsidRDefault="00B17E8B" w:rsidP="0044416B">
      <w:pPr>
        <w:pStyle w:val="Nadpis1"/>
      </w:pPr>
      <w:bookmarkStart w:id="102" w:name="_Toc505785839"/>
      <w:bookmarkStart w:id="103" w:name="_Toc506969423"/>
      <w:r>
        <w:lastRenderedPageBreak/>
        <w:t>Přístupy a postoje k dalšímu vzdělávání</w:t>
      </w:r>
      <w:bookmarkEnd w:id="102"/>
      <w:bookmarkEnd w:id="103"/>
    </w:p>
    <w:p w:rsidR="00B17E8B" w:rsidRPr="005E1FE8" w:rsidRDefault="00B17E8B" w:rsidP="000D6721">
      <w:pPr>
        <w:spacing w:line="312" w:lineRule="auto"/>
        <w:jc w:val="both"/>
        <w:rPr>
          <w:rFonts w:cs="Arial"/>
          <w:szCs w:val="20"/>
        </w:rPr>
      </w:pPr>
      <w:r w:rsidRPr="005E1FE8">
        <w:rPr>
          <w:rFonts w:cs="Arial"/>
          <w:szCs w:val="20"/>
        </w:rPr>
        <w:t xml:space="preserve">Jak </w:t>
      </w:r>
      <w:r>
        <w:rPr>
          <w:rFonts w:cs="Arial"/>
          <w:szCs w:val="20"/>
        </w:rPr>
        <w:t>je zřejmé z předchozích kapitol věnujících se formálnímu a neformálnímu vzdělávání</w:t>
      </w:r>
      <w:r w:rsidRPr="005E1FE8">
        <w:rPr>
          <w:rFonts w:cs="Arial"/>
          <w:szCs w:val="20"/>
        </w:rPr>
        <w:t>, zapojení do</w:t>
      </w:r>
      <w:r>
        <w:rPr>
          <w:rFonts w:cs="Arial"/>
          <w:szCs w:val="20"/>
        </w:rPr>
        <w:t>spělých do dalšího</w:t>
      </w:r>
      <w:r w:rsidRPr="005E1FE8">
        <w:rPr>
          <w:rFonts w:cs="Arial"/>
          <w:szCs w:val="20"/>
        </w:rPr>
        <w:t xml:space="preserve"> vzdělávání je kombinací celé řady ekonomických, institucionálních, kulturních i</w:t>
      </w:r>
      <w:r w:rsidR="00BD08CF">
        <w:rPr>
          <w:rFonts w:cs="Arial"/>
          <w:szCs w:val="20"/>
        </w:rPr>
        <w:t> </w:t>
      </w:r>
      <w:r w:rsidRPr="005E1FE8">
        <w:rPr>
          <w:rFonts w:cs="Arial"/>
          <w:szCs w:val="20"/>
        </w:rPr>
        <w:t xml:space="preserve">sociálních faktorů, které ovlivňují postoje populace k dalšímu vzdělávání. Kromě </w:t>
      </w:r>
      <w:r>
        <w:rPr>
          <w:rFonts w:cs="Arial"/>
          <w:szCs w:val="20"/>
        </w:rPr>
        <w:t>ekonomické vyspělosti země a s n</w:t>
      </w:r>
      <w:r w:rsidR="00CD2B68">
        <w:rPr>
          <w:rFonts w:cs="Arial"/>
          <w:szCs w:val="20"/>
        </w:rPr>
        <w:t>í související životní úrovně</w:t>
      </w:r>
      <w:r w:rsidRPr="005E1FE8">
        <w:rPr>
          <w:rFonts w:cs="Arial"/>
          <w:szCs w:val="20"/>
        </w:rPr>
        <w:t xml:space="preserve"> obyvatelstva hraje roli kvalita institucionálního a legislativního prostředí či struktura institucí, které nabízejí další vzdělávání a</w:t>
      </w:r>
      <w:r>
        <w:rPr>
          <w:rFonts w:cs="Arial"/>
          <w:szCs w:val="20"/>
        </w:rPr>
        <w:t> </w:t>
      </w:r>
      <w:r w:rsidRPr="005E1FE8">
        <w:rPr>
          <w:rFonts w:cs="Arial"/>
          <w:szCs w:val="20"/>
        </w:rPr>
        <w:t xml:space="preserve">kvalita a dostupnost jimi nabízených programů. V situaci, kdy je velká část dalšího vzdělávání </w:t>
      </w:r>
      <w:r w:rsidR="00462266">
        <w:rPr>
          <w:rFonts w:cs="Arial"/>
          <w:szCs w:val="20"/>
        </w:rPr>
        <w:t>realizována</w:t>
      </w:r>
      <w:r w:rsidRPr="005E1FE8">
        <w:rPr>
          <w:rFonts w:cs="Arial"/>
          <w:szCs w:val="20"/>
        </w:rPr>
        <w:t xml:space="preserve"> v úzké vazbě na konkrétní prof</w:t>
      </w:r>
      <w:r>
        <w:rPr>
          <w:rFonts w:cs="Arial"/>
          <w:szCs w:val="20"/>
        </w:rPr>
        <w:t>esi a/či</w:t>
      </w:r>
      <w:r w:rsidR="009505C9">
        <w:rPr>
          <w:rFonts w:cs="Arial"/>
          <w:szCs w:val="20"/>
        </w:rPr>
        <w:t> </w:t>
      </w:r>
      <w:r>
        <w:rPr>
          <w:rFonts w:cs="Arial"/>
          <w:szCs w:val="20"/>
        </w:rPr>
        <w:t>z popudu zaměstnavatele</w:t>
      </w:r>
      <w:r w:rsidRPr="005E1FE8">
        <w:rPr>
          <w:rFonts w:cs="Arial"/>
          <w:szCs w:val="20"/>
        </w:rPr>
        <w:t xml:space="preserve">, </w:t>
      </w:r>
      <w:r>
        <w:rPr>
          <w:rFonts w:cs="Arial"/>
          <w:szCs w:val="20"/>
        </w:rPr>
        <w:t xml:space="preserve">jsou zásadní </w:t>
      </w:r>
      <w:r w:rsidRPr="005E1FE8">
        <w:rPr>
          <w:rFonts w:cs="Arial"/>
          <w:szCs w:val="20"/>
        </w:rPr>
        <w:t>vnitřní i vnější stimuly podněcující vzdělávání pracovní síly</w:t>
      </w:r>
      <w:r>
        <w:rPr>
          <w:rFonts w:cs="Arial"/>
          <w:szCs w:val="20"/>
        </w:rPr>
        <w:t xml:space="preserve">, jako je </w:t>
      </w:r>
      <w:r w:rsidRPr="005E1FE8">
        <w:rPr>
          <w:rFonts w:cs="Arial"/>
          <w:szCs w:val="20"/>
        </w:rPr>
        <w:t xml:space="preserve">podoba trhu práce, struktura ekonomiky, technická náročnost produkce </w:t>
      </w:r>
      <w:r>
        <w:rPr>
          <w:rFonts w:cs="Arial"/>
          <w:szCs w:val="20"/>
        </w:rPr>
        <w:t>či</w:t>
      </w:r>
      <w:r w:rsidRPr="005E1FE8">
        <w:rPr>
          <w:rFonts w:cs="Arial"/>
          <w:szCs w:val="20"/>
        </w:rPr>
        <w:t xml:space="preserve"> míra zav</w:t>
      </w:r>
      <w:r>
        <w:rPr>
          <w:rFonts w:cs="Arial"/>
          <w:szCs w:val="20"/>
        </w:rPr>
        <w:t>ádění inovací v podnikové sféře</w:t>
      </w:r>
      <w:r w:rsidRPr="005E1FE8">
        <w:rPr>
          <w:rFonts w:cs="Arial"/>
          <w:szCs w:val="20"/>
        </w:rPr>
        <w:t xml:space="preserve">. Významnou roli hraje </w:t>
      </w:r>
      <w:r>
        <w:rPr>
          <w:rFonts w:cs="Arial"/>
          <w:szCs w:val="20"/>
        </w:rPr>
        <w:t>m</w:t>
      </w:r>
      <w:r w:rsidRPr="005E1FE8">
        <w:rPr>
          <w:rFonts w:cs="Arial"/>
          <w:szCs w:val="20"/>
        </w:rPr>
        <w:t>íra angažovanosti státu či regionálních institucí v zajišťování přístupu obyvatel k dalšímu vzdělávání a to, nakolik jsou veřejné instituce schopné zapojit do vzdělávání znevýhodněné skupiny obyvatelstva (např.</w:t>
      </w:r>
      <w:r>
        <w:rPr>
          <w:rFonts w:cs="Arial"/>
          <w:szCs w:val="20"/>
        </w:rPr>
        <w:t> nezaměstnané,</w:t>
      </w:r>
      <w:r w:rsidRPr="005E1FE8">
        <w:rPr>
          <w:rFonts w:cs="Arial"/>
          <w:szCs w:val="20"/>
        </w:rPr>
        <w:t xml:space="preserve"> </w:t>
      </w:r>
      <w:proofErr w:type="spellStart"/>
      <w:r w:rsidRPr="005E1FE8">
        <w:rPr>
          <w:rFonts w:cs="Arial"/>
          <w:szCs w:val="20"/>
        </w:rPr>
        <w:t>nízkokvalifikované</w:t>
      </w:r>
      <w:proofErr w:type="spellEnd"/>
      <w:r>
        <w:rPr>
          <w:rFonts w:cs="Arial"/>
          <w:szCs w:val="20"/>
        </w:rPr>
        <w:t xml:space="preserve">, </w:t>
      </w:r>
      <w:r w:rsidRPr="005E1FE8">
        <w:rPr>
          <w:rFonts w:cs="Arial"/>
          <w:szCs w:val="20"/>
        </w:rPr>
        <w:t>sociálně vyloučené či starší osoby).</w:t>
      </w:r>
    </w:p>
    <w:p w:rsidR="00B17E8B" w:rsidRDefault="00B17E8B" w:rsidP="000D6721">
      <w:pPr>
        <w:spacing w:line="312" w:lineRule="auto"/>
        <w:jc w:val="both"/>
        <w:rPr>
          <w:rFonts w:cs="Arial"/>
          <w:szCs w:val="20"/>
        </w:rPr>
      </w:pPr>
      <w:r w:rsidRPr="005E1FE8">
        <w:rPr>
          <w:rFonts w:cs="Arial"/>
          <w:szCs w:val="20"/>
        </w:rPr>
        <w:t>Kombinace těchto faktorů se společně s kulturou a tradicí daného prostředí odráží v postojích lidí, kteří</w:t>
      </w:r>
      <w:r>
        <w:rPr>
          <w:rFonts w:cs="Arial"/>
          <w:szCs w:val="20"/>
        </w:rPr>
        <w:t> </w:t>
      </w:r>
      <w:r w:rsidRPr="005E1FE8">
        <w:rPr>
          <w:rFonts w:cs="Arial"/>
          <w:szCs w:val="20"/>
        </w:rPr>
        <w:t xml:space="preserve">buď považují další vzdělávání za nezbytnou součást své kariéry i osobního života, nebo v něm vidí spíše časový a finanční náklad, někdy i ušlý </w:t>
      </w:r>
      <w:r w:rsidR="00906275">
        <w:rPr>
          <w:rFonts w:cs="Arial"/>
          <w:szCs w:val="20"/>
        </w:rPr>
        <w:t>zisk</w:t>
      </w:r>
      <w:r w:rsidRPr="005E1FE8">
        <w:rPr>
          <w:rFonts w:cs="Arial"/>
          <w:szCs w:val="20"/>
        </w:rPr>
        <w:t xml:space="preserve"> s nejistým přínosem do</w:t>
      </w:r>
      <w:r>
        <w:rPr>
          <w:rFonts w:cs="Arial"/>
          <w:szCs w:val="20"/>
        </w:rPr>
        <w:t> </w:t>
      </w:r>
      <w:r w:rsidRPr="005E1FE8">
        <w:rPr>
          <w:rFonts w:cs="Arial"/>
          <w:szCs w:val="20"/>
        </w:rPr>
        <w:t>budoucna.</w:t>
      </w:r>
    </w:p>
    <w:p w:rsidR="00B17E8B" w:rsidRPr="003419D8" w:rsidRDefault="00B17E8B" w:rsidP="000D6721">
      <w:pPr>
        <w:spacing w:line="312" w:lineRule="auto"/>
        <w:jc w:val="both"/>
        <w:rPr>
          <w:rFonts w:cs="Arial"/>
          <w:szCs w:val="20"/>
        </w:rPr>
      </w:pPr>
      <w:r w:rsidRPr="005E1FE8">
        <w:rPr>
          <w:rFonts w:cs="Arial"/>
          <w:szCs w:val="20"/>
        </w:rPr>
        <w:t>Celkové zapojení populace do dalšího (formálního i neformálního) vzdělávání, jako i vůli k</w:t>
      </w:r>
      <w:r>
        <w:rPr>
          <w:rFonts w:cs="Arial"/>
          <w:szCs w:val="20"/>
        </w:rPr>
        <w:t> </w:t>
      </w:r>
      <w:r w:rsidRPr="005E1FE8">
        <w:rPr>
          <w:rFonts w:cs="Arial"/>
          <w:szCs w:val="20"/>
        </w:rPr>
        <w:t>účasti</w:t>
      </w:r>
      <w:r>
        <w:rPr>
          <w:rFonts w:cs="Arial"/>
          <w:szCs w:val="20"/>
        </w:rPr>
        <w:t xml:space="preserve"> </w:t>
      </w:r>
      <w:r w:rsidRPr="003419D8">
        <w:rPr>
          <w:rFonts w:cs="Arial"/>
          <w:szCs w:val="20"/>
        </w:rPr>
        <w:t xml:space="preserve">či k rozšíření dosavadního zapojení do vzdělávání shrnuje v mezinárodním srovnání </w:t>
      </w:r>
      <w:hyperlink w:anchor="_Graf_č._26:" w:history="1">
        <w:r w:rsidR="00CB7412">
          <w:rPr>
            <w:rStyle w:val="Hypertextovodkaz"/>
            <w:rFonts w:cs="Arial"/>
            <w:szCs w:val="20"/>
          </w:rPr>
          <w:t>g</w:t>
        </w:r>
        <w:r w:rsidRPr="003419D8">
          <w:rPr>
            <w:rStyle w:val="Hypertextovodkaz"/>
            <w:rFonts w:cs="Arial"/>
            <w:szCs w:val="20"/>
          </w:rPr>
          <w:t xml:space="preserve">raf č. </w:t>
        </w:r>
        <w:r w:rsidR="00906275" w:rsidRPr="003419D8">
          <w:rPr>
            <w:rStyle w:val="Hypertextovodkaz"/>
            <w:rFonts w:cs="Arial"/>
            <w:szCs w:val="20"/>
          </w:rPr>
          <w:t>26</w:t>
        </w:r>
      </w:hyperlink>
      <w:r w:rsidRPr="003419D8">
        <w:rPr>
          <w:rFonts w:cs="Arial"/>
          <w:szCs w:val="20"/>
        </w:rPr>
        <w:t xml:space="preserve">. </w:t>
      </w:r>
    </w:p>
    <w:p w:rsidR="000D6721" w:rsidRDefault="000D6721" w:rsidP="00A536A6">
      <w:pPr>
        <w:pStyle w:val="Nadpis4"/>
      </w:pPr>
      <w:bookmarkStart w:id="104" w:name="_Graf_č._26:"/>
      <w:bookmarkStart w:id="105" w:name="_Toc505872838"/>
      <w:bookmarkStart w:id="106" w:name="_Toc506308493"/>
      <w:bookmarkStart w:id="107" w:name="_Toc506308546"/>
      <w:bookmarkEnd w:id="104"/>
      <w:r w:rsidRPr="003419D8">
        <w:t xml:space="preserve">Graf č. </w:t>
      </w:r>
      <w:r w:rsidR="00A536A6" w:rsidRPr="003419D8">
        <w:t>26</w:t>
      </w:r>
      <w:r w:rsidRPr="003419D8">
        <w:t>: Zapojení do vzdělávání a vůle k (dalšímu) zapojení do vzdělávání</w:t>
      </w:r>
      <w:r w:rsidR="00462266">
        <w:t xml:space="preserve"> </w:t>
      </w:r>
      <w:r w:rsidR="00462266" w:rsidRPr="003419D8">
        <w:t>(25–64 let)</w:t>
      </w:r>
      <w:r w:rsidR="00CD2B68">
        <w:t xml:space="preserve"> –</w:t>
      </w:r>
      <w:r w:rsidR="00AD6BF4" w:rsidRPr="003419D8">
        <w:t xml:space="preserve"> mezinárodní srovnání</w:t>
      </w:r>
      <w:bookmarkEnd w:id="105"/>
      <w:bookmarkEnd w:id="106"/>
      <w:bookmarkEnd w:id="107"/>
    </w:p>
    <w:p w:rsidR="00B17E8B" w:rsidRPr="005E1FE8" w:rsidRDefault="003505DF" w:rsidP="009505C9">
      <w:pPr>
        <w:spacing w:after="120" w:line="312" w:lineRule="auto"/>
        <w:rPr>
          <w:rFonts w:cs="Arial"/>
          <w:szCs w:val="20"/>
        </w:rPr>
      </w:pPr>
      <w:r>
        <w:rPr>
          <w:noProof/>
        </w:rPr>
        <w:drawing>
          <wp:inline distT="0" distB="0" distL="0" distR="0" wp14:anchorId="358F6662" wp14:editId="5957818F">
            <wp:extent cx="6115050" cy="4229100"/>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B17E8B" w:rsidRDefault="000D6721" w:rsidP="00B17E8B">
      <w:r>
        <w:t xml:space="preserve">Zdroj: AES 2016, </w:t>
      </w:r>
      <w:proofErr w:type="spellStart"/>
      <w:r>
        <w:t>Eurostat</w:t>
      </w:r>
      <w:proofErr w:type="spellEnd"/>
    </w:p>
    <w:p w:rsidR="0025127D" w:rsidRDefault="0025127D" w:rsidP="006A5F3C">
      <w:pPr>
        <w:spacing w:line="312" w:lineRule="auto"/>
        <w:jc w:val="both"/>
        <w:rPr>
          <w:rFonts w:cs="Arial"/>
          <w:szCs w:val="20"/>
        </w:rPr>
      </w:pPr>
      <w:r w:rsidRPr="005E1FE8">
        <w:rPr>
          <w:rFonts w:cs="Arial"/>
          <w:szCs w:val="20"/>
        </w:rPr>
        <w:lastRenderedPageBreak/>
        <w:t xml:space="preserve">Je zřejmé, že v celkovém zapojení dospělých do vzdělávání patří mezi </w:t>
      </w:r>
      <w:r>
        <w:rPr>
          <w:rFonts w:cs="Arial"/>
          <w:szCs w:val="20"/>
        </w:rPr>
        <w:t>vedoucí země</w:t>
      </w:r>
      <w:r w:rsidRPr="005E1FE8">
        <w:rPr>
          <w:rFonts w:cs="Arial"/>
          <w:szCs w:val="20"/>
        </w:rPr>
        <w:t xml:space="preserve"> Š</w:t>
      </w:r>
      <w:r>
        <w:rPr>
          <w:rFonts w:cs="Arial"/>
          <w:szCs w:val="20"/>
        </w:rPr>
        <w:t>výcarsko, Nizozemí, Rakousko a severské země jako jsou</w:t>
      </w:r>
      <w:r w:rsidRPr="005E1FE8">
        <w:rPr>
          <w:rFonts w:cs="Arial"/>
          <w:szCs w:val="20"/>
        </w:rPr>
        <w:t xml:space="preserve"> Švédsko, Norsko a Finsko. Všechny tyto </w:t>
      </w:r>
      <w:r>
        <w:rPr>
          <w:rFonts w:cs="Arial"/>
          <w:szCs w:val="20"/>
        </w:rPr>
        <w:t>státy</w:t>
      </w:r>
      <w:r w:rsidRPr="005E1FE8">
        <w:rPr>
          <w:rFonts w:cs="Arial"/>
          <w:szCs w:val="20"/>
        </w:rPr>
        <w:t xml:space="preserve"> dosahují vysoké účasti jak ve formálním, tak neformálním vzdělávání a zdá se, že průběžné vzdělávání se v nich stalo součástí běžného života většiny občanů. Na vysoké zapojení populace do</w:t>
      </w:r>
      <w:r>
        <w:rPr>
          <w:rFonts w:cs="Arial"/>
          <w:szCs w:val="20"/>
        </w:rPr>
        <w:t xml:space="preserve"> dalšího</w:t>
      </w:r>
      <w:r w:rsidRPr="005E1FE8">
        <w:rPr>
          <w:rFonts w:cs="Arial"/>
          <w:szCs w:val="20"/>
        </w:rPr>
        <w:t xml:space="preserve"> vzdělávání zde</w:t>
      </w:r>
      <w:r>
        <w:rPr>
          <w:rFonts w:cs="Arial"/>
          <w:szCs w:val="20"/>
        </w:rPr>
        <w:t> </w:t>
      </w:r>
      <w:r w:rsidRPr="005E1FE8">
        <w:rPr>
          <w:rFonts w:cs="Arial"/>
          <w:szCs w:val="20"/>
        </w:rPr>
        <w:t>má vliv zejména</w:t>
      </w:r>
      <w:r>
        <w:rPr>
          <w:rFonts w:cs="Arial"/>
          <w:szCs w:val="20"/>
        </w:rPr>
        <w:t xml:space="preserve"> flexibilita a individualizace vzdělávacích programů,</w:t>
      </w:r>
      <w:r w:rsidRPr="005E1FE8">
        <w:rPr>
          <w:rFonts w:cs="Arial"/>
          <w:szCs w:val="20"/>
        </w:rPr>
        <w:t xml:space="preserve"> dobré fungování institucí působících v dalším vzdělávání a</w:t>
      </w:r>
      <w:r>
        <w:rPr>
          <w:rFonts w:cs="Arial"/>
          <w:szCs w:val="20"/>
        </w:rPr>
        <w:t xml:space="preserve"> </w:t>
      </w:r>
      <w:r w:rsidRPr="005E1FE8">
        <w:rPr>
          <w:rFonts w:cs="Arial"/>
          <w:szCs w:val="20"/>
        </w:rPr>
        <w:t>(s</w:t>
      </w:r>
      <w:r>
        <w:rPr>
          <w:rFonts w:cs="Arial"/>
          <w:szCs w:val="20"/>
        </w:rPr>
        <w:t> </w:t>
      </w:r>
      <w:r w:rsidRPr="005E1FE8">
        <w:rPr>
          <w:rFonts w:cs="Arial"/>
          <w:szCs w:val="20"/>
        </w:rPr>
        <w:t>výjimkou Švýcarska)</w:t>
      </w:r>
      <w:r>
        <w:rPr>
          <w:rFonts w:cs="Arial"/>
          <w:szCs w:val="20"/>
        </w:rPr>
        <w:t> </w:t>
      </w:r>
      <w:r w:rsidRPr="005E1FE8">
        <w:rPr>
          <w:rFonts w:cs="Arial"/>
          <w:szCs w:val="20"/>
        </w:rPr>
        <w:t>významná angažovanost státu v této oblasti. Ve Švýcarsku jsou naopak veškeré řídící procesy ve vzdělávání silně decentralizované, což ovšem v kulturním kontextu přináší samostatnost a</w:t>
      </w:r>
      <w:r w:rsidR="006A5F3C">
        <w:rPr>
          <w:rFonts w:cs="Arial"/>
          <w:szCs w:val="20"/>
        </w:rPr>
        <w:t> </w:t>
      </w:r>
      <w:r w:rsidRPr="005E1FE8">
        <w:rPr>
          <w:rFonts w:cs="Arial"/>
          <w:szCs w:val="20"/>
        </w:rPr>
        <w:t>odpovědnost v rozhodování a</w:t>
      </w:r>
      <w:r>
        <w:rPr>
          <w:rFonts w:cs="Arial"/>
          <w:szCs w:val="20"/>
        </w:rPr>
        <w:t> </w:t>
      </w:r>
      <w:r w:rsidRPr="005E1FE8">
        <w:rPr>
          <w:rFonts w:cs="Arial"/>
          <w:szCs w:val="20"/>
        </w:rPr>
        <w:t>také velkou různorodost v nabídce vzdělávacích příležitostí. V podmínkách vysoké materiální úrovně jednotlivců i podniků a</w:t>
      </w:r>
      <w:r>
        <w:rPr>
          <w:rFonts w:cs="Arial"/>
          <w:szCs w:val="20"/>
        </w:rPr>
        <w:t> </w:t>
      </w:r>
      <w:r w:rsidRPr="005E1FE8">
        <w:rPr>
          <w:rFonts w:cs="Arial"/>
          <w:szCs w:val="20"/>
        </w:rPr>
        <w:t>dostatku finančních zdrojů ve veřejné správě toto schéma umožňuje Švýcarsku i</w:t>
      </w:r>
      <w:r>
        <w:rPr>
          <w:rFonts w:cs="Arial"/>
          <w:szCs w:val="20"/>
        </w:rPr>
        <w:t> </w:t>
      </w:r>
      <w:r w:rsidRPr="005E1FE8">
        <w:rPr>
          <w:rFonts w:cs="Arial"/>
          <w:szCs w:val="20"/>
        </w:rPr>
        <w:t xml:space="preserve">bez výrazných státních zásahů a aplikace stimulačních nástrojů dosahovat vysoké účasti </w:t>
      </w:r>
      <w:r w:rsidR="00906275">
        <w:rPr>
          <w:rFonts w:cs="Arial"/>
          <w:szCs w:val="20"/>
        </w:rPr>
        <w:t>v</w:t>
      </w:r>
      <w:r w:rsidRPr="005E1FE8">
        <w:rPr>
          <w:rFonts w:cs="Arial"/>
          <w:szCs w:val="20"/>
        </w:rPr>
        <w:t xml:space="preserve"> dalším vzdělávání.</w:t>
      </w:r>
      <w:r w:rsidR="00906275">
        <w:rPr>
          <w:rFonts w:cs="Arial"/>
          <w:szCs w:val="20"/>
        </w:rPr>
        <w:t xml:space="preserve"> Česká republika z pohledu účasti v dalším vzdělávání vykazuje průměrnou úroveň,</w:t>
      </w:r>
      <w:r w:rsidR="00CD2B68">
        <w:rPr>
          <w:rFonts w:cs="Arial"/>
          <w:szCs w:val="20"/>
        </w:rPr>
        <w:t xml:space="preserve"> přičemž</w:t>
      </w:r>
      <w:r w:rsidR="00906275">
        <w:rPr>
          <w:rFonts w:cs="Arial"/>
          <w:szCs w:val="20"/>
        </w:rPr>
        <w:t xml:space="preserve"> v kontextu podobně </w:t>
      </w:r>
      <w:r w:rsidR="00CD2B68">
        <w:rPr>
          <w:rFonts w:cs="Arial"/>
          <w:szCs w:val="20"/>
        </w:rPr>
        <w:t>postavených</w:t>
      </w:r>
      <w:r w:rsidR="00906275">
        <w:rPr>
          <w:rFonts w:cs="Arial"/>
          <w:szCs w:val="20"/>
        </w:rPr>
        <w:t xml:space="preserve"> států je zajímavý zejména její poměrně nízký potenciál dalšího vzdělávání, resp. vůle jejích občanů k vyššímu zapojení do vzdělávání (reprezentovaný nízkým podílem osob, které by rády svou dosavadní účast ve vzdělávání rozšířily, či by se do nějakého vzdělávání zapojily). </w:t>
      </w:r>
    </w:p>
    <w:p w:rsidR="0034023E" w:rsidRDefault="00AD6BF4" w:rsidP="00CD2B68">
      <w:pPr>
        <w:pStyle w:val="Nadpis4"/>
        <w:rPr>
          <w:spacing w:val="-8"/>
        </w:rPr>
      </w:pPr>
      <w:bookmarkStart w:id="108" w:name="_Toc505872839"/>
      <w:bookmarkStart w:id="109" w:name="_Toc506308547"/>
      <w:r w:rsidRPr="00CD2B68">
        <w:rPr>
          <w:spacing w:val="-8"/>
        </w:rPr>
        <w:t xml:space="preserve">Graf č. </w:t>
      </w:r>
      <w:r w:rsidR="00A536A6" w:rsidRPr="00CD2B68">
        <w:rPr>
          <w:spacing w:val="-8"/>
        </w:rPr>
        <w:t>27</w:t>
      </w:r>
      <w:r w:rsidRPr="00CD2B68">
        <w:rPr>
          <w:spacing w:val="-8"/>
        </w:rPr>
        <w:t xml:space="preserve">: Zapojení do vzdělávání a vůle k (dalšímu) zapojení do vzdělávání dle </w:t>
      </w:r>
      <w:r w:rsidR="00462266" w:rsidRPr="00CD2B68">
        <w:rPr>
          <w:spacing w:val="-8"/>
        </w:rPr>
        <w:t>p</w:t>
      </w:r>
      <w:r w:rsidRPr="00CD2B68">
        <w:rPr>
          <w:spacing w:val="-8"/>
        </w:rPr>
        <w:t>ohlaví</w:t>
      </w:r>
      <w:bookmarkEnd w:id="108"/>
      <w:r w:rsidR="00462266" w:rsidRPr="00CD2B68">
        <w:rPr>
          <w:spacing w:val="-8"/>
        </w:rPr>
        <w:t xml:space="preserve"> a věkových kategorií</w:t>
      </w:r>
      <w:bookmarkEnd w:id="109"/>
    </w:p>
    <w:p w:rsidR="000574C3" w:rsidRDefault="003505DF" w:rsidP="00CD2B68">
      <w:pPr>
        <w:pStyle w:val="Nadpis4"/>
        <w:rPr>
          <w:rFonts w:cs="Arial"/>
          <w:szCs w:val="20"/>
        </w:rPr>
      </w:pPr>
      <w:r>
        <w:rPr>
          <w:noProof/>
        </w:rPr>
        <w:drawing>
          <wp:inline distT="0" distB="0" distL="0" distR="0" wp14:anchorId="0D12417D" wp14:editId="10671987">
            <wp:extent cx="6200775" cy="5476875"/>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574C3" w:rsidRDefault="00A536A6" w:rsidP="00A536A6">
      <w:pPr>
        <w:spacing w:before="60" w:line="312" w:lineRule="auto"/>
        <w:jc w:val="both"/>
        <w:rPr>
          <w:rFonts w:cs="Arial"/>
          <w:szCs w:val="20"/>
        </w:rPr>
      </w:pPr>
      <w:r>
        <w:rPr>
          <w:rFonts w:cs="Arial"/>
          <w:szCs w:val="20"/>
        </w:rPr>
        <w:t>Zdroj: AES 2016, Č</w:t>
      </w:r>
      <w:r w:rsidR="000574C3">
        <w:rPr>
          <w:rFonts w:cs="Arial"/>
          <w:szCs w:val="20"/>
        </w:rPr>
        <w:t>SÚ</w:t>
      </w:r>
    </w:p>
    <w:p w:rsidR="006A5F3C" w:rsidRDefault="006A5F3C" w:rsidP="006A5F3C">
      <w:pPr>
        <w:spacing w:line="312" w:lineRule="auto"/>
        <w:jc w:val="both"/>
        <w:rPr>
          <w:rFonts w:cs="Arial"/>
          <w:szCs w:val="20"/>
        </w:rPr>
      </w:pPr>
      <w:r w:rsidRPr="005E1FE8">
        <w:rPr>
          <w:rFonts w:cs="Arial"/>
          <w:szCs w:val="20"/>
        </w:rPr>
        <w:lastRenderedPageBreak/>
        <w:t>V České republice se</w:t>
      </w:r>
      <w:r>
        <w:rPr>
          <w:rFonts w:cs="Arial"/>
          <w:szCs w:val="20"/>
        </w:rPr>
        <w:t xml:space="preserve"> v</w:t>
      </w:r>
      <w:r w:rsidRPr="005E1FE8">
        <w:rPr>
          <w:rFonts w:cs="Arial"/>
          <w:szCs w:val="20"/>
        </w:rPr>
        <w:t xml:space="preserve"> </w:t>
      </w:r>
      <w:r w:rsidRPr="00AD6BF4">
        <w:rPr>
          <w:rFonts w:cs="Arial"/>
          <w:szCs w:val="20"/>
        </w:rPr>
        <w:t>daném období účastnilo dalšího vzdělávání 46 % osob ze sledované populace ve</w:t>
      </w:r>
      <w:r w:rsidR="00AB65CD">
        <w:rPr>
          <w:rFonts w:cs="Arial"/>
          <w:szCs w:val="20"/>
        </w:rPr>
        <w:t> </w:t>
      </w:r>
      <w:r w:rsidRPr="00AD6BF4">
        <w:rPr>
          <w:rFonts w:cs="Arial"/>
          <w:szCs w:val="20"/>
        </w:rPr>
        <w:t xml:space="preserve">věku </w:t>
      </w:r>
      <w:r w:rsidR="00AD6BF4">
        <w:rPr>
          <w:rFonts w:cs="Arial"/>
          <w:szCs w:val="20"/>
        </w:rPr>
        <w:t>18–69 let</w:t>
      </w:r>
      <w:r w:rsidRPr="00AD6BF4">
        <w:rPr>
          <w:rFonts w:cs="Arial"/>
          <w:szCs w:val="20"/>
        </w:rPr>
        <w:t>, přičemž zcela jasně převažovala účast v neformálním vzdělávání. Pro velkou většinu, celkem 39 % osob</w:t>
      </w:r>
      <w:r w:rsidR="00AD6BF4">
        <w:rPr>
          <w:rFonts w:cs="Arial"/>
          <w:szCs w:val="20"/>
        </w:rPr>
        <w:t>,</w:t>
      </w:r>
      <w:r w:rsidRPr="00AD6BF4">
        <w:rPr>
          <w:rFonts w:cs="Arial"/>
          <w:szCs w:val="20"/>
        </w:rPr>
        <w:t xml:space="preserve"> bylo jejich zapojení do vzdělávání dostačující, vůli k dalšímu rozšíření svých vzdělávacích aktivit uvedlo pouze 7 % </w:t>
      </w:r>
      <w:r w:rsidR="00AD6BF4">
        <w:rPr>
          <w:rFonts w:cs="Arial"/>
          <w:szCs w:val="20"/>
        </w:rPr>
        <w:t>účastníků vzdělávání</w:t>
      </w:r>
      <w:r w:rsidRPr="00AD6BF4">
        <w:rPr>
          <w:rFonts w:cs="Arial"/>
          <w:szCs w:val="20"/>
        </w:rPr>
        <w:t>. 54 % osob ve věku 18–69 let se tedy ve</w:t>
      </w:r>
      <w:r w:rsidR="00AB65CD">
        <w:rPr>
          <w:rFonts w:cs="Arial"/>
          <w:szCs w:val="20"/>
        </w:rPr>
        <w:t> </w:t>
      </w:r>
      <w:r w:rsidRPr="00AD6BF4">
        <w:rPr>
          <w:rFonts w:cs="Arial"/>
          <w:szCs w:val="20"/>
        </w:rPr>
        <w:t xml:space="preserve">sledovaném období formálního ani neformálního vzdělávání neúčastnilo, přičemž většina z nich, představující </w:t>
      </w:r>
      <w:r w:rsidR="004A3960" w:rsidRPr="00AD6BF4">
        <w:rPr>
          <w:rFonts w:cs="Arial"/>
          <w:szCs w:val="20"/>
        </w:rPr>
        <w:t>49 %</w:t>
      </w:r>
      <w:r w:rsidRPr="00AD6BF4">
        <w:rPr>
          <w:rFonts w:cs="Arial"/>
          <w:szCs w:val="20"/>
        </w:rPr>
        <w:t xml:space="preserve"> osob populace ve věku 18–69 let</w:t>
      </w:r>
      <w:r w:rsidR="00906275">
        <w:rPr>
          <w:rFonts w:cs="Arial"/>
          <w:szCs w:val="20"/>
        </w:rPr>
        <w:t>,</w:t>
      </w:r>
      <w:r w:rsidRPr="00AD6BF4">
        <w:rPr>
          <w:rFonts w:cs="Arial"/>
          <w:szCs w:val="20"/>
        </w:rPr>
        <w:t xml:space="preserve"> uvedla, že se žádného vzdělávání ani účastnit nechtěla. Zbývajících </w:t>
      </w:r>
      <w:r w:rsidR="004A3960" w:rsidRPr="00AD6BF4">
        <w:rPr>
          <w:rFonts w:cs="Arial"/>
          <w:szCs w:val="20"/>
        </w:rPr>
        <w:t>7 %</w:t>
      </w:r>
      <w:r w:rsidRPr="00AD6BF4">
        <w:rPr>
          <w:rFonts w:cs="Arial"/>
          <w:szCs w:val="20"/>
        </w:rPr>
        <w:t xml:space="preserve"> osob vyjádřilo vůli ke vzdělávání, do kterého se však z nějakých důvodů nezapojilo. Pro zásadní většinu osob</w:t>
      </w:r>
      <w:r w:rsidR="00AD6BF4">
        <w:rPr>
          <w:rFonts w:cs="Arial"/>
          <w:szCs w:val="20"/>
        </w:rPr>
        <w:t xml:space="preserve"> (88 </w:t>
      </w:r>
      <w:r w:rsidR="00AD6BF4">
        <w:rPr>
          <w:rFonts w:cs="Arial"/>
          <w:szCs w:val="20"/>
          <w:lang w:val="en-US"/>
        </w:rPr>
        <w:t>%)</w:t>
      </w:r>
      <w:r w:rsidRPr="00AD6BF4">
        <w:rPr>
          <w:rFonts w:cs="Arial"/>
          <w:szCs w:val="20"/>
        </w:rPr>
        <w:t xml:space="preserve">, žijících na území České republiky tedy bylo jejich dosavadní zapojení do vzdělávání </w:t>
      </w:r>
      <w:r w:rsidR="00CD2B68">
        <w:t>–</w:t>
      </w:r>
      <w:r w:rsidRPr="00AD6BF4">
        <w:rPr>
          <w:rFonts w:cs="Arial"/>
          <w:szCs w:val="20"/>
        </w:rPr>
        <w:t xml:space="preserve"> včetně nízké či nu</w:t>
      </w:r>
      <w:r w:rsidR="00CD2B68">
        <w:rPr>
          <w:rFonts w:cs="Arial"/>
          <w:szCs w:val="20"/>
        </w:rPr>
        <w:t xml:space="preserve">lové účasti v dalším vzdělávání </w:t>
      </w:r>
      <w:r w:rsidR="00CD2B68">
        <w:t>–</w:t>
      </w:r>
      <w:r w:rsidRPr="00AD6BF4">
        <w:rPr>
          <w:rFonts w:cs="Arial"/>
          <w:szCs w:val="20"/>
        </w:rPr>
        <w:t xml:space="preserve"> dostačující.</w:t>
      </w:r>
      <w:r w:rsidRPr="005E1FE8">
        <w:rPr>
          <w:rFonts w:cs="Arial"/>
          <w:szCs w:val="20"/>
        </w:rPr>
        <w:t xml:space="preserve"> </w:t>
      </w:r>
    </w:p>
    <w:p w:rsidR="006A5F3C" w:rsidRDefault="006A5F3C" w:rsidP="00AD6BF4">
      <w:pPr>
        <w:spacing w:line="312" w:lineRule="auto"/>
        <w:jc w:val="both"/>
        <w:rPr>
          <w:rFonts w:cs="Arial"/>
          <w:szCs w:val="20"/>
        </w:rPr>
      </w:pPr>
      <w:r w:rsidRPr="00AD6BF4">
        <w:rPr>
          <w:rFonts w:cs="Arial"/>
          <w:szCs w:val="20"/>
        </w:rPr>
        <w:t>Nelze říci, že by absolutně platil předpokla</w:t>
      </w:r>
      <w:r w:rsidR="00906275">
        <w:rPr>
          <w:rFonts w:cs="Arial"/>
          <w:szCs w:val="20"/>
        </w:rPr>
        <w:t>d, že společně s vyšší účastí v dalším</w:t>
      </w:r>
      <w:r w:rsidRPr="00AD6BF4">
        <w:rPr>
          <w:rFonts w:cs="Arial"/>
          <w:szCs w:val="20"/>
        </w:rPr>
        <w:t xml:space="preserve"> vzdělávání dochází k saturaci vzdělávacích potřeb a s tím i k nižší potřebě dalšího zapojení do vzdělávání. Naopak relativně nejčastěji by rozsah svého vzdělávání rozšířili lidé, kteří se</w:t>
      </w:r>
      <w:r w:rsidR="00906275">
        <w:rPr>
          <w:rFonts w:cs="Arial"/>
          <w:szCs w:val="20"/>
        </w:rPr>
        <w:t xml:space="preserve"> v posledních 12 měsících</w:t>
      </w:r>
      <w:r w:rsidRPr="00AD6BF4">
        <w:rPr>
          <w:rFonts w:cs="Arial"/>
          <w:szCs w:val="20"/>
        </w:rPr>
        <w:t xml:space="preserve"> účastnili hned několika vzdělávacích aktivit, </w:t>
      </w:r>
      <w:r w:rsidR="00906275">
        <w:rPr>
          <w:rFonts w:cs="Arial"/>
          <w:szCs w:val="20"/>
        </w:rPr>
        <w:t xml:space="preserve">dále </w:t>
      </w:r>
      <w:r w:rsidRPr="00AD6BF4">
        <w:rPr>
          <w:rFonts w:cs="Arial"/>
          <w:szCs w:val="20"/>
        </w:rPr>
        <w:t>vysokoškoláci, jejichž účast v dalším vzdělávání je nejvyšší, a lidé v mladším a středním věku (</w:t>
      </w:r>
      <w:r w:rsidR="00AD6BF4">
        <w:rPr>
          <w:rFonts w:cs="Arial"/>
          <w:szCs w:val="20"/>
        </w:rPr>
        <w:t>18</w:t>
      </w:r>
      <w:r w:rsidRPr="00AD6BF4">
        <w:rPr>
          <w:rFonts w:cs="Arial"/>
          <w:szCs w:val="20"/>
        </w:rPr>
        <w:t xml:space="preserve">–44 let). Dosavadní míru svého zapojení naopak častěji nemají potřebu rozšiřovat lidé s nižší kvalifikací, starší osoby a </w:t>
      </w:r>
      <w:r w:rsidR="00AD6BF4">
        <w:rPr>
          <w:rFonts w:cs="Arial"/>
          <w:szCs w:val="20"/>
        </w:rPr>
        <w:t>ti</w:t>
      </w:r>
      <w:r w:rsidRPr="00AD6BF4">
        <w:rPr>
          <w:rFonts w:cs="Arial"/>
          <w:szCs w:val="20"/>
        </w:rPr>
        <w:t>, kteří se účastnili pouze jed</w:t>
      </w:r>
      <w:r w:rsidR="00AD6BF4">
        <w:rPr>
          <w:rFonts w:cs="Arial"/>
          <w:szCs w:val="20"/>
        </w:rPr>
        <w:t xml:space="preserve">né vzdělávací aktivity, k jejímuž absolvování byli navíc </w:t>
      </w:r>
      <w:r w:rsidRPr="00AD6BF4">
        <w:rPr>
          <w:rFonts w:cs="Arial"/>
          <w:szCs w:val="20"/>
        </w:rPr>
        <w:t xml:space="preserve">často </w:t>
      </w:r>
      <w:r w:rsidR="00906275">
        <w:rPr>
          <w:rFonts w:cs="Arial"/>
          <w:szCs w:val="20"/>
        </w:rPr>
        <w:t>donuceni</w:t>
      </w:r>
      <w:r w:rsidRPr="00AD6BF4">
        <w:rPr>
          <w:rFonts w:cs="Arial"/>
          <w:szCs w:val="20"/>
        </w:rPr>
        <w:t xml:space="preserve"> vnějšími okolnostmi (zaměstnavatelem, zákonem). </w:t>
      </w:r>
    </w:p>
    <w:p w:rsidR="000574C3" w:rsidRDefault="000574C3" w:rsidP="00CD2B68">
      <w:pPr>
        <w:pStyle w:val="Nadpis4"/>
        <w:jc w:val="both"/>
      </w:pPr>
      <w:bookmarkStart w:id="110" w:name="_Toc505872840"/>
      <w:bookmarkStart w:id="111" w:name="_Toc506308548"/>
      <w:r>
        <w:t xml:space="preserve">Graf č. </w:t>
      </w:r>
      <w:r w:rsidR="00A536A6">
        <w:t>28</w:t>
      </w:r>
      <w:r>
        <w:t xml:space="preserve">: Zapojení do vzdělávání a vůle k (dalšímu) zapojení do vzdělávání dle </w:t>
      </w:r>
      <w:r w:rsidR="00462266">
        <w:t>p</w:t>
      </w:r>
      <w:r>
        <w:t>ohlaví</w:t>
      </w:r>
      <w:bookmarkEnd w:id="110"/>
      <w:r w:rsidR="00462266">
        <w:t xml:space="preserve"> a</w:t>
      </w:r>
      <w:r w:rsidR="00CD2B68">
        <w:t> ekonomického postavení</w:t>
      </w:r>
      <w:bookmarkEnd w:id="111"/>
      <w:r>
        <w:t xml:space="preserve"> </w:t>
      </w:r>
    </w:p>
    <w:p w:rsidR="006241DA" w:rsidRDefault="006241DA" w:rsidP="00271A37">
      <w:pPr>
        <w:spacing w:after="120" w:line="240" w:lineRule="auto"/>
        <w:rPr>
          <w:rFonts w:cs="Arial"/>
          <w:sz w:val="16"/>
          <w:szCs w:val="20"/>
        </w:rPr>
      </w:pPr>
      <w:r w:rsidRPr="006241DA">
        <w:rPr>
          <w:rFonts w:cs="Arial"/>
          <w:noProof/>
          <w:sz w:val="16"/>
          <w:szCs w:val="20"/>
        </w:rPr>
        <w:drawing>
          <wp:inline distT="0" distB="0" distL="0" distR="0">
            <wp:extent cx="6286500" cy="4914900"/>
            <wp:effectExtent l="0" t="0" r="0" b="0"/>
            <wp:docPr id="74" name="Graf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0574C3" w:rsidRPr="000574C3" w:rsidRDefault="007B6B57" w:rsidP="00947FBF">
      <w:pPr>
        <w:spacing w:before="120" w:after="0" w:line="240" w:lineRule="auto"/>
        <w:rPr>
          <w:rFonts w:cs="Arial"/>
          <w:sz w:val="16"/>
          <w:szCs w:val="20"/>
        </w:rPr>
      </w:pPr>
      <w:r>
        <w:rPr>
          <w:rFonts w:cs="Arial"/>
          <w:sz w:val="16"/>
          <w:szCs w:val="20"/>
        </w:rPr>
        <w:t xml:space="preserve">Pozn.: </w:t>
      </w:r>
      <w:r w:rsidR="000574C3" w:rsidRPr="000574C3">
        <w:rPr>
          <w:rFonts w:cs="Arial"/>
          <w:sz w:val="16"/>
          <w:szCs w:val="20"/>
        </w:rPr>
        <w:t>RD = rodičovská dovolená</w:t>
      </w:r>
      <w:r w:rsidR="00947FBF">
        <w:rPr>
          <w:rFonts w:cs="Arial"/>
          <w:sz w:val="16"/>
          <w:szCs w:val="20"/>
        </w:rPr>
        <w:t>. N</w:t>
      </w:r>
      <w:r w:rsidR="000574C3" w:rsidRPr="000574C3">
        <w:rPr>
          <w:rFonts w:cs="Arial"/>
          <w:sz w:val="16"/>
          <w:szCs w:val="20"/>
        </w:rPr>
        <w:t>edostatek pozorování v kategorii muži v domácnosti, na mateřské či rodičovské dovolené</w:t>
      </w:r>
      <w:r w:rsidR="00947FBF">
        <w:rPr>
          <w:rFonts w:cs="Arial"/>
          <w:sz w:val="16"/>
          <w:szCs w:val="20"/>
        </w:rPr>
        <w:t>.</w:t>
      </w:r>
    </w:p>
    <w:p w:rsidR="00A536A6" w:rsidRPr="000574C3" w:rsidRDefault="000574C3" w:rsidP="000574C3">
      <w:pPr>
        <w:spacing w:after="0" w:line="240" w:lineRule="auto"/>
        <w:rPr>
          <w:rFonts w:cs="Arial"/>
          <w:szCs w:val="20"/>
        </w:rPr>
      </w:pPr>
      <w:r w:rsidRPr="000574C3">
        <w:rPr>
          <w:rFonts w:cs="Arial"/>
          <w:szCs w:val="20"/>
        </w:rPr>
        <w:t>Zdroj: AES 2016, ČSÚ</w:t>
      </w:r>
    </w:p>
    <w:p w:rsidR="00EE07CF" w:rsidRDefault="00EE07CF" w:rsidP="00EE07CF">
      <w:pPr>
        <w:spacing w:line="312" w:lineRule="auto"/>
        <w:jc w:val="both"/>
        <w:rPr>
          <w:rFonts w:cs="Arial"/>
          <w:szCs w:val="20"/>
        </w:rPr>
      </w:pPr>
      <w:r>
        <w:rPr>
          <w:rFonts w:cs="Arial"/>
          <w:szCs w:val="20"/>
        </w:rPr>
        <w:lastRenderedPageBreak/>
        <w:t>Ve všech věkových kategoriích také častěji vyjadřují vůli účastnit se více vzdělávacích aktivit (ať už se v předchozím sledovaném období do nějakého vzdělávání zapojily, či nikoli) ženy. Muži, kteří dosahují vyšší účasti v (neformálním) vzdělávání než ženy</w:t>
      </w:r>
      <w:r w:rsidR="007B6B57">
        <w:rPr>
          <w:rFonts w:cs="Arial"/>
          <w:szCs w:val="20"/>
        </w:rPr>
        <w:t>,</w:t>
      </w:r>
      <w:r>
        <w:rPr>
          <w:rFonts w:cs="Arial"/>
          <w:szCs w:val="20"/>
        </w:rPr>
        <w:t xml:space="preserve"> obecně méně deklarují vůli účastnit se vzdělávání nad rámec toho, které již absolvovali, příp. účastnit se vůbec nějakého vzdělávání v případě, že se do žádných vzdělávacích aktivit</w:t>
      </w:r>
      <w:r w:rsidR="007B6B57">
        <w:rPr>
          <w:rFonts w:cs="Arial"/>
          <w:szCs w:val="20"/>
        </w:rPr>
        <w:t xml:space="preserve"> ve sledovaném období nezapojili</w:t>
      </w:r>
      <w:r>
        <w:rPr>
          <w:rFonts w:cs="Arial"/>
          <w:szCs w:val="20"/>
        </w:rPr>
        <w:t>.</w:t>
      </w:r>
    </w:p>
    <w:p w:rsidR="00EE07CF" w:rsidRDefault="00EE07CF" w:rsidP="00EE07CF">
      <w:pPr>
        <w:spacing w:line="312" w:lineRule="auto"/>
        <w:jc w:val="both"/>
        <w:rPr>
          <w:rFonts w:cs="Arial"/>
          <w:szCs w:val="20"/>
        </w:rPr>
      </w:pPr>
      <w:r>
        <w:rPr>
          <w:rFonts w:cs="Arial"/>
          <w:szCs w:val="20"/>
        </w:rPr>
        <w:t xml:space="preserve">Z pohledu obvyklého ekonomického postavení lze říci, že nejvyšší vůli k dalšímu zapojení mezi těmi, kteří se žádného vzdělávání neúčastnili, </w:t>
      </w:r>
      <w:r w:rsidRPr="00EE07CF">
        <w:rPr>
          <w:rFonts w:cs="Arial"/>
          <w:szCs w:val="20"/>
        </w:rPr>
        <w:t>vyjádřili nezaměstnaní,</w:t>
      </w:r>
      <w:r>
        <w:rPr>
          <w:rFonts w:cs="Arial"/>
          <w:szCs w:val="20"/>
        </w:rPr>
        <w:t xml:space="preserve"> ženy</w:t>
      </w:r>
      <w:r w:rsidRPr="00EE07CF">
        <w:rPr>
          <w:rFonts w:cs="Arial"/>
          <w:szCs w:val="20"/>
        </w:rPr>
        <w:t xml:space="preserve"> v domácnosti a na </w:t>
      </w:r>
      <w:r>
        <w:rPr>
          <w:rFonts w:cs="Arial"/>
          <w:szCs w:val="20"/>
        </w:rPr>
        <w:t xml:space="preserve">mateřské či </w:t>
      </w:r>
      <w:r w:rsidRPr="00EE07CF">
        <w:rPr>
          <w:rFonts w:cs="Arial"/>
          <w:szCs w:val="20"/>
        </w:rPr>
        <w:t xml:space="preserve">rodičovské dovolené a lidé v invalidním důchodu. Jedná se o skupiny osob, které své vzdělávání, včetně </w:t>
      </w:r>
      <w:r>
        <w:rPr>
          <w:rFonts w:cs="Arial"/>
          <w:szCs w:val="20"/>
        </w:rPr>
        <w:t xml:space="preserve">toho </w:t>
      </w:r>
      <w:r w:rsidRPr="00EE07CF">
        <w:rPr>
          <w:rFonts w:cs="Arial"/>
          <w:szCs w:val="20"/>
        </w:rPr>
        <w:t>kariérně orientovaného, musí obvykle iniciovat samy, přičemž jejich zapojení je komplikováno vnějšími bariérami, jako</w:t>
      </w:r>
      <w:r w:rsidR="00BD08CF">
        <w:rPr>
          <w:rFonts w:cs="Arial"/>
          <w:szCs w:val="20"/>
        </w:rPr>
        <w:t> </w:t>
      </w:r>
      <w:r w:rsidRPr="00EE07CF">
        <w:rPr>
          <w:rFonts w:cs="Arial"/>
          <w:szCs w:val="20"/>
        </w:rPr>
        <w:t xml:space="preserve">jsou zdravotní problémy, nedostatek času z důvodu péče o člena rodiny či nedostatek financí. </w:t>
      </w:r>
      <w:r>
        <w:rPr>
          <w:rFonts w:cs="Arial"/>
          <w:szCs w:val="20"/>
        </w:rPr>
        <w:t>Zajímavé je také srovnání penzistů (do věku 69 let) dle pohlaví, ze kterého je zřejmé, že ženy – důchodkyně se nejen více účastní (</w:t>
      </w:r>
      <w:r w:rsidR="007B6B57">
        <w:rPr>
          <w:rFonts w:cs="Arial"/>
          <w:szCs w:val="20"/>
        </w:rPr>
        <w:t>zejména</w:t>
      </w:r>
      <w:r>
        <w:rPr>
          <w:rFonts w:cs="Arial"/>
          <w:szCs w:val="20"/>
        </w:rPr>
        <w:t xml:space="preserve"> neformálního) vzdělávání, ale jejich zájem o vzdělávání je (dle obecné úrovně deklarace) celkově vyšší. Celkově je však úroveň zapojení do vzdělávání jak mezi starobními, tak mezi invalidními důchodci poměrně nízká. </w:t>
      </w:r>
    </w:p>
    <w:p w:rsidR="00947FBF" w:rsidRDefault="00947FBF" w:rsidP="003B51E9">
      <w:pPr>
        <w:pStyle w:val="Nadpis5"/>
      </w:pPr>
      <w:bookmarkStart w:id="112" w:name="_Tabulka_č._3:"/>
      <w:bookmarkStart w:id="113" w:name="_Toc505957355"/>
      <w:bookmarkStart w:id="114" w:name="_Toc505958381"/>
      <w:bookmarkEnd w:id="112"/>
      <w:r>
        <w:t>Tabulka č. 3: Důvody nezapojení se do (dalších) vzdělávacích aktivit dle účasti v dalším vzdělávání (18–69 let)</w:t>
      </w:r>
      <w:bookmarkEnd w:id="113"/>
      <w:bookmarkEnd w:id="114"/>
    </w:p>
    <w:tbl>
      <w:tblPr>
        <w:tblW w:w="5000" w:type="pct"/>
        <w:tblCellMar>
          <w:left w:w="70" w:type="dxa"/>
          <w:right w:w="70" w:type="dxa"/>
        </w:tblCellMar>
        <w:tblLook w:val="04A0" w:firstRow="1" w:lastRow="0" w:firstColumn="1" w:lastColumn="0" w:noHBand="0" w:noVBand="1"/>
      </w:tblPr>
      <w:tblGrid>
        <w:gridCol w:w="3830"/>
        <w:gridCol w:w="683"/>
        <w:gridCol w:w="1036"/>
        <w:gridCol w:w="1255"/>
        <w:gridCol w:w="683"/>
        <w:gridCol w:w="1036"/>
        <w:gridCol w:w="1255"/>
      </w:tblGrid>
      <w:tr w:rsidR="00AB65CD" w:rsidRPr="00AB65CD" w:rsidTr="00AB65CD">
        <w:trPr>
          <w:trHeight w:val="300"/>
        </w:trPr>
        <w:tc>
          <w:tcPr>
            <w:tcW w:w="5000" w:type="pct"/>
            <w:gridSpan w:val="7"/>
            <w:tcBorders>
              <w:top w:val="nil"/>
              <w:left w:val="nil"/>
              <w:bottom w:val="single" w:sz="4" w:space="0" w:color="auto"/>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w:t>
            </w:r>
          </w:p>
        </w:tc>
      </w:tr>
      <w:tr w:rsidR="00AB65CD" w:rsidRPr="00AB65CD" w:rsidTr="00256DD2">
        <w:trPr>
          <w:trHeight w:val="570"/>
        </w:trPr>
        <w:tc>
          <w:tcPr>
            <w:tcW w:w="1958" w:type="pct"/>
            <w:vMerge w:val="restart"/>
            <w:tcBorders>
              <w:top w:val="nil"/>
              <w:left w:val="nil"/>
              <w:bottom w:val="single" w:sz="4" w:space="0" w:color="auto"/>
              <w:right w:val="single" w:sz="4" w:space="0" w:color="auto"/>
            </w:tcBorders>
            <w:shd w:val="clear" w:color="000000" w:fill="F2DCDB"/>
            <w:noWrap/>
            <w:vAlign w:val="center"/>
            <w:hideMark/>
          </w:tcPr>
          <w:p w:rsidR="00AB65CD" w:rsidRPr="00AB65CD" w:rsidRDefault="00AB65CD" w:rsidP="00AB65CD">
            <w:pPr>
              <w:spacing w:after="0" w:line="240" w:lineRule="auto"/>
              <w:jc w:val="center"/>
              <w:rPr>
                <w:rFonts w:cs="Arial"/>
                <w:b/>
                <w:bCs/>
                <w:color w:val="000000"/>
                <w:sz w:val="16"/>
                <w:szCs w:val="16"/>
              </w:rPr>
            </w:pPr>
            <w:r w:rsidRPr="00AB65CD">
              <w:rPr>
                <w:rFonts w:cs="Arial"/>
                <w:b/>
                <w:bCs/>
                <w:color w:val="000000"/>
                <w:sz w:val="16"/>
                <w:szCs w:val="16"/>
              </w:rPr>
              <w:t>důvody neúčasti v (dalším) vzdělávání</w:t>
            </w:r>
          </w:p>
        </w:tc>
        <w:tc>
          <w:tcPr>
            <w:tcW w:w="1521" w:type="pct"/>
            <w:gridSpan w:val="3"/>
            <w:tcBorders>
              <w:top w:val="single" w:sz="4" w:space="0" w:color="auto"/>
              <w:left w:val="nil"/>
              <w:bottom w:val="single" w:sz="4" w:space="0" w:color="auto"/>
              <w:right w:val="single" w:sz="4" w:space="0" w:color="auto"/>
            </w:tcBorders>
            <w:shd w:val="clear" w:color="000000" w:fill="F2DCDB"/>
            <w:noWrap/>
            <w:vAlign w:val="center"/>
            <w:hideMark/>
          </w:tcPr>
          <w:p w:rsidR="00AB65CD" w:rsidRPr="00AB65CD" w:rsidRDefault="00AB65CD" w:rsidP="00AB65CD">
            <w:pPr>
              <w:spacing w:after="0" w:line="240" w:lineRule="auto"/>
              <w:jc w:val="center"/>
              <w:rPr>
                <w:rFonts w:cs="Arial"/>
                <w:b/>
                <w:bCs/>
                <w:color w:val="000000"/>
                <w:sz w:val="16"/>
                <w:szCs w:val="16"/>
              </w:rPr>
            </w:pPr>
            <w:r w:rsidRPr="00AB65CD">
              <w:rPr>
                <w:rFonts w:cs="Arial"/>
                <w:b/>
                <w:bCs/>
                <w:color w:val="000000"/>
                <w:sz w:val="16"/>
                <w:szCs w:val="16"/>
              </w:rPr>
              <w:t>nejdůležitější důvod</w:t>
            </w:r>
          </w:p>
        </w:tc>
        <w:tc>
          <w:tcPr>
            <w:tcW w:w="1521" w:type="pct"/>
            <w:gridSpan w:val="3"/>
            <w:tcBorders>
              <w:top w:val="single" w:sz="4" w:space="0" w:color="auto"/>
              <w:left w:val="nil"/>
              <w:bottom w:val="single" w:sz="4" w:space="0" w:color="auto"/>
            </w:tcBorders>
            <w:shd w:val="clear" w:color="000000" w:fill="F2DCDB"/>
            <w:vAlign w:val="center"/>
            <w:hideMark/>
          </w:tcPr>
          <w:p w:rsidR="00AB65CD" w:rsidRPr="00AB65CD" w:rsidRDefault="00AB65CD" w:rsidP="00AB65CD">
            <w:pPr>
              <w:spacing w:after="0" w:line="240" w:lineRule="auto"/>
              <w:jc w:val="center"/>
              <w:rPr>
                <w:rFonts w:cs="Arial"/>
                <w:b/>
                <w:bCs/>
                <w:color w:val="000000"/>
                <w:sz w:val="16"/>
                <w:szCs w:val="16"/>
              </w:rPr>
            </w:pPr>
            <w:r w:rsidRPr="00AB65CD">
              <w:rPr>
                <w:rFonts w:cs="Arial"/>
                <w:b/>
                <w:bCs/>
                <w:color w:val="000000"/>
                <w:sz w:val="16"/>
                <w:szCs w:val="16"/>
              </w:rPr>
              <w:t xml:space="preserve">možnost uvést více důvodů </w:t>
            </w:r>
            <w:r w:rsidRPr="00AB65CD">
              <w:rPr>
                <w:rFonts w:cs="Arial"/>
                <w:b/>
                <w:bCs/>
                <w:color w:val="000000"/>
                <w:sz w:val="16"/>
                <w:szCs w:val="16"/>
              </w:rPr>
              <w:br/>
            </w:r>
            <w:r w:rsidRPr="00AB65CD">
              <w:rPr>
                <w:rFonts w:cs="Arial"/>
                <w:color w:val="000000"/>
                <w:sz w:val="16"/>
                <w:szCs w:val="16"/>
              </w:rPr>
              <w:t>(součet převyšuje 100 %)</w:t>
            </w:r>
          </w:p>
        </w:tc>
      </w:tr>
      <w:tr w:rsidR="00AB65CD" w:rsidRPr="00AB65CD" w:rsidTr="00256DD2">
        <w:trPr>
          <w:trHeight w:val="975"/>
        </w:trPr>
        <w:tc>
          <w:tcPr>
            <w:tcW w:w="1958" w:type="pct"/>
            <w:vMerge/>
            <w:tcBorders>
              <w:top w:val="nil"/>
              <w:left w:val="nil"/>
              <w:bottom w:val="single" w:sz="4" w:space="0" w:color="auto"/>
              <w:right w:val="single" w:sz="4" w:space="0" w:color="auto"/>
            </w:tcBorders>
            <w:vAlign w:val="center"/>
            <w:hideMark/>
          </w:tcPr>
          <w:p w:rsidR="00AB65CD" w:rsidRPr="00AB65CD" w:rsidRDefault="00AB65CD" w:rsidP="00AB65CD">
            <w:pPr>
              <w:spacing w:after="0" w:line="240" w:lineRule="auto"/>
              <w:rPr>
                <w:rFonts w:cs="Arial"/>
                <w:b/>
                <w:bCs/>
                <w:color w:val="000000"/>
                <w:sz w:val="16"/>
                <w:szCs w:val="16"/>
              </w:rPr>
            </w:pPr>
          </w:p>
        </w:tc>
        <w:tc>
          <w:tcPr>
            <w:tcW w:w="349" w:type="pct"/>
            <w:vMerge w:val="restart"/>
            <w:tcBorders>
              <w:top w:val="nil"/>
              <w:left w:val="single" w:sz="4" w:space="0" w:color="auto"/>
              <w:bottom w:val="single" w:sz="4" w:space="0" w:color="auto"/>
              <w:right w:val="single" w:sz="4" w:space="0" w:color="auto"/>
            </w:tcBorders>
            <w:shd w:val="clear" w:color="000000" w:fill="F2DCDB"/>
            <w:noWrap/>
            <w:vAlign w:val="center"/>
            <w:hideMark/>
          </w:tcPr>
          <w:p w:rsidR="00AB65CD" w:rsidRPr="00AB65CD" w:rsidRDefault="00AB65CD" w:rsidP="00AB65CD">
            <w:pPr>
              <w:spacing w:after="0" w:line="240" w:lineRule="auto"/>
              <w:jc w:val="center"/>
              <w:rPr>
                <w:rFonts w:cs="Arial"/>
                <w:b/>
                <w:bCs/>
                <w:color w:val="000000"/>
                <w:sz w:val="16"/>
                <w:szCs w:val="16"/>
              </w:rPr>
            </w:pPr>
            <w:r w:rsidRPr="00AB65CD">
              <w:rPr>
                <w:rFonts w:cs="Arial"/>
                <w:b/>
                <w:bCs/>
                <w:color w:val="000000"/>
                <w:sz w:val="16"/>
                <w:szCs w:val="16"/>
              </w:rPr>
              <w:t>celkem</w:t>
            </w:r>
          </w:p>
        </w:tc>
        <w:tc>
          <w:tcPr>
            <w:tcW w:w="1172" w:type="pct"/>
            <w:gridSpan w:val="2"/>
            <w:tcBorders>
              <w:top w:val="single" w:sz="4" w:space="0" w:color="auto"/>
              <w:left w:val="nil"/>
              <w:bottom w:val="single" w:sz="4" w:space="0" w:color="auto"/>
              <w:right w:val="single" w:sz="4" w:space="0" w:color="auto"/>
            </w:tcBorders>
            <w:shd w:val="clear" w:color="000000" w:fill="F2DCDB"/>
            <w:vAlign w:val="center"/>
            <w:hideMark/>
          </w:tcPr>
          <w:p w:rsidR="00AB65CD" w:rsidRPr="00AB65CD" w:rsidRDefault="00AB65CD" w:rsidP="00AB65CD">
            <w:pPr>
              <w:spacing w:after="0" w:line="240" w:lineRule="auto"/>
              <w:jc w:val="center"/>
              <w:rPr>
                <w:rFonts w:cs="Arial"/>
                <w:color w:val="000000"/>
                <w:sz w:val="16"/>
                <w:szCs w:val="16"/>
              </w:rPr>
            </w:pPr>
            <w:r w:rsidRPr="00AB65CD">
              <w:rPr>
                <w:rFonts w:cs="Arial"/>
                <w:color w:val="000000"/>
                <w:sz w:val="16"/>
                <w:szCs w:val="16"/>
              </w:rPr>
              <w:t xml:space="preserve">dle účasti ve formálním či neformálním vzdělávání </w:t>
            </w:r>
            <w:r w:rsidRPr="00AB65CD">
              <w:rPr>
                <w:rFonts w:cs="Arial"/>
                <w:color w:val="000000"/>
                <w:sz w:val="16"/>
                <w:szCs w:val="16"/>
              </w:rPr>
              <w:br/>
              <w:t>v předchozích 12 měsících</w:t>
            </w:r>
          </w:p>
        </w:tc>
        <w:tc>
          <w:tcPr>
            <w:tcW w:w="349" w:type="pct"/>
            <w:vMerge w:val="restart"/>
            <w:tcBorders>
              <w:top w:val="nil"/>
              <w:left w:val="single" w:sz="4" w:space="0" w:color="auto"/>
              <w:bottom w:val="single" w:sz="4" w:space="0" w:color="auto"/>
              <w:right w:val="single" w:sz="4" w:space="0" w:color="auto"/>
            </w:tcBorders>
            <w:shd w:val="clear" w:color="000000" w:fill="F2DCDB"/>
            <w:noWrap/>
            <w:vAlign w:val="center"/>
            <w:hideMark/>
          </w:tcPr>
          <w:p w:rsidR="00AB65CD" w:rsidRPr="00AB65CD" w:rsidRDefault="00AB65CD" w:rsidP="00AB65CD">
            <w:pPr>
              <w:spacing w:after="0" w:line="240" w:lineRule="auto"/>
              <w:jc w:val="center"/>
              <w:rPr>
                <w:rFonts w:cs="Arial"/>
                <w:b/>
                <w:bCs/>
                <w:color w:val="000000"/>
                <w:sz w:val="16"/>
                <w:szCs w:val="16"/>
              </w:rPr>
            </w:pPr>
            <w:r w:rsidRPr="00AB65CD">
              <w:rPr>
                <w:rFonts w:cs="Arial"/>
                <w:b/>
                <w:bCs/>
                <w:color w:val="000000"/>
                <w:sz w:val="16"/>
                <w:szCs w:val="16"/>
              </w:rPr>
              <w:t>celkem</w:t>
            </w:r>
          </w:p>
        </w:tc>
        <w:tc>
          <w:tcPr>
            <w:tcW w:w="1172" w:type="pct"/>
            <w:gridSpan w:val="2"/>
            <w:tcBorders>
              <w:top w:val="single" w:sz="4" w:space="0" w:color="auto"/>
              <w:left w:val="nil"/>
              <w:bottom w:val="single" w:sz="4" w:space="0" w:color="auto"/>
            </w:tcBorders>
            <w:shd w:val="clear" w:color="000000" w:fill="F2DCDB"/>
            <w:vAlign w:val="center"/>
            <w:hideMark/>
          </w:tcPr>
          <w:p w:rsidR="00AB65CD" w:rsidRPr="00AB65CD" w:rsidRDefault="00AB65CD" w:rsidP="00AB65CD">
            <w:pPr>
              <w:spacing w:after="0" w:line="240" w:lineRule="auto"/>
              <w:jc w:val="center"/>
              <w:rPr>
                <w:rFonts w:cs="Arial"/>
                <w:color w:val="000000"/>
                <w:sz w:val="16"/>
                <w:szCs w:val="16"/>
              </w:rPr>
            </w:pPr>
            <w:r w:rsidRPr="00AB65CD">
              <w:rPr>
                <w:rFonts w:cs="Arial"/>
                <w:color w:val="000000"/>
                <w:sz w:val="16"/>
                <w:szCs w:val="16"/>
              </w:rPr>
              <w:t xml:space="preserve">dle účasti ve formálním či neformálním vzdělávání </w:t>
            </w:r>
            <w:r w:rsidRPr="00AB65CD">
              <w:rPr>
                <w:rFonts w:cs="Arial"/>
                <w:color w:val="000000"/>
                <w:sz w:val="16"/>
                <w:szCs w:val="16"/>
              </w:rPr>
              <w:br/>
              <w:t>v předchozích 12 měsících</w:t>
            </w:r>
          </w:p>
        </w:tc>
      </w:tr>
      <w:tr w:rsidR="00AB65CD" w:rsidRPr="00AB65CD" w:rsidTr="00256DD2">
        <w:trPr>
          <w:trHeight w:val="300"/>
        </w:trPr>
        <w:tc>
          <w:tcPr>
            <w:tcW w:w="1958" w:type="pct"/>
            <w:vMerge/>
            <w:tcBorders>
              <w:top w:val="nil"/>
              <w:left w:val="nil"/>
              <w:bottom w:val="single" w:sz="4" w:space="0" w:color="auto"/>
              <w:right w:val="single" w:sz="4" w:space="0" w:color="auto"/>
            </w:tcBorders>
            <w:vAlign w:val="center"/>
            <w:hideMark/>
          </w:tcPr>
          <w:p w:rsidR="00AB65CD" w:rsidRPr="00AB65CD" w:rsidRDefault="00AB65CD" w:rsidP="00AB65CD">
            <w:pPr>
              <w:spacing w:after="0" w:line="240" w:lineRule="auto"/>
              <w:rPr>
                <w:rFonts w:cs="Arial"/>
                <w:b/>
                <w:bCs/>
                <w:color w:val="000000"/>
                <w:sz w:val="16"/>
                <w:szCs w:val="16"/>
              </w:rPr>
            </w:pPr>
          </w:p>
        </w:tc>
        <w:tc>
          <w:tcPr>
            <w:tcW w:w="349" w:type="pct"/>
            <w:vMerge/>
            <w:tcBorders>
              <w:top w:val="nil"/>
              <w:left w:val="single" w:sz="4" w:space="0" w:color="auto"/>
              <w:bottom w:val="single" w:sz="4" w:space="0" w:color="auto"/>
              <w:right w:val="single" w:sz="4" w:space="0" w:color="auto"/>
            </w:tcBorders>
            <w:vAlign w:val="center"/>
            <w:hideMark/>
          </w:tcPr>
          <w:p w:rsidR="00AB65CD" w:rsidRPr="00AB65CD" w:rsidRDefault="00AB65CD" w:rsidP="00AB65CD">
            <w:pPr>
              <w:spacing w:after="0" w:line="240" w:lineRule="auto"/>
              <w:rPr>
                <w:rFonts w:cs="Arial"/>
                <w:b/>
                <w:bCs/>
                <w:color w:val="000000"/>
                <w:sz w:val="16"/>
                <w:szCs w:val="16"/>
              </w:rPr>
            </w:pPr>
          </w:p>
        </w:tc>
        <w:tc>
          <w:tcPr>
            <w:tcW w:w="530" w:type="pct"/>
            <w:tcBorders>
              <w:top w:val="nil"/>
              <w:left w:val="nil"/>
              <w:bottom w:val="single" w:sz="4" w:space="0" w:color="auto"/>
              <w:right w:val="single" w:sz="4" w:space="0" w:color="auto"/>
            </w:tcBorders>
            <w:shd w:val="clear" w:color="000000" w:fill="F2DCDB"/>
            <w:noWrap/>
            <w:vAlign w:val="center"/>
            <w:hideMark/>
          </w:tcPr>
          <w:p w:rsidR="00AB65CD" w:rsidRPr="00AB65CD" w:rsidRDefault="00AB65CD" w:rsidP="00AB65CD">
            <w:pPr>
              <w:spacing w:after="0" w:line="240" w:lineRule="auto"/>
              <w:jc w:val="center"/>
              <w:rPr>
                <w:rFonts w:cs="Arial"/>
                <w:b/>
                <w:bCs/>
                <w:color w:val="000000"/>
                <w:sz w:val="16"/>
                <w:szCs w:val="16"/>
              </w:rPr>
            </w:pPr>
            <w:r w:rsidRPr="00AB65CD">
              <w:rPr>
                <w:rFonts w:cs="Arial"/>
                <w:b/>
                <w:bCs/>
                <w:color w:val="000000"/>
                <w:sz w:val="16"/>
                <w:szCs w:val="16"/>
              </w:rPr>
              <w:t>účastnili se</w:t>
            </w:r>
          </w:p>
        </w:tc>
        <w:tc>
          <w:tcPr>
            <w:tcW w:w="642" w:type="pct"/>
            <w:tcBorders>
              <w:top w:val="nil"/>
              <w:left w:val="nil"/>
              <w:bottom w:val="single" w:sz="4" w:space="0" w:color="auto"/>
              <w:right w:val="single" w:sz="4" w:space="0" w:color="auto"/>
            </w:tcBorders>
            <w:shd w:val="clear" w:color="000000" w:fill="F2DCDB"/>
            <w:noWrap/>
            <w:vAlign w:val="center"/>
            <w:hideMark/>
          </w:tcPr>
          <w:p w:rsidR="00AB65CD" w:rsidRPr="00AB65CD" w:rsidRDefault="00AB65CD" w:rsidP="00AB65CD">
            <w:pPr>
              <w:spacing w:after="0" w:line="240" w:lineRule="auto"/>
              <w:jc w:val="center"/>
              <w:rPr>
                <w:rFonts w:cs="Arial"/>
                <w:b/>
                <w:bCs/>
                <w:color w:val="000000"/>
                <w:sz w:val="16"/>
                <w:szCs w:val="16"/>
              </w:rPr>
            </w:pPr>
            <w:r w:rsidRPr="00AB65CD">
              <w:rPr>
                <w:rFonts w:cs="Arial"/>
                <w:b/>
                <w:bCs/>
                <w:color w:val="000000"/>
                <w:sz w:val="16"/>
                <w:szCs w:val="16"/>
              </w:rPr>
              <w:t>neúčastnili se</w:t>
            </w:r>
          </w:p>
        </w:tc>
        <w:tc>
          <w:tcPr>
            <w:tcW w:w="349" w:type="pct"/>
            <w:vMerge/>
            <w:tcBorders>
              <w:top w:val="nil"/>
              <w:left w:val="single" w:sz="4" w:space="0" w:color="auto"/>
              <w:bottom w:val="single" w:sz="4" w:space="0" w:color="auto"/>
              <w:right w:val="single" w:sz="4" w:space="0" w:color="auto"/>
            </w:tcBorders>
            <w:vAlign w:val="center"/>
            <w:hideMark/>
          </w:tcPr>
          <w:p w:rsidR="00AB65CD" w:rsidRPr="00AB65CD" w:rsidRDefault="00AB65CD" w:rsidP="00AB65CD">
            <w:pPr>
              <w:spacing w:after="0" w:line="240" w:lineRule="auto"/>
              <w:rPr>
                <w:rFonts w:cs="Arial"/>
                <w:b/>
                <w:bCs/>
                <w:color w:val="000000"/>
                <w:sz w:val="16"/>
                <w:szCs w:val="16"/>
              </w:rPr>
            </w:pPr>
          </w:p>
        </w:tc>
        <w:tc>
          <w:tcPr>
            <w:tcW w:w="530" w:type="pct"/>
            <w:tcBorders>
              <w:top w:val="nil"/>
              <w:left w:val="nil"/>
              <w:bottom w:val="single" w:sz="4" w:space="0" w:color="auto"/>
              <w:right w:val="single" w:sz="4" w:space="0" w:color="auto"/>
            </w:tcBorders>
            <w:shd w:val="clear" w:color="000000" w:fill="F2DCDB"/>
            <w:noWrap/>
            <w:vAlign w:val="center"/>
            <w:hideMark/>
          </w:tcPr>
          <w:p w:rsidR="00AB65CD" w:rsidRPr="00AB65CD" w:rsidRDefault="00AB65CD" w:rsidP="00AB65CD">
            <w:pPr>
              <w:spacing w:after="0" w:line="240" w:lineRule="auto"/>
              <w:jc w:val="center"/>
              <w:rPr>
                <w:rFonts w:cs="Arial"/>
                <w:b/>
                <w:bCs/>
                <w:color w:val="000000"/>
                <w:sz w:val="16"/>
                <w:szCs w:val="16"/>
              </w:rPr>
            </w:pPr>
            <w:r w:rsidRPr="00AB65CD">
              <w:rPr>
                <w:rFonts w:cs="Arial"/>
                <w:b/>
                <w:bCs/>
                <w:color w:val="000000"/>
                <w:sz w:val="16"/>
                <w:szCs w:val="16"/>
              </w:rPr>
              <w:t>účastnili se</w:t>
            </w:r>
          </w:p>
        </w:tc>
        <w:tc>
          <w:tcPr>
            <w:tcW w:w="642" w:type="pct"/>
            <w:tcBorders>
              <w:top w:val="nil"/>
              <w:left w:val="nil"/>
              <w:bottom w:val="single" w:sz="4" w:space="0" w:color="auto"/>
              <w:right w:val="nil"/>
            </w:tcBorders>
            <w:shd w:val="clear" w:color="000000" w:fill="F2DCDB"/>
            <w:noWrap/>
            <w:vAlign w:val="center"/>
            <w:hideMark/>
          </w:tcPr>
          <w:p w:rsidR="00AB65CD" w:rsidRPr="00AB65CD" w:rsidRDefault="00AB65CD" w:rsidP="00AB65CD">
            <w:pPr>
              <w:spacing w:after="0" w:line="240" w:lineRule="auto"/>
              <w:jc w:val="center"/>
              <w:rPr>
                <w:rFonts w:cs="Arial"/>
                <w:b/>
                <w:bCs/>
                <w:color w:val="000000"/>
                <w:sz w:val="16"/>
                <w:szCs w:val="16"/>
              </w:rPr>
            </w:pPr>
            <w:r w:rsidRPr="00AB65CD">
              <w:rPr>
                <w:rFonts w:cs="Arial"/>
                <w:b/>
                <w:bCs/>
                <w:color w:val="000000"/>
                <w:sz w:val="16"/>
                <w:szCs w:val="16"/>
              </w:rPr>
              <w:t>neúčastnili se</w:t>
            </w:r>
          </w:p>
        </w:tc>
      </w:tr>
      <w:tr w:rsidR="00AB65CD" w:rsidRPr="00AB65CD" w:rsidTr="00256DD2">
        <w:trPr>
          <w:trHeight w:val="300"/>
        </w:trPr>
        <w:tc>
          <w:tcPr>
            <w:tcW w:w="1958" w:type="pct"/>
            <w:tcBorders>
              <w:top w:val="nil"/>
              <w:left w:val="nil"/>
              <w:bottom w:val="nil"/>
              <w:right w:val="nil"/>
            </w:tcBorders>
            <w:shd w:val="clear" w:color="auto" w:fill="auto"/>
            <w:noWrap/>
            <w:vAlign w:val="center"/>
            <w:hideMark/>
          </w:tcPr>
          <w:p w:rsidR="00AB65CD" w:rsidRPr="00AB65CD" w:rsidRDefault="00AB65CD" w:rsidP="00AB65CD">
            <w:pPr>
              <w:spacing w:after="0" w:line="240" w:lineRule="auto"/>
              <w:rPr>
                <w:rFonts w:cs="Arial"/>
                <w:color w:val="000000"/>
                <w:sz w:val="16"/>
                <w:szCs w:val="16"/>
              </w:rPr>
            </w:pPr>
            <w:r w:rsidRPr="00AB65CD">
              <w:rPr>
                <w:rFonts w:cs="Arial"/>
                <w:color w:val="000000"/>
                <w:sz w:val="16"/>
                <w:szCs w:val="16"/>
              </w:rPr>
              <w:t>nepotřebuji další vzdělávání</w:t>
            </w:r>
          </w:p>
        </w:tc>
        <w:tc>
          <w:tcPr>
            <w:tcW w:w="349"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68</w:t>
            </w:r>
          </w:p>
        </w:tc>
        <w:tc>
          <w:tcPr>
            <w:tcW w:w="530"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62</w:t>
            </w:r>
          </w:p>
        </w:tc>
        <w:tc>
          <w:tcPr>
            <w:tcW w:w="642"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73</w:t>
            </w:r>
          </w:p>
        </w:tc>
        <w:tc>
          <w:tcPr>
            <w:tcW w:w="349"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68</w:t>
            </w:r>
          </w:p>
        </w:tc>
        <w:tc>
          <w:tcPr>
            <w:tcW w:w="530"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62</w:t>
            </w:r>
          </w:p>
        </w:tc>
        <w:tc>
          <w:tcPr>
            <w:tcW w:w="642"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73</w:t>
            </w:r>
          </w:p>
        </w:tc>
      </w:tr>
      <w:tr w:rsidR="00AB65CD" w:rsidRPr="00AB65CD" w:rsidTr="00256DD2">
        <w:trPr>
          <w:trHeight w:val="300"/>
        </w:trPr>
        <w:tc>
          <w:tcPr>
            <w:tcW w:w="1958" w:type="pct"/>
            <w:tcBorders>
              <w:top w:val="nil"/>
              <w:left w:val="nil"/>
              <w:bottom w:val="nil"/>
              <w:right w:val="nil"/>
            </w:tcBorders>
            <w:shd w:val="clear" w:color="auto" w:fill="auto"/>
            <w:noWrap/>
            <w:vAlign w:val="center"/>
            <w:hideMark/>
          </w:tcPr>
          <w:p w:rsidR="00AB65CD" w:rsidRPr="00AB65CD" w:rsidRDefault="00AB65CD" w:rsidP="00AB65CD">
            <w:pPr>
              <w:spacing w:after="0" w:line="240" w:lineRule="auto"/>
              <w:rPr>
                <w:rFonts w:cs="Arial"/>
                <w:color w:val="000000"/>
                <w:sz w:val="16"/>
                <w:szCs w:val="16"/>
              </w:rPr>
            </w:pPr>
            <w:r w:rsidRPr="00AB65CD">
              <w:rPr>
                <w:rFonts w:cs="Arial"/>
                <w:color w:val="000000"/>
                <w:sz w:val="16"/>
                <w:szCs w:val="16"/>
              </w:rPr>
              <w:t>osobní důvody (např. nedostatek času)</w:t>
            </w:r>
          </w:p>
        </w:tc>
        <w:tc>
          <w:tcPr>
            <w:tcW w:w="349"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11</w:t>
            </w:r>
          </w:p>
        </w:tc>
        <w:tc>
          <w:tcPr>
            <w:tcW w:w="530"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15</w:t>
            </w:r>
          </w:p>
        </w:tc>
        <w:tc>
          <w:tcPr>
            <w:tcW w:w="642"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7</w:t>
            </w:r>
          </w:p>
        </w:tc>
        <w:tc>
          <w:tcPr>
            <w:tcW w:w="349"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16</w:t>
            </w:r>
          </w:p>
        </w:tc>
        <w:tc>
          <w:tcPr>
            <w:tcW w:w="530"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21</w:t>
            </w:r>
          </w:p>
        </w:tc>
        <w:tc>
          <w:tcPr>
            <w:tcW w:w="642"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11</w:t>
            </w:r>
          </w:p>
        </w:tc>
      </w:tr>
      <w:tr w:rsidR="00AB65CD" w:rsidRPr="00AB65CD" w:rsidTr="00256DD2">
        <w:trPr>
          <w:trHeight w:val="300"/>
        </w:trPr>
        <w:tc>
          <w:tcPr>
            <w:tcW w:w="1958" w:type="pct"/>
            <w:tcBorders>
              <w:top w:val="nil"/>
              <w:left w:val="nil"/>
              <w:bottom w:val="nil"/>
              <w:right w:val="nil"/>
            </w:tcBorders>
            <w:shd w:val="clear" w:color="auto" w:fill="auto"/>
            <w:noWrap/>
            <w:vAlign w:val="center"/>
            <w:hideMark/>
          </w:tcPr>
          <w:p w:rsidR="00AB65CD" w:rsidRPr="00AB65CD" w:rsidRDefault="00AB65CD" w:rsidP="00AB65CD">
            <w:pPr>
              <w:spacing w:after="0" w:line="240" w:lineRule="auto"/>
              <w:rPr>
                <w:rFonts w:cs="Arial"/>
                <w:color w:val="000000"/>
                <w:sz w:val="16"/>
                <w:szCs w:val="16"/>
              </w:rPr>
            </w:pPr>
            <w:r w:rsidRPr="00AB65CD">
              <w:rPr>
                <w:rFonts w:cs="Arial"/>
                <w:color w:val="000000"/>
                <w:sz w:val="16"/>
                <w:szCs w:val="16"/>
              </w:rPr>
              <w:t>rodinné povinnosti</w:t>
            </w:r>
          </w:p>
        </w:tc>
        <w:tc>
          <w:tcPr>
            <w:tcW w:w="349"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6</w:t>
            </w:r>
          </w:p>
        </w:tc>
        <w:tc>
          <w:tcPr>
            <w:tcW w:w="530"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5</w:t>
            </w:r>
          </w:p>
        </w:tc>
        <w:tc>
          <w:tcPr>
            <w:tcW w:w="642"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7</w:t>
            </w:r>
          </w:p>
        </w:tc>
        <w:tc>
          <w:tcPr>
            <w:tcW w:w="349"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8</w:t>
            </w:r>
          </w:p>
        </w:tc>
        <w:tc>
          <w:tcPr>
            <w:tcW w:w="530"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8</w:t>
            </w:r>
          </w:p>
        </w:tc>
        <w:tc>
          <w:tcPr>
            <w:tcW w:w="642"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9</w:t>
            </w:r>
          </w:p>
        </w:tc>
      </w:tr>
      <w:tr w:rsidR="00AB65CD" w:rsidRPr="00AB65CD" w:rsidTr="00256DD2">
        <w:trPr>
          <w:trHeight w:val="300"/>
        </w:trPr>
        <w:tc>
          <w:tcPr>
            <w:tcW w:w="1958" w:type="pct"/>
            <w:tcBorders>
              <w:top w:val="nil"/>
              <w:left w:val="nil"/>
              <w:bottom w:val="nil"/>
              <w:right w:val="nil"/>
            </w:tcBorders>
            <w:shd w:val="clear" w:color="auto" w:fill="auto"/>
            <w:noWrap/>
            <w:vAlign w:val="center"/>
            <w:hideMark/>
          </w:tcPr>
          <w:p w:rsidR="00AB65CD" w:rsidRPr="00AB65CD" w:rsidRDefault="00AB65CD" w:rsidP="00AB65CD">
            <w:pPr>
              <w:spacing w:after="0" w:line="240" w:lineRule="auto"/>
              <w:rPr>
                <w:rFonts w:cs="Arial"/>
                <w:color w:val="000000"/>
                <w:sz w:val="16"/>
                <w:szCs w:val="16"/>
              </w:rPr>
            </w:pPr>
            <w:r w:rsidRPr="00AB65CD">
              <w:rPr>
                <w:rFonts w:cs="Arial"/>
                <w:color w:val="000000"/>
                <w:sz w:val="16"/>
                <w:szCs w:val="16"/>
              </w:rPr>
              <w:t>cena - vzdělávání bylo příliš drahé</w:t>
            </w:r>
          </w:p>
        </w:tc>
        <w:tc>
          <w:tcPr>
            <w:tcW w:w="349"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3</w:t>
            </w:r>
          </w:p>
        </w:tc>
        <w:tc>
          <w:tcPr>
            <w:tcW w:w="530"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5</w:t>
            </w:r>
          </w:p>
        </w:tc>
        <w:tc>
          <w:tcPr>
            <w:tcW w:w="642"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2</w:t>
            </w:r>
          </w:p>
        </w:tc>
        <w:tc>
          <w:tcPr>
            <w:tcW w:w="349"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5</w:t>
            </w:r>
          </w:p>
        </w:tc>
        <w:tc>
          <w:tcPr>
            <w:tcW w:w="530"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7</w:t>
            </w:r>
          </w:p>
        </w:tc>
        <w:tc>
          <w:tcPr>
            <w:tcW w:w="642"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4</w:t>
            </w:r>
          </w:p>
        </w:tc>
      </w:tr>
      <w:tr w:rsidR="00AB65CD" w:rsidRPr="00AB65CD" w:rsidTr="00256DD2">
        <w:trPr>
          <w:trHeight w:val="300"/>
        </w:trPr>
        <w:tc>
          <w:tcPr>
            <w:tcW w:w="1958" w:type="pct"/>
            <w:tcBorders>
              <w:top w:val="nil"/>
              <w:left w:val="nil"/>
              <w:bottom w:val="nil"/>
              <w:right w:val="nil"/>
            </w:tcBorders>
            <w:shd w:val="clear" w:color="auto" w:fill="auto"/>
            <w:noWrap/>
            <w:vAlign w:val="center"/>
            <w:hideMark/>
          </w:tcPr>
          <w:p w:rsidR="00AB65CD" w:rsidRPr="00AB65CD" w:rsidRDefault="00AB65CD" w:rsidP="00AB65CD">
            <w:pPr>
              <w:spacing w:after="0" w:line="240" w:lineRule="auto"/>
              <w:rPr>
                <w:rFonts w:cs="Arial"/>
                <w:color w:val="000000"/>
                <w:sz w:val="16"/>
                <w:szCs w:val="16"/>
              </w:rPr>
            </w:pPr>
            <w:r w:rsidRPr="00AB65CD">
              <w:rPr>
                <w:rFonts w:cs="Arial"/>
                <w:color w:val="000000"/>
                <w:sz w:val="16"/>
                <w:szCs w:val="16"/>
              </w:rPr>
              <w:t>nevyhovující čas konání výuky</w:t>
            </w:r>
          </w:p>
        </w:tc>
        <w:tc>
          <w:tcPr>
            <w:tcW w:w="349"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3</w:t>
            </w:r>
          </w:p>
        </w:tc>
        <w:tc>
          <w:tcPr>
            <w:tcW w:w="530"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4</w:t>
            </w:r>
          </w:p>
        </w:tc>
        <w:tc>
          <w:tcPr>
            <w:tcW w:w="642"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1</w:t>
            </w:r>
          </w:p>
        </w:tc>
        <w:tc>
          <w:tcPr>
            <w:tcW w:w="349"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5</w:t>
            </w:r>
          </w:p>
        </w:tc>
        <w:tc>
          <w:tcPr>
            <w:tcW w:w="530"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8</w:t>
            </w:r>
          </w:p>
        </w:tc>
        <w:tc>
          <w:tcPr>
            <w:tcW w:w="642"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3</w:t>
            </w:r>
          </w:p>
        </w:tc>
      </w:tr>
      <w:tr w:rsidR="00AB65CD" w:rsidRPr="00AB65CD" w:rsidTr="00256DD2">
        <w:trPr>
          <w:trHeight w:val="300"/>
        </w:trPr>
        <w:tc>
          <w:tcPr>
            <w:tcW w:w="1958" w:type="pct"/>
            <w:tcBorders>
              <w:top w:val="nil"/>
              <w:left w:val="nil"/>
              <w:bottom w:val="nil"/>
              <w:right w:val="nil"/>
            </w:tcBorders>
            <w:shd w:val="clear" w:color="auto" w:fill="auto"/>
            <w:noWrap/>
            <w:vAlign w:val="center"/>
            <w:hideMark/>
          </w:tcPr>
          <w:p w:rsidR="00AB65CD" w:rsidRPr="00AB65CD" w:rsidRDefault="00AB65CD" w:rsidP="00AB65CD">
            <w:pPr>
              <w:spacing w:after="0" w:line="240" w:lineRule="auto"/>
              <w:rPr>
                <w:rFonts w:cs="Arial"/>
                <w:color w:val="000000"/>
                <w:sz w:val="16"/>
                <w:szCs w:val="16"/>
              </w:rPr>
            </w:pPr>
            <w:r w:rsidRPr="00AB65CD">
              <w:rPr>
                <w:rFonts w:cs="Arial"/>
                <w:color w:val="000000"/>
                <w:sz w:val="16"/>
                <w:szCs w:val="16"/>
              </w:rPr>
              <w:t>zdravotní důvody</w:t>
            </w:r>
          </w:p>
        </w:tc>
        <w:tc>
          <w:tcPr>
            <w:tcW w:w="349"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2</w:t>
            </w:r>
          </w:p>
        </w:tc>
        <w:tc>
          <w:tcPr>
            <w:tcW w:w="530"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1</w:t>
            </w:r>
          </w:p>
        </w:tc>
        <w:tc>
          <w:tcPr>
            <w:tcW w:w="642"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4</w:t>
            </w:r>
          </w:p>
        </w:tc>
        <w:tc>
          <w:tcPr>
            <w:tcW w:w="349"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3</w:t>
            </w:r>
          </w:p>
        </w:tc>
        <w:tc>
          <w:tcPr>
            <w:tcW w:w="530"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1</w:t>
            </w:r>
          </w:p>
        </w:tc>
        <w:tc>
          <w:tcPr>
            <w:tcW w:w="642"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4</w:t>
            </w:r>
          </w:p>
        </w:tc>
      </w:tr>
      <w:tr w:rsidR="00AB65CD" w:rsidRPr="00AB65CD" w:rsidTr="00256DD2">
        <w:trPr>
          <w:trHeight w:val="300"/>
        </w:trPr>
        <w:tc>
          <w:tcPr>
            <w:tcW w:w="1958" w:type="pct"/>
            <w:tcBorders>
              <w:top w:val="nil"/>
              <w:left w:val="nil"/>
              <w:bottom w:val="nil"/>
              <w:right w:val="nil"/>
            </w:tcBorders>
            <w:shd w:val="clear" w:color="auto" w:fill="auto"/>
            <w:noWrap/>
            <w:vAlign w:val="center"/>
            <w:hideMark/>
          </w:tcPr>
          <w:p w:rsidR="00AB65CD" w:rsidRPr="00AB65CD" w:rsidRDefault="00AB65CD" w:rsidP="00AB65CD">
            <w:pPr>
              <w:spacing w:after="0" w:line="240" w:lineRule="auto"/>
              <w:rPr>
                <w:rFonts w:cs="Arial"/>
                <w:color w:val="000000"/>
                <w:sz w:val="16"/>
                <w:szCs w:val="16"/>
              </w:rPr>
            </w:pPr>
            <w:r w:rsidRPr="00AB65CD">
              <w:rPr>
                <w:rFonts w:cs="Arial"/>
                <w:color w:val="000000"/>
                <w:sz w:val="16"/>
                <w:szCs w:val="16"/>
              </w:rPr>
              <w:t>nebyla k dispozici vhodná vzdělávací aktivita</w:t>
            </w:r>
          </w:p>
        </w:tc>
        <w:tc>
          <w:tcPr>
            <w:tcW w:w="349"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2</w:t>
            </w:r>
          </w:p>
        </w:tc>
        <w:tc>
          <w:tcPr>
            <w:tcW w:w="530"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2</w:t>
            </w:r>
          </w:p>
        </w:tc>
        <w:tc>
          <w:tcPr>
            <w:tcW w:w="642"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1</w:t>
            </w:r>
          </w:p>
        </w:tc>
        <w:tc>
          <w:tcPr>
            <w:tcW w:w="349"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2</w:t>
            </w:r>
          </w:p>
        </w:tc>
        <w:tc>
          <w:tcPr>
            <w:tcW w:w="530"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3</w:t>
            </w:r>
          </w:p>
        </w:tc>
        <w:tc>
          <w:tcPr>
            <w:tcW w:w="642"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2</w:t>
            </w:r>
          </w:p>
        </w:tc>
      </w:tr>
      <w:tr w:rsidR="00AB65CD" w:rsidRPr="00AB65CD" w:rsidTr="00256DD2">
        <w:trPr>
          <w:trHeight w:val="450"/>
        </w:trPr>
        <w:tc>
          <w:tcPr>
            <w:tcW w:w="1958" w:type="pct"/>
            <w:tcBorders>
              <w:top w:val="nil"/>
              <w:left w:val="nil"/>
              <w:bottom w:val="nil"/>
              <w:right w:val="nil"/>
            </w:tcBorders>
            <w:shd w:val="clear" w:color="auto" w:fill="auto"/>
            <w:vAlign w:val="center"/>
            <w:hideMark/>
          </w:tcPr>
          <w:p w:rsidR="00AB65CD" w:rsidRPr="00AB65CD" w:rsidRDefault="00AB65CD" w:rsidP="00AB65CD">
            <w:pPr>
              <w:spacing w:after="0" w:line="240" w:lineRule="auto"/>
              <w:rPr>
                <w:rFonts w:cs="Arial"/>
                <w:color w:val="000000"/>
                <w:sz w:val="16"/>
                <w:szCs w:val="16"/>
              </w:rPr>
            </w:pPr>
            <w:r w:rsidRPr="00AB65CD">
              <w:rPr>
                <w:rFonts w:cs="Arial"/>
                <w:color w:val="000000"/>
                <w:sz w:val="16"/>
                <w:szCs w:val="16"/>
              </w:rPr>
              <w:t xml:space="preserve">nedostatek podpory zaměstnavatele </w:t>
            </w:r>
            <w:r w:rsidRPr="00AB65CD">
              <w:rPr>
                <w:rFonts w:cs="Arial"/>
                <w:color w:val="000000"/>
                <w:sz w:val="16"/>
                <w:szCs w:val="16"/>
              </w:rPr>
              <w:br/>
              <w:t>či veřejných/státních institucí</w:t>
            </w:r>
          </w:p>
        </w:tc>
        <w:tc>
          <w:tcPr>
            <w:tcW w:w="349"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1</w:t>
            </w:r>
          </w:p>
        </w:tc>
        <w:tc>
          <w:tcPr>
            <w:tcW w:w="530"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1</w:t>
            </w:r>
          </w:p>
        </w:tc>
        <w:tc>
          <w:tcPr>
            <w:tcW w:w="642"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1</w:t>
            </w:r>
          </w:p>
        </w:tc>
        <w:tc>
          <w:tcPr>
            <w:tcW w:w="349"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2</w:t>
            </w:r>
          </w:p>
        </w:tc>
        <w:tc>
          <w:tcPr>
            <w:tcW w:w="530"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2</w:t>
            </w:r>
          </w:p>
        </w:tc>
        <w:tc>
          <w:tcPr>
            <w:tcW w:w="642"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1</w:t>
            </w:r>
          </w:p>
        </w:tc>
      </w:tr>
      <w:tr w:rsidR="00AB65CD" w:rsidRPr="00AB65CD" w:rsidTr="00256DD2">
        <w:trPr>
          <w:trHeight w:val="300"/>
        </w:trPr>
        <w:tc>
          <w:tcPr>
            <w:tcW w:w="1958" w:type="pct"/>
            <w:tcBorders>
              <w:top w:val="nil"/>
              <w:left w:val="nil"/>
              <w:bottom w:val="nil"/>
              <w:right w:val="nil"/>
            </w:tcBorders>
            <w:shd w:val="clear" w:color="auto" w:fill="auto"/>
            <w:noWrap/>
            <w:vAlign w:val="center"/>
            <w:hideMark/>
          </w:tcPr>
          <w:p w:rsidR="00AB65CD" w:rsidRPr="00AB65CD" w:rsidRDefault="00AB65CD" w:rsidP="00AB65CD">
            <w:pPr>
              <w:spacing w:after="0" w:line="240" w:lineRule="auto"/>
              <w:rPr>
                <w:rFonts w:cs="Arial"/>
                <w:color w:val="000000"/>
                <w:sz w:val="16"/>
                <w:szCs w:val="16"/>
              </w:rPr>
            </w:pPr>
            <w:r w:rsidRPr="00AB65CD">
              <w:rPr>
                <w:rFonts w:cs="Arial"/>
                <w:color w:val="000000"/>
                <w:sz w:val="16"/>
                <w:szCs w:val="16"/>
              </w:rPr>
              <w:t>důvody spojené s věkem</w:t>
            </w:r>
          </w:p>
        </w:tc>
        <w:tc>
          <w:tcPr>
            <w:tcW w:w="349"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1</w:t>
            </w:r>
          </w:p>
        </w:tc>
        <w:tc>
          <w:tcPr>
            <w:tcW w:w="530"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0</w:t>
            </w:r>
          </w:p>
        </w:tc>
        <w:tc>
          <w:tcPr>
            <w:tcW w:w="642"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1</w:t>
            </w:r>
          </w:p>
        </w:tc>
        <w:tc>
          <w:tcPr>
            <w:tcW w:w="349"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1</w:t>
            </w:r>
          </w:p>
        </w:tc>
        <w:tc>
          <w:tcPr>
            <w:tcW w:w="530"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1</w:t>
            </w:r>
          </w:p>
        </w:tc>
        <w:tc>
          <w:tcPr>
            <w:tcW w:w="642"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2</w:t>
            </w:r>
          </w:p>
        </w:tc>
      </w:tr>
      <w:tr w:rsidR="00AB65CD" w:rsidRPr="00AB65CD" w:rsidTr="00256DD2">
        <w:trPr>
          <w:trHeight w:val="450"/>
        </w:trPr>
        <w:tc>
          <w:tcPr>
            <w:tcW w:w="1958" w:type="pct"/>
            <w:tcBorders>
              <w:top w:val="nil"/>
              <w:left w:val="nil"/>
              <w:bottom w:val="nil"/>
              <w:right w:val="nil"/>
            </w:tcBorders>
            <w:shd w:val="clear" w:color="auto" w:fill="auto"/>
            <w:vAlign w:val="center"/>
            <w:hideMark/>
          </w:tcPr>
          <w:p w:rsidR="00AB65CD" w:rsidRPr="00AB65CD" w:rsidRDefault="00AB65CD" w:rsidP="00AB65CD">
            <w:pPr>
              <w:spacing w:after="0" w:line="240" w:lineRule="auto"/>
              <w:rPr>
                <w:rFonts w:cs="Arial"/>
                <w:color w:val="000000"/>
                <w:sz w:val="16"/>
                <w:szCs w:val="16"/>
              </w:rPr>
            </w:pPr>
            <w:r w:rsidRPr="00AB65CD">
              <w:rPr>
                <w:rFonts w:cs="Arial"/>
                <w:color w:val="000000"/>
                <w:sz w:val="16"/>
                <w:szCs w:val="16"/>
              </w:rPr>
              <w:t xml:space="preserve">nesplňoval/a jsem nezbytné </w:t>
            </w:r>
            <w:r w:rsidRPr="00AB65CD">
              <w:rPr>
                <w:rFonts w:cs="Arial"/>
                <w:color w:val="000000"/>
                <w:sz w:val="16"/>
                <w:szCs w:val="16"/>
              </w:rPr>
              <w:br/>
              <w:t>(kvalifikační) předpoklady</w:t>
            </w:r>
          </w:p>
        </w:tc>
        <w:tc>
          <w:tcPr>
            <w:tcW w:w="349"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1</w:t>
            </w:r>
          </w:p>
        </w:tc>
        <w:tc>
          <w:tcPr>
            <w:tcW w:w="530"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1</w:t>
            </w:r>
          </w:p>
        </w:tc>
        <w:tc>
          <w:tcPr>
            <w:tcW w:w="642"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1</w:t>
            </w:r>
          </w:p>
        </w:tc>
        <w:tc>
          <w:tcPr>
            <w:tcW w:w="349"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1</w:t>
            </w:r>
          </w:p>
        </w:tc>
        <w:tc>
          <w:tcPr>
            <w:tcW w:w="530"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1</w:t>
            </w:r>
          </w:p>
        </w:tc>
        <w:tc>
          <w:tcPr>
            <w:tcW w:w="642"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1</w:t>
            </w:r>
          </w:p>
        </w:tc>
      </w:tr>
      <w:tr w:rsidR="00AB65CD" w:rsidRPr="00AB65CD" w:rsidTr="00256DD2">
        <w:trPr>
          <w:trHeight w:val="300"/>
        </w:trPr>
        <w:tc>
          <w:tcPr>
            <w:tcW w:w="1958" w:type="pct"/>
            <w:tcBorders>
              <w:top w:val="nil"/>
              <w:left w:val="nil"/>
              <w:bottom w:val="nil"/>
              <w:right w:val="nil"/>
            </w:tcBorders>
            <w:shd w:val="clear" w:color="auto" w:fill="auto"/>
            <w:noWrap/>
            <w:vAlign w:val="center"/>
            <w:hideMark/>
          </w:tcPr>
          <w:p w:rsidR="00AB65CD" w:rsidRPr="00AB65CD" w:rsidRDefault="00AB65CD" w:rsidP="00AB65CD">
            <w:pPr>
              <w:spacing w:after="0" w:line="240" w:lineRule="auto"/>
              <w:rPr>
                <w:rFonts w:cs="Arial"/>
                <w:color w:val="000000"/>
                <w:sz w:val="16"/>
                <w:szCs w:val="16"/>
              </w:rPr>
            </w:pPr>
            <w:r w:rsidRPr="00AB65CD">
              <w:rPr>
                <w:rFonts w:cs="Arial"/>
                <w:color w:val="000000"/>
                <w:sz w:val="16"/>
                <w:szCs w:val="16"/>
              </w:rPr>
              <w:t>vzdálenost</w:t>
            </w:r>
          </w:p>
        </w:tc>
        <w:tc>
          <w:tcPr>
            <w:tcW w:w="349"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1</w:t>
            </w:r>
          </w:p>
        </w:tc>
        <w:tc>
          <w:tcPr>
            <w:tcW w:w="530"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1</w:t>
            </w:r>
          </w:p>
        </w:tc>
        <w:tc>
          <w:tcPr>
            <w:tcW w:w="642"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1</w:t>
            </w:r>
          </w:p>
        </w:tc>
        <w:tc>
          <w:tcPr>
            <w:tcW w:w="349"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2</w:t>
            </w:r>
          </w:p>
        </w:tc>
        <w:tc>
          <w:tcPr>
            <w:tcW w:w="530"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3</w:t>
            </w:r>
          </w:p>
        </w:tc>
        <w:tc>
          <w:tcPr>
            <w:tcW w:w="642"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2</w:t>
            </w:r>
          </w:p>
        </w:tc>
      </w:tr>
      <w:tr w:rsidR="00AB65CD" w:rsidRPr="00AB65CD" w:rsidTr="00256DD2">
        <w:trPr>
          <w:trHeight w:val="450"/>
        </w:trPr>
        <w:tc>
          <w:tcPr>
            <w:tcW w:w="1958" w:type="pct"/>
            <w:tcBorders>
              <w:top w:val="nil"/>
              <w:left w:val="nil"/>
              <w:bottom w:val="nil"/>
              <w:right w:val="nil"/>
            </w:tcBorders>
            <w:shd w:val="clear" w:color="auto" w:fill="auto"/>
            <w:vAlign w:val="center"/>
            <w:hideMark/>
          </w:tcPr>
          <w:p w:rsidR="00AB65CD" w:rsidRPr="00AB65CD" w:rsidRDefault="00AB65CD" w:rsidP="00AB65CD">
            <w:pPr>
              <w:spacing w:after="0" w:line="240" w:lineRule="auto"/>
              <w:rPr>
                <w:rFonts w:cs="Arial"/>
                <w:color w:val="000000"/>
                <w:sz w:val="16"/>
                <w:szCs w:val="16"/>
              </w:rPr>
            </w:pPr>
            <w:r w:rsidRPr="00AB65CD">
              <w:rPr>
                <w:rFonts w:cs="Arial"/>
                <w:color w:val="000000"/>
                <w:sz w:val="16"/>
                <w:szCs w:val="16"/>
              </w:rPr>
              <w:t>nemám přístup k počítači či internetu</w:t>
            </w:r>
            <w:r w:rsidRPr="00AB65CD">
              <w:rPr>
                <w:rFonts w:cs="Arial"/>
                <w:color w:val="000000"/>
                <w:sz w:val="16"/>
                <w:szCs w:val="16"/>
              </w:rPr>
              <w:br/>
              <w:t>potřebným pro vzdělávání</w:t>
            </w:r>
          </w:p>
        </w:tc>
        <w:tc>
          <w:tcPr>
            <w:tcW w:w="349"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&lt;1</w:t>
            </w:r>
          </w:p>
        </w:tc>
        <w:tc>
          <w:tcPr>
            <w:tcW w:w="530"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&lt;1</w:t>
            </w:r>
          </w:p>
        </w:tc>
        <w:tc>
          <w:tcPr>
            <w:tcW w:w="642"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&lt;1</w:t>
            </w:r>
          </w:p>
        </w:tc>
        <w:tc>
          <w:tcPr>
            <w:tcW w:w="349"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&lt;1</w:t>
            </w:r>
          </w:p>
        </w:tc>
        <w:tc>
          <w:tcPr>
            <w:tcW w:w="530"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&lt;1</w:t>
            </w:r>
          </w:p>
        </w:tc>
        <w:tc>
          <w:tcPr>
            <w:tcW w:w="642"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&lt;1</w:t>
            </w:r>
          </w:p>
        </w:tc>
      </w:tr>
      <w:tr w:rsidR="00AB65CD" w:rsidRPr="00AB65CD" w:rsidTr="00256DD2">
        <w:trPr>
          <w:trHeight w:val="300"/>
        </w:trPr>
        <w:tc>
          <w:tcPr>
            <w:tcW w:w="1958" w:type="pct"/>
            <w:tcBorders>
              <w:top w:val="nil"/>
              <w:left w:val="nil"/>
              <w:bottom w:val="nil"/>
              <w:right w:val="nil"/>
            </w:tcBorders>
            <w:shd w:val="clear" w:color="auto" w:fill="auto"/>
            <w:noWrap/>
            <w:vAlign w:val="center"/>
            <w:hideMark/>
          </w:tcPr>
          <w:p w:rsidR="00AB65CD" w:rsidRPr="00AB65CD" w:rsidRDefault="00AB65CD" w:rsidP="00AB65CD">
            <w:pPr>
              <w:spacing w:after="0" w:line="240" w:lineRule="auto"/>
              <w:rPr>
                <w:rFonts w:cs="Arial"/>
                <w:color w:val="000000"/>
                <w:sz w:val="16"/>
                <w:szCs w:val="16"/>
              </w:rPr>
            </w:pPr>
            <w:r w:rsidRPr="00AB65CD">
              <w:rPr>
                <w:rFonts w:cs="Arial"/>
                <w:color w:val="000000"/>
                <w:sz w:val="16"/>
                <w:szCs w:val="16"/>
              </w:rPr>
              <w:t>špatná zkušenost s předchozím vzděláváním</w:t>
            </w:r>
          </w:p>
        </w:tc>
        <w:tc>
          <w:tcPr>
            <w:tcW w:w="349"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&lt;1</w:t>
            </w:r>
          </w:p>
        </w:tc>
        <w:tc>
          <w:tcPr>
            <w:tcW w:w="530"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&lt;1</w:t>
            </w:r>
          </w:p>
        </w:tc>
        <w:tc>
          <w:tcPr>
            <w:tcW w:w="642"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&lt;1</w:t>
            </w:r>
          </w:p>
        </w:tc>
        <w:tc>
          <w:tcPr>
            <w:tcW w:w="349"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&lt;1</w:t>
            </w:r>
          </w:p>
        </w:tc>
        <w:tc>
          <w:tcPr>
            <w:tcW w:w="530"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&lt;1</w:t>
            </w:r>
          </w:p>
        </w:tc>
        <w:tc>
          <w:tcPr>
            <w:tcW w:w="642" w:type="pct"/>
            <w:tcBorders>
              <w:top w:val="nil"/>
              <w:left w:val="single" w:sz="4" w:space="0" w:color="auto"/>
              <w:bottom w:val="nil"/>
              <w:right w:val="nil"/>
            </w:tcBorders>
            <w:shd w:val="clear" w:color="auto" w:fill="auto"/>
            <w:noWrap/>
            <w:vAlign w:val="center"/>
            <w:hideMark/>
          </w:tcPr>
          <w:p w:rsidR="00AB65CD" w:rsidRPr="00AB65CD" w:rsidRDefault="00AB65CD" w:rsidP="00AB65CD">
            <w:pPr>
              <w:spacing w:after="0" w:line="240" w:lineRule="auto"/>
              <w:jc w:val="right"/>
              <w:rPr>
                <w:rFonts w:cs="Arial"/>
                <w:color w:val="000000"/>
                <w:sz w:val="16"/>
                <w:szCs w:val="16"/>
              </w:rPr>
            </w:pPr>
            <w:r w:rsidRPr="00AB65CD">
              <w:rPr>
                <w:rFonts w:cs="Arial"/>
                <w:color w:val="000000"/>
                <w:sz w:val="16"/>
                <w:szCs w:val="16"/>
              </w:rPr>
              <w:t>&lt;1</w:t>
            </w:r>
          </w:p>
        </w:tc>
      </w:tr>
      <w:tr w:rsidR="00256DD2" w:rsidRPr="00AB65CD" w:rsidTr="00256DD2">
        <w:trPr>
          <w:trHeight w:val="300"/>
        </w:trPr>
        <w:tc>
          <w:tcPr>
            <w:tcW w:w="1958" w:type="pct"/>
            <w:tcBorders>
              <w:top w:val="nil"/>
              <w:left w:val="nil"/>
              <w:bottom w:val="nil"/>
              <w:right w:val="nil"/>
            </w:tcBorders>
            <w:shd w:val="clear" w:color="auto" w:fill="auto"/>
            <w:noWrap/>
            <w:vAlign w:val="center"/>
            <w:hideMark/>
          </w:tcPr>
          <w:p w:rsidR="00256DD2" w:rsidRPr="00AB65CD" w:rsidRDefault="00256DD2" w:rsidP="00560767">
            <w:pPr>
              <w:spacing w:after="0" w:line="240" w:lineRule="auto"/>
              <w:rPr>
                <w:rFonts w:cs="Arial"/>
                <w:color w:val="000000"/>
                <w:sz w:val="16"/>
                <w:szCs w:val="16"/>
              </w:rPr>
            </w:pPr>
            <w:r w:rsidRPr="00AB65CD">
              <w:rPr>
                <w:rFonts w:cs="Arial"/>
                <w:color w:val="000000"/>
                <w:sz w:val="16"/>
                <w:szCs w:val="16"/>
              </w:rPr>
              <w:t>žádný z výše uvedených důvodů</w:t>
            </w:r>
          </w:p>
        </w:tc>
        <w:tc>
          <w:tcPr>
            <w:tcW w:w="349" w:type="pct"/>
            <w:tcBorders>
              <w:top w:val="nil"/>
              <w:left w:val="single" w:sz="4" w:space="0" w:color="auto"/>
              <w:bottom w:val="nil"/>
              <w:right w:val="nil"/>
            </w:tcBorders>
            <w:shd w:val="clear" w:color="auto" w:fill="auto"/>
            <w:noWrap/>
            <w:vAlign w:val="center"/>
            <w:hideMark/>
          </w:tcPr>
          <w:p w:rsidR="00256DD2" w:rsidRPr="00AB65CD" w:rsidRDefault="00256DD2" w:rsidP="00560767">
            <w:pPr>
              <w:spacing w:after="0" w:line="240" w:lineRule="auto"/>
              <w:jc w:val="right"/>
              <w:rPr>
                <w:rFonts w:cs="Arial"/>
                <w:color w:val="000000"/>
                <w:sz w:val="16"/>
                <w:szCs w:val="16"/>
              </w:rPr>
            </w:pPr>
            <w:r w:rsidRPr="00AB65CD">
              <w:rPr>
                <w:rFonts w:cs="Arial"/>
                <w:color w:val="000000"/>
                <w:sz w:val="16"/>
                <w:szCs w:val="16"/>
              </w:rPr>
              <w:t>2</w:t>
            </w:r>
          </w:p>
        </w:tc>
        <w:tc>
          <w:tcPr>
            <w:tcW w:w="530" w:type="pct"/>
            <w:tcBorders>
              <w:top w:val="nil"/>
              <w:left w:val="single" w:sz="4" w:space="0" w:color="auto"/>
              <w:bottom w:val="nil"/>
              <w:right w:val="nil"/>
            </w:tcBorders>
            <w:shd w:val="clear" w:color="auto" w:fill="auto"/>
            <w:noWrap/>
            <w:vAlign w:val="center"/>
            <w:hideMark/>
          </w:tcPr>
          <w:p w:rsidR="00256DD2" w:rsidRPr="00AB65CD" w:rsidRDefault="00256DD2" w:rsidP="00560767">
            <w:pPr>
              <w:spacing w:after="0" w:line="240" w:lineRule="auto"/>
              <w:jc w:val="right"/>
              <w:rPr>
                <w:rFonts w:cs="Arial"/>
                <w:color w:val="000000"/>
                <w:sz w:val="16"/>
                <w:szCs w:val="16"/>
              </w:rPr>
            </w:pPr>
            <w:r w:rsidRPr="00AB65CD">
              <w:rPr>
                <w:rFonts w:cs="Arial"/>
                <w:color w:val="000000"/>
                <w:sz w:val="16"/>
                <w:szCs w:val="16"/>
              </w:rPr>
              <w:t>2</w:t>
            </w:r>
          </w:p>
        </w:tc>
        <w:tc>
          <w:tcPr>
            <w:tcW w:w="642" w:type="pct"/>
            <w:tcBorders>
              <w:top w:val="nil"/>
              <w:left w:val="single" w:sz="4" w:space="0" w:color="auto"/>
              <w:bottom w:val="nil"/>
              <w:right w:val="nil"/>
            </w:tcBorders>
            <w:shd w:val="clear" w:color="auto" w:fill="auto"/>
            <w:noWrap/>
            <w:vAlign w:val="center"/>
            <w:hideMark/>
          </w:tcPr>
          <w:p w:rsidR="00256DD2" w:rsidRPr="00AB65CD" w:rsidRDefault="00256DD2" w:rsidP="00560767">
            <w:pPr>
              <w:spacing w:after="0" w:line="240" w:lineRule="auto"/>
              <w:jc w:val="right"/>
              <w:rPr>
                <w:rFonts w:cs="Arial"/>
                <w:color w:val="000000"/>
                <w:sz w:val="16"/>
                <w:szCs w:val="16"/>
              </w:rPr>
            </w:pPr>
            <w:r w:rsidRPr="00AB65CD">
              <w:rPr>
                <w:rFonts w:cs="Arial"/>
                <w:color w:val="000000"/>
                <w:sz w:val="16"/>
                <w:szCs w:val="16"/>
              </w:rPr>
              <w:t>2</w:t>
            </w:r>
          </w:p>
        </w:tc>
        <w:tc>
          <w:tcPr>
            <w:tcW w:w="349" w:type="pct"/>
            <w:tcBorders>
              <w:top w:val="nil"/>
              <w:left w:val="single" w:sz="4" w:space="0" w:color="auto"/>
              <w:bottom w:val="nil"/>
              <w:right w:val="nil"/>
            </w:tcBorders>
            <w:shd w:val="clear" w:color="auto" w:fill="auto"/>
            <w:noWrap/>
            <w:vAlign w:val="center"/>
            <w:hideMark/>
          </w:tcPr>
          <w:p w:rsidR="00256DD2" w:rsidRPr="00AB65CD" w:rsidRDefault="00256DD2" w:rsidP="00560767">
            <w:pPr>
              <w:spacing w:after="0" w:line="240" w:lineRule="auto"/>
              <w:jc w:val="right"/>
              <w:rPr>
                <w:rFonts w:cs="Arial"/>
                <w:color w:val="000000"/>
                <w:sz w:val="16"/>
                <w:szCs w:val="16"/>
              </w:rPr>
            </w:pPr>
            <w:r w:rsidRPr="00AB65CD">
              <w:rPr>
                <w:rFonts w:cs="Arial"/>
                <w:color w:val="000000"/>
                <w:sz w:val="16"/>
                <w:szCs w:val="16"/>
              </w:rPr>
              <w:t>2</w:t>
            </w:r>
          </w:p>
        </w:tc>
        <w:tc>
          <w:tcPr>
            <w:tcW w:w="530" w:type="pct"/>
            <w:tcBorders>
              <w:top w:val="nil"/>
              <w:left w:val="single" w:sz="4" w:space="0" w:color="auto"/>
              <w:bottom w:val="nil"/>
              <w:right w:val="nil"/>
            </w:tcBorders>
            <w:shd w:val="clear" w:color="auto" w:fill="auto"/>
            <w:noWrap/>
            <w:vAlign w:val="center"/>
            <w:hideMark/>
          </w:tcPr>
          <w:p w:rsidR="00256DD2" w:rsidRPr="00AB65CD" w:rsidRDefault="00256DD2" w:rsidP="00560767">
            <w:pPr>
              <w:spacing w:after="0" w:line="240" w:lineRule="auto"/>
              <w:jc w:val="right"/>
              <w:rPr>
                <w:rFonts w:cs="Arial"/>
                <w:color w:val="000000"/>
                <w:sz w:val="16"/>
                <w:szCs w:val="16"/>
              </w:rPr>
            </w:pPr>
            <w:r w:rsidRPr="00AB65CD">
              <w:rPr>
                <w:rFonts w:cs="Arial"/>
                <w:color w:val="000000"/>
                <w:sz w:val="16"/>
                <w:szCs w:val="16"/>
              </w:rPr>
              <w:t>2</w:t>
            </w:r>
          </w:p>
        </w:tc>
        <w:tc>
          <w:tcPr>
            <w:tcW w:w="642" w:type="pct"/>
            <w:tcBorders>
              <w:top w:val="nil"/>
              <w:left w:val="single" w:sz="4" w:space="0" w:color="auto"/>
              <w:bottom w:val="nil"/>
              <w:right w:val="nil"/>
            </w:tcBorders>
            <w:shd w:val="clear" w:color="auto" w:fill="auto"/>
            <w:noWrap/>
            <w:vAlign w:val="center"/>
            <w:hideMark/>
          </w:tcPr>
          <w:p w:rsidR="00256DD2" w:rsidRPr="00AB65CD" w:rsidRDefault="00256DD2" w:rsidP="00560767">
            <w:pPr>
              <w:spacing w:after="0" w:line="240" w:lineRule="auto"/>
              <w:jc w:val="right"/>
              <w:rPr>
                <w:rFonts w:cs="Arial"/>
                <w:color w:val="000000"/>
                <w:sz w:val="16"/>
                <w:szCs w:val="16"/>
              </w:rPr>
            </w:pPr>
            <w:r w:rsidRPr="00AB65CD">
              <w:rPr>
                <w:rFonts w:cs="Arial"/>
                <w:color w:val="000000"/>
                <w:sz w:val="16"/>
                <w:szCs w:val="16"/>
              </w:rPr>
              <w:t>2</w:t>
            </w:r>
          </w:p>
        </w:tc>
      </w:tr>
    </w:tbl>
    <w:p w:rsidR="00E50FF8" w:rsidRPr="00E50FF8" w:rsidRDefault="00E50FF8" w:rsidP="00E50FF8">
      <w:pPr>
        <w:spacing w:before="240" w:line="312" w:lineRule="auto"/>
        <w:rPr>
          <w:rFonts w:cs="Arial"/>
          <w:szCs w:val="20"/>
        </w:rPr>
      </w:pPr>
      <w:r w:rsidRPr="00E50FF8">
        <w:rPr>
          <w:rFonts w:cs="Arial"/>
          <w:szCs w:val="20"/>
        </w:rPr>
        <w:t>Zdroj: AES 2016, ČSÚ</w:t>
      </w:r>
    </w:p>
    <w:p w:rsidR="000F5E21" w:rsidRDefault="00462266" w:rsidP="000F5E21">
      <w:pPr>
        <w:spacing w:line="312" w:lineRule="auto"/>
        <w:jc w:val="both"/>
        <w:rPr>
          <w:rFonts w:cs="Arial"/>
          <w:szCs w:val="20"/>
        </w:rPr>
      </w:pPr>
      <w:r>
        <w:lastRenderedPageBreak/>
        <w:t>Nejčastěji uváděným důvodem, proč se přibližně 88 %</w:t>
      </w:r>
      <w:r>
        <w:rPr>
          <w:rStyle w:val="Znakapoznpodarou"/>
        </w:rPr>
        <w:footnoteReference w:id="22"/>
      </w:r>
      <w:r>
        <w:t xml:space="preserve"> dospělých osob nechtělo dále či vůbec vzdělávat, bylo přesvědčení, že další vzdělávání (nad rámec toho,</w:t>
      </w:r>
      <w:r w:rsidR="00CD2B68">
        <w:t xml:space="preserve"> které již v minulosti absolvovali</w:t>
      </w:r>
      <w:r>
        <w:t xml:space="preserve">) nepotřebují a jejich stávající úroveň vzdělání je dostatečná. </w:t>
      </w:r>
      <w:r w:rsidR="000F5E21">
        <w:rPr>
          <w:rFonts w:cs="Arial"/>
          <w:szCs w:val="20"/>
        </w:rPr>
        <w:t xml:space="preserve">Tímto způsobem svou situaci v otázce dalšího vzdělávání se vnímá celých 68 </w:t>
      </w:r>
      <w:r w:rsidR="000F5E21">
        <w:rPr>
          <w:rFonts w:cs="Arial"/>
          <w:szCs w:val="20"/>
          <w:lang w:val="en-US"/>
        </w:rPr>
        <w:t xml:space="preserve">% </w:t>
      </w:r>
      <w:proofErr w:type="spellStart"/>
      <w:r w:rsidR="000F5E21">
        <w:rPr>
          <w:rFonts w:cs="Arial"/>
          <w:szCs w:val="20"/>
          <w:lang w:val="en-US"/>
        </w:rPr>
        <w:t>osob</w:t>
      </w:r>
      <w:proofErr w:type="spellEnd"/>
      <w:r w:rsidR="000F5E21">
        <w:rPr>
          <w:rFonts w:cs="Arial"/>
          <w:szCs w:val="20"/>
          <w:lang w:val="en-US"/>
        </w:rPr>
        <w:t xml:space="preserve"> </w:t>
      </w:r>
      <w:proofErr w:type="spellStart"/>
      <w:r w:rsidR="000F5E21">
        <w:rPr>
          <w:rFonts w:cs="Arial"/>
          <w:szCs w:val="20"/>
          <w:lang w:val="en-US"/>
        </w:rPr>
        <w:t>ve</w:t>
      </w:r>
      <w:proofErr w:type="spellEnd"/>
      <w:r w:rsidR="000F5E21">
        <w:rPr>
          <w:rFonts w:cs="Arial"/>
          <w:szCs w:val="20"/>
          <w:lang w:val="en-US"/>
        </w:rPr>
        <w:t xml:space="preserve"> </w:t>
      </w:r>
      <w:proofErr w:type="spellStart"/>
      <w:r w:rsidR="000F5E21">
        <w:rPr>
          <w:rFonts w:cs="Arial"/>
          <w:szCs w:val="20"/>
          <w:lang w:val="en-US"/>
        </w:rPr>
        <w:t>sledované</w:t>
      </w:r>
      <w:proofErr w:type="spellEnd"/>
      <w:r w:rsidR="000F5E21">
        <w:rPr>
          <w:rFonts w:cs="Arial"/>
          <w:szCs w:val="20"/>
          <w:lang w:val="en-US"/>
        </w:rPr>
        <w:t xml:space="preserve"> </w:t>
      </w:r>
      <w:proofErr w:type="spellStart"/>
      <w:r w:rsidR="000F5E21">
        <w:rPr>
          <w:rFonts w:cs="Arial"/>
          <w:szCs w:val="20"/>
          <w:lang w:val="en-US"/>
        </w:rPr>
        <w:t>populaci</w:t>
      </w:r>
      <w:proofErr w:type="spellEnd"/>
      <w:r w:rsidR="000F5E21">
        <w:rPr>
          <w:rFonts w:cs="Arial"/>
          <w:szCs w:val="20"/>
          <w:lang w:val="en-US"/>
        </w:rPr>
        <w:t xml:space="preserve">. </w:t>
      </w:r>
      <w:r w:rsidR="000F5E21">
        <w:rPr>
          <w:rFonts w:cs="Arial"/>
          <w:szCs w:val="20"/>
        </w:rPr>
        <w:t xml:space="preserve">Zaměříme-li se pouze na ty, kteří se žádným způsobem nevzdělávali, můžeme konstatovat, že v populaci osob ve věku 18–69 let v ČR se přibližně 40 </w:t>
      </w:r>
      <w:r w:rsidR="000F5E21">
        <w:rPr>
          <w:rFonts w:cs="Arial"/>
          <w:szCs w:val="20"/>
          <w:lang w:val="en-US"/>
        </w:rPr>
        <w:t xml:space="preserve">% z </w:t>
      </w:r>
      <w:proofErr w:type="spellStart"/>
      <w:r w:rsidR="000F5E21">
        <w:rPr>
          <w:rFonts w:cs="Arial"/>
          <w:szCs w:val="20"/>
          <w:lang w:val="en-US"/>
        </w:rPr>
        <w:t>nich</w:t>
      </w:r>
      <w:proofErr w:type="spellEnd"/>
      <w:r w:rsidR="000F5E21">
        <w:rPr>
          <w:rFonts w:cs="Arial"/>
          <w:szCs w:val="20"/>
          <w:lang w:val="en-US"/>
        </w:rPr>
        <w:t xml:space="preserve"> n</w:t>
      </w:r>
      <w:proofErr w:type="spellStart"/>
      <w:r w:rsidR="000F5E21">
        <w:rPr>
          <w:rFonts w:cs="Arial"/>
          <w:szCs w:val="20"/>
        </w:rPr>
        <w:t>ezajímá</w:t>
      </w:r>
      <w:proofErr w:type="spellEnd"/>
      <w:r w:rsidR="000F5E21">
        <w:rPr>
          <w:rFonts w:cs="Arial"/>
          <w:szCs w:val="20"/>
        </w:rPr>
        <w:t xml:space="preserve"> o standardizované (formální či neformální) vzdělávání, a to ani aktivním (nevzdělávali se), ani pasivním</w:t>
      </w:r>
      <w:r w:rsidR="007B6B57">
        <w:rPr>
          <w:rFonts w:cs="Arial"/>
          <w:szCs w:val="20"/>
        </w:rPr>
        <w:t xml:space="preserve"> </w:t>
      </w:r>
      <w:r w:rsidR="000F5E21">
        <w:rPr>
          <w:rFonts w:cs="Arial"/>
          <w:szCs w:val="20"/>
        </w:rPr>
        <w:t>způsobem</w:t>
      </w:r>
      <w:r w:rsidR="007B6B57">
        <w:rPr>
          <w:rFonts w:cs="Arial"/>
          <w:szCs w:val="20"/>
        </w:rPr>
        <w:t xml:space="preserve"> (jsou přesvědčeni, že nepotřebují další vzdělávání, nemají další vzdělanostní aspirace)</w:t>
      </w:r>
      <w:r w:rsidR="000F5E21">
        <w:rPr>
          <w:rFonts w:cs="Arial"/>
          <w:szCs w:val="20"/>
        </w:rPr>
        <w:t xml:space="preserve">. </w:t>
      </w:r>
      <w:r w:rsidR="0026599B">
        <w:rPr>
          <w:rFonts w:cs="Arial"/>
          <w:szCs w:val="20"/>
        </w:rPr>
        <w:t xml:space="preserve">Mírně </w:t>
      </w:r>
      <w:proofErr w:type="spellStart"/>
      <w:r w:rsidR="0026599B">
        <w:rPr>
          <w:rFonts w:cs="Arial"/>
          <w:szCs w:val="20"/>
        </w:rPr>
        <w:t>n</w:t>
      </w:r>
      <w:r w:rsidR="000F5E21">
        <w:rPr>
          <w:rFonts w:cs="Arial"/>
          <w:szCs w:val="20"/>
        </w:rPr>
        <w:t>adproporčně</w:t>
      </w:r>
      <w:proofErr w:type="spellEnd"/>
      <w:r w:rsidR="000F5E21">
        <w:rPr>
          <w:rFonts w:cs="Arial"/>
          <w:szCs w:val="20"/>
        </w:rPr>
        <w:t xml:space="preserve"> jsou zde zastoupeny zejména osoby ve vyšším věku (starší 55 let), nejčastěji ve</w:t>
      </w:r>
      <w:r w:rsidR="00AB65CD">
        <w:rPr>
          <w:rFonts w:cs="Arial"/>
          <w:szCs w:val="20"/>
        </w:rPr>
        <w:t> </w:t>
      </w:r>
      <w:r w:rsidR="000F5E21">
        <w:rPr>
          <w:rFonts w:cs="Arial"/>
          <w:szCs w:val="20"/>
        </w:rPr>
        <w:t>starobním důchodu a osoby s nižším vzděláním (střední vzdělání bez maturity či základní)</w:t>
      </w:r>
      <w:r w:rsidR="00DA3410">
        <w:rPr>
          <w:rFonts w:cs="Arial"/>
          <w:szCs w:val="20"/>
        </w:rPr>
        <w:t>, nicméně osoby s tímto postojem nalézáme ve všech věkových i vzdělanostních kategoriích</w:t>
      </w:r>
      <w:r w:rsidR="000F5E21">
        <w:rPr>
          <w:rFonts w:cs="Arial"/>
          <w:szCs w:val="20"/>
        </w:rPr>
        <w:t xml:space="preserve">. </w:t>
      </w:r>
    </w:p>
    <w:p w:rsidR="000F5E21" w:rsidRDefault="000F5E21" w:rsidP="000F5E21">
      <w:pPr>
        <w:spacing w:line="312" w:lineRule="auto"/>
        <w:jc w:val="both"/>
        <w:rPr>
          <w:rFonts w:cs="Arial"/>
          <w:szCs w:val="20"/>
        </w:rPr>
      </w:pPr>
      <w:r>
        <w:rPr>
          <w:rFonts w:cs="Arial"/>
          <w:szCs w:val="20"/>
        </w:rPr>
        <w:t>Pomineme-li přesvědčení o dostatečnosti získané úrovně vzdělání (odpověď „nepotřebuji další vzdělávání“), které je však do jisté míry možné chápat také jako nezájem o (další) vzdělávání, je nejčastější bariérou v účasti v dalším vzdělávání</w:t>
      </w:r>
      <w:r w:rsidR="00944594">
        <w:rPr>
          <w:rFonts w:cs="Arial"/>
          <w:szCs w:val="20"/>
        </w:rPr>
        <w:t>,</w:t>
      </w:r>
      <w:r>
        <w:rPr>
          <w:rFonts w:cs="Arial"/>
          <w:szCs w:val="20"/>
        </w:rPr>
        <w:t xml:space="preserve"> či důvodem, </w:t>
      </w:r>
      <w:r w:rsidR="00CD2B68">
        <w:rPr>
          <w:rFonts w:cs="Arial"/>
          <w:szCs w:val="20"/>
        </w:rPr>
        <w:t>proč</w:t>
      </w:r>
      <w:r>
        <w:rPr>
          <w:rFonts w:cs="Arial"/>
          <w:szCs w:val="20"/>
        </w:rPr>
        <w:t xml:space="preserve"> se lidé do vzdělávání nezapojují více</w:t>
      </w:r>
      <w:r w:rsidR="00944594">
        <w:rPr>
          <w:rFonts w:cs="Arial"/>
          <w:szCs w:val="20"/>
        </w:rPr>
        <w:t>,</w:t>
      </w:r>
      <w:r>
        <w:rPr>
          <w:rFonts w:cs="Arial"/>
          <w:szCs w:val="20"/>
        </w:rPr>
        <w:t xml:space="preserve"> nedostatek času. Ať už z důvodu vytížení rodinnými povinnostmi, nevyhovující dobou konání vzdělávacích aktivit či</w:t>
      </w:r>
      <w:r w:rsidR="007B6B57">
        <w:rPr>
          <w:rFonts w:cs="Arial"/>
          <w:szCs w:val="20"/>
        </w:rPr>
        <w:t xml:space="preserve"> z</w:t>
      </w:r>
      <w:r>
        <w:rPr>
          <w:rFonts w:cs="Arial"/>
          <w:szCs w:val="20"/>
        </w:rPr>
        <w:t xml:space="preserve"> jiných osobních důvodů. Ostatní typy bariér v přístupu k dalšímu vzdělávání (zdravotní důvody, vzdálenost, nedostatek vzdělávacích příležitostí, vzdělávání považováno za příliš nákladné apod.) hrají roli již pouze velmi okrajově a vztahuj</w:t>
      </w:r>
      <w:r w:rsidR="00CD2B68">
        <w:rPr>
          <w:rFonts w:cs="Arial"/>
          <w:szCs w:val="20"/>
        </w:rPr>
        <w:t>í</w:t>
      </w:r>
      <w:r>
        <w:rPr>
          <w:rFonts w:cs="Arial"/>
          <w:szCs w:val="20"/>
        </w:rPr>
        <w:t xml:space="preserve"> se zejména ke specifickým skupinám obyvatelstva, pro které však mohou představovat vážné překážky a příčiny toho, proč se i přes deklarovaný zájem nedokáží do vzdělávání (více) zapojit. Obecně lze však z přehledu nejčastěji uváděných důvodů nezapojení se (více) do vzdělávání uvedených v </w:t>
      </w:r>
      <w:hyperlink w:anchor="_Tabulka_č._3:" w:history="1">
        <w:r w:rsidRPr="00CD2B68">
          <w:rPr>
            <w:rStyle w:val="Hypertextovodkaz"/>
            <w:rFonts w:cs="Arial"/>
            <w:szCs w:val="20"/>
          </w:rPr>
          <w:t xml:space="preserve">tabulce č. </w:t>
        </w:r>
        <w:r w:rsidR="007B6B57" w:rsidRPr="00CD2B68">
          <w:rPr>
            <w:rStyle w:val="Hypertextovodkaz"/>
            <w:rFonts w:cs="Arial"/>
            <w:szCs w:val="20"/>
          </w:rPr>
          <w:t>3</w:t>
        </w:r>
      </w:hyperlink>
      <w:r>
        <w:rPr>
          <w:rFonts w:cs="Arial"/>
          <w:szCs w:val="20"/>
        </w:rPr>
        <w:t xml:space="preserve"> vyvod</w:t>
      </w:r>
      <w:r w:rsidR="00CD2B68">
        <w:rPr>
          <w:rFonts w:cs="Arial"/>
          <w:szCs w:val="20"/>
        </w:rPr>
        <w:t xml:space="preserve">it, že vliv „vnějších“ bariér </w:t>
      </w:r>
      <w:r>
        <w:rPr>
          <w:rFonts w:cs="Arial"/>
          <w:szCs w:val="20"/>
        </w:rPr>
        <w:t xml:space="preserve">přístupu ve vzdělávání je v ČR poměrně nízký. </w:t>
      </w:r>
    </w:p>
    <w:p w:rsidR="000F5E21" w:rsidRPr="008A7D68" w:rsidRDefault="000F5E21" w:rsidP="000F5E21">
      <w:pPr>
        <w:spacing w:line="312" w:lineRule="auto"/>
        <w:jc w:val="both"/>
        <w:rPr>
          <w:rFonts w:cs="Arial"/>
          <w:szCs w:val="20"/>
        </w:rPr>
      </w:pPr>
      <w:r w:rsidRPr="008A7D68">
        <w:rPr>
          <w:rFonts w:cs="Arial"/>
          <w:szCs w:val="20"/>
        </w:rPr>
        <w:t>Je tak možné konstatovat, že zapojení do dalšího vzdělávání a motivace k rozšiřování zapojení do</w:t>
      </w:r>
      <w:r w:rsidR="00AB65CD">
        <w:rPr>
          <w:rFonts w:cs="Arial"/>
          <w:szCs w:val="20"/>
        </w:rPr>
        <w:t> </w:t>
      </w:r>
      <w:r w:rsidRPr="008A7D68">
        <w:rPr>
          <w:rFonts w:cs="Arial"/>
          <w:szCs w:val="20"/>
        </w:rPr>
        <w:t xml:space="preserve">vzdělávání spočívá v České republice zejména v osobní motivaci a obecnějším postoji ke vzdělávání, </w:t>
      </w:r>
      <w:r w:rsidR="00256DD2">
        <w:rPr>
          <w:rFonts w:cs="Arial"/>
          <w:szCs w:val="20"/>
        </w:rPr>
        <w:t>především</w:t>
      </w:r>
      <w:r w:rsidRPr="008A7D68">
        <w:rPr>
          <w:rFonts w:cs="Arial"/>
          <w:szCs w:val="20"/>
        </w:rPr>
        <w:t xml:space="preserve"> pak v hodnotě, která je vzdělávání přikládána. To reflektují též nejčastější důvody (další) neúčasti ve vzdělávání – přesvědčení o dostatečnosti dosaženého vzdělání a/či nedostatek času. Časové vytížení může být pro řadu lidí významným důvodem k neúčasti v dalším vzdělávání, zároveň však do jisté míry odráží prioritu, která je vzdělávání obecně v životě přikládána. Tento stav, kdy se v České republice odpovědnost za vzdělávání v dospělosti dělí především mezi zaměstnavatele (potažmo úřad práce) a vlastní iniciativu jedince, však v situaci, kdy vzdělání není oceňováno všemi (vzdělanostními) skupinami stejně, vede často spíše k reprodukci nerovností ustavených formálním systémem prvotního vzdělávání než k jejich narovnání. V podmínkách, kdy je většina vzdělávání orientována pracovně, probíhá během pracovní doby a</w:t>
      </w:r>
      <w:r w:rsidR="00BD08CF">
        <w:rPr>
          <w:rFonts w:cs="Arial"/>
          <w:szCs w:val="20"/>
        </w:rPr>
        <w:t> </w:t>
      </w:r>
      <w:r w:rsidRPr="008A7D68">
        <w:rPr>
          <w:rFonts w:cs="Arial"/>
          <w:szCs w:val="20"/>
        </w:rPr>
        <w:t>je tudíž vázaná k postavení na trhu práce, dochází dle očekávání k nerovnoměrné účasti pracujících, nezaměstnaných a ekonomicky neaktivních osob. U osob, kterým na další vzdělávání neposkytne čas a</w:t>
      </w:r>
      <w:r w:rsidR="00BD08CF">
        <w:rPr>
          <w:rFonts w:cs="Arial"/>
          <w:szCs w:val="20"/>
        </w:rPr>
        <w:t> </w:t>
      </w:r>
      <w:r w:rsidRPr="008A7D68">
        <w:rPr>
          <w:rFonts w:cs="Arial"/>
          <w:szCs w:val="20"/>
        </w:rPr>
        <w:t xml:space="preserve">finance zaměstnavatel a/či které samy v dalším vzdělávání nevidí přidanou hodnotu, je pak zapojení do dalšího vzdělávání značně obtížné. </w:t>
      </w:r>
    </w:p>
    <w:p w:rsidR="004C61ED" w:rsidRDefault="004C61ED">
      <w:pPr>
        <w:spacing w:after="0" w:line="240" w:lineRule="auto"/>
        <w:rPr>
          <w:rFonts w:cs="Arial"/>
          <w:i/>
          <w:szCs w:val="20"/>
        </w:rPr>
      </w:pPr>
      <w:r>
        <w:rPr>
          <w:rFonts w:cs="Arial"/>
          <w:i/>
          <w:szCs w:val="20"/>
        </w:rPr>
        <w:br w:type="page"/>
      </w:r>
    </w:p>
    <w:p w:rsidR="000F5E21" w:rsidRDefault="00EC1062" w:rsidP="004C61ED">
      <w:pPr>
        <w:pStyle w:val="Nadpis1"/>
      </w:pPr>
      <w:bookmarkStart w:id="115" w:name="_Toc506969424"/>
      <w:r>
        <w:lastRenderedPageBreak/>
        <w:t>Shrnutí</w:t>
      </w:r>
      <w:bookmarkEnd w:id="115"/>
    </w:p>
    <w:p w:rsidR="001F49B3" w:rsidRPr="00A97BBA" w:rsidRDefault="001F49B3" w:rsidP="00EC1062">
      <w:pPr>
        <w:jc w:val="both"/>
      </w:pPr>
      <w:r w:rsidRPr="00A97BBA">
        <w:rPr>
          <w:b/>
        </w:rPr>
        <w:t>Formální vzdělávání</w:t>
      </w:r>
      <w:r w:rsidRPr="00A97BBA">
        <w:t xml:space="preserve"> představuje ve srovnání s neformálním vzděláváním a informálním učením</w:t>
      </w:r>
      <w:r w:rsidR="0064701B">
        <w:rPr>
          <w:rStyle w:val="Znakapoznpodarou"/>
        </w:rPr>
        <w:footnoteReference w:id="23"/>
      </w:r>
      <w:r w:rsidRPr="00A97BBA">
        <w:t xml:space="preserve"> nejméně častý typ vzdělávání v dospělosti. Ve sledovaném období jednoho roku se formálního vzdělávání účastnilo 9</w:t>
      </w:r>
      <w:r w:rsidR="00EC1062" w:rsidRPr="00A97BBA">
        <w:t> </w:t>
      </w:r>
      <w:r w:rsidRPr="00A97BBA">
        <w:t>% osob ve věku 18</w:t>
      </w:r>
      <w:r w:rsidR="00FC49A2">
        <w:t>–</w:t>
      </w:r>
      <w:r w:rsidRPr="00A97BBA">
        <w:t>69 let, mezi kterými jasně dominovali studenti počátečního vzdělávání.</w:t>
      </w:r>
    </w:p>
    <w:p w:rsidR="001F49B3" w:rsidRPr="00A97BBA" w:rsidRDefault="001F49B3" w:rsidP="00EC1062">
      <w:pPr>
        <w:jc w:val="both"/>
      </w:pPr>
      <w:r w:rsidRPr="00A97BBA">
        <w:t xml:space="preserve">Mezi osobami ve věku 25–64 let se </w:t>
      </w:r>
      <w:r w:rsidRPr="00A97BBA">
        <w:rPr>
          <w:b/>
        </w:rPr>
        <w:t>formálního vzdělávání</w:t>
      </w:r>
      <w:r w:rsidRPr="00A97BBA">
        <w:t xml:space="preserve"> v České republice účastní již jen 3 % osob. V mezinárodním srovnání </w:t>
      </w:r>
      <w:r w:rsidR="00EC1062" w:rsidRPr="00A97BBA">
        <w:t>zemí</w:t>
      </w:r>
      <w:r w:rsidRPr="00A97BBA">
        <w:t xml:space="preserve"> Evropské unie je tato hodnota jasně podprůměrná, nacházíme se mezi čtyřmi státy s nejnižším zapojení</w:t>
      </w:r>
      <w:r w:rsidR="00EC1062" w:rsidRPr="00A97BBA">
        <w:t>m</w:t>
      </w:r>
      <w:r w:rsidRPr="00A97BBA">
        <w:t xml:space="preserve"> dospělých do formálního vzdělávání.</w:t>
      </w:r>
    </w:p>
    <w:p w:rsidR="001F49B3" w:rsidRPr="00A97BBA" w:rsidRDefault="003B7199" w:rsidP="00EC1062">
      <w:pPr>
        <w:jc w:val="both"/>
      </w:pPr>
      <w:r w:rsidRPr="00A97BBA">
        <w:t>Ve srovnání s rokem</w:t>
      </w:r>
      <w:r w:rsidR="001F49B3" w:rsidRPr="00A97BBA">
        <w:t xml:space="preserve"> 2011 </w:t>
      </w:r>
      <w:r w:rsidRPr="00A97BBA">
        <w:t>došlo</w:t>
      </w:r>
      <w:r w:rsidR="00EC1062" w:rsidRPr="00A97BBA">
        <w:t xml:space="preserve"> k poklesu</w:t>
      </w:r>
      <w:r w:rsidR="001F49B3" w:rsidRPr="00A97BBA">
        <w:t xml:space="preserve"> počtu </w:t>
      </w:r>
      <w:r w:rsidR="00EC1062" w:rsidRPr="00A97BBA">
        <w:t xml:space="preserve">(“starších”) </w:t>
      </w:r>
      <w:r w:rsidR="001F49B3" w:rsidRPr="00A97BBA">
        <w:t xml:space="preserve">studentů </w:t>
      </w:r>
      <w:r w:rsidR="001F49B3" w:rsidRPr="00A97BBA">
        <w:rPr>
          <w:b/>
        </w:rPr>
        <w:t>formálního vzdělávání</w:t>
      </w:r>
      <w:r w:rsidR="001F49B3" w:rsidRPr="00A97BBA">
        <w:t xml:space="preserve"> jak na</w:t>
      </w:r>
      <w:r w:rsidR="00AB65CD">
        <w:t> </w:t>
      </w:r>
      <w:r w:rsidR="001F49B3" w:rsidRPr="00A97BBA">
        <w:t>středoškolské, tak vysokoškolské úrovni, což potvrzují též administrativní údaje MŠMT.</w:t>
      </w:r>
      <w:r w:rsidRPr="00A97BBA">
        <w:t xml:space="preserve"> Ve</w:t>
      </w:r>
      <w:r w:rsidR="00AB65CD">
        <w:t> </w:t>
      </w:r>
      <w:r w:rsidRPr="00A97BBA">
        <w:t>středoškolském vzdělávání ubývá “starších” studentů zejména v nástavbovém studiu (především v</w:t>
      </w:r>
      <w:r w:rsidR="00AB65CD">
        <w:t> </w:t>
      </w:r>
      <w:r w:rsidRPr="00A97BBA">
        <w:t xml:space="preserve">počtech vyučených, usilujících o zisk maturitního vysvědčení), na vysokých školách je úbytek </w:t>
      </w:r>
      <w:r w:rsidR="00EC1062" w:rsidRPr="00A97BBA">
        <w:t>“starš</w:t>
      </w:r>
      <w:r w:rsidR="00C07A2D">
        <w:t>í</w:t>
      </w:r>
      <w:r w:rsidR="00EC1062" w:rsidRPr="00A97BBA">
        <w:t>ch</w:t>
      </w:r>
      <w:r w:rsidRPr="00A97BBA">
        <w:t xml:space="preserve">” </w:t>
      </w:r>
      <w:r w:rsidR="00EC1062" w:rsidRPr="00A97BBA">
        <w:t xml:space="preserve">studentů nejpatrnější </w:t>
      </w:r>
      <w:r w:rsidR="009F1A9A">
        <w:t>na úrovni bakalářského studia.</w:t>
      </w:r>
    </w:p>
    <w:p w:rsidR="00EC1062" w:rsidRPr="00A97BBA" w:rsidRDefault="00EC1062" w:rsidP="00EC1062">
      <w:pPr>
        <w:jc w:val="both"/>
      </w:pPr>
      <w:r w:rsidRPr="00A97BBA">
        <w:t xml:space="preserve">Do </w:t>
      </w:r>
      <w:r w:rsidRPr="00A97BBA">
        <w:rPr>
          <w:b/>
        </w:rPr>
        <w:t>formálního vzdělávání</w:t>
      </w:r>
      <w:r w:rsidRPr="00A97BBA">
        <w:t>, ve kterém převažuje mezi dospělými účast ve vzdělávacích programech terciárního stupně, se u nás zapojují především vysoce motivovaní jedinci, usilující o zvýšení kvalifikace, resp. svého stupně nejvyššího dosaženého vzdělání a rozšíření svých znalostí a dovedností. Opětovné zapojení osob, které v počátečním vzdělávání dosáhly nejvýše základního vzdělání, je minimální.</w:t>
      </w:r>
    </w:p>
    <w:p w:rsidR="00EC1062" w:rsidRPr="00A97BBA" w:rsidRDefault="00EC1062" w:rsidP="00EC1062">
      <w:pPr>
        <w:spacing w:line="312" w:lineRule="auto"/>
        <w:jc w:val="both"/>
        <w:rPr>
          <w:rFonts w:cs="Arial"/>
        </w:rPr>
      </w:pPr>
      <w:r w:rsidRPr="00A97BBA">
        <w:rPr>
          <w:rFonts w:cs="Arial"/>
        </w:rPr>
        <w:t xml:space="preserve">Alespoň jednu aktivitu </w:t>
      </w:r>
      <w:r w:rsidRPr="00A97BBA">
        <w:rPr>
          <w:rFonts w:cs="Arial"/>
          <w:b/>
        </w:rPr>
        <w:t>neformálního vzdělávání</w:t>
      </w:r>
      <w:r w:rsidRPr="00A97BBA">
        <w:rPr>
          <w:rFonts w:cs="Arial"/>
        </w:rPr>
        <w:t xml:space="preserve"> absolvovalo v České republice ve sledovaném období 40</w:t>
      </w:r>
      <w:r w:rsidR="00184B64" w:rsidRPr="00A97BBA">
        <w:rPr>
          <w:rFonts w:cs="Arial"/>
        </w:rPr>
        <w:t> </w:t>
      </w:r>
      <w:r w:rsidRPr="00A97BBA">
        <w:rPr>
          <w:rFonts w:cs="Arial"/>
        </w:rPr>
        <w:t>% dospělých ve věku 18–69 let</w:t>
      </w:r>
      <w:r w:rsidR="00184B64" w:rsidRPr="00A97BBA">
        <w:rPr>
          <w:rFonts w:cs="Arial"/>
        </w:rPr>
        <w:t xml:space="preserve">. Od roku 2011 tato hodnota vzrostla o 8 procentních bodů, přičemž nárůst byl patrnější u mužů (+ 13 </w:t>
      </w:r>
      <w:r w:rsidR="00800269" w:rsidRPr="00A97BBA">
        <w:rPr>
          <w:rFonts w:cs="Arial"/>
        </w:rPr>
        <w:t>p. b.) než</w:t>
      </w:r>
      <w:r w:rsidR="00184B64" w:rsidRPr="00A97BBA">
        <w:rPr>
          <w:rFonts w:cs="Arial"/>
        </w:rPr>
        <w:t xml:space="preserve"> u žen (+ 6 p.</w:t>
      </w:r>
      <w:r w:rsidR="00800269">
        <w:rPr>
          <w:rFonts w:cs="Arial"/>
        </w:rPr>
        <w:t xml:space="preserve"> </w:t>
      </w:r>
      <w:r w:rsidR="00184B64" w:rsidRPr="00A97BBA">
        <w:rPr>
          <w:rFonts w:cs="Arial"/>
        </w:rPr>
        <w:t>b.). Podíl účastníků neformálního vzdělávání v České republice je přibližně na úrovni evropského průměru, oproti jiným státům však Češi tráví vzděláváním nejméně času ze sledovaných zemí – účastní se menšího počtu vzdělávacích aktivit s kratší dobou trvání.</w:t>
      </w:r>
    </w:p>
    <w:p w:rsidR="00184B64" w:rsidRPr="00A97BBA" w:rsidRDefault="00184B64" w:rsidP="00184B64">
      <w:pPr>
        <w:jc w:val="both"/>
      </w:pPr>
      <w:r w:rsidRPr="00A97BBA">
        <w:rPr>
          <w:rFonts w:cs="Arial"/>
        </w:rPr>
        <w:t xml:space="preserve">Výrazná většina aktivit </w:t>
      </w:r>
      <w:r w:rsidRPr="00A97BBA">
        <w:rPr>
          <w:rFonts w:cs="Arial"/>
          <w:b/>
        </w:rPr>
        <w:t>neformálního vzdělávání</w:t>
      </w:r>
      <w:r w:rsidRPr="00A97BBA">
        <w:rPr>
          <w:rFonts w:cs="Arial"/>
        </w:rPr>
        <w:t xml:space="preserve"> (86 %, u mužů dokonce 91 %) souvisí s pracovním životem a je motivována získáním lepších kvalifikačních předpokladů pro výkon profese, zvýšením pracovní výkonnosti či zlepšením</w:t>
      </w:r>
      <w:r w:rsidR="009F1A9A">
        <w:rPr>
          <w:rFonts w:cs="Arial"/>
        </w:rPr>
        <w:t xml:space="preserve"> postavení</w:t>
      </w:r>
      <w:r w:rsidRPr="00A97BBA">
        <w:rPr>
          <w:rFonts w:cs="Arial"/>
        </w:rPr>
        <w:t xml:space="preserve"> na trhu práce. </w:t>
      </w:r>
      <w:r w:rsidRPr="00A97BBA">
        <w:t xml:space="preserve">Ve sledované skupině 18–69 let se nějakého pracovně orientovaného vzdělávání účastnilo 38 % mužů, ale jen 29 % žen. Ženy se naopak častěji účastní mimopracovně, tj. soukromě orientovaného vzdělávání (13 % žen oproti 6 % mužů). </w:t>
      </w:r>
    </w:p>
    <w:p w:rsidR="00184B64" w:rsidRPr="00A97BBA" w:rsidRDefault="00184B64" w:rsidP="00EC1062">
      <w:pPr>
        <w:spacing w:line="312" w:lineRule="auto"/>
        <w:jc w:val="both"/>
        <w:rPr>
          <w:rFonts w:cs="Arial"/>
        </w:rPr>
      </w:pPr>
      <w:r w:rsidRPr="00A97BBA">
        <w:rPr>
          <w:rFonts w:cs="Arial"/>
        </w:rPr>
        <w:t>Účast v </w:t>
      </w:r>
      <w:r w:rsidRPr="00A97BBA">
        <w:rPr>
          <w:rFonts w:cs="Arial"/>
          <w:b/>
        </w:rPr>
        <w:t>neformálním vzdělávání</w:t>
      </w:r>
      <w:r w:rsidRPr="00A97BBA">
        <w:rPr>
          <w:rFonts w:cs="Arial"/>
        </w:rPr>
        <w:t xml:space="preserve"> vzrůstá společně s narůstajícím stupněm nejvyššího dosaženého vzdělávání, což reflektují i rozdíly v účasti mezi odlišně kvalifikovanými skupinami.</w:t>
      </w:r>
      <w:r w:rsidR="008F15F0" w:rsidRPr="00A97BBA">
        <w:rPr>
          <w:rFonts w:cs="Arial"/>
        </w:rPr>
        <w:t xml:space="preserve"> </w:t>
      </w:r>
      <w:r w:rsidR="008F15F0" w:rsidRPr="00A97BBA">
        <w:t xml:space="preserve">U žen je vliv nejvyššího dosaženého vzdělání silnější než u mužů: míra zapojení vysokoškolaček (61 %) je až pětkrát vyšší, než zapojení žen se základním vzděláním (12 %) a více než dvakrát vyšší než účast vyučených (26 %). </w:t>
      </w:r>
      <w:r w:rsidRPr="00A97BBA">
        <w:rPr>
          <w:rFonts w:cs="Arial"/>
        </w:rPr>
        <w:t>Lze říci, že rozsah dalšího vzdělávání v dospělosti je u nás do značné míry podmíněn úrovní vzdělání dosažené</w:t>
      </w:r>
      <w:r w:rsidR="009F1A9A">
        <w:rPr>
          <w:rFonts w:cs="Arial"/>
        </w:rPr>
        <w:t>ho</w:t>
      </w:r>
      <w:r w:rsidRPr="00A97BBA">
        <w:rPr>
          <w:rFonts w:cs="Arial"/>
        </w:rPr>
        <w:t xml:space="preserve"> v počátečním formálním vzdělávání.</w:t>
      </w:r>
    </w:p>
    <w:p w:rsidR="006E0D1C" w:rsidRPr="00A97BBA" w:rsidRDefault="009F1A9A" w:rsidP="00EC1062">
      <w:pPr>
        <w:spacing w:line="312" w:lineRule="auto"/>
        <w:jc w:val="both"/>
        <w:rPr>
          <w:rFonts w:cs="Arial"/>
        </w:rPr>
      </w:pPr>
      <w:r>
        <w:rPr>
          <w:rFonts w:cs="Arial"/>
        </w:rPr>
        <w:t xml:space="preserve">Z pracujících </w:t>
      </w:r>
      <w:r w:rsidR="008F15F0" w:rsidRPr="00A97BBA">
        <w:rPr>
          <w:rFonts w:cs="Arial"/>
        </w:rPr>
        <w:t xml:space="preserve">se do </w:t>
      </w:r>
      <w:r w:rsidR="008F15F0" w:rsidRPr="00A97BBA">
        <w:rPr>
          <w:rFonts w:cs="Arial"/>
          <w:b/>
        </w:rPr>
        <w:t xml:space="preserve">pracovně orientovaného </w:t>
      </w:r>
      <w:r w:rsidR="006E0D1C" w:rsidRPr="00A97BBA">
        <w:rPr>
          <w:rFonts w:cs="Arial"/>
          <w:b/>
        </w:rPr>
        <w:t xml:space="preserve">neformálního </w:t>
      </w:r>
      <w:r w:rsidR="008F15F0" w:rsidRPr="00A97BBA">
        <w:rPr>
          <w:rFonts w:cs="Arial"/>
          <w:b/>
        </w:rPr>
        <w:t>vzdělávání</w:t>
      </w:r>
      <w:r w:rsidR="008F15F0" w:rsidRPr="00A97BBA">
        <w:rPr>
          <w:rFonts w:cs="Arial"/>
        </w:rPr>
        <w:t xml:space="preserve"> zapojil téměř každý druhý (48</w:t>
      </w:r>
      <w:r w:rsidR="00A97BBA" w:rsidRPr="00A97BBA">
        <w:rPr>
          <w:rFonts w:cs="Arial"/>
        </w:rPr>
        <w:t> </w:t>
      </w:r>
      <w:r w:rsidR="008F15F0" w:rsidRPr="00A97BBA">
        <w:rPr>
          <w:rFonts w:cs="Arial"/>
        </w:rPr>
        <w:t>%), přičemž pouze zanedbatelný podíl zaměstnanců se účastnil pracovně orientovaného vzdělávání mimo placenou pracovní dobu či bez finanční podpory zaměstnavatele. Obecně tak lze říci, že velká většina neformálního vzdělávání v České republice je realizována</w:t>
      </w:r>
      <w:r w:rsidR="006E0D1C" w:rsidRPr="00A97BBA">
        <w:rPr>
          <w:rFonts w:cs="Arial"/>
        </w:rPr>
        <w:t xml:space="preserve"> v pracovní době a na popud zaměstnavatele, zaměstnanci u téměř 70 % svých pracovně orientovaných aktivit neformálního vzdělávání uvedli, že účast v daném vzdělávání </w:t>
      </w:r>
      <w:r>
        <w:rPr>
          <w:rFonts w:cs="Arial"/>
        </w:rPr>
        <w:t>vyžadoval jejich zaměstnavatel</w:t>
      </w:r>
      <w:r w:rsidR="006E0D1C" w:rsidRPr="00A97BBA">
        <w:rPr>
          <w:rFonts w:cs="Arial"/>
        </w:rPr>
        <w:t>.</w:t>
      </w:r>
    </w:p>
    <w:p w:rsidR="006E0D1C" w:rsidRPr="00A97BBA" w:rsidRDefault="006E0D1C" w:rsidP="00EC1062">
      <w:pPr>
        <w:spacing w:line="312" w:lineRule="auto"/>
        <w:jc w:val="both"/>
        <w:rPr>
          <w:rFonts w:cs="Arial"/>
        </w:rPr>
      </w:pPr>
      <w:r w:rsidRPr="00A97BBA">
        <w:rPr>
          <w:rFonts w:cs="Arial"/>
        </w:rPr>
        <w:lastRenderedPageBreak/>
        <w:t xml:space="preserve">Aktivity </w:t>
      </w:r>
      <w:r w:rsidRPr="00A97BBA">
        <w:rPr>
          <w:rFonts w:cs="Arial"/>
          <w:b/>
        </w:rPr>
        <w:t>mimopracovně orientovaného neformálního vzdělávání</w:t>
      </w:r>
      <w:r w:rsidRPr="00A97BBA">
        <w:rPr>
          <w:rFonts w:cs="Arial"/>
        </w:rPr>
        <w:t xml:space="preserve"> mnohem častěji vyhledávají ženy. Zájem</w:t>
      </w:r>
      <w:r w:rsidR="00A97BBA" w:rsidRPr="00A97BBA">
        <w:rPr>
          <w:rFonts w:cs="Arial"/>
        </w:rPr>
        <w:t> </w:t>
      </w:r>
      <w:r w:rsidRPr="00A97BBA">
        <w:rPr>
          <w:rFonts w:cs="Arial"/>
        </w:rPr>
        <w:t>o toto vzdělávání projevilo 13 % z nich, oproti 6 % mužů. Mimo to se zapojení do mimopracovního (volnočasového) vzdělávání významným způsobem odvíjí také od věku, vzdělání a místa bydliště. Mezi</w:t>
      </w:r>
      <w:r w:rsidR="00A97BBA" w:rsidRPr="00A97BBA">
        <w:rPr>
          <w:rFonts w:cs="Arial"/>
        </w:rPr>
        <w:t> </w:t>
      </w:r>
      <w:r w:rsidRPr="00A97BBA">
        <w:rPr>
          <w:rFonts w:cs="Arial"/>
        </w:rPr>
        <w:t>studenty absolvoval nějakou nepracovně zaměřenou aktivitu neformálního vzdělávání každý čtvrtý, účast byla vysoká také v důchodovém věku – mezi muži se sice takto vzdělávala jen 3 % důchodců</w:t>
      </w:r>
      <w:r w:rsidR="009F1A9A">
        <w:rPr>
          <w:rFonts w:cs="Arial"/>
        </w:rPr>
        <w:t xml:space="preserve"> mladších 70 let</w:t>
      </w:r>
      <w:r w:rsidRPr="00A97BBA">
        <w:rPr>
          <w:rFonts w:cs="Arial"/>
        </w:rPr>
        <w:t>, stejně aktivních důchodkyň však bylo téměř 10 %. Za své volnočasové neformální vzdělávání účastníci vydal</w:t>
      </w:r>
      <w:r w:rsidR="009F1A9A">
        <w:rPr>
          <w:rFonts w:cs="Arial"/>
        </w:rPr>
        <w:t xml:space="preserve">i </w:t>
      </w:r>
      <w:r w:rsidRPr="00A97BBA">
        <w:rPr>
          <w:rFonts w:cs="Arial"/>
        </w:rPr>
        <w:t xml:space="preserve">přibližně 5 600 Kč, přičemž náklady </w:t>
      </w:r>
      <w:r w:rsidR="008A3E60" w:rsidRPr="00A97BBA">
        <w:rPr>
          <w:rFonts w:cs="Arial"/>
        </w:rPr>
        <w:t>výrazně klesaly s věkem – student</w:t>
      </w:r>
      <w:r w:rsidR="009F1A9A">
        <w:rPr>
          <w:rFonts w:cs="Arial"/>
        </w:rPr>
        <w:t>i se účastnili</w:t>
      </w:r>
      <w:r w:rsidR="008A3E60" w:rsidRPr="00A97BBA">
        <w:rPr>
          <w:rFonts w:cs="Arial"/>
        </w:rPr>
        <w:t xml:space="preserve"> téměř třikrát nákladnějšího vzdělávání (7 500 Kč) než důchodci (2 800 Kč).</w:t>
      </w:r>
    </w:p>
    <w:p w:rsidR="008A3E60" w:rsidRPr="00A97BBA" w:rsidRDefault="008A3E60" w:rsidP="00EC1062">
      <w:pPr>
        <w:spacing w:line="312" w:lineRule="auto"/>
        <w:jc w:val="both"/>
        <w:rPr>
          <w:rFonts w:cs="Arial"/>
        </w:rPr>
      </w:pPr>
      <w:r w:rsidRPr="00A97BBA">
        <w:rPr>
          <w:rFonts w:cs="Arial"/>
        </w:rPr>
        <w:t xml:space="preserve">Celkové </w:t>
      </w:r>
      <w:r w:rsidRPr="00A97BBA">
        <w:rPr>
          <w:rFonts w:cs="Arial"/>
          <w:b/>
        </w:rPr>
        <w:t>z</w:t>
      </w:r>
      <w:r w:rsidR="00242F16">
        <w:rPr>
          <w:rFonts w:cs="Arial"/>
          <w:b/>
        </w:rPr>
        <w:t>apojení do dalšího (formálního a/nebo</w:t>
      </w:r>
      <w:r w:rsidRPr="00A97BBA">
        <w:rPr>
          <w:rFonts w:cs="Arial"/>
          <w:b/>
        </w:rPr>
        <w:t xml:space="preserve"> neformálního) vzdělávání</w:t>
      </w:r>
      <w:r w:rsidRPr="00A97BBA">
        <w:rPr>
          <w:rFonts w:cs="Arial"/>
        </w:rPr>
        <w:t xml:space="preserve"> v České republice dosáhlo mezi osobami ve věku 25–64 let 46 %. Nadpolovič</w:t>
      </w:r>
      <w:r w:rsidR="00A97BBA">
        <w:rPr>
          <w:rFonts w:cs="Arial"/>
        </w:rPr>
        <w:t>n</w:t>
      </w:r>
      <w:r w:rsidRPr="00A97BBA">
        <w:rPr>
          <w:rFonts w:cs="Arial"/>
        </w:rPr>
        <w:t>í většina osob (64 %) se ve sledovaném období žádného vzdělávání</w:t>
      </w:r>
      <w:r w:rsidR="00242F16">
        <w:rPr>
          <w:rFonts w:cs="Arial"/>
        </w:rPr>
        <w:t xml:space="preserve"> neúčastnila, protože považovala své dosavadní vzdělání za dostatečné. </w:t>
      </w:r>
      <w:r w:rsidRPr="00A97BBA">
        <w:rPr>
          <w:rFonts w:cs="Arial"/>
        </w:rPr>
        <w:t xml:space="preserve">V mezinárodním srovnání je v České republice patrný poměrně nízký potenciál dalšího vzdělávání, reprezentovaný nízkým podílem osob, které by rády svou dosavadní účast ve vzdělávání rozšířily. </w:t>
      </w:r>
    </w:p>
    <w:p w:rsidR="004469D5" w:rsidRPr="00A97BBA" w:rsidRDefault="008A3E60" w:rsidP="004469D5">
      <w:pPr>
        <w:spacing w:line="312" w:lineRule="auto"/>
        <w:jc w:val="both"/>
        <w:rPr>
          <w:rFonts w:cs="Arial"/>
        </w:rPr>
      </w:pPr>
      <w:r w:rsidRPr="00A97BBA">
        <w:rPr>
          <w:rFonts w:cs="Arial"/>
        </w:rPr>
        <w:t xml:space="preserve">Nelze zcela potvrdit předpoklad, že společně s vyšší účastí v </w:t>
      </w:r>
      <w:r w:rsidR="00242F16">
        <w:rPr>
          <w:rFonts w:cs="Arial"/>
          <w:b/>
        </w:rPr>
        <w:t>dalším</w:t>
      </w:r>
      <w:r w:rsidRPr="00A97BBA">
        <w:rPr>
          <w:rFonts w:cs="Arial"/>
          <w:b/>
        </w:rPr>
        <w:t xml:space="preserve"> vzdělávání</w:t>
      </w:r>
      <w:r w:rsidRPr="00A97BBA">
        <w:rPr>
          <w:rFonts w:cs="Arial"/>
        </w:rPr>
        <w:t xml:space="preserve"> dochází k saturaci vzdělávacích potřeb a s tím nižší potřebě dalšího zapojení do vzdělávání. Naopak relativně nejčastěji by se rády více vzdělávaly vysokoškolsky vzdělané osoby a ti, kteří se účastní neformálního vzdělávání. </w:t>
      </w:r>
      <w:r w:rsidRPr="00A97BBA">
        <w:rPr>
          <w:rFonts w:cs="Arial"/>
          <w:szCs w:val="20"/>
        </w:rPr>
        <w:t>Dosavadní míru svého zapojení naopak častěji nemají potřebu rozšiřovat lidé s nižší kvalifikací, starší osoby a ti, kteří se účastnili pouze jedné vzdělávací aktivity, k jejímuž absolvování byli navíc často donuceni vnějšími okolnostmi (zaměstnavatelem, zákonem).</w:t>
      </w:r>
    </w:p>
    <w:p w:rsidR="00AC2D7F" w:rsidRPr="00A97BBA" w:rsidRDefault="004469D5" w:rsidP="004469D5">
      <w:pPr>
        <w:spacing w:line="312" w:lineRule="auto"/>
        <w:jc w:val="both"/>
        <w:rPr>
          <w:rFonts w:cs="Arial"/>
        </w:rPr>
      </w:pPr>
      <w:r w:rsidRPr="00A97BBA">
        <w:rPr>
          <w:rFonts w:cs="Arial"/>
        </w:rPr>
        <w:t>Na základě nejčastějších důvodů, kterými lidé svou neúčast v </w:t>
      </w:r>
      <w:r w:rsidRPr="00A97BBA">
        <w:rPr>
          <w:rFonts w:cs="Arial"/>
          <w:b/>
        </w:rPr>
        <w:t>dalším vzdělávání</w:t>
      </w:r>
      <w:r w:rsidRPr="00A97BBA">
        <w:rPr>
          <w:rFonts w:cs="Arial"/>
        </w:rPr>
        <w:t xml:space="preserve"> odůvodňují,</w:t>
      </w:r>
      <w:r w:rsidR="00242F16">
        <w:rPr>
          <w:rFonts w:cs="Arial"/>
        </w:rPr>
        <w:t xml:space="preserve"> mezi kterými dominuje </w:t>
      </w:r>
      <w:r w:rsidRPr="00A97BBA">
        <w:rPr>
          <w:rFonts w:cs="Arial"/>
        </w:rPr>
        <w:t xml:space="preserve">přesvědčení, že další </w:t>
      </w:r>
      <w:r w:rsidR="00242F16">
        <w:rPr>
          <w:rFonts w:cs="Arial"/>
        </w:rPr>
        <w:t xml:space="preserve">vzdělávání nepotřebují, příp. </w:t>
      </w:r>
      <w:r w:rsidR="00CB7412">
        <w:rPr>
          <w:rFonts w:cs="Arial"/>
        </w:rPr>
        <w:t>na něj nemají dost</w:t>
      </w:r>
      <w:r w:rsidR="00242F16">
        <w:rPr>
          <w:rFonts w:cs="Arial"/>
        </w:rPr>
        <w:t xml:space="preserve"> času</w:t>
      </w:r>
      <w:r w:rsidRPr="00A97BBA">
        <w:rPr>
          <w:rFonts w:cs="Arial"/>
        </w:rPr>
        <w:t xml:space="preserve">, lze </w:t>
      </w:r>
      <w:r w:rsidR="00E703C0" w:rsidRPr="00A97BBA">
        <w:rPr>
          <w:rFonts w:cs="Arial"/>
        </w:rPr>
        <w:t>odvodit</w:t>
      </w:r>
      <w:r w:rsidRPr="00A97BBA">
        <w:rPr>
          <w:rFonts w:cs="Arial"/>
        </w:rPr>
        <w:t xml:space="preserve"> absenci</w:t>
      </w:r>
      <w:r w:rsidR="00242F16">
        <w:rPr>
          <w:rFonts w:cs="Arial"/>
        </w:rPr>
        <w:t xml:space="preserve"> </w:t>
      </w:r>
      <w:r w:rsidRPr="00A97BBA">
        <w:rPr>
          <w:rFonts w:cs="Arial"/>
        </w:rPr>
        <w:t xml:space="preserve">vnějších bariér k dalšímu vzdělávání v České republice. </w:t>
      </w:r>
      <w:r w:rsidR="00E703C0" w:rsidRPr="00A97BBA">
        <w:rPr>
          <w:rFonts w:cs="Arial"/>
        </w:rPr>
        <w:t>P</w:t>
      </w:r>
      <w:r w:rsidRPr="00A97BBA">
        <w:rPr>
          <w:rFonts w:cs="Arial"/>
        </w:rPr>
        <w:t xml:space="preserve">okud není účast ve vzdělávání přímo vyžadována vnějšími okolnostmi (např. zákonem či zaměstnavatelem), rozhoduje o zapojení do dalšího vzdělávání zejména osobní motivace a hodnota, kterou jedinci </w:t>
      </w:r>
      <w:r w:rsidR="00CB7412">
        <w:rPr>
          <w:rFonts w:cs="Arial"/>
        </w:rPr>
        <w:t>na</w:t>
      </w:r>
      <w:r w:rsidRPr="00A97BBA">
        <w:rPr>
          <w:rFonts w:cs="Arial"/>
        </w:rPr>
        <w:t xml:space="preserve"> individuální rovině vzdělávání přikládají. </w:t>
      </w:r>
      <w:r w:rsidR="00E703C0" w:rsidRPr="00A97BBA">
        <w:rPr>
          <w:rFonts w:cs="Arial"/>
        </w:rPr>
        <w:t>To však v situaci, kdy</w:t>
      </w:r>
      <w:r w:rsidR="00A97BBA">
        <w:rPr>
          <w:rFonts w:cs="Arial"/>
        </w:rPr>
        <w:t> </w:t>
      </w:r>
      <w:r w:rsidR="00E703C0" w:rsidRPr="00A97BBA">
        <w:rPr>
          <w:rFonts w:cs="Arial"/>
        </w:rPr>
        <w:t>vzdělanostní aspirace vycházejí zejména z úrovně nejvyššího dosaženého vzdělání získaného v rámci počátečního vzdělávání a s tím souvisejícího kvalifikačního postavení na trhu práce</w:t>
      </w:r>
      <w:r w:rsidR="00CB7412">
        <w:rPr>
          <w:rFonts w:cs="Arial"/>
        </w:rPr>
        <w:t>,</w:t>
      </w:r>
      <w:r w:rsidR="00E703C0" w:rsidRPr="00A97BBA">
        <w:rPr>
          <w:rFonts w:cs="Arial"/>
        </w:rPr>
        <w:t xml:space="preserve"> často vede spíše k reprodukci vzdělanostních nerovností ustavených systémem formálního vzdělávání než k jejich zmírnění prostřednictvím dalšího vzdělávání.</w:t>
      </w:r>
    </w:p>
    <w:p w:rsidR="004469D5" w:rsidRPr="00A97BBA" w:rsidRDefault="004469D5">
      <w:pPr>
        <w:spacing w:after="0" w:line="240" w:lineRule="auto"/>
        <w:rPr>
          <w:rFonts w:eastAsia="MS Gothic"/>
          <w:b/>
          <w:bCs/>
          <w:color w:val="C00000"/>
          <w:sz w:val="32"/>
          <w:szCs w:val="28"/>
        </w:rPr>
      </w:pPr>
      <w:r w:rsidRPr="00A97BBA">
        <w:br w:type="page"/>
      </w:r>
    </w:p>
    <w:p w:rsidR="009D4DBE" w:rsidRPr="00C2717E" w:rsidRDefault="009D4DBE" w:rsidP="009D4DBE">
      <w:pPr>
        <w:pStyle w:val="Nadpis1"/>
      </w:pPr>
      <w:bookmarkStart w:id="116" w:name="_Toc506901342"/>
      <w:bookmarkStart w:id="117" w:name="_Toc506969425"/>
      <w:r w:rsidRPr="00C2717E">
        <w:lastRenderedPageBreak/>
        <w:t>Tabulková příloha</w:t>
      </w:r>
      <w:bookmarkEnd w:id="116"/>
      <w:bookmarkEnd w:id="117"/>
    </w:p>
    <w:p w:rsidR="009D4DBE" w:rsidRDefault="009D4DBE" w:rsidP="009D4DBE">
      <w:pPr>
        <w:spacing w:after="0"/>
        <w:rPr>
          <w:rFonts w:cs="Arial"/>
          <w:b/>
          <w:color w:val="C00000"/>
        </w:rPr>
      </w:pPr>
      <w:r w:rsidRPr="00F72F72">
        <w:rPr>
          <w:rFonts w:cs="Arial"/>
          <w:b/>
          <w:color w:val="C00000"/>
        </w:rPr>
        <w:t>Formální vzdělávání</w:t>
      </w:r>
    </w:p>
    <w:p w:rsidR="009D4DBE" w:rsidRPr="00F72F72" w:rsidRDefault="009D4DBE" w:rsidP="009D4DBE">
      <w:pPr>
        <w:spacing w:after="0" w:line="240" w:lineRule="auto"/>
        <w:rPr>
          <w:rFonts w:cs="Arial"/>
          <w:sz w:val="18"/>
        </w:rPr>
      </w:pPr>
      <w:r>
        <w:rPr>
          <w:rFonts w:cs="Arial"/>
          <w:sz w:val="18"/>
        </w:rPr>
        <w:t xml:space="preserve">Tabulka č. </w:t>
      </w:r>
      <w:r w:rsidRPr="00F72F72">
        <w:rPr>
          <w:rFonts w:cs="Arial"/>
          <w:sz w:val="18"/>
        </w:rPr>
        <w:t>1a</w:t>
      </w:r>
      <w:r w:rsidRPr="00F72F72">
        <w:rPr>
          <w:rFonts w:cs="Arial"/>
          <w:sz w:val="18"/>
        </w:rPr>
        <w:tab/>
        <w:t>Účast ve formálním vzdělávání celkem a dle stupně vzdělávání (18–69 let)</w:t>
      </w:r>
    </w:p>
    <w:p w:rsidR="009D4DBE" w:rsidRPr="00F72F72" w:rsidRDefault="009D4DBE" w:rsidP="009D4DBE">
      <w:pPr>
        <w:spacing w:after="0" w:line="240" w:lineRule="auto"/>
        <w:rPr>
          <w:rFonts w:cs="Arial"/>
          <w:sz w:val="18"/>
        </w:rPr>
      </w:pPr>
      <w:r w:rsidRPr="00F72F72">
        <w:rPr>
          <w:rFonts w:cs="Arial"/>
          <w:sz w:val="18"/>
        </w:rPr>
        <w:t>Tabulka č. 1b</w:t>
      </w:r>
      <w:r w:rsidRPr="00F72F72">
        <w:rPr>
          <w:rFonts w:cs="Arial"/>
          <w:sz w:val="18"/>
        </w:rPr>
        <w:tab/>
        <w:t>Účast ve formálním vzdělávání celkem a dle stupně vzdělávání (25–64 let)</w:t>
      </w:r>
      <w:r w:rsidRPr="00F72F72">
        <w:rPr>
          <w:rFonts w:cs="Arial"/>
          <w:sz w:val="18"/>
        </w:rPr>
        <w:tab/>
      </w:r>
    </w:p>
    <w:p w:rsidR="009D4DBE" w:rsidRPr="00F72F72" w:rsidRDefault="009D4DBE" w:rsidP="009D4DBE">
      <w:pPr>
        <w:spacing w:after="0" w:line="240" w:lineRule="auto"/>
        <w:rPr>
          <w:rFonts w:cs="Arial"/>
        </w:rPr>
      </w:pPr>
      <w:r>
        <w:rPr>
          <w:rFonts w:cs="Arial"/>
          <w:sz w:val="18"/>
        </w:rPr>
        <w:t xml:space="preserve">Tabulka </w:t>
      </w:r>
      <w:proofErr w:type="gramStart"/>
      <w:r>
        <w:rPr>
          <w:rFonts w:cs="Arial"/>
          <w:sz w:val="18"/>
        </w:rPr>
        <w:t xml:space="preserve">č. </w:t>
      </w:r>
      <w:r w:rsidRPr="00F72F72">
        <w:rPr>
          <w:rFonts w:cs="Arial"/>
          <w:sz w:val="18"/>
        </w:rPr>
        <w:t>2</w:t>
      </w:r>
      <w:r w:rsidRPr="00F72F72">
        <w:rPr>
          <w:rFonts w:cs="Arial"/>
          <w:sz w:val="18"/>
        </w:rPr>
        <w:tab/>
        <w:t>Účast</w:t>
      </w:r>
      <w:proofErr w:type="gramEnd"/>
      <w:r w:rsidRPr="00F72F72">
        <w:rPr>
          <w:rFonts w:cs="Arial"/>
          <w:sz w:val="18"/>
        </w:rPr>
        <w:t xml:space="preserve"> ve formálním vzdělávání (25–64 let), 2007–2016</w:t>
      </w:r>
      <w:r w:rsidRPr="00F72F72">
        <w:rPr>
          <w:rFonts w:cs="Arial"/>
        </w:rPr>
        <w:tab/>
      </w:r>
      <w:r w:rsidRPr="00F72F72">
        <w:rPr>
          <w:rFonts w:cs="Arial"/>
        </w:rPr>
        <w:tab/>
      </w:r>
      <w:r w:rsidRPr="00F72F72">
        <w:rPr>
          <w:rFonts w:cs="Arial"/>
        </w:rPr>
        <w:tab/>
      </w:r>
      <w:r w:rsidRPr="00F72F72">
        <w:rPr>
          <w:rFonts w:cs="Arial"/>
        </w:rPr>
        <w:tab/>
      </w:r>
      <w:r w:rsidRPr="00F72F72">
        <w:rPr>
          <w:rFonts w:cs="Arial"/>
        </w:rPr>
        <w:tab/>
      </w:r>
      <w:r w:rsidRPr="00F72F72">
        <w:rPr>
          <w:rFonts w:cs="Arial"/>
        </w:rPr>
        <w:tab/>
      </w:r>
    </w:p>
    <w:p w:rsidR="009D4DBE" w:rsidRPr="00F72F72" w:rsidRDefault="009D4DBE" w:rsidP="009D4DBE">
      <w:pPr>
        <w:spacing w:after="0"/>
        <w:rPr>
          <w:rFonts w:cs="Arial"/>
          <w:b/>
          <w:color w:val="C00000"/>
        </w:rPr>
      </w:pPr>
      <w:r w:rsidRPr="00F72F72">
        <w:rPr>
          <w:rFonts w:cs="Arial"/>
          <w:b/>
          <w:color w:val="C00000"/>
        </w:rPr>
        <w:t>Neformální vzdělávání</w:t>
      </w:r>
      <w:r w:rsidRPr="00F72F72">
        <w:rPr>
          <w:rFonts w:cs="Arial"/>
          <w:b/>
          <w:color w:val="C00000"/>
        </w:rPr>
        <w:tab/>
      </w:r>
      <w:r w:rsidRPr="00F72F72">
        <w:rPr>
          <w:rFonts w:cs="Arial"/>
          <w:b/>
          <w:color w:val="C00000"/>
        </w:rPr>
        <w:tab/>
      </w:r>
      <w:r w:rsidRPr="00F72F72">
        <w:rPr>
          <w:rFonts w:cs="Arial"/>
          <w:b/>
          <w:color w:val="C00000"/>
        </w:rPr>
        <w:tab/>
      </w:r>
      <w:r w:rsidRPr="00F72F72">
        <w:rPr>
          <w:rFonts w:cs="Arial"/>
          <w:b/>
          <w:color w:val="C00000"/>
        </w:rPr>
        <w:tab/>
      </w:r>
      <w:r w:rsidRPr="00F72F72">
        <w:rPr>
          <w:rFonts w:cs="Arial"/>
          <w:b/>
          <w:color w:val="C00000"/>
        </w:rPr>
        <w:tab/>
      </w:r>
      <w:r w:rsidRPr="00F72F72">
        <w:rPr>
          <w:rFonts w:cs="Arial"/>
          <w:b/>
          <w:color w:val="C00000"/>
        </w:rPr>
        <w:tab/>
      </w:r>
    </w:p>
    <w:p w:rsidR="009D4DBE" w:rsidRPr="00F72F72" w:rsidRDefault="009D4DBE" w:rsidP="009D4DBE">
      <w:pPr>
        <w:spacing w:after="0" w:line="240" w:lineRule="auto"/>
        <w:rPr>
          <w:rFonts w:cs="Arial"/>
          <w:color w:val="C00000"/>
        </w:rPr>
      </w:pPr>
      <w:r w:rsidRPr="00F72F72">
        <w:rPr>
          <w:rFonts w:cs="Arial"/>
          <w:color w:val="C00000"/>
        </w:rPr>
        <w:t>Celková účast</w:t>
      </w:r>
      <w:r w:rsidRPr="00F72F72">
        <w:rPr>
          <w:rFonts w:cs="Arial"/>
          <w:color w:val="C00000"/>
        </w:rPr>
        <w:tab/>
      </w:r>
      <w:r w:rsidRPr="00F72F72">
        <w:rPr>
          <w:rFonts w:cs="Arial"/>
          <w:color w:val="C00000"/>
        </w:rPr>
        <w:tab/>
      </w:r>
      <w:r w:rsidRPr="00F72F72">
        <w:rPr>
          <w:rFonts w:cs="Arial"/>
          <w:color w:val="C00000"/>
        </w:rPr>
        <w:tab/>
      </w:r>
      <w:r w:rsidRPr="00F72F72">
        <w:rPr>
          <w:rFonts w:cs="Arial"/>
          <w:color w:val="C00000"/>
        </w:rPr>
        <w:tab/>
      </w:r>
      <w:r w:rsidRPr="00F72F72">
        <w:rPr>
          <w:rFonts w:cs="Arial"/>
          <w:color w:val="C00000"/>
        </w:rPr>
        <w:tab/>
      </w:r>
      <w:r w:rsidRPr="00F72F72">
        <w:rPr>
          <w:rFonts w:cs="Arial"/>
          <w:color w:val="C00000"/>
        </w:rPr>
        <w:tab/>
      </w:r>
    </w:p>
    <w:p w:rsidR="009D4DBE" w:rsidRPr="00F72F72" w:rsidRDefault="009D4DBE" w:rsidP="009D4DBE">
      <w:pPr>
        <w:spacing w:after="0" w:line="240" w:lineRule="auto"/>
        <w:rPr>
          <w:rFonts w:cs="Arial"/>
          <w:sz w:val="18"/>
        </w:rPr>
      </w:pPr>
      <w:r w:rsidRPr="00F72F72">
        <w:rPr>
          <w:rFonts w:cs="Arial"/>
          <w:sz w:val="18"/>
        </w:rPr>
        <w:t>Tabulka č. 3a</w:t>
      </w:r>
      <w:r w:rsidRPr="00F72F72">
        <w:rPr>
          <w:rFonts w:cs="Arial"/>
          <w:sz w:val="18"/>
        </w:rPr>
        <w:tab/>
        <w:t>Účast v neformálním vzdělávání celkem a dle orientace vzdělávání (18–69 let)</w:t>
      </w:r>
      <w:r w:rsidRPr="00F72F72">
        <w:rPr>
          <w:rFonts w:cs="Arial"/>
          <w:sz w:val="18"/>
        </w:rPr>
        <w:tab/>
      </w:r>
    </w:p>
    <w:p w:rsidR="009D4DBE" w:rsidRPr="00F72F72" w:rsidRDefault="009D4DBE" w:rsidP="009D4DBE">
      <w:pPr>
        <w:spacing w:after="0" w:line="240" w:lineRule="auto"/>
        <w:rPr>
          <w:rFonts w:cs="Arial"/>
          <w:sz w:val="18"/>
        </w:rPr>
      </w:pPr>
      <w:r w:rsidRPr="00F72F72">
        <w:rPr>
          <w:rFonts w:cs="Arial"/>
          <w:sz w:val="18"/>
        </w:rPr>
        <w:t>Tabulka č. 3b</w:t>
      </w:r>
      <w:r w:rsidRPr="00F72F72">
        <w:rPr>
          <w:rFonts w:cs="Arial"/>
          <w:sz w:val="18"/>
        </w:rPr>
        <w:tab/>
        <w:t>Účast v neformálním vzdělávání celkem a dle orientace vzdělávání (25–64 let)</w:t>
      </w:r>
      <w:r w:rsidRPr="00F72F72">
        <w:rPr>
          <w:rFonts w:cs="Arial"/>
          <w:sz w:val="18"/>
        </w:rPr>
        <w:tab/>
      </w:r>
    </w:p>
    <w:p w:rsidR="009D4DBE" w:rsidRPr="00F72F72" w:rsidRDefault="009D4DBE" w:rsidP="009D4DBE">
      <w:pPr>
        <w:spacing w:after="0" w:line="240" w:lineRule="auto"/>
        <w:rPr>
          <w:rFonts w:cs="Arial"/>
          <w:sz w:val="18"/>
        </w:rPr>
      </w:pPr>
      <w:r w:rsidRPr="00F72F72">
        <w:rPr>
          <w:rFonts w:cs="Arial"/>
          <w:sz w:val="18"/>
        </w:rPr>
        <w:t xml:space="preserve">Tabulka </w:t>
      </w:r>
      <w:proofErr w:type="gramStart"/>
      <w:r w:rsidRPr="00F72F72">
        <w:rPr>
          <w:rFonts w:cs="Arial"/>
          <w:sz w:val="18"/>
        </w:rPr>
        <w:t>č. 4</w:t>
      </w:r>
      <w:r w:rsidRPr="00F72F72">
        <w:rPr>
          <w:rFonts w:cs="Arial"/>
          <w:sz w:val="18"/>
        </w:rPr>
        <w:tab/>
        <w:t>Účast</w:t>
      </w:r>
      <w:proofErr w:type="gramEnd"/>
      <w:r w:rsidRPr="00F72F72">
        <w:rPr>
          <w:rFonts w:cs="Arial"/>
          <w:sz w:val="18"/>
        </w:rPr>
        <w:t xml:space="preserve"> v neformálním vzdělávání (25–64 let), 2007–2016</w:t>
      </w:r>
      <w:r w:rsidRPr="00F72F72">
        <w:rPr>
          <w:rFonts w:cs="Arial"/>
          <w:sz w:val="18"/>
        </w:rPr>
        <w:tab/>
      </w:r>
      <w:r w:rsidRPr="00F72F72">
        <w:rPr>
          <w:rFonts w:cs="Arial"/>
          <w:sz w:val="18"/>
        </w:rPr>
        <w:tab/>
      </w:r>
    </w:p>
    <w:p w:rsidR="009D4DBE" w:rsidRPr="00F72F72" w:rsidRDefault="009D4DBE" w:rsidP="009D4DBE">
      <w:pPr>
        <w:spacing w:after="0" w:line="240" w:lineRule="auto"/>
        <w:rPr>
          <w:rFonts w:cs="Arial"/>
          <w:sz w:val="18"/>
        </w:rPr>
      </w:pPr>
      <w:r w:rsidRPr="00F72F72">
        <w:rPr>
          <w:rFonts w:cs="Arial"/>
          <w:sz w:val="18"/>
        </w:rPr>
        <w:t>Tabulka č. 5</w:t>
      </w:r>
      <w:r w:rsidRPr="00F72F72">
        <w:rPr>
          <w:rFonts w:cs="Arial"/>
          <w:sz w:val="18"/>
        </w:rPr>
        <w:tab/>
        <w:t>Účast v neformálním vzdělávání dle orientace vzdělávání (25–64 let), 2011–2016</w:t>
      </w:r>
    </w:p>
    <w:p w:rsidR="009D4DBE" w:rsidRPr="00F72F72" w:rsidRDefault="009D4DBE" w:rsidP="009D4DBE">
      <w:pPr>
        <w:spacing w:after="0" w:line="240" w:lineRule="auto"/>
        <w:rPr>
          <w:rFonts w:cs="Arial"/>
          <w:sz w:val="18"/>
        </w:rPr>
      </w:pPr>
      <w:r w:rsidRPr="00F72F72">
        <w:rPr>
          <w:rFonts w:cs="Arial"/>
          <w:sz w:val="18"/>
        </w:rPr>
        <w:t>Tabulka č. 6</w:t>
      </w:r>
      <w:r w:rsidRPr="00F72F72">
        <w:rPr>
          <w:rFonts w:cs="Arial"/>
          <w:sz w:val="18"/>
        </w:rPr>
        <w:tab/>
        <w:t>Podíl pracovně a mimopracovně orientovaných aktivit neformálního vzdělávání (25–64 let), 2007–2016</w:t>
      </w:r>
    </w:p>
    <w:p w:rsidR="009D4DBE" w:rsidRPr="00F72F72" w:rsidRDefault="009D4DBE" w:rsidP="009D4DBE">
      <w:pPr>
        <w:spacing w:after="0" w:line="240" w:lineRule="auto"/>
        <w:rPr>
          <w:rFonts w:cs="Arial"/>
          <w:sz w:val="18"/>
        </w:rPr>
      </w:pPr>
      <w:r w:rsidRPr="00F72F72">
        <w:rPr>
          <w:rFonts w:cs="Arial"/>
          <w:sz w:val="18"/>
        </w:rPr>
        <w:t>Tabulka č. 7a</w:t>
      </w:r>
      <w:r w:rsidRPr="00F72F72">
        <w:rPr>
          <w:rFonts w:cs="Arial"/>
          <w:sz w:val="18"/>
        </w:rPr>
        <w:tab/>
        <w:t>Průměrný počet aktivit neformálního vzdělávání na osobu za rok (18–69 let)</w:t>
      </w:r>
      <w:r w:rsidRPr="00F72F72">
        <w:rPr>
          <w:rFonts w:cs="Arial"/>
          <w:sz w:val="18"/>
        </w:rPr>
        <w:tab/>
      </w:r>
    </w:p>
    <w:p w:rsidR="009D4DBE" w:rsidRPr="00F72F72" w:rsidRDefault="009D4DBE" w:rsidP="009D4DBE">
      <w:pPr>
        <w:spacing w:after="0" w:line="240" w:lineRule="auto"/>
        <w:rPr>
          <w:rFonts w:cs="Arial"/>
          <w:sz w:val="18"/>
        </w:rPr>
      </w:pPr>
      <w:r w:rsidRPr="00F72F72">
        <w:rPr>
          <w:rFonts w:cs="Arial"/>
          <w:sz w:val="18"/>
        </w:rPr>
        <w:t>Tabulka č. 7b</w:t>
      </w:r>
      <w:r w:rsidRPr="00F72F72">
        <w:rPr>
          <w:rFonts w:cs="Arial"/>
          <w:sz w:val="18"/>
        </w:rPr>
        <w:tab/>
        <w:t>Průměrný počet aktivit neformálního vzdělávání na osobu za rok (25–64 let)</w:t>
      </w:r>
      <w:r w:rsidRPr="00F72F72">
        <w:rPr>
          <w:rFonts w:cs="Arial"/>
          <w:sz w:val="18"/>
        </w:rPr>
        <w:tab/>
      </w:r>
    </w:p>
    <w:p w:rsidR="009D4DBE" w:rsidRPr="00F72F72" w:rsidRDefault="009D4DBE" w:rsidP="009D4DBE">
      <w:pPr>
        <w:spacing w:after="0" w:line="240" w:lineRule="auto"/>
        <w:rPr>
          <w:rFonts w:cs="Arial"/>
          <w:sz w:val="18"/>
        </w:rPr>
      </w:pPr>
      <w:r w:rsidRPr="00F72F72">
        <w:rPr>
          <w:rFonts w:cs="Arial"/>
          <w:sz w:val="18"/>
        </w:rPr>
        <w:t>Tabulka č. 8a</w:t>
      </w:r>
      <w:r w:rsidRPr="00F72F72">
        <w:rPr>
          <w:rFonts w:cs="Arial"/>
          <w:sz w:val="18"/>
        </w:rPr>
        <w:tab/>
        <w:t>Průměrný počet hodin strávený neformálním vzděláváním</w:t>
      </w:r>
      <w:r>
        <w:rPr>
          <w:rFonts w:cs="Arial"/>
          <w:sz w:val="18"/>
        </w:rPr>
        <w:t xml:space="preserve"> na osobu </w:t>
      </w:r>
      <w:r w:rsidRPr="00F72F72">
        <w:rPr>
          <w:rFonts w:cs="Arial"/>
          <w:sz w:val="18"/>
        </w:rPr>
        <w:t>za rok (18–69 let)</w:t>
      </w:r>
      <w:r w:rsidRPr="00F72F72">
        <w:rPr>
          <w:rFonts w:cs="Arial"/>
          <w:sz w:val="18"/>
        </w:rPr>
        <w:tab/>
      </w:r>
    </w:p>
    <w:p w:rsidR="009D4DBE" w:rsidRPr="00F72F72" w:rsidRDefault="009D4DBE" w:rsidP="009D4DBE">
      <w:pPr>
        <w:spacing w:after="0" w:line="240" w:lineRule="auto"/>
        <w:rPr>
          <w:rFonts w:cs="Arial"/>
          <w:sz w:val="18"/>
        </w:rPr>
      </w:pPr>
      <w:r w:rsidRPr="00F72F72">
        <w:rPr>
          <w:rFonts w:cs="Arial"/>
          <w:sz w:val="18"/>
        </w:rPr>
        <w:t>Tabulka č. 8b</w:t>
      </w:r>
      <w:r w:rsidRPr="00F72F72">
        <w:rPr>
          <w:rFonts w:cs="Arial"/>
          <w:sz w:val="18"/>
        </w:rPr>
        <w:tab/>
        <w:t xml:space="preserve">Průměrný počet hodin strávený neformálním vzděláváním </w:t>
      </w:r>
      <w:r>
        <w:rPr>
          <w:rFonts w:cs="Arial"/>
          <w:sz w:val="18"/>
        </w:rPr>
        <w:t xml:space="preserve">na osobu </w:t>
      </w:r>
      <w:r w:rsidRPr="00F72F72">
        <w:rPr>
          <w:rFonts w:cs="Arial"/>
          <w:sz w:val="18"/>
        </w:rPr>
        <w:t>za rok (25–64 let)</w:t>
      </w:r>
      <w:r w:rsidRPr="00F72F72">
        <w:rPr>
          <w:rFonts w:cs="Arial"/>
          <w:sz w:val="18"/>
        </w:rPr>
        <w:tab/>
      </w:r>
    </w:p>
    <w:p w:rsidR="009D4DBE" w:rsidRPr="00F72F72" w:rsidRDefault="009D4DBE" w:rsidP="009D4DBE">
      <w:pPr>
        <w:spacing w:after="0" w:line="240" w:lineRule="auto"/>
        <w:rPr>
          <w:rFonts w:cs="Arial"/>
          <w:sz w:val="18"/>
        </w:rPr>
      </w:pPr>
      <w:r w:rsidRPr="00F72F72">
        <w:rPr>
          <w:rFonts w:cs="Arial"/>
          <w:sz w:val="18"/>
        </w:rPr>
        <w:t>Tabulka č. 9a</w:t>
      </w:r>
      <w:r w:rsidRPr="00F72F72">
        <w:rPr>
          <w:rFonts w:cs="Arial"/>
          <w:sz w:val="18"/>
        </w:rPr>
        <w:tab/>
      </w:r>
      <w:r>
        <w:rPr>
          <w:rFonts w:cs="Arial"/>
          <w:sz w:val="18"/>
        </w:rPr>
        <w:t xml:space="preserve">Průměrné osobní náklady </w:t>
      </w:r>
      <w:r w:rsidRPr="00F72F72">
        <w:rPr>
          <w:rFonts w:cs="Arial"/>
          <w:sz w:val="18"/>
        </w:rPr>
        <w:t>na neformální vzdělávání na osobu za rok (18–69 let)</w:t>
      </w:r>
      <w:r w:rsidRPr="00F72F72">
        <w:rPr>
          <w:rFonts w:cs="Arial"/>
          <w:sz w:val="18"/>
        </w:rPr>
        <w:tab/>
      </w:r>
      <w:r w:rsidRPr="00F72F72">
        <w:rPr>
          <w:rFonts w:cs="Arial"/>
          <w:sz w:val="18"/>
        </w:rPr>
        <w:tab/>
      </w:r>
      <w:r w:rsidRPr="00F72F72">
        <w:rPr>
          <w:rFonts w:cs="Arial"/>
          <w:sz w:val="18"/>
        </w:rPr>
        <w:tab/>
      </w:r>
    </w:p>
    <w:p w:rsidR="009D4DBE" w:rsidRPr="00F72F72" w:rsidRDefault="009D4DBE" w:rsidP="009D4DBE">
      <w:pPr>
        <w:spacing w:after="0" w:line="240" w:lineRule="auto"/>
        <w:rPr>
          <w:rFonts w:cs="Arial"/>
          <w:sz w:val="18"/>
        </w:rPr>
      </w:pPr>
      <w:r w:rsidRPr="00F72F72">
        <w:rPr>
          <w:rFonts w:cs="Arial"/>
          <w:sz w:val="18"/>
        </w:rPr>
        <w:t>Tabulka č. 9b</w:t>
      </w:r>
      <w:r w:rsidRPr="00F72F72">
        <w:rPr>
          <w:rFonts w:cs="Arial"/>
          <w:sz w:val="18"/>
        </w:rPr>
        <w:tab/>
        <w:t>Průměrné osobní náklady na neformální vzdělávání na osobu za rok (25–64 let)</w:t>
      </w:r>
      <w:r w:rsidRPr="00F72F72">
        <w:rPr>
          <w:rFonts w:cs="Arial"/>
          <w:sz w:val="18"/>
        </w:rPr>
        <w:tab/>
      </w:r>
      <w:r w:rsidRPr="00F72F72">
        <w:rPr>
          <w:rFonts w:cs="Arial"/>
          <w:sz w:val="18"/>
        </w:rPr>
        <w:tab/>
      </w:r>
      <w:r w:rsidRPr="00F72F72">
        <w:rPr>
          <w:rFonts w:cs="Arial"/>
          <w:sz w:val="18"/>
        </w:rPr>
        <w:tab/>
      </w:r>
    </w:p>
    <w:p w:rsidR="009D4DBE" w:rsidRPr="00F72F72" w:rsidRDefault="009D4DBE" w:rsidP="009D4DBE">
      <w:pPr>
        <w:spacing w:after="0" w:line="240" w:lineRule="auto"/>
        <w:rPr>
          <w:rFonts w:cs="Arial"/>
          <w:sz w:val="18"/>
        </w:rPr>
      </w:pPr>
      <w:r w:rsidRPr="00F72F72">
        <w:rPr>
          <w:rFonts w:cs="Arial"/>
          <w:sz w:val="18"/>
        </w:rPr>
        <w:t>Tabulka č. 10a</w:t>
      </w:r>
      <w:r w:rsidRPr="00F72F72">
        <w:rPr>
          <w:rFonts w:cs="Arial"/>
          <w:sz w:val="18"/>
        </w:rPr>
        <w:tab/>
        <w:t>Struktura oborů neformálního vzdělávání (18–69 let)</w:t>
      </w:r>
      <w:r w:rsidRPr="00F72F72">
        <w:rPr>
          <w:rFonts w:cs="Arial"/>
          <w:sz w:val="18"/>
        </w:rPr>
        <w:tab/>
      </w:r>
      <w:r w:rsidRPr="00F72F72">
        <w:rPr>
          <w:rFonts w:cs="Arial"/>
          <w:sz w:val="18"/>
        </w:rPr>
        <w:tab/>
      </w:r>
      <w:r w:rsidRPr="00F72F72">
        <w:rPr>
          <w:rFonts w:cs="Arial"/>
          <w:sz w:val="18"/>
        </w:rPr>
        <w:tab/>
      </w:r>
      <w:r w:rsidRPr="00F72F72">
        <w:rPr>
          <w:rFonts w:cs="Arial"/>
          <w:sz w:val="18"/>
        </w:rPr>
        <w:tab/>
      </w:r>
      <w:r w:rsidRPr="00F72F72">
        <w:rPr>
          <w:rFonts w:cs="Arial"/>
          <w:sz w:val="18"/>
        </w:rPr>
        <w:tab/>
      </w:r>
    </w:p>
    <w:p w:rsidR="009D4DBE" w:rsidRPr="00F72F72" w:rsidRDefault="009D4DBE" w:rsidP="009D4DBE">
      <w:pPr>
        <w:spacing w:after="0" w:line="240" w:lineRule="auto"/>
        <w:rPr>
          <w:rFonts w:cs="Arial"/>
          <w:sz w:val="18"/>
        </w:rPr>
      </w:pPr>
      <w:r w:rsidRPr="00F72F72">
        <w:rPr>
          <w:rFonts w:cs="Arial"/>
          <w:sz w:val="18"/>
        </w:rPr>
        <w:t>Tabulka č. 10b</w:t>
      </w:r>
      <w:r w:rsidRPr="00F72F72">
        <w:rPr>
          <w:rFonts w:cs="Arial"/>
          <w:sz w:val="18"/>
        </w:rPr>
        <w:tab/>
        <w:t>Struktura oborů neformálního vzdělávání (25–64 let)</w:t>
      </w:r>
      <w:r w:rsidRPr="00F72F72">
        <w:rPr>
          <w:rFonts w:cs="Arial"/>
          <w:sz w:val="18"/>
        </w:rPr>
        <w:tab/>
      </w:r>
      <w:r w:rsidRPr="00F72F72">
        <w:rPr>
          <w:rFonts w:cs="Arial"/>
          <w:sz w:val="18"/>
        </w:rPr>
        <w:tab/>
      </w:r>
      <w:r w:rsidRPr="00F72F72">
        <w:rPr>
          <w:rFonts w:cs="Arial"/>
          <w:sz w:val="18"/>
        </w:rPr>
        <w:tab/>
      </w:r>
      <w:r w:rsidRPr="00F72F72">
        <w:rPr>
          <w:rFonts w:cs="Arial"/>
          <w:sz w:val="18"/>
        </w:rPr>
        <w:tab/>
      </w:r>
      <w:r w:rsidRPr="00F72F72">
        <w:rPr>
          <w:rFonts w:cs="Arial"/>
          <w:sz w:val="18"/>
        </w:rPr>
        <w:tab/>
      </w:r>
    </w:p>
    <w:p w:rsidR="009D4DBE" w:rsidRPr="00F72F72" w:rsidRDefault="009D4DBE" w:rsidP="009D4DBE">
      <w:pPr>
        <w:spacing w:after="0" w:line="240" w:lineRule="auto"/>
        <w:rPr>
          <w:rFonts w:cs="Arial"/>
          <w:sz w:val="18"/>
        </w:rPr>
      </w:pPr>
      <w:r w:rsidRPr="00F72F72">
        <w:rPr>
          <w:rFonts w:cs="Arial"/>
          <w:sz w:val="18"/>
        </w:rPr>
        <w:t>Tabulka č. 11a</w:t>
      </w:r>
      <w:r w:rsidRPr="00F72F72">
        <w:rPr>
          <w:rFonts w:cs="Arial"/>
          <w:sz w:val="18"/>
        </w:rPr>
        <w:tab/>
        <w:t>Účast v jazykově zaměřeném neformálním vzdělávání celkem a dle orientace vzdělávání (18–69 let)</w:t>
      </w:r>
    </w:p>
    <w:p w:rsidR="009D4DBE" w:rsidRPr="00F72F72" w:rsidRDefault="009D4DBE" w:rsidP="009D4DBE">
      <w:pPr>
        <w:spacing w:after="0" w:line="240" w:lineRule="auto"/>
        <w:rPr>
          <w:rFonts w:cs="Arial"/>
          <w:sz w:val="18"/>
        </w:rPr>
      </w:pPr>
      <w:r w:rsidRPr="00F72F72">
        <w:rPr>
          <w:rFonts w:cs="Arial"/>
          <w:sz w:val="18"/>
        </w:rPr>
        <w:t>Tabulka č. 11b</w:t>
      </w:r>
      <w:r w:rsidRPr="00F72F72">
        <w:rPr>
          <w:rFonts w:cs="Arial"/>
          <w:sz w:val="18"/>
        </w:rPr>
        <w:tab/>
        <w:t>Účast v jazykově zaměřeném neformálním vzdělávání celkem a dle orientace vzdělávání (25–64 let)</w:t>
      </w:r>
    </w:p>
    <w:p w:rsidR="009D4DBE" w:rsidRPr="00F72F72" w:rsidRDefault="009D4DBE" w:rsidP="009D4DBE">
      <w:pPr>
        <w:spacing w:after="0" w:line="240" w:lineRule="auto"/>
        <w:rPr>
          <w:rFonts w:cs="Arial"/>
        </w:rPr>
      </w:pPr>
      <w:r w:rsidRPr="00F72F72">
        <w:rPr>
          <w:rFonts w:cs="Arial"/>
          <w:sz w:val="18"/>
        </w:rPr>
        <w:t>Tabulka č. 12</w:t>
      </w:r>
      <w:r w:rsidRPr="00F72F72">
        <w:rPr>
          <w:rFonts w:cs="Arial"/>
          <w:sz w:val="18"/>
        </w:rPr>
        <w:tab/>
        <w:t>Účast v neformálním vzdělávání zaměřeném na ICT celkem a dle orientace vzdělávání (25–64 let)</w:t>
      </w:r>
      <w:r w:rsidRPr="00F72F72">
        <w:rPr>
          <w:rFonts w:cs="Arial"/>
        </w:rPr>
        <w:tab/>
      </w:r>
      <w:r w:rsidRPr="00F72F72">
        <w:rPr>
          <w:rFonts w:cs="Arial"/>
        </w:rPr>
        <w:tab/>
      </w:r>
      <w:r w:rsidRPr="00F72F72">
        <w:rPr>
          <w:rFonts w:cs="Arial"/>
        </w:rPr>
        <w:tab/>
      </w:r>
      <w:r w:rsidRPr="00F72F72">
        <w:rPr>
          <w:rFonts w:cs="Arial"/>
        </w:rPr>
        <w:tab/>
      </w:r>
      <w:r w:rsidRPr="00F72F72">
        <w:rPr>
          <w:rFonts w:cs="Arial"/>
        </w:rPr>
        <w:tab/>
      </w:r>
      <w:r w:rsidRPr="00F72F72">
        <w:rPr>
          <w:rFonts w:cs="Arial"/>
        </w:rPr>
        <w:tab/>
      </w:r>
    </w:p>
    <w:p w:rsidR="009D4DBE" w:rsidRPr="00F72F72" w:rsidRDefault="009D4DBE" w:rsidP="009D4DBE">
      <w:pPr>
        <w:spacing w:after="0" w:line="240" w:lineRule="auto"/>
        <w:rPr>
          <w:rFonts w:cs="Arial"/>
          <w:color w:val="C00000"/>
        </w:rPr>
      </w:pPr>
      <w:r w:rsidRPr="00F72F72">
        <w:rPr>
          <w:rFonts w:cs="Arial"/>
          <w:color w:val="C00000"/>
        </w:rPr>
        <w:t>Účast – pracující</w:t>
      </w:r>
      <w:r w:rsidRPr="00F72F72">
        <w:rPr>
          <w:rFonts w:cs="Arial"/>
          <w:color w:val="C00000"/>
        </w:rPr>
        <w:tab/>
      </w:r>
      <w:r w:rsidRPr="00F72F72">
        <w:rPr>
          <w:rFonts w:cs="Arial"/>
          <w:color w:val="C00000"/>
        </w:rPr>
        <w:tab/>
      </w:r>
      <w:r w:rsidRPr="00F72F72">
        <w:rPr>
          <w:rFonts w:cs="Arial"/>
          <w:color w:val="C00000"/>
        </w:rPr>
        <w:tab/>
      </w:r>
      <w:r w:rsidRPr="00F72F72">
        <w:rPr>
          <w:rFonts w:cs="Arial"/>
          <w:color w:val="C00000"/>
        </w:rPr>
        <w:tab/>
      </w:r>
      <w:r w:rsidRPr="00F72F72">
        <w:rPr>
          <w:rFonts w:cs="Arial"/>
          <w:color w:val="C00000"/>
        </w:rPr>
        <w:tab/>
      </w:r>
      <w:r w:rsidRPr="00F72F72">
        <w:rPr>
          <w:rFonts w:cs="Arial"/>
          <w:color w:val="C00000"/>
        </w:rPr>
        <w:tab/>
      </w:r>
    </w:p>
    <w:p w:rsidR="009D4DBE" w:rsidRPr="00F72F72" w:rsidRDefault="009D4DBE" w:rsidP="009D4DBE">
      <w:pPr>
        <w:spacing w:after="0" w:line="240" w:lineRule="auto"/>
        <w:rPr>
          <w:rFonts w:cs="Arial"/>
          <w:sz w:val="18"/>
        </w:rPr>
      </w:pPr>
      <w:r w:rsidRPr="00F72F72">
        <w:rPr>
          <w:rFonts w:cs="Arial"/>
          <w:sz w:val="18"/>
        </w:rPr>
        <w:t>Tabulka č. 13a</w:t>
      </w:r>
      <w:r w:rsidRPr="00F72F72">
        <w:rPr>
          <w:rFonts w:cs="Arial"/>
          <w:sz w:val="18"/>
        </w:rPr>
        <w:tab/>
        <w:t>Účast v neformálním vzdělávání celkem a dle orientace vzdělávání – pracující (18–69 let)</w:t>
      </w:r>
    </w:p>
    <w:p w:rsidR="009D4DBE" w:rsidRPr="00F72F72" w:rsidRDefault="009D4DBE" w:rsidP="009D4DBE">
      <w:pPr>
        <w:spacing w:after="0" w:line="240" w:lineRule="auto"/>
        <w:rPr>
          <w:rFonts w:cs="Arial"/>
          <w:sz w:val="18"/>
        </w:rPr>
      </w:pPr>
      <w:r w:rsidRPr="00F72F72">
        <w:rPr>
          <w:rFonts w:cs="Arial"/>
          <w:sz w:val="18"/>
        </w:rPr>
        <w:t>Tabulka č. 13b</w:t>
      </w:r>
      <w:r w:rsidRPr="00F72F72">
        <w:rPr>
          <w:rFonts w:cs="Arial"/>
          <w:sz w:val="18"/>
        </w:rPr>
        <w:tab/>
        <w:t>Účast v neformálním vzdělávání celkem a dle orientace vzdělávání – pracující (25–64 let)</w:t>
      </w:r>
    </w:p>
    <w:p w:rsidR="009D4DBE" w:rsidRPr="00F72F72" w:rsidRDefault="009D4DBE" w:rsidP="009D4DBE">
      <w:pPr>
        <w:spacing w:after="0" w:line="240" w:lineRule="auto"/>
        <w:rPr>
          <w:rFonts w:cs="Arial"/>
        </w:rPr>
      </w:pPr>
      <w:r w:rsidRPr="00F72F72">
        <w:rPr>
          <w:rFonts w:cs="Arial"/>
          <w:sz w:val="18"/>
        </w:rPr>
        <w:t>Tabulka č. 14</w:t>
      </w:r>
      <w:r w:rsidRPr="00F72F72">
        <w:rPr>
          <w:rFonts w:cs="Arial"/>
          <w:sz w:val="18"/>
        </w:rPr>
        <w:tab/>
        <w:t>Průměrná délka trvání aktivit neformálního vzdělávání na pracujícího za rok (18–69 let)</w:t>
      </w:r>
      <w:r w:rsidRPr="00F72F72">
        <w:rPr>
          <w:rFonts w:cs="Arial"/>
          <w:sz w:val="18"/>
        </w:rPr>
        <w:tab/>
      </w:r>
      <w:r w:rsidRPr="00F72F72">
        <w:rPr>
          <w:rFonts w:cs="Arial"/>
        </w:rPr>
        <w:tab/>
      </w:r>
      <w:r w:rsidRPr="00F72F72">
        <w:rPr>
          <w:rFonts w:cs="Arial"/>
        </w:rPr>
        <w:tab/>
      </w:r>
      <w:r w:rsidRPr="00F72F72">
        <w:rPr>
          <w:rFonts w:cs="Arial"/>
        </w:rPr>
        <w:tab/>
      </w:r>
      <w:r w:rsidRPr="00F72F72">
        <w:rPr>
          <w:rFonts w:cs="Arial"/>
        </w:rPr>
        <w:tab/>
      </w:r>
      <w:r w:rsidRPr="00F72F72">
        <w:rPr>
          <w:rFonts w:cs="Arial"/>
        </w:rPr>
        <w:tab/>
      </w:r>
      <w:r w:rsidRPr="00F72F72">
        <w:rPr>
          <w:rFonts w:cs="Arial"/>
        </w:rPr>
        <w:tab/>
      </w:r>
      <w:r w:rsidRPr="00F72F72">
        <w:rPr>
          <w:rFonts w:cs="Arial"/>
        </w:rPr>
        <w:tab/>
      </w:r>
    </w:p>
    <w:p w:rsidR="009D4DBE" w:rsidRPr="00F72F72" w:rsidRDefault="009D4DBE" w:rsidP="009D4DBE">
      <w:pPr>
        <w:spacing w:after="0" w:line="240" w:lineRule="auto"/>
        <w:rPr>
          <w:rFonts w:cs="Arial"/>
        </w:rPr>
      </w:pPr>
      <w:r w:rsidRPr="00F72F72">
        <w:rPr>
          <w:rFonts w:cs="Arial"/>
          <w:color w:val="C00000"/>
        </w:rPr>
        <w:t>Účast – zaměstnanci</w:t>
      </w:r>
      <w:r w:rsidRPr="00F72F72">
        <w:rPr>
          <w:rFonts w:cs="Arial"/>
          <w:color w:val="C00000"/>
        </w:rPr>
        <w:tab/>
      </w:r>
      <w:r w:rsidRPr="00F72F72">
        <w:rPr>
          <w:rFonts w:cs="Arial"/>
        </w:rPr>
        <w:tab/>
      </w:r>
      <w:r w:rsidRPr="00F72F72">
        <w:rPr>
          <w:rFonts w:cs="Arial"/>
        </w:rPr>
        <w:tab/>
      </w:r>
      <w:r w:rsidRPr="00F72F72">
        <w:rPr>
          <w:rFonts w:cs="Arial"/>
        </w:rPr>
        <w:tab/>
      </w:r>
      <w:r w:rsidRPr="00F72F72">
        <w:rPr>
          <w:rFonts w:cs="Arial"/>
        </w:rPr>
        <w:tab/>
      </w:r>
      <w:r w:rsidRPr="00F72F72">
        <w:rPr>
          <w:rFonts w:cs="Arial"/>
        </w:rPr>
        <w:tab/>
      </w:r>
    </w:p>
    <w:p w:rsidR="009D4DBE" w:rsidRPr="00F72F72" w:rsidRDefault="009D4DBE" w:rsidP="009D4DBE">
      <w:pPr>
        <w:spacing w:after="0" w:line="240" w:lineRule="auto"/>
        <w:rPr>
          <w:rFonts w:cs="Arial"/>
          <w:sz w:val="18"/>
        </w:rPr>
      </w:pPr>
      <w:r w:rsidRPr="00F72F72">
        <w:rPr>
          <w:rFonts w:cs="Arial"/>
          <w:sz w:val="18"/>
        </w:rPr>
        <w:t>Tabulka č. 15</w:t>
      </w:r>
      <w:r w:rsidRPr="00F72F72">
        <w:rPr>
          <w:rFonts w:cs="Arial"/>
          <w:sz w:val="18"/>
        </w:rPr>
        <w:tab/>
        <w:t>Účast v neformálním vzdělávání celkem a dle orientace vzdělávání – zaměstnanci (18–69 let)</w:t>
      </w:r>
      <w:r w:rsidRPr="00F72F72">
        <w:rPr>
          <w:rFonts w:cs="Arial"/>
          <w:sz w:val="18"/>
        </w:rPr>
        <w:tab/>
      </w:r>
    </w:p>
    <w:p w:rsidR="009D4DBE" w:rsidRPr="00F72F72" w:rsidRDefault="009D4DBE" w:rsidP="009D4DBE">
      <w:pPr>
        <w:spacing w:after="0" w:line="240" w:lineRule="auto"/>
        <w:rPr>
          <w:rFonts w:cs="Arial"/>
          <w:sz w:val="18"/>
        </w:rPr>
      </w:pPr>
      <w:r>
        <w:rPr>
          <w:rFonts w:cs="Arial"/>
          <w:sz w:val="18"/>
        </w:rPr>
        <w:t>Tabulka č. 16</w:t>
      </w:r>
      <w:r>
        <w:rPr>
          <w:rFonts w:cs="Arial"/>
          <w:sz w:val="18"/>
        </w:rPr>
        <w:tab/>
        <w:t>Účast v </w:t>
      </w:r>
      <w:proofErr w:type="spellStart"/>
      <w:r>
        <w:rPr>
          <w:rFonts w:cs="Arial"/>
          <w:sz w:val="18"/>
        </w:rPr>
        <w:t>prac</w:t>
      </w:r>
      <w:proofErr w:type="spellEnd"/>
      <w:r>
        <w:rPr>
          <w:rFonts w:cs="Arial"/>
          <w:sz w:val="18"/>
        </w:rPr>
        <w:t>.</w:t>
      </w:r>
      <w:r w:rsidRPr="00F72F72">
        <w:rPr>
          <w:rFonts w:cs="Arial"/>
          <w:sz w:val="18"/>
        </w:rPr>
        <w:t xml:space="preserve"> </w:t>
      </w:r>
      <w:proofErr w:type="gramStart"/>
      <w:r w:rsidRPr="00F72F72">
        <w:rPr>
          <w:rFonts w:cs="Arial"/>
          <w:sz w:val="18"/>
        </w:rPr>
        <w:t>neformálním</w:t>
      </w:r>
      <w:proofErr w:type="gramEnd"/>
      <w:r w:rsidRPr="00F72F72">
        <w:rPr>
          <w:rFonts w:cs="Arial"/>
          <w:sz w:val="18"/>
        </w:rPr>
        <w:t xml:space="preserve"> vzdělávání podporovaném zaměstnavatelem – zaměstnanci (18–69 let)</w:t>
      </w:r>
    </w:p>
    <w:p w:rsidR="009D4DBE" w:rsidRPr="00F72F72" w:rsidRDefault="009D4DBE" w:rsidP="009D4DBE">
      <w:pPr>
        <w:spacing w:after="0" w:line="240" w:lineRule="auto"/>
        <w:rPr>
          <w:rFonts w:cs="Arial"/>
        </w:rPr>
      </w:pPr>
      <w:r w:rsidRPr="00F72F72">
        <w:rPr>
          <w:rFonts w:cs="Arial"/>
          <w:sz w:val="18"/>
        </w:rPr>
        <w:t>Tabulka č. 17</w:t>
      </w:r>
      <w:r w:rsidRPr="00F72F72">
        <w:rPr>
          <w:rFonts w:cs="Arial"/>
          <w:sz w:val="18"/>
        </w:rPr>
        <w:tab/>
        <w:t>Průměrná délka trvání aktivit neformálního vzdělávání na zaměstnance za rok (18–69 let)</w:t>
      </w:r>
      <w:r w:rsidRPr="00F72F72">
        <w:rPr>
          <w:rFonts w:cs="Arial"/>
        </w:rPr>
        <w:tab/>
      </w:r>
      <w:r w:rsidRPr="00F72F72">
        <w:rPr>
          <w:rFonts w:cs="Arial"/>
        </w:rPr>
        <w:tab/>
      </w:r>
      <w:r w:rsidRPr="00F72F72">
        <w:rPr>
          <w:rFonts w:cs="Arial"/>
        </w:rPr>
        <w:tab/>
      </w:r>
      <w:r w:rsidRPr="00F72F72">
        <w:rPr>
          <w:rFonts w:cs="Arial"/>
        </w:rPr>
        <w:tab/>
      </w:r>
      <w:r w:rsidRPr="00F72F72">
        <w:rPr>
          <w:rFonts w:cs="Arial"/>
        </w:rPr>
        <w:tab/>
      </w:r>
      <w:r w:rsidRPr="00F72F72">
        <w:rPr>
          <w:rFonts w:cs="Arial"/>
        </w:rPr>
        <w:tab/>
      </w:r>
    </w:p>
    <w:p w:rsidR="009D4DBE" w:rsidRPr="00F72F72" w:rsidRDefault="009D4DBE" w:rsidP="009D4DBE">
      <w:pPr>
        <w:spacing w:after="0" w:line="240" w:lineRule="auto"/>
        <w:rPr>
          <w:rFonts w:cs="Arial"/>
          <w:b/>
          <w:color w:val="C00000"/>
        </w:rPr>
      </w:pPr>
      <w:r w:rsidRPr="00F72F72">
        <w:rPr>
          <w:rFonts w:cs="Arial"/>
          <w:b/>
          <w:color w:val="C00000"/>
        </w:rPr>
        <w:t xml:space="preserve">Další vzdělávání a motivace k vyššímu zapojení </w:t>
      </w:r>
      <w:r w:rsidRPr="00F72F72">
        <w:rPr>
          <w:rFonts w:cs="Arial"/>
          <w:b/>
          <w:color w:val="C00000"/>
        </w:rPr>
        <w:tab/>
      </w:r>
      <w:r w:rsidRPr="00F72F72">
        <w:rPr>
          <w:rFonts w:cs="Arial"/>
          <w:b/>
          <w:color w:val="C00000"/>
        </w:rPr>
        <w:tab/>
      </w:r>
      <w:r w:rsidRPr="00F72F72">
        <w:rPr>
          <w:rFonts w:cs="Arial"/>
          <w:b/>
          <w:color w:val="C00000"/>
        </w:rPr>
        <w:tab/>
      </w:r>
      <w:r w:rsidRPr="00F72F72">
        <w:rPr>
          <w:rFonts w:cs="Arial"/>
          <w:b/>
          <w:color w:val="C00000"/>
        </w:rPr>
        <w:tab/>
      </w:r>
      <w:r w:rsidRPr="00F72F72">
        <w:rPr>
          <w:rFonts w:cs="Arial"/>
          <w:b/>
          <w:color w:val="C00000"/>
        </w:rPr>
        <w:tab/>
      </w:r>
      <w:r w:rsidRPr="00F72F72">
        <w:rPr>
          <w:rFonts w:cs="Arial"/>
          <w:b/>
          <w:color w:val="C00000"/>
        </w:rPr>
        <w:tab/>
      </w:r>
    </w:p>
    <w:p w:rsidR="009D4DBE" w:rsidRPr="00F72F72" w:rsidRDefault="009D4DBE" w:rsidP="009D4DBE">
      <w:pPr>
        <w:spacing w:after="0" w:line="240" w:lineRule="auto"/>
        <w:rPr>
          <w:rFonts w:cs="Arial"/>
          <w:sz w:val="18"/>
        </w:rPr>
      </w:pPr>
      <w:r w:rsidRPr="00F72F72">
        <w:rPr>
          <w:rFonts w:cs="Arial"/>
          <w:sz w:val="18"/>
        </w:rPr>
        <w:t>Tabulka č. 18a</w:t>
      </w:r>
      <w:r w:rsidRPr="00F72F72">
        <w:rPr>
          <w:rFonts w:cs="Arial"/>
          <w:sz w:val="18"/>
        </w:rPr>
        <w:tab/>
        <w:t>Účast ve formálním či neformálním vzdělávání a motivace účastnit se (více) vzdělávání (18–69 let)</w:t>
      </w:r>
    </w:p>
    <w:p w:rsidR="009D4DBE" w:rsidRPr="00F72F72" w:rsidRDefault="009D4DBE" w:rsidP="009D4DBE">
      <w:pPr>
        <w:spacing w:after="0" w:line="240" w:lineRule="auto"/>
        <w:rPr>
          <w:rFonts w:cs="Arial"/>
          <w:sz w:val="18"/>
        </w:rPr>
      </w:pPr>
      <w:r w:rsidRPr="00F72F72">
        <w:rPr>
          <w:rFonts w:cs="Arial"/>
          <w:sz w:val="18"/>
        </w:rPr>
        <w:t>Tabulka č. 18b</w:t>
      </w:r>
      <w:r w:rsidRPr="00F72F72">
        <w:rPr>
          <w:rFonts w:cs="Arial"/>
          <w:sz w:val="18"/>
        </w:rPr>
        <w:tab/>
        <w:t>Účast ve formálním či neformálním vzdělávání a motivace účastnit se (více) vzdělávání (25–64 let)</w:t>
      </w:r>
    </w:p>
    <w:p w:rsidR="009D4DBE" w:rsidRPr="00F72F72" w:rsidRDefault="009D4DBE" w:rsidP="009D4DBE">
      <w:pPr>
        <w:spacing w:after="0" w:line="240" w:lineRule="auto"/>
        <w:rPr>
          <w:rFonts w:cs="Arial"/>
        </w:rPr>
      </w:pPr>
      <w:r w:rsidRPr="00F72F72">
        <w:rPr>
          <w:rFonts w:cs="Arial"/>
          <w:sz w:val="18"/>
        </w:rPr>
        <w:t>Tabulka č. 19</w:t>
      </w:r>
      <w:r w:rsidRPr="00F72F72">
        <w:rPr>
          <w:rFonts w:cs="Arial"/>
          <w:sz w:val="18"/>
        </w:rPr>
        <w:tab/>
        <w:t>Nejčastější důvody neúčasti v (dalším) vzdělávání (18–69 let)</w:t>
      </w:r>
      <w:r w:rsidRPr="00F72F72">
        <w:rPr>
          <w:rFonts w:cs="Arial"/>
          <w:sz w:val="18"/>
        </w:rPr>
        <w:tab/>
      </w:r>
      <w:r w:rsidRPr="00F72F72">
        <w:rPr>
          <w:rFonts w:cs="Arial"/>
        </w:rPr>
        <w:tab/>
      </w:r>
      <w:r w:rsidRPr="00F72F72">
        <w:rPr>
          <w:rFonts w:cs="Arial"/>
        </w:rPr>
        <w:tab/>
      </w:r>
      <w:r w:rsidRPr="00F72F72">
        <w:rPr>
          <w:rFonts w:cs="Arial"/>
        </w:rPr>
        <w:tab/>
      </w:r>
      <w:r w:rsidRPr="00F72F72">
        <w:rPr>
          <w:rFonts w:cs="Arial"/>
        </w:rPr>
        <w:tab/>
      </w:r>
      <w:r w:rsidRPr="00F72F72">
        <w:rPr>
          <w:rFonts w:cs="Arial"/>
        </w:rPr>
        <w:tab/>
      </w:r>
      <w:r w:rsidRPr="00F72F72">
        <w:rPr>
          <w:rFonts w:cs="Arial"/>
        </w:rPr>
        <w:tab/>
      </w:r>
    </w:p>
    <w:p w:rsidR="009D4DBE" w:rsidRPr="00F72F72" w:rsidRDefault="009D4DBE" w:rsidP="009D4DBE">
      <w:pPr>
        <w:spacing w:after="0" w:line="240" w:lineRule="auto"/>
        <w:rPr>
          <w:rFonts w:cs="Arial"/>
          <w:b/>
        </w:rPr>
      </w:pPr>
      <w:r w:rsidRPr="00F72F72">
        <w:rPr>
          <w:rFonts w:cs="Arial"/>
          <w:b/>
          <w:color w:val="C00000"/>
        </w:rPr>
        <w:t>Informální učení + četba</w:t>
      </w:r>
      <w:r w:rsidRPr="00F72F72">
        <w:rPr>
          <w:rFonts w:cs="Arial"/>
          <w:b/>
        </w:rPr>
        <w:tab/>
      </w:r>
      <w:r w:rsidRPr="00F72F72">
        <w:rPr>
          <w:rFonts w:cs="Arial"/>
          <w:b/>
        </w:rPr>
        <w:tab/>
      </w:r>
      <w:r w:rsidRPr="00F72F72">
        <w:rPr>
          <w:rFonts w:cs="Arial"/>
          <w:b/>
        </w:rPr>
        <w:tab/>
      </w:r>
      <w:r w:rsidRPr="00F72F72">
        <w:rPr>
          <w:rFonts w:cs="Arial"/>
          <w:b/>
        </w:rPr>
        <w:tab/>
      </w:r>
      <w:r w:rsidRPr="00F72F72">
        <w:rPr>
          <w:rFonts w:cs="Arial"/>
          <w:b/>
        </w:rPr>
        <w:tab/>
      </w:r>
      <w:r w:rsidRPr="00F72F72">
        <w:rPr>
          <w:rFonts w:cs="Arial"/>
          <w:b/>
        </w:rPr>
        <w:tab/>
      </w:r>
    </w:p>
    <w:p w:rsidR="009D4DBE" w:rsidRPr="00F72F72" w:rsidRDefault="009D4DBE" w:rsidP="009D4DBE">
      <w:pPr>
        <w:spacing w:after="0" w:line="240" w:lineRule="auto"/>
        <w:rPr>
          <w:rFonts w:cs="Arial"/>
          <w:sz w:val="18"/>
        </w:rPr>
      </w:pPr>
      <w:r w:rsidRPr="00F72F72">
        <w:rPr>
          <w:rFonts w:cs="Arial"/>
          <w:sz w:val="18"/>
        </w:rPr>
        <w:t>Tabulka č. 20</w:t>
      </w:r>
      <w:r w:rsidRPr="00F72F72">
        <w:rPr>
          <w:rFonts w:cs="Arial"/>
          <w:sz w:val="18"/>
        </w:rPr>
        <w:tab/>
        <w:t>Účast v informálním učení celkem a dle zdroje (18–69 let)</w:t>
      </w:r>
      <w:r w:rsidRPr="00F72F72">
        <w:rPr>
          <w:rFonts w:cs="Arial"/>
          <w:sz w:val="18"/>
        </w:rPr>
        <w:tab/>
      </w:r>
      <w:r w:rsidRPr="00F72F72">
        <w:rPr>
          <w:rFonts w:cs="Arial"/>
          <w:sz w:val="18"/>
        </w:rPr>
        <w:tab/>
      </w:r>
      <w:r w:rsidRPr="00F72F72">
        <w:rPr>
          <w:rFonts w:cs="Arial"/>
          <w:sz w:val="18"/>
        </w:rPr>
        <w:tab/>
      </w:r>
      <w:r w:rsidRPr="00F72F72">
        <w:rPr>
          <w:rFonts w:cs="Arial"/>
          <w:sz w:val="18"/>
        </w:rPr>
        <w:tab/>
      </w:r>
      <w:r w:rsidRPr="00F72F72">
        <w:rPr>
          <w:rFonts w:cs="Arial"/>
          <w:sz w:val="18"/>
        </w:rPr>
        <w:tab/>
      </w:r>
    </w:p>
    <w:p w:rsidR="009D4DBE" w:rsidRDefault="009D4DBE" w:rsidP="009D4DBE">
      <w:pPr>
        <w:spacing w:after="0" w:line="240" w:lineRule="auto"/>
        <w:rPr>
          <w:rFonts w:cs="Arial"/>
          <w:sz w:val="18"/>
        </w:rPr>
      </w:pPr>
      <w:r w:rsidRPr="00F72F72">
        <w:rPr>
          <w:rFonts w:cs="Arial"/>
          <w:sz w:val="18"/>
        </w:rPr>
        <w:t>Tabulka č. 21</w:t>
      </w:r>
      <w:r w:rsidRPr="00F72F72">
        <w:rPr>
          <w:rFonts w:cs="Arial"/>
          <w:sz w:val="18"/>
        </w:rPr>
        <w:tab/>
        <w:t>Četba knih a novin (18–69 let)</w:t>
      </w:r>
    </w:p>
    <w:p w:rsidR="009D4DBE" w:rsidRPr="00F72F72" w:rsidRDefault="009D4DBE" w:rsidP="009D4DBE">
      <w:pPr>
        <w:spacing w:after="0" w:line="240" w:lineRule="auto"/>
        <w:rPr>
          <w:rFonts w:cs="Arial"/>
        </w:rPr>
      </w:pPr>
      <w:r w:rsidRPr="00F72F72">
        <w:rPr>
          <w:rFonts w:cs="Arial"/>
        </w:rPr>
        <w:tab/>
      </w:r>
      <w:r w:rsidRPr="00F72F72">
        <w:rPr>
          <w:rFonts w:cs="Arial"/>
        </w:rPr>
        <w:tab/>
      </w:r>
      <w:r w:rsidRPr="00F72F72">
        <w:rPr>
          <w:rFonts w:cs="Arial"/>
        </w:rPr>
        <w:tab/>
      </w:r>
      <w:r w:rsidRPr="00F72F72">
        <w:rPr>
          <w:rFonts w:cs="Arial"/>
        </w:rPr>
        <w:tab/>
      </w:r>
      <w:r w:rsidRPr="00F72F72">
        <w:rPr>
          <w:rFonts w:cs="Arial"/>
        </w:rPr>
        <w:tab/>
      </w:r>
      <w:r w:rsidRPr="00F72F72">
        <w:rPr>
          <w:rFonts w:cs="Arial"/>
        </w:rPr>
        <w:tab/>
      </w:r>
    </w:p>
    <w:p w:rsidR="009D4DBE" w:rsidRPr="00F72F72" w:rsidRDefault="009D4DBE" w:rsidP="009D4DBE">
      <w:pPr>
        <w:spacing w:after="0" w:line="240" w:lineRule="auto"/>
        <w:rPr>
          <w:rFonts w:cs="Arial"/>
          <w:b/>
          <w:color w:val="C00000"/>
        </w:rPr>
      </w:pPr>
      <w:r w:rsidRPr="00F72F72">
        <w:rPr>
          <w:rFonts w:cs="Arial"/>
          <w:b/>
          <w:color w:val="C00000"/>
        </w:rPr>
        <w:t>Znalost cizích jazyků v populaci</w:t>
      </w:r>
      <w:r w:rsidRPr="00F72F72">
        <w:rPr>
          <w:rFonts w:cs="Arial"/>
          <w:b/>
          <w:color w:val="C00000"/>
        </w:rPr>
        <w:tab/>
      </w:r>
      <w:r w:rsidRPr="00F72F72">
        <w:rPr>
          <w:rFonts w:cs="Arial"/>
          <w:b/>
          <w:color w:val="C00000"/>
        </w:rPr>
        <w:tab/>
      </w:r>
      <w:r w:rsidRPr="00F72F72">
        <w:rPr>
          <w:rFonts w:cs="Arial"/>
          <w:b/>
          <w:color w:val="C00000"/>
        </w:rPr>
        <w:tab/>
      </w:r>
      <w:r w:rsidRPr="00F72F72">
        <w:rPr>
          <w:rFonts w:cs="Arial"/>
          <w:b/>
          <w:color w:val="C00000"/>
        </w:rPr>
        <w:tab/>
      </w:r>
      <w:r w:rsidRPr="00F72F72">
        <w:rPr>
          <w:rFonts w:cs="Arial"/>
          <w:b/>
          <w:color w:val="C00000"/>
        </w:rPr>
        <w:tab/>
      </w:r>
      <w:r w:rsidRPr="00F72F72">
        <w:rPr>
          <w:rFonts w:cs="Arial"/>
          <w:b/>
          <w:color w:val="C00000"/>
        </w:rPr>
        <w:tab/>
      </w:r>
    </w:p>
    <w:p w:rsidR="009D4DBE" w:rsidRPr="00F72F72" w:rsidRDefault="009D4DBE" w:rsidP="009D4DBE">
      <w:pPr>
        <w:spacing w:after="0" w:line="240" w:lineRule="auto"/>
        <w:rPr>
          <w:rFonts w:cs="Arial"/>
          <w:sz w:val="18"/>
        </w:rPr>
      </w:pPr>
      <w:r w:rsidRPr="00F72F72">
        <w:rPr>
          <w:rFonts w:cs="Arial"/>
          <w:sz w:val="18"/>
        </w:rPr>
        <w:t>Tabulka č. 22</w:t>
      </w:r>
      <w:r w:rsidRPr="00F72F72">
        <w:rPr>
          <w:rFonts w:cs="Arial"/>
          <w:sz w:val="18"/>
        </w:rPr>
        <w:tab/>
        <w:t>Znalost cizích jazyků – základní přehled (18–69 let)</w:t>
      </w:r>
      <w:r w:rsidRPr="00F72F72">
        <w:rPr>
          <w:rFonts w:cs="Arial"/>
          <w:sz w:val="18"/>
        </w:rPr>
        <w:tab/>
      </w:r>
      <w:r w:rsidRPr="00F72F72">
        <w:rPr>
          <w:rFonts w:cs="Arial"/>
          <w:sz w:val="18"/>
        </w:rPr>
        <w:tab/>
      </w:r>
      <w:r w:rsidRPr="00F72F72">
        <w:rPr>
          <w:rFonts w:cs="Arial"/>
          <w:sz w:val="18"/>
        </w:rPr>
        <w:tab/>
      </w:r>
      <w:r w:rsidRPr="00F72F72">
        <w:rPr>
          <w:rFonts w:cs="Arial"/>
          <w:sz w:val="18"/>
        </w:rPr>
        <w:tab/>
      </w:r>
      <w:r w:rsidRPr="00F72F72">
        <w:rPr>
          <w:rFonts w:cs="Arial"/>
          <w:sz w:val="18"/>
        </w:rPr>
        <w:tab/>
      </w:r>
    </w:p>
    <w:p w:rsidR="009D4DBE" w:rsidRPr="00F72F72" w:rsidRDefault="009D4DBE" w:rsidP="009D4DBE">
      <w:pPr>
        <w:spacing w:after="0" w:line="240" w:lineRule="auto"/>
        <w:rPr>
          <w:rFonts w:cs="Arial"/>
        </w:rPr>
      </w:pPr>
      <w:r w:rsidRPr="00F72F72">
        <w:rPr>
          <w:rFonts w:cs="Arial"/>
          <w:sz w:val="18"/>
        </w:rPr>
        <w:t>Tabulka č. 23</w:t>
      </w:r>
      <w:r w:rsidRPr="00F72F72">
        <w:rPr>
          <w:rFonts w:cs="Arial"/>
          <w:sz w:val="18"/>
        </w:rPr>
        <w:tab/>
        <w:t>Úroveň znalostí vybraných cizích jazyků v populaci (18–69 let)</w:t>
      </w:r>
      <w:r w:rsidRPr="00F72F72">
        <w:rPr>
          <w:rFonts w:cs="Arial"/>
        </w:rPr>
        <w:tab/>
      </w:r>
      <w:r w:rsidRPr="00F72F72">
        <w:rPr>
          <w:rFonts w:cs="Arial"/>
        </w:rPr>
        <w:tab/>
      </w:r>
      <w:r w:rsidRPr="00F72F72">
        <w:rPr>
          <w:rFonts w:cs="Arial"/>
        </w:rPr>
        <w:tab/>
      </w:r>
      <w:r w:rsidRPr="00F72F72">
        <w:rPr>
          <w:rFonts w:cs="Arial"/>
        </w:rPr>
        <w:tab/>
      </w:r>
      <w:r w:rsidRPr="00F72F72">
        <w:rPr>
          <w:rFonts w:cs="Arial"/>
        </w:rPr>
        <w:tab/>
      </w:r>
      <w:r w:rsidRPr="00F72F72">
        <w:rPr>
          <w:rFonts w:cs="Arial"/>
        </w:rPr>
        <w:tab/>
      </w:r>
    </w:p>
    <w:p w:rsidR="009D4DBE" w:rsidRPr="00F72F72" w:rsidRDefault="009D4DBE" w:rsidP="009D4DBE">
      <w:pPr>
        <w:spacing w:after="0" w:line="240" w:lineRule="auto"/>
        <w:rPr>
          <w:rFonts w:cs="Arial"/>
          <w:b/>
          <w:color w:val="C00000"/>
        </w:rPr>
      </w:pPr>
      <w:r w:rsidRPr="00F72F72">
        <w:rPr>
          <w:rFonts w:cs="Arial"/>
          <w:b/>
          <w:color w:val="C00000"/>
        </w:rPr>
        <w:t>Mezinárodní srovnání</w:t>
      </w:r>
      <w:r w:rsidRPr="00F72F72">
        <w:rPr>
          <w:rFonts w:cs="Arial"/>
          <w:b/>
          <w:color w:val="C00000"/>
        </w:rPr>
        <w:tab/>
      </w:r>
      <w:r w:rsidRPr="00F72F72">
        <w:rPr>
          <w:rFonts w:cs="Arial"/>
          <w:b/>
          <w:color w:val="C00000"/>
        </w:rPr>
        <w:tab/>
      </w:r>
      <w:r w:rsidRPr="00F72F72">
        <w:rPr>
          <w:rFonts w:cs="Arial"/>
          <w:b/>
          <w:color w:val="C00000"/>
        </w:rPr>
        <w:tab/>
      </w:r>
      <w:r w:rsidRPr="00F72F72">
        <w:rPr>
          <w:rFonts w:cs="Arial"/>
          <w:b/>
          <w:color w:val="C00000"/>
        </w:rPr>
        <w:tab/>
      </w:r>
      <w:r w:rsidRPr="00F72F72">
        <w:rPr>
          <w:rFonts w:cs="Arial"/>
          <w:b/>
          <w:color w:val="C00000"/>
        </w:rPr>
        <w:tab/>
      </w:r>
      <w:r w:rsidRPr="00F72F72">
        <w:rPr>
          <w:rFonts w:cs="Arial"/>
          <w:b/>
          <w:color w:val="C00000"/>
        </w:rPr>
        <w:tab/>
      </w:r>
    </w:p>
    <w:p w:rsidR="009D4DBE" w:rsidRPr="00F72F72" w:rsidRDefault="009D4DBE" w:rsidP="009D4DBE">
      <w:pPr>
        <w:spacing w:after="0" w:line="240" w:lineRule="auto"/>
        <w:rPr>
          <w:rFonts w:cs="Arial"/>
          <w:sz w:val="18"/>
        </w:rPr>
      </w:pPr>
      <w:r w:rsidRPr="00F72F72">
        <w:rPr>
          <w:rFonts w:cs="Arial"/>
          <w:sz w:val="18"/>
        </w:rPr>
        <w:t>Tabulka č. 24</w:t>
      </w:r>
      <w:r w:rsidRPr="00F72F72">
        <w:rPr>
          <w:rFonts w:cs="Arial"/>
          <w:sz w:val="18"/>
        </w:rPr>
        <w:tab/>
        <w:t>Účast a průměrný počet hodin na účastníka strávený formálním vzděláváním za měsíc (25–64 let)</w:t>
      </w:r>
    </w:p>
    <w:p w:rsidR="009D4DBE" w:rsidRPr="00F72F72" w:rsidRDefault="009D4DBE" w:rsidP="009D4DBE">
      <w:pPr>
        <w:spacing w:after="0" w:line="240" w:lineRule="auto"/>
        <w:rPr>
          <w:rFonts w:cs="Arial"/>
          <w:sz w:val="18"/>
        </w:rPr>
      </w:pPr>
      <w:r w:rsidRPr="00F72F72">
        <w:rPr>
          <w:rFonts w:cs="Arial"/>
          <w:sz w:val="18"/>
        </w:rPr>
        <w:t>Tabulka č. 25</w:t>
      </w:r>
      <w:r w:rsidRPr="00F72F72">
        <w:rPr>
          <w:rFonts w:cs="Arial"/>
          <w:sz w:val="18"/>
        </w:rPr>
        <w:tab/>
        <w:t xml:space="preserve">Účast a </w:t>
      </w:r>
      <w:proofErr w:type="spellStart"/>
      <w:r w:rsidRPr="00F72F72">
        <w:rPr>
          <w:rFonts w:cs="Arial"/>
          <w:sz w:val="18"/>
        </w:rPr>
        <w:t>prům</w:t>
      </w:r>
      <w:proofErr w:type="spellEnd"/>
      <w:r>
        <w:rPr>
          <w:rFonts w:cs="Arial"/>
          <w:sz w:val="18"/>
        </w:rPr>
        <w:t>.</w:t>
      </w:r>
      <w:r w:rsidRPr="00F72F72">
        <w:rPr>
          <w:rFonts w:cs="Arial"/>
          <w:sz w:val="18"/>
        </w:rPr>
        <w:t xml:space="preserve"> počet hodin na účastníka strávený </w:t>
      </w:r>
      <w:proofErr w:type="spellStart"/>
      <w:r w:rsidRPr="00F72F72">
        <w:rPr>
          <w:rFonts w:cs="Arial"/>
          <w:sz w:val="18"/>
        </w:rPr>
        <w:t>form</w:t>
      </w:r>
      <w:proofErr w:type="spellEnd"/>
      <w:r>
        <w:rPr>
          <w:rFonts w:cs="Arial"/>
          <w:sz w:val="18"/>
        </w:rPr>
        <w:t>.</w:t>
      </w:r>
      <w:r w:rsidRPr="00F72F72">
        <w:rPr>
          <w:rFonts w:cs="Arial"/>
          <w:sz w:val="18"/>
        </w:rPr>
        <w:t xml:space="preserve"> vzděláváním za </w:t>
      </w:r>
      <w:proofErr w:type="gramStart"/>
      <w:r w:rsidRPr="00F72F72">
        <w:rPr>
          <w:rFonts w:cs="Arial"/>
          <w:sz w:val="18"/>
        </w:rPr>
        <w:t>měs</w:t>
      </w:r>
      <w:r>
        <w:rPr>
          <w:rFonts w:cs="Arial"/>
          <w:sz w:val="18"/>
        </w:rPr>
        <w:t xml:space="preserve">íc </w:t>
      </w:r>
      <w:r w:rsidRPr="00F72F72">
        <w:rPr>
          <w:rFonts w:cs="Arial"/>
          <w:sz w:val="18"/>
        </w:rPr>
        <w:t xml:space="preserve"> – pracující</w:t>
      </w:r>
      <w:proofErr w:type="gramEnd"/>
      <w:r w:rsidRPr="00F72F72">
        <w:rPr>
          <w:rFonts w:cs="Arial"/>
          <w:sz w:val="18"/>
        </w:rPr>
        <w:t xml:space="preserve"> (25–64 let)</w:t>
      </w:r>
    </w:p>
    <w:p w:rsidR="009D4DBE" w:rsidRPr="00F72F72" w:rsidRDefault="009D4DBE" w:rsidP="009D4DBE">
      <w:pPr>
        <w:spacing w:after="0" w:line="240" w:lineRule="auto"/>
        <w:rPr>
          <w:rFonts w:cs="Arial"/>
          <w:sz w:val="18"/>
        </w:rPr>
      </w:pPr>
      <w:r w:rsidRPr="00F72F72">
        <w:rPr>
          <w:rFonts w:cs="Arial"/>
          <w:sz w:val="18"/>
        </w:rPr>
        <w:t>Tabulka č. 26</w:t>
      </w:r>
      <w:r w:rsidRPr="00F72F72">
        <w:rPr>
          <w:rFonts w:cs="Arial"/>
          <w:sz w:val="18"/>
        </w:rPr>
        <w:tab/>
        <w:t>Účast a průměrný počet hodin na účastníka strávený neformálním vzděláváním za rok (25–64 let)</w:t>
      </w:r>
      <w:r w:rsidRPr="00F72F72">
        <w:rPr>
          <w:rFonts w:cs="Arial"/>
          <w:sz w:val="18"/>
        </w:rPr>
        <w:tab/>
      </w:r>
    </w:p>
    <w:p w:rsidR="009D4DBE" w:rsidRDefault="009D4DBE" w:rsidP="009D4DBE">
      <w:pPr>
        <w:spacing w:after="0" w:line="240" w:lineRule="auto"/>
        <w:rPr>
          <w:rFonts w:cs="Arial"/>
          <w:sz w:val="18"/>
        </w:rPr>
      </w:pPr>
      <w:r w:rsidRPr="00F72F72">
        <w:rPr>
          <w:rFonts w:cs="Arial"/>
          <w:sz w:val="18"/>
        </w:rPr>
        <w:t>Tabulka č. 27</w:t>
      </w:r>
      <w:r w:rsidRPr="00F72F72">
        <w:rPr>
          <w:rFonts w:cs="Arial"/>
          <w:sz w:val="18"/>
        </w:rPr>
        <w:tab/>
        <w:t>Podíl pracovně a mimopracovně orientovaných aktivit neformál</w:t>
      </w:r>
      <w:r>
        <w:rPr>
          <w:rFonts w:cs="Arial"/>
          <w:sz w:val="18"/>
        </w:rPr>
        <w:t>ního vzdělávání (25–64 let)</w:t>
      </w:r>
    </w:p>
    <w:p w:rsidR="009D4DBE" w:rsidRPr="00F72F72" w:rsidRDefault="009D4DBE" w:rsidP="009D4DBE">
      <w:pPr>
        <w:spacing w:after="0" w:line="240" w:lineRule="auto"/>
        <w:rPr>
          <w:rFonts w:cs="Arial"/>
          <w:sz w:val="18"/>
        </w:rPr>
      </w:pPr>
      <w:r w:rsidRPr="00F72F72">
        <w:rPr>
          <w:rFonts w:cs="Arial"/>
          <w:sz w:val="18"/>
        </w:rPr>
        <w:t>Tabulka č. 28</w:t>
      </w:r>
      <w:r w:rsidRPr="00F72F72">
        <w:rPr>
          <w:rFonts w:cs="Arial"/>
          <w:sz w:val="18"/>
        </w:rPr>
        <w:tab/>
        <w:t>Účast v neformálním vzdělávání dle nejvyššího dosaženého vzdělání (25–64 let)</w:t>
      </w:r>
      <w:r w:rsidRPr="00F72F72">
        <w:rPr>
          <w:rFonts w:cs="Arial"/>
          <w:sz w:val="18"/>
        </w:rPr>
        <w:tab/>
      </w:r>
      <w:r w:rsidRPr="00F72F72">
        <w:rPr>
          <w:rFonts w:cs="Arial"/>
          <w:sz w:val="18"/>
        </w:rPr>
        <w:tab/>
      </w:r>
    </w:p>
    <w:p w:rsidR="009D4DBE" w:rsidRPr="00F72F72" w:rsidRDefault="009D4DBE" w:rsidP="009D4DBE">
      <w:pPr>
        <w:spacing w:after="0" w:line="240" w:lineRule="auto"/>
        <w:rPr>
          <w:rFonts w:cs="Arial"/>
          <w:sz w:val="18"/>
        </w:rPr>
      </w:pPr>
      <w:r w:rsidRPr="00F72F72">
        <w:rPr>
          <w:rFonts w:cs="Arial"/>
          <w:sz w:val="18"/>
        </w:rPr>
        <w:t>Tabulka č. 29</w:t>
      </w:r>
      <w:r w:rsidRPr="00F72F72">
        <w:rPr>
          <w:rFonts w:cs="Arial"/>
          <w:sz w:val="18"/>
        </w:rPr>
        <w:tab/>
        <w:t>Účast v neformálním vzdělávání dle ekonomického postavení (25–64 let)</w:t>
      </w:r>
      <w:r w:rsidRPr="00F72F72">
        <w:rPr>
          <w:rFonts w:cs="Arial"/>
          <w:sz w:val="18"/>
        </w:rPr>
        <w:tab/>
      </w:r>
      <w:r w:rsidRPr="00F72F72">
        <w:rPr>
          <w:rFonts w:cs="Arial"/>
          <w:sz w:val="18"/>
        </w:rPr>
        <w:tab/>
      </w:r>
      <w:r w:rsidRPr="00F72F72">
        <w:rPr>
          <w:rFonts w:cs="Arial"/>
          <w:sz w:val="18"/>
        </w:rPr>
        <w:tab/>
      </w:r>
    </w:p>
    <w:p w:rsidR="009D4DBE" w:rsidRPr="00F72F72" w:rsidRDefault="009D4DBE" w:rsidP="009D4DBE">
      <w:pPr>
        <w:spacing w:after="0" w:line="240" w:lineRule="auto"/>
        <w:rPr>
          <w:rFonts w:cs="Arial"/>
          <w:sz w:val="18"/>
        </w:rPr>
      </w:pPr>
      <w:r w:rsidRPr="00F72F72">
        <w:rPr>
          <w:rFonts w:cs="Arial"/>
          <w:sz w:val="18"/>
        </w:rPr>
        <w:t>Tabulka č. 30</w:t>
      </w:r>
      <w:r w:rsidRPr="00F72F72">
        <w:rPr>
          <w:rFonts w:cs="Arial"/>
          <w:sz w:val="18"/>
        </w:rPr>
        <w:tab/>
        <w:t xml:space="preserve">Účast a </w:t>
      </w:r>
      <w:proofErr w:type="spellStart"/>
      <w:r w:rsidRPr="00F72F72">
        <w:rPr>
          <w:rFonts w:cs="Arial"/>
          <w:sz w:val="18"/>
        </w:rPr>
        <w:t>prům</w:t>
      </w:r>
      <w:proofErr w:type="spellEnd"/>
      <w:r>
        <w:rPr>
          <w:rFonts w:cs="Arial"/>
          <w:sz w:val="18"/>
        </w:rPr>
        <w:t>.</w:t>
      </w:r>
      <w:r w:rsidRPr="00F72F72">
        <w:rPr>
          <w:rFonts w:cs="Arial"/>
          <w:sz w:val="18"/>
        </w:rPr>
        <w:t xml:space="preserve"> počet hodin na účastníka strávený </w:t>
      </w:r>
      <w:proofErr w:type="spellStart"/>
      <w:r w:rsidRPr="00F72F72">
        <w:rPr>
          <w:rFonts w:cs="Arial"/>
          <w:sz w:val="18"/>
        </w:rPr>
        <w:t>neform</w:t>
      </w:r>
      <w:proofErr w:type="spellEnd"/>
      <w:r>
        <w:rPr>
          <w:rFonts w:cs="Arial"/>
          <w:sz w:val="18"/>
        </w:rPr>
        <w:t xml:space="preserve">. vzděláváním za měsíc </w:t>
      </w:r>
      <w:r w:rsidRPr="00F72F72">
        <w:rPr>
          <w:rFonts w:cs="Arial"/>
          <w:sz w:val="18"/>
        </w:rPr>
        <w:t>– pracující (25–64 let)</w:t>
      </w:r>
    </w:p>
    <w:p w:rsidR="009D4DBE" w:rsidRPr="00F72F72" w:rsidRDefault="009D4DBE" w:rsidP="009D4DBE">
      <w:pPr>
        <w:spacing w:after="0" w:line="240" w:lineRule="auto"/>
        <w:rPr>
          <w:rFonts w:cs="Arial"/>
          <w:sz w:val="18"/>
        </w:rPr>
      </w:pPr>
      <w:r w:rsidRPr="00F72F72">
        <w:rPr>
          <w:rFonts w:cs="Arial"/>
          <w:sz w:val="18"/>
        </w:rPr>
        <w:t>Tabulka č. 31</w:t>
      </w:r>
      <w:r w:rsidRPr="00F72F72">
        <w:rPr>
          <w:rFonts w:cs="Arial"/>
          <w:sz w:val="18"/>
        </w:rPr>
        <w:tab/>
        <w:t>Struktura aktivit neformálního vzdělávání dle plátce (25–64 let)</w:t>
      </w:r>
      <w:r w:rsidRPr="00F72F72">
        <w:rPr>
          <w:rFonts w:cs="Arial"/>
          <w:sz w:val="18"/>
        </w:rPr>
        <w:tab/>
      </w:r>
      <w:r w:rsidRPr="00F72F72">
        <w:rPr>
          <w:rFonts w:cs="Arial"/>
          <w:sz w:val="18"/>
        </w:rPr>
        <w:tab/>
      </w:r>
      <w:r w:rsidRPr="00F72F72">
        <w:rPr>
          <w:rFonts w:cs="Arial"/>
          <w:sz w:val="18"/>
        </w:rPr>
        <w:tab/>
      </w:r>
    </w:p>
    <w:p w:rsidR="009D4DBE" w:rsidRPr="00F72F72" w:rsidRDefault="009D4DBE" w:rsidP="009D4DBE">
      <w:pPr>
        <w:spacing w:after="0" w:line="240" w:lineRule="auto"/>
        <w:rPr>
          <w:rFonts w:cs="Arial"/>
          <w:sz w:val="18"/>
        </w:rPr>
      </w:pPr>
      <w:r w:rsidRPr="00F72F72">
        <w:rPr>
          <w:rFonts w:cs="Arial"/>
          <w:sz w:val="18"/>
        </w:rPr>
        <w:t>Tabulka č. 32</w:t>
      </w:r>
      <w:r w:rsidRPr="00F72F72">
        <w:rPr>
          <w:rFonts w:cs="Arial"/>
          <w:sz w:val="18"/>
        </w:rPr>
        <w:tab/>
        <w:t>Účast v pracovně orientovaném neformálním vzdělávání dle plátce (25–64 let)</w:t>
      </w:r>
      <w:r w:rsidRPr="00F72F72">
        <w:rPr>
          <w:rFonts w:cs="Arial"/>
          <w:sz w:val="18"/>
        </w:rPr>
        <w:tab/>
      </w:r>
      <w:r w:rsidRPr="00F72F72">
        <w:rPr>
          <w:rFonts w:cs="Arial"/>
          <w:sz w:val="18"/>
        </w:rPr>
        <w:tab/>
      </w:r>
      <w:r w:rsidRPr="00F72F72">
        <w:rPr>
          <w:rFonts w:cs="Arial"/>
          <w:sz w:val="18"/>
        </w:rPr>
        <w:tab/>
      </w:r>
    </w:p>
    <w:p w:rsidR="009D4DBE" w:rsidRDefault="009D4DBE" w:rsidP="009D4DBE">
      <w:pPr>
        <w:spacing w:after="0" w:line="240" w:lineRule="auto"/>
        <w:rPr>
          <w:rFonts w:cs="Arial"/>
          <w:sz w:val="18"/>
        </w:rPr>
      </w:pPr>
      <w:r w:rsidRPr="00F72F72">
        <w:rPr>
          <w:rFonts w:cs="Arial"/>
          <w:sz w:val="18"/>
        </w:rPr>
        <w:t>Tabulka č. 33</w:t>
      </w:r>
      <w:r w:rsidRPr="00F72F72">
        <w:rPr>
          <w:rFonts w:cs="Arial"/>
          <w:sz w:val="18"/>
        </w:rPr>
        <w:tab/>
        <w:t>Zapojení do vzdělávání a vůle k (dalšímu) zapojení do vzdělávání (25–64 let)</w:t>
      </w:r>
    </w:p>
    <w:p w:rsidR="009D4DBE" w:rsidRDefault="009D4DBE" w:rsidP="009D4DBE">
      <w:pPr>
        <w:rPr>
          <w:rFonts w:cs="Arial"/>
          <w:sz w:val="18"/>
        </w:rPr>
      </w:pPr>
      <w:r>
        <w:rPr>
          <w:rFonts w:cs="Arial"/>
          <w:sz w:val="18"/>
        </w:rPr>
        <w:br w:type="page"/>
      </w:r>
    </w:p>
    <w:p w:rsidR="009D4DBE" w:rsidRPr="00303EBB" w:rsidRDefault="009D4DBE" w:rsidP="009D4DBE">
      <w:pPr>
        <w:spacing w:after="0" w:line="240" w:lineRule="auto"/>
        <w:rPr>
          <w:rFonts w:cs="Arial"/>
          <w:b/>
          <w:color w:val="C00000"/>
          <w:sz w:val="22"/>
        </w:rPr>
      </w:pPr>
      <w:r w:rsidRPr="00303EBB">
        <w:rPr>
          <w:rFonts w:cs="Arial"/>
          <w:b/>
          <w:color w:val="C00000"/>
          <w:sz w:val="22"/>
        </w:rPr>
        <w:lastRenderedPageBreak/>
        <w:t>Vysvětlivky a definice vybraných pojmů</w:t>
      </w:r>
    </w:p>
    <w:p w:rsidR="009D4DBE" w:rsidRPr="00C2717E" w:rsidRDefault="009D4DBE" w:rsidP="009D4DBE">
      <w:pPr>
        <w:spacing w:after="0" w:line="240" w:lineRule="auto"/>
        <w:rPr>
          <w:rFonts w:cs="Arial"/>
        </w:rPr>
      </w:pPr>
    </w:p>
    <w:p w:rsidR="009D4DBE" w:rsidRPr="007E2EFD" w:rsidRDefault="009D4DBE" w:rsidP="009D4DBE">
      <w:pPr>
        <w:spacing w:after="0" w:line="240" w:lineRule="auto"/>
        <w:jc w:val="both"/>
        <w:rPr>
          <w:rFonts w:cs="Arial"/>
        </w:rPr>
      </w:pPr>
      <w:r w:rsidRPr="00C2717E">
        <w:rPr>
          <w:rFonts w:cs="Arial"/>
          <w:b/>
          <w:color w:val="C00000"/>
        </w:rPr>
        <w:t>Průměrná hodnota celkem na osobu (bez ohledu na její účast v neformálním vzdělávání):</w:t>
      </w:r>
      <w:r w:rsidRPr="00C2717E">
        <w:rPr>
          <w:rFonts w:cs="Arial"/>
          <w:color w:val="C00000"/>
        </w:rPr>
        <w:t xml:space="preserve"> </w:t>
      </w:r>
      <w:r w:rsidRPr="00C2717E">
        <w:rPr>
          <w:rFonts w:cs="Arial"/>
        </w:rPr>
        <w:t>sledovaný jev (celkem a ve členění za pracovně a mimopracovně orientované vzdělávání) je přepočítán na osobu (celkem a v populaci vymezené např. v</w:t>
      </w:r>
      <w:r>
        <w:rPr>
          <w:rFonts w:cs="Arial"/>
        </w:rPr>
        <w:t xml:space="preserve">ěkem, ekonomickým postavením). </w:t>
      </w:r>
      <w:r w:rsidRPr="00C2717E">
        <w:rPr>
          <w:rFonts w:cs="Arial"/>
          <w:b/>
          <w:color w:val="C00000"/>
        </w:rPr>
        <w:t>(</w:t>
      </w:r>
      <w:proofErr w:type="gramStart"/>
      <w:r w:rsidRPr="00C2717E">
        <w:rPr>
          <w:rFonts w:cs="Arial"/>
          <w:b/>
          <w:color w:val="C00000"/>
        </w:rPr>
        <w:t>T7</w:t>
      </w:r>
      <w:proofErr w:type="gramEnd"/>
      <w:r w:rsidRPr="00C2717E">
        <w:rPr>
          <w:rFonts w:cs="Arial"/>
          <w:b/>
          <w:color w:val="C00000"/>
        </w:rPr>
        <w:t>–</w:t>
      </w:r>
      <w:proofErr w:type="gramStart"/>
      <w:r w:rsidRPr="00C2717E">
        <w:rPr>
          <w:rFonts w:cs="Arial"/>
          <w:b/>
          <w:color w:val="C00000"/>
        </w:rPr>
        <w:t>T9</w:t>
      </w:r>
      <w:proofErr w:type="gramEnd"/>
      <w:r w:rsidRPr="00C2717E">
        <w:rPr>
          <w:rFonts w:cs="Arial"/>
          <w:b/>
          <w:color w:val="C00000"/>
        </w:rPr>
        <w:t>, T14, T17)</w:t>
      </w:r>
    </w:p>
    <w:p w:rsidR="009D4DBE" w:rsidRPr="00C2717E" w:rsidRDefault="009D4DBE" w:rsidP="009D4DBE">
      <w:pPr>
        <w:spacing w:after="0" w:line="240" w:lineRule="auto"/>
        <w:jc w:val="both"/>
        <w:rPr>
          <w:rFonts w:cs="Arial"/>
        </w:rPr>
      </w:pPr>
    </w:p>
    <w:p w:rsidR="009D4DBE" w:rsidRPr="00C2717E" w:rsidRDefault="009D4DBE" w:rsidP="009D4DBE">
      <w:pPr>
        <w:spacing w:after="0" w:line="240" w:lineRule="auto"/>
        <w:jc w:val="both"/>
        <w:rPr>
          <w:rFonts w:cs="Arial"/>
        </w:rPr>
      </w:pPr>
      <w:r w:rsidRPr="007E2EFD">
        <w:rPr>
          <w:rFonts w:cs="Arial"/>
          <w:b/>
          <w:color w:val="C00000"/>
        </w:rPr>
        <w:t>Průměrná hodnota na účastníka neformálního vzdělávání:</w:t>
      </w:r>
      <w:r w:rsidRPr="00C2717E">
        <w:rPr>
          <w:rFonts w:cs="Arial"/>
        </w:rPr>
        <w:t xml:space="preserve"> sledovaný jev (celkem a ve členění </w:t>
      </w:r>
      <w:r>
        <w:rPr>
          <w:rFonts w:cs="Arial"/>
        </w:rPr>
        <w:t>za </w:t>
      </w:r>
      <w:r w:rsidRPr="00C2717E">
        <w:rPr>
          <w:rFonts w:cs="Arial"/>
        </w:rPr>
        <w:t xml:space="preserve">pracovně a mimopracovně orientované vzdělávání) je přepočítán pouze na účastníky neformálního vzdělávání (celkem a v populaci vymezené např. věkem, ekonomickým postavením). </w:t>
      </w:r>
      <w:r w:rsidRPr="00783974">
        <w:rPr>
          <w:rFonts w:cs="Arial"/>
          <w:b/>
          <w:color w:val="C00000"/>
        </w:rPr>
        <w:t>(</w:t>
      </w:r>
      <w:proofErr w:type="gramStart"/>
      <w:r w:rsidRPr="00783974">
        <w:rPr>
          <w:rFonts w:cs="Arial"/>
          <w:b/>
          <w:color w:val="C00000"/>
        </w:rPr>
        <w:t>T7</w:t>
      </w:r>
      <w:proofErr w:type="gramEnd"/>
      <w:r w:rsidRPr="00783974">
        <w:rPr>
          <w:rFonts w:cs="Arial"/>
          <w:b/>
          <w:color w:val="C00000"/>
        </w:rPr>
        <w:t>–</w:t>
      </w:r>
      <w:proofErr w:type="gramStart"/>
      <w:r w:rsidRPr="00783974">
        <w:rPr>
          <w:rFonts w:cs="Arial"/>
          <w:b/>
          <w:color w:val="C00000"/>
        </w:rPr>
        <w:t>T9</w:t>
      </w:r>
      <w:proofErr w:type="gramEnd"/>
      <w:r w:rsidRPr="00783974">
        <w:rPr>
          <w:rFonts w:cs="Arial"/>
          <w:b/>
          <w:color w:val="C00000"/>
        </w:rPr>
        <w:t>, T14, T17)</w:t>
      </w:r>
    </w:p>
    <w:p w:rsidR="009D4DBE" w:rsidRPr="00C2717E" w:rsidRDefault="009D4DBE" w:rsidP="009D4DBE">
      <w:pPr>
        <w:spacing w:after="0" w:line="240" w:lineRule="auto"/>
        <w:jc w:val="both"/>
        <w:rPr>
          <w:rFonts w:cs="Arial"/>
        </w:rPr>
      </w:pPr>
    </w:p>
    <w:p w:rsidR="009D4DBE" w:rsidRPr="00C2717E" w:rsidRDefault="009D4DBE" w:rsidP="009D4DBE">
      <w:pPr>
        <w:spacing w:after="0" w:line="240" w:lineRule="auto"/>
        <w:jc w:val="both"/>
        <w:rPr>
          <w:rFonts w:cs="Arial"/>
        </w:rPr>
      </w:pPr>
      <w:r w:rsidRPr="00783974">
        <w:rPr>
          <w:rFonts w:cs="Arial"/>
          <w:b/>
          <w:color w:val="C00000"/>
        </w:rPr>
        <w:t>Formální vzdělávání</w:t>
      </w:r>
      <w:r w:rsidRPr="00C2717E">
        <w:rPr>
          <w:rFonts w:cs="Arial"/>
        </w:rPr>
        <w:t xml:space="preserve"> je upraveno právními předpisy a probíhá v akreditovaných vzdělávacích institucích, zejm</w:t>
      </w:r>
      <w:r w:rsidR="00256DD2">
        <w:rPr>
          <w:rFonts w:cs="Arial"/>
        </w:rPr>
        <w:t>éna</w:t>
      </w:r>
      <w:r w:rsidRPr="00C2717E">
        <w:rPr>
          <w:rFonts w:cs="Arial"/>
        </w:rPr>
        <w:t xml:space="preserve"> ve školách, ať už jako počáteční vzdělávání v dětském a raně dospělém věku či v rámci celoživotního vzdělávání jako další vzdělávání dospělých. Zahrnuje navazující stupně vzdělávání (základní, střední </w:t>
      </w:r>
      <w:r>
        <w:rPr>
          <w:rFonts w:cs="Arial"/>
        </w:rPr>
        <w:t>a terciární</w:t>
      </w:r>
      <w:r w:rsidRPr="00C2717E">
        <w:rPr>
          <w:rFonts w:cs="Arial"/>
        </w:rPr>
        <w:t xml:space="preserve">). Výsledkem úspěšně ukončeného formálního vzdělávání musí být dosažení určitého stupně vzdělání (spojené s udělením konkrétního osvědčení – výučního listu, maturitního vysvědčení, vysokoškolského diplomu apod.) uznávaného v rámci legislativně vymezené školské soustavy. </w:t>
      </w:r>
    </w:p>
    <w:p w:rsidR="009D4DBE" w:rsidRPr="00783974" w:rsidRDefault="009D4DBE" w:rsidP="009D4DBE">
      <w:pPr>
        <w:spacing w:after="0" w:line="240" w:lineRule="auto"/>
        <w:jc w:val="both"/>
        <w:rPr>
          <w:rFonts w:cs="Arial"/>
          <w:b/>
        </w:rPr>
      </w:pPr>
      <w:r w:rsidRPr="00783974">
        <w:rPr>
          <w:rFonts w:cs="Arial"/>
          <w:b/>
          <w:color w:val="C00000"/>
        </w:rPr>
        <w:t xml:space="preserve">(T1, T2, T18, </w:t>
      </w:r>
      <w:proofErr w:type="gramStart"/>
      <w:r w:rsidRPr="00783974">
        <w:rPr>
          <w:rFonts w:cs="Arial"/>
          <w:b/>
          <w:color w:val="C00000"/>
        </w:rPr>
        <w:t>T24</w:t>
      </w:r>
      <w:proofErr w:type="gramEnd"/>
      <w:r w:rsidRPr="00783974">
        <w:rPr>
          <w:rFonts w:cs="Arial"/>
          <w:b/>
          <w:color w:val="C00000"/>
        </w:rPr>
        <w:t>–</w:t>
      </w:r>
      <w:proofErr w:type="gramStart"/>
      <w:r w:rsidRPr="00783974">
        <w:rPr>
          <w:rFonts w:cs="Arial"/>
          <w:b/>
          <w:color w:val="C00000"/>
        </w:rPr>
        <w:t>T25</w:t>
      </w:r>
      <w:proofErr w:type="gramEnd"/>
      <w:r w:rsidRPr="00783974">
        <w:rPr>
          <w:rFonts w:cs="Arial"/>
          <w:b/>
          <w:color w:val="C00000"/>
        </w:rPr>
        <w:t>)</w:t>
      </w:r>
    </w:p>
    <w:p w:rsidR="009D4DBE" w:rsidRPr="00C2717E" w:rsidRDefault="009D4DBE" w:rsidP="009D4DBE">
      <w:pPr>
        <w:spacing w:after="0" w:line="240" w:lineRule="auto"/>
        <w:jc w:val="both"/>
        <w:rPr>
          <w:rFonts w:cs="Arial"/>
        </w:rPr>
      </w:pPr>
    </w:p>
    <w:p w:rsidR="009D4DBE" w:rsidRPr="00C2717E" w:rsidRDefault="009D4DBE" w:rsidP="009D4DBE">
      <w:pPr>
        <w:spacing w:after="0" w:line="240" w:lineRule="auto"/>
        <w:jc w:val="both"/>
        <w:rPr>
          <w:rFonts w:cs="Arial"/>
        </w:rPr>
      </w:pPr>
      <w:r w:rsidRPr="00783974">
        <w:rPr>
          <w:rFonts w:cs="Arial"/>
          <w:b/>
          <w:color w:val="C00000"/>
        </w:rPr>
        <w:t>Neformální vzdělávání</w:t>
      </w:r>
      <w:r w:rsidRPr="00783974">
        <w:rPr>
          <w:rFonts w:cs="Arial"/>
          <w:color w:val="C00000"/>
        </w:rPr>
        <w:t xml:space="preserve"> </w:t>
      </w:r>
      <w:r w:rsidRPr="00C2717E">
        <w:rPr>
          <w:rFonts w:cs="Arial"/>
        </w:rPr>
        <w:t>je organizované, probíhá za přítomnosti vzdělávací autority (učitele, odborného lektora, zaškoleného vedoucího apod.) a přitom nevede k získání určitého stupně vzdělání ve formální školské soustavě. Do neformálního vzdělávání zahrnujeme široké spektrum aktivit poskytovaných v</w:t>
      </w:r>
      <w:r>
        <w:rPr>
          <w:rFonts w:cs="Arial"/>
        </w:rPr>
        <w:t> </w:t>
      </w:r>
      <w:r w:rsidRPr="00C2717E">
        <w:rPr>
          <w:rFonts w:cs="Arial"/>
        </w:rPr>
        <w:t>zařízeních zaměstnavatelů, soukromých vzdělávacích institucích, nestátních neziskových organizacích, školách apod., např. různé zájmové i profesně orientované kurzy, krátkodobá školení či přednášky, soukromé lekce, ale i rekvalifikace či vzdělávání zaměstnanců organizované zaměstnavatelem. Zjišťuje se vzdělávání realizované v práci i ve volném čase. Např. jazykové či počítačové kurzy, kurzy autoškoly, kurzy pro manažery, kurzy účetnictví, ale i kurzy vaření, zahradničení nebo kreslení.</w:t>
      </w:r>
      <w:r>
        <w:rPr>
          <w:rFonts w:cs="Arial"/>
        </w:rPr>
        <w:t xml:space="preserve"> </w:t>
      </w:r>
      <w:r w:rsidRPr="00783974">
        <w:rPr>
          <w:rFonts w:cs="Arial"/>
          <w:b/>
          <w:color w:val="C00000"/>
        </w:rPr>
        <w:t>(</w:t>
      </w:r>
      <w:proofErr w:type="gramStart"/>
      <w:r w:rsidRPr="00783974">
        <w:rPr>
          <w:rFonts w:cs="Arial"/>
          <w:b/>
          <w:color w:val="C00000"/>
        </w:rPr>
        <w:t>T3</w:t>
      </w:r>
      <w:proofErr w:type="gramEnd"/>
      <w:r w:rsidRPr="00783974">
        <w:rPr>
          <w:rFonts w:cs="Arial"/>
          <w:b/>
          <w:color w:val="C00000"/>
        </w:rPr>
        <w:t>–</w:t>
      </w:r>
      <w:proofErr w:type="gramStart"/>
      <w:r w:rsidRPr="00783974">
        <w:rPr>
          <w:rFonts w:cs="Arial"/>
          <w:b/>
          <w:color w:val="C00000"/>
        </w:rPr>
        <w:t>T18</w:t>
      </w:r>
      <w:proofErr w:type="gramEnd"/>
      <w:r w:rsidRPr="00783974">
        <w:rPr>
          <w:rFonts w:cs="Arial"/>
          <w:b/>
          <w:color w:val="C00000"/>
        </w:rPr>
        <w:t>, T26–T32)</w:t>
      </w:r>
    </w:p>
    <w:p w:rsidR="009D4DBE" w:rsidRPr="00C2717E" w:rsidRDefault="009D4DBE" w:rsidP="009D4DBE">
      <w:pPr>
        <w:spacing w:after="0" w:line="240" w:lineRule="auto"/>
        <w:jc w:val="both"/>
        <w:rPr>
          <w:rFonts w:cs="Arial"/>
        </w:rPr>
      </w:pPr>
    </w:p>
    <w:p w:rsidR="009D4DBE" w:rsidRPr="00783974" w:rsidRDefault="009D4DBE" w:rsidP="009D4DBE">
      <w:pPr>
        <w:spacing w:after="0" w:line="240" w:lineRule="auto"/>
        <w:jc w:val="both"/>
        <w:rPr>
          <w:rFonts w:cs="Arial"/>
        </w:rPr>
      </w:pPr>
      <w:r w:rsidRPr="00783974">
        <w:rPr>
          <w:rFonts w:cs="Arial"/>
          <w:b/>
          <w:color w:val="C00000"/>
        </w:rPr>
        <w:t>Pracovně orientované neformální vzdělávání</w:t>
      </w:r>
      <w:r w:rsidRPr="00783974">
        <w:rPr>
          <w:rFonts w:cs="Arial"/>
          <w:color w:val="C00000"/>
        </w:rPr>
        <w:t xml:space="preserve"> </w:t>
      </w:r>
      <w:r w:rsidRPr="00C2717E">
        <w:rPr>
          <w:rFonts w:cs="Arial"/>
        </w:rPr>
        <w:t>je relevantní pro současné zaměstnání a/či další kariéru).</w:t>
      </w:r>
      <w:r>
        <w:rPr>
          <w:rFonts w:cs="Arial"/>
        </w:rPr>
        <w:t> </w:t>
      </w:r>
      <w:r w:rsidRPr="00C2717E">
        <w:rPr>
          <w:rFonts w:cs="Arial"/>
        </w:rPr>
        <w:t>Respondent se účastnil vzdělávání za účelem osvojení znalostí a dovedností využitelných především v jeho současné (či budoucí) práci či za účelem zlepšení kariérních vyhlí</w:t>
      </w:r>
      <w:r>
        <w:rPr>
          <w:rFonts w:cs="Arial"/>
        </w:rPr>
        <w:t xml:space="preserve">dek a postavení na trhu práce. </w:t>
      </w:r>
      <w:r w:rsidRPr="00783974">
        <w:rPr>
          <w:rFonts w:cs="Arial"/>
          <w:b/>
          <w:color w:val="C00000"/>
        </w:rPr>
        <w:t xml:space="preserve">(T3, </w:t>
      </w:r>
      <w:proofErr w:type="gramStart"/>
      <w:r w:rsidRPr="00783974">
        <w:rPr>
          <w:rFonts w:cs="Arial"/>
          <w:b/>
          <w:color w:val="C00000"/>
        </w:rPr>
        <w:t>T5</w:t>
      </w:r>
      <w:proofErr w:type="gramEnd"/>
      <w:r w:rsidRPr="00783974">
        <w:rPr>
          <w:rFonts w:cs="Arial"/>
          <w:b/>
          <w:color w:val="C00000"/>
        </w:rPr>
        <w:t>–</w:t>
      </w:r>
      <w:proofErr w:type="gramStart"/>
      <w:r w:rsidRPr="00783974">
        <w:rPr>
          <w:rFonts w:cs="Arial"/>
          <w:b/>
          <w:color w:val="C00000"/>
        </w:rPr>
        <w:t>T17</w:t>
      </w:r>
      <w:proofErr w:type="gramEnd"/>
      <w:r w:rsidRPr="00783974">
        <w:rPr>
          <w:rFonts w:cs="Arial"/>
          <w:b/>
          <w:color w:val="C00000"/>
        </w:rPr>
        <w:t>, T27, T31, T32)</w:t>
      </w:r>
    </w:p>
    <w:p w:rsidR="009D4DBE" w:rsidRPr="00C2717E" w:rsidRDefault="009D4DBE" w:rsidP="009D4DBE">
      <w:pPr>
        <w:spacing w:after="0" w:line="240" w:lineRule="auto"/>
        <w:jc w:val="both"/>
        <w:rPr>
          <w:rFonts w:cs="Arial"/>
        </w:rPr>
      </w:pPr>
    </w:p>
    <w:p w:rsidR="009D4DBE" w:rsidRPr="00C2717E" w:rsidRDefault="009D4DBE" w:rsidP="009D4DBE">
      <w:pPr>
        <w:spacing w:after="0" w:line="240" w:lineRule="auto"/>
        <w:jc w:val="both"/>
        <w:rPr>
          <w:rFonts w:cs="Arial"/>
        </w:rPr>
      </w:pPr>
      <w:r w:rsidRPr="00783974">
        <w:rPr>
          <w:rFonts w:cs="Arial"/>
          <w:b/>
          <w:color w:val="C00000"/>
        </w:rPr>
        <w:t>Mimopracovně orientované neformální vzdělávání (soukromé):</w:t>
      </w:r>
      <w:r w:rsidRPr="00C2717E">
        <w:rPr>
          <w:rFonts w:cs="Arial"/>
        </w:rPr>
        <w:t xml:space="preserve"> osvojené znalosti a dovednosti jsou využívány především při mimopracovních činnostech pro osobní a společenský rozvoj, rekreaci, práci pro</w:t>
      </w:r>
      <w:r>
        <w:rPr>
          <w:rFonts w:cs="Arial"/>
        </w:rPr>
        <w:t> </w:t>
      </w:r>
      <w:r w:rsidRPr="00C2717E">
        <w:rPr>
          <w:rFonts w:cs="Arial"/>
        </w:rPr>
        <w:t xml:space="preserve">komunitu apod. Může se jednat o nejrůznější zájmové a volnočasové aktivity, které nemají přímou souvislost s pracovními úkoly respondenta. </w:t>
      </w:r>
      <w:r w:rsidRPr="00783974">
        <w:rPr>
          <w:rFonts w:cs="Arial"/>
          <w:b/>
          <w:color w:val="C00000"/>
        </w:rPr>
        <w:t xml:space="preserve">(T3, </w:t>
      </w:r>
      <w:proofErr w:type="gramStart"/>
      <w:r w:rsidRPr="00783974">
        <w:rPr>
          <w:rFonts w:cs="Arial"/>
          <w:b/>
          <w:color w:val="C00000"/>
        </w:rPr>
        <w:t>T5</w:t>
      </w:r>
      <w:proofErr w:type="gramEnd"/>
      <w:r w:rsidRPr="00783974">
        <w:rPr>
          <w:rFonts w:cs="Arial"/>
          <w:b/>
          <w:color w:val="C00000"/>
        </w:rPr>
        <w:t>–</w:t>
      </w:r>
      <w:proofErr w:type="gramStart"/>
      <w:r w:rsidRPr="00783974">
        <w:rPr>
          <w:rFonts w:cs="Arial"/>
          <w:b/>
          <w:color w:val="C00000"/>
        </w:rPr>
        <w:t>T15</w:t>
      </w:r>
      <w:proofErr w:type="gramEnd"/>
      <w:r w:rsidRPr="00783974">
        <w:rPr>
          <w:rFonts w:cs="Arial"/>
          <w:b/>
          <w:color w:val="C00000"/>
        </w:rPr>
        <w:t>, T17, T27, T31)</w:t>
      </w:r>
    </w:p>
    <w:p w:rsidR="009D4DBE" w:rsidRPr="00C2717E" w:rsidRDefault="009D4DBE" w:rsidP="009D4DBE">
      <w:pPr>
        <w:spacing w:after="0" w:line="240" w:lineRule="auto"/>
        <w:jc w:val="both"/>
        <w:rPr>
          <w:rFonts w:cs="Arial"/>
        </w:rPr>
      </w:pPr>
    </w:p>
    <w:p w:rsidR="009D4DBE" w:rsidRPr="00C2717E" w:rsidRDefault="009D4DBE" w:rsidP="009D4DBE">
      <w:pPr>
        <w:spacing w:after="0" w:line="240" w:lineRule="auto"/>
        <w:jc w:val="both"/>
        <w:rPr>
          <w:rFonts w:cs="Arial"/>
        </w:rPr>
      </w:pPr>
      <w:r w:rsidRPr="00783974">
        <w:rPr>
          <w:rFonts w:cs="Arial"/>
          <w:b/>
          <w:color w:val="C00000"/>
        </w:rPr>
        <w:t>Délka trvání aktivit formálního vzdělávání:</w:t>
      </w:r>
      <w:r w:rsidRPr="00C2717E">
        <w:rPr>
          <w:rFonts w:cs="Arial"/>
        </w:rPr>
        <w:t xml:space="preserve"> respondent uvedl/odhadl celkový počet hodin věnovaných výuce v poslední aktivitě formálního vzdělávání za posledních 12 měsíců. </w:t>
      </w:r>
      <w:r w:rsidRPr="00783974">
        <w:rPr>
          <w:rFonts w:cs="Arial"/>
          <w:b/>
          <w:color w:val="C00000"/>
        </w:rPr>
        <w:t>(T24, T25)</w:t>
      </w:r>
    </w:p>
    <w:p w:rsidR="009D4DBE" w:rsidRPr="00C2717E" w:rsidRDefault="009D4DBE" w:rsidP="009D4DBE">
      <w:pPr>
        <w:spacing w:after="0" w:line="240" w:lineRule="auto"/>
        <w:jc w:val="both"/>
        <w:rPr>
          <w:rFonts w:cs="Arial"/>
        </w:rPr>
      </w:pPr>
    </w:p>
    <w:p w:rsidR="009D4DBE" w:rsidRPr="00C2717E" w:rsidRDefault="009D4DBE" w:rsidP="009D4DBE">
      <w:pPr>
        <w:spacing w:after="0" w:line="240" w:lineRule="auto"/>
        <w:jc w:val="both"/>
        <w:rPr>
          <w:rFonts w:cs="Arial"/>
        </w:rPr>
      </w:pPr>
      <w:r w:rsidRPr="00783974">
        <w:rPr>
          <w:rFonts w:cs="Arial"/>
          <w:b/>
          <w:color w:val="C00000"/>
        </w:rPr>
        <w:t>Délka trvání aktivit neformálního vzdělávání:</w:t>
      </w:r>
      <w:r w:rsidRPr="00C2717E">
        <w:rPr>
          <w:rFonts w:cs="Arial"/>
        </w:rPr>
        <w:t xml:space="preserve"> respondent uvedl/odhadl celkový počet hodin věnovaných výuce za posledních 12 měsíců. Zjišťuje se pouze počet hodin, kterých se respondent opravdu zúčastnil. Do</w:t>
      </w:r>
      <w:r>
        <w:rPr>
          <w:rFonts w:cs="Arial"/>
        </w:rPr>
        <w:t> </w:t>
      </w:r>
      <w:r w:rsidRPr="00C2717E">
        <w:rPr>
          <w:rFonts w:cs="Arial"/>
        </w:rPr>
        <w:t xml:space="preserve">celkového počtu hodin se nezapočítává domácí příprava, plnění domácích úkolů, samostudium apod., započítává se pouze výuka. </w:t>
      </w:r>
      <w:r w:rsidRPr="00783974">
        <w:rPr>
          <w:rFonts w:cs="Arial"/>
          <w:b/>
          <w:color w:val="C00000"/>
        </w:rPr>
        <w:t>(T8, T14, T17, T26, T30)</w:t>
      </w:r>
    </w:p>
    <w:p w:rsidR="009D4DBE" w:rsidRPr="00C2717E" w:rsidRDefault="009D4DBE" w:rsidP="009D4DBE">
      <w:pPr>
        <w:spacing w:after="0" w:line="240" w:lineRule="auto"/>
        <w:jc w:val="both"/>
        <w:rPr>
          <w:rFonts w:cs="Arial"/>
        </w:rPr>
      </w:pPr>
    </w:p>
    <w:p w:rsidR="009D4DBE" w:rsidRPr="00C2717E" w:rsidRDefault="009D4DBE" w:rsidP="009D4DBE">
      <w:pPr>
        <w:spacing w:after="0" w:line="240" w:lineRule="auto"/>
        <w:jc w:val="both"/>
        <w:rPr>
          <w:rFonts w:cs="Arial"/>
        </w:rPr>
      </w:pPr>
      <w:r w:rsidRPr="00783974">
        <w:rPr>
          <w:rFonts w:cs="Arial"/>
          <w:b/>
          <w:color w:val="C00000"/>
        </w:rPr>
        <w:t>Osobní náklady (tj. náklady hrazené účastníkem) na neformální vzdělávání</w:t>
      </w:r>
      <w:r w:rsidRPr="00783974">
        <w:rPr>
          <w:rFonts w:cs="Arial"/>
          <w:color w:val="C00000"/>
        </w:rPr>
        <w:t xml:space="preserve"> </w:t>
      </w:r>
      <w:r w:rsidRPr="00C2717E">
        <w:rPr>
          <w:rFonts w:cs="Arial"/>
        </w:rPr>
        <w:t>zahrnují náklady hrazené účast</w:t>
      </w:r>
      <w:r>
        <w:rPr>
          <w:rFonts w:cs="Arial"/>
        </w:rPr>
        <w:t>n</w:t>
      </w:r>
      <w:r w:rsidRPr="00C2717E">
        <w:rPr>
          <w:rFonts w:cs="Arial"/>
        </w:rPr>
        <w:t xml:space="preserve">íkem či jeho rodinnými příslušníky. </w:t>
      </w:r>
      <w:r w:rsidRPr="00783974">
        <w:rPr>
          <w:rFonts w:cs="Arial"/>
          <w:b/>
          <w:color w:val="C00000"/>
        </w:rPr>
        <w:t>(T9)</w:t>
      </w:r>
    </w:p>
    <w:p w:rsidR="009D4DBE" w:rsidRPr="00C2717E" w:rsidRDefault="009D4DBE" w:rsidP="009D4DBE">
      <w:pPr>
        <w:spacing w:after="0" w:line="240" w:lineRule="auto"/>
        <w:jc w:val="both"/>
        <w:rPr>
          <w:rFonts w:cs="Arial"/>
        </w:rPr>
      </w:pPr>
    </w:p>
    <w:p w:rsidR="009D4DBE" w:rsidRPr="00C2717E" w:rsidRDefault="009D4DBE" w:rsidP="009D4DBE">
      <w:pPr>
        <w:spacing w:after="0" w:line="240" w:lineRule="auto"/>
        <w:jc w:val="both"/>
        <w:rPr>
          <w:rFonts w:cs="Arial"/>
        </w:rPr>
      </w:pPr>
      <w:r w:rsidRPr="00783974">
        <w:rPr>
          <w:rFonts w:cs="Arial"/>
          <w:b/>
          <w:color w:val="C00000"/>
        </w:rPr>
        <w:t>Pracující</w:t>
      </w:r>
      <w:r w:rsidRPr="00C2717E">
        <w:rPr>
          <w:rFonts w:cs="Arial"/>
        </w:rPr>
        <w:t xml:space="preserve"> mj. zahrnuje pomáhající rodinné příslušníky, pracující ve zkušební době, na</w:t>
      </w:r>
      <w:r>
        <w:rPr>
          <w:rFonts w:cs="Arial"/>
        </w:rPr>
        <w:t xml:space="preserve"> stážích, </w:t>
      </w:r>
      <w:r w:rsidRPr="00C2717E">
        <w:rPr>
          <w:rFonts w:cs="Arial"/>
        </w:rPr>
        <w:t>v</w:t>
      </w:r>
      <w:r>
        <w:rPr>
          <w:rFonts w:cs="Arial"/>
        </w:rPr>
        <w:t> </w:t>
      </w:r>
      <w:r w:rsidRPr="00C2717E">
        <w:rPr>
          <w:rFonts w:cs="Arial"/>
        </w:rPr>
        <w:t xml:space="preserve">rekvalifikačních kurzech. </w:t>
      </w:r>
      <w:r w:rsidRPr="00783974">
        <w:rPr>
          <w:rFonts w:cs="Arial"/>
          <w:b/>
          <w:color w:val="C00000"/>
        </w:rPr>
        <w:t>(</w:t>
      </w:r>
      <w:proofErr w:type="gramStart"/>
      <w:r w:rsidRPr="00783974">
        <w:rPr>
          <w:rFonts w:cs="Arial"/>
          <w:b/>
          <w:color w:val="C00000"/>
        </w:rPr>
        <w:t>T1</w:t>
      </w:r>
      <w:proofErr w:type="gramEnd"/>
      <w:r w:rsidRPr="00783974">
        <w:rPr>
          <w:rFonts w:cs="Arial"/>
          <w:b/>
          <w:color w:val="C00000"/>
        </w:rPr>
        <w:t>–</w:t>
      </w:r>
      <w:proofErr w:type="gramStart"/>
      <w:r w:rsidRPr="00783974">
        <w:rPr>
          <w:rFonts w:cs="Arial"/>
          <w:b/>
          <w:color w:val="C00000"/>
        </w:rPr>
        <w:t>T5</w:t>
      </w:r>
      <w:proofErr w:type="gramEnd"/>
      <w:r w:rsidRPr="00783974">
        <w:rPr>
          <w:rFonts w:cs="Arial"/>
          <w:b/>
          <w:color w:val="C00000"/>
        </w:rPr>
        <w:t>, T7–T9, T11–T14, T18–T23, T25, T29, T30)</w:t>
      </w:r>
    </w:p>
    <w:p w:rsidR="009D4DBE" w:rsidRPr="00C2717E" w:rsidRDefault="009D4DBE" w:rsidP="009D4DBE">
      <w:pPr>
        <w:spacing w:after="0" w:line="240" w:lineRule="auto"/>
        <w:jc w:val="both"/>
        <w:rPr>
          <w:rFonts w:cs="Arial"/>
        </w:rPr>
      </w:pPr>
    </w:p>
    <w:p w:rsidR="009D4DBE" w:rsidRPr="00C2717E" w:rsidRDefault="009D4DBE" w:rsidP="009D4DBE">
      <w:pPr>
        <w:spacing w:after="0" w:line="240" w:lineRule="auto"/>
        <w:jc w:val="both"/>
        <w:rPr>
          <w:rFonts w:cs="Arial"/>
        </w:rPr>
      </w:pPr>
      <w:r w:rsidRPr="00783974">
        <w:rPr>
          <w:rFonts w:cs="Arial"/>
          <w:b/>
          <w:color w:val="C00000"/>
        </w:rPr>
        <w:t>Zaměstnanci</w:t>
      </w:r>
      <w:r w:rsidRPr="00C2717E">
        <w:rPr>
          <w:rFonts w:cs="Arial"/>
        </w:rPr>
        <w:t xml:space="preserve"> </w:t>
      </w:r>
      <w:r>
        <w:rPr>
          <w:rFonts w:cs="Arial"/>
        </w:rPr>
        <w:t>pracují</w:t>
      </w:r>
      <w:r w:rsidRPr="00C2717E">
        <w:rPr>
          <w:rFonts w:cs="Arial"/>
        </w:rPr>
        <w:t xml:space="preserve"> pro veřejn</w:t>
      </w:r>
      <w:r>
        <w:rPr>
          <w:rFonts w:cs="Arial"/>
        </w:rPr>
        <w:t>é nebo soukromé zaměstnavatele a d</w:t>
      </w:r>
      <w:r w:rsidRPr="00C2717E">
        <w:rPr>
          <w:rFonts w:cs="Arial"/>
        </w:rPr>
        <w:t>ostávají odměnu ve</w:t>
      </w:r>
      <w:r>
        <w:rPr>
          <w:rFonts w:cs="Arial"/>
        </w:rPr>
        <w:t> </w:t>
      </w:r>
      <w:r w:rsidRPr="00C2717E">
        <w:rPr>
          <w:rFonts w:cs="Arial"/>
        </w:rPr>
        <w:t xml:space="preserve">formě platu, mzdy, honoráře, prémie, výplaty v produktech či naturáliích. Tato kategorie zahrnuje též vojáky z povolání, učně vykonávající placenou praxi, společníky, jednatele s.r.o. a </w:t>
      </w:r>
      <w:proofErr w:type="spellStart"/>
      <w:r w:rsidRPr="00C2717E">
        <w:rPr>
          <w:rFonts w:cs="Arial"/>
        </w:rPr>
        <w:t>komandisty</w:t>
      </w:r>
      <w:proofErr w:type="spellEnd"/>
      <w:r w:rsidRPr="00C2717E">
        <w:rPr>
          <w:rFonts w:cs="Arial"/>
        </w:rPr>
        <w:t xml:space="preserve"> komanditních společností, kteří pro</w:t>
      </w:r>
      <w:r>
        <w:rPr>
          <w:rFonts w:cs="Arial"/>
        </w:rPr>
        <w:t> </w:t>
      </w:r>
      <w:r w:rsidRPr="00C2717E">
        <w:rPr>
          <w:rFonts w:cs="Arial"/>
        </w:rPr>
        <w:t>společnost vykonávají práci na základě pracovní smlouvy a pobírají za ni odměnu, která je příjmem ze</w:t>
      </w:r>
      <w:r>
        <w:rPr>
          <w:rFonts w:cs="Arial"/>
        </w:rPr>
        <w:t> </w:t>
      </w:r>
      <w:r w:rsidRPr="00C2717E">
        <w:rPr>
          <w:rFonts w:cs="Arial"/>
        </w:rPr>
        <w:t xml:space="preserve">závislé činnosti. </w:t>
      </w:r>
      <w:r w:rsidRPr="00783974">
        <w:rPr>
          <w:rFonts w:cs="Arial"/>
          <w:b/>
          <w:color w:val="C00000"/>
        </w:rPr>
        <w:t>(</w:t>
      </w:r>
      <w:proofErr w:type="gramStart"/>
      <w:r w:rsidRPr="00783974">
        <w:rPr>
          <w:rFonts w:cs="Arial"/>
          <w:b/>
          <w:color w:val="C00000"/>
        </w:rPr>
        <w:t>T1</w:t>
      </w:r>
      <w:proofErr w:type="gramEnd"/>
      <w:r w:rsidRPr="00783974">
        <w:rPr>
          <w:rFonts w:cs="Arial"/>
          <w:b/>
          <w:color w:val="C00000"/>
        </w:rPr>
        <w:t>–</w:t>
      </w:r>
      <w:proofErr w:type="gramStart"/>
      <w:r w:rsidRPr="00783974">
        <w:rPr>
          <w:rFonts w:cs="Arial"/>
          <w:b/>
          <w:color w:val="C00000"/>
        </w:rPr>
        <w:t>T5</w:t>
      </w:r>
      <w:proofErr w:type="gramEnd"/>
      <w:r w:rsidRPr="00783974">
        <w:rPr>
          <w:rFonts w:cs="Arial"/>
          <w:b/>
          <w:color w:val="C00000"/>
        </w:rPr>
        <w:t>, T7–T9, T11, T12, T15–T23)</w:t>
      </w:r>
    </w:p>
    <w:p w:rsidR="009D4DBE" w:rsidRPr="00C2717E" w:rsidRDefault="009D4DBE" w:rsidP="009D4DBE">
      <w:pPr>
        <w:spacing w:after="0" w:line="240" w:lineRule="auto"/>
        <w:jc w:val="both"/>
        <w:rPr>
          <w:rFonts w:cs="Arial"/>
        </w:rPr>
      </w:pPr>
    </w:p>
    <w:p w:rsidR="009D4DBE" w:rsidRPr="00C2717E" w:rsidRDefault="009D4DBE" w:rsidP="009D4DBE">
      <w:pPr>
        <w:spacing w:after="0" w:line="240" w:lineRule="auto"/>
        <w:jc w:val="both"/>
        <w:rPr>
          <w:rFonts w:cs="Arial"/>
        </w:rPr>
      </w:pPr>
      <w:r w:rsidRPr="00783974">
        <w:rPr>
          <w:rFonts w:cs="Arial"/>
          <w:b/>
          <w:color w:val="C00000"/>
        </w:rPr>
        <w:t>Podnikatelé</w:t>
      </w:r>
      <w:r w:rsidRPr="00C2717E">
        <w:rPr>
          <w:rFonts w:cs="Arial"/>
        </w:rPr>
        <w:t xml:space="preserve"> pracují ve svém vlastním podniku, odborné prax</w:t>
      </w:r>
      <w:r>
        <w:rPr>
          <w:rFonts w:cs="Arial"/>
        </w:rPr>
        <w:t xml:space="preserve">i nebo farmě za účelem výdělku. </w:t>
      </w:r>
      <w:r>
        <w:rPr>
          <w:rFonts w:cs="Arial"/>
        </w:rPr>
        <w:br/>
      </w:r>
      <w:r w:rsidRPr="00783974">
        <w:rPr>
          <w:rFonts w:cs="Arial"/>
          <w:b/>
          <w:color w:val="C00000"/>
        </w:rPr>
        <w:t>(</w:t>
      </w:r>
      <w:proofErr w:type="gramStart"/>
      <w:r w:rsidRPr="00783974">
        <w:rPr>
          <w:rFonts w:cs="Arial"/>
          <w:b/>
          <w:color w:val="C00000"/>
        </w:rPr>
        <w:t>T1</w:t>
      </w:r>
      <w:proofErr w:type="gramEnd"/>
      <w:r w:rsidRPr="00783974">
        <w:rPr>
          <w:rFonts w:cs="Arial"/>
          <w:b/>
          <w:color w:val="C00000"/>
        </w:rPr>
        <w:t>–</w:t>
      </w:r>
      <w:proofErr w:type="gramStart"/>
      <w:r w:rsidRPr="00783974">
        <w:rPr>
          <w:rFonts w:cs="Arial"/>
          <w:b/>
          <w:color w:val="C00000"/>
        </w:rPr>
        <w:t>T5</w:t>
      </w:r>
      <w:proofErr w:type="gramEnd"/>
      <w:r w:rsidRPr="00783974">
        <w:rPr>
          <w:rFonts w:cs="Arial"/>
          <w:b/>
          <w:color w:val="C00000"/>
        </w:rPr>
        <w:t>, T7–T9, T11, T12, T18–T23)</w:t>
      </w:r>
    </w:p>
    <w:p w:rsidR="009D4DBE" w:rsidRPr="00C2717E" w:rsidRDefault="009D4DBE" w:rsidP="009D4DBE">
      <w:pPr>
        <w:spacing w:after="0" w:line="240" w:lineRule="auto"/>
        <w:jc w:val="both"/>
        <w:rPr>
          <w:rFonts w:cs="Arial"/>
        </w:rPr>
      </w:pPr>
    </w:p>
    <w:p w:rsidR="009D4DBE" w:rsidRPr="00C2717E" w:rsidRDefault="009D4DBE" w:rsidP="009D4DBE">
      <w:pPr>
        <w:spacing w:after="0" w:line="240" w:lineRule="auto"/>
        <w:jc w:val="both"/>
        <w:rPr>
          <w:rFonts w:cs="Arial"/>
        </w:rPr>
      </w:pPr>
      <w:r w:rsidRPr="00783974">
        <w:rPr>
          <w:rFonts w:cs="Arial"/>
          <w:b/>
          <w:color w:val="C00000"/>
        </w:rPr>
        <w:t>Informální učení:</w:t>
      </w:r>
      <w:r w:rsidRPr="00783974">
        <w:rPr>
          <w:rFonts w:cs="Arial"/>
          <w:color w:val="C00000"/>
        </w:rPr>
        <w:t xml:space="preserve"> </w:t>
      </w:r>
      <w:r w:rsidRPr="00C2717E">
        <w:rPr>
          <w:rFonts w:cs="Arial"/>
        </w:rPr>
        <w:t xml:space="preserve">institucionálně neorganizované záměrné získávání poznatků, dovedností a znalostí. Respondent musel vyvinout cílenou snahu něco nového se naučit a podniknout pro to záměrné kroky. Nejde </w:t>
      </w:r>
      <w:r w:rsidRPr="00C2717E">
        <w:rPr>
          <w:rFonts w:cs="Arial"/>
        </w:rPr>
        <w:lastRenderedPageBreak/>
        <w:t>tedy o pasivní, samovolné učení se např. při každodenní četbě novin nebo nahodilém surfování na internetu. Jde o aktivní snahu osvojit si nové poznatky – např. sledováním internetových videí (návodů) za účelem lépe ovládat počítačový program nebo setkáváním se s kamarádem, který dobře ovládá nějakou činnost s cílem naučit se ji od něj (např. naučit se šít, zdokonalit se s jeho pomocí v cizím jazyce).</w:t>
      </w:r>
      <w:r>
        <w:rPr>
          <w:rFonts w:cs="Arial"/>
        </w:rPr>
        <w:t xml:space="preserve"> </w:t>
      </w:r>
      <w:r w:rsidRPr="00C2717E">
        <w:rPr>
          <w:rFonts w:cs="Arial"/>
        </w:rPr>
        <w:t>Otázka nezahrnuje učení, které respondent vykonával kvůli aktivitám formálního či neformálního vzdělávání (učení se na zkoušku do</w:t>
      </w:r>
      <w:r>
        <w:rPr>
          <w:rFonts w:cs="Arial"/>
        </w:rPr>
        <w:t> </w:t>
      </w:r>
      <w:r w:rsidRPr="00C2717E">
        <w:rPr>
          <w:rFonts w:cs="Arial"/>
        </w:rPr>
        <w:t xml:space="preserve">školy, domácí přípravu na kurz cizího jazyka apod.). </w:t>
      </w:r>
      <w:r w:rsidRPr="00783974">
        <w:rPr>
          <w:rFonts w:cs="Arial"/>
          <w:b/>
          <w:color w:val="C00000"/>
        </w:rPr>
        <w:t>(T20, T21)</w:t>
      </w:r>
    </w:p>
    <w:p w:rsidR="009D4DBE" w:rsidRPr="00C2717E" w:rsidRDefault="009D4DBE" w:rsidP="009D4DBE">
      <w:pPr>
        <w:spacing w:after="0" w:line="240" w:lineRule="auto"/>
        <w:jc w:val="both"/>
        <w:rPr>
          <w:rFonts w:cs="Arial"/>
        </w:rPr>
      </w:pPr>
    </w:p>
    <w:p w:rsidR="009D4DBE" w:rsidRPr="00C2717E" w:rsidRDefault="009D4DBE" w:rsidP="009D4DBE">
      <w:pPr>
        <w:spacing w:after="0" w:line="240" w:lineRule="auto"/>
        <w:jc w:val="both"/>
        <w:rPr>
          <w:rFonts w:cs="Arial"/>
        </w:rPr>
      </w:pPr>
      <w:r w:rsidRPr="00D733F5">
        <w:rPr>
          <w:rFonts w:cs="Arial"/>
          <w:b/>
          <w:color w:val="C00000"/>
        </w:rPr>
        <w:t>Minimální úroveň znalosti cizího jazyka:</w:t>
      </w:r>
      <w:r w:rsidRPr="00D733F5">
        <w:rPr>
          <w:rFonts w:cs="Arial"/>
          <w:color w:val="C00000"/>
        </w:rPr>
        <w:t xml:space="preserve"> </w:t>
      </w:r>
      <w:r w:rsidRPr="00C2717E">
        <w:rPr>
          <w:rFonts w:cs="Arial"/>
        </w:rPr>
        <w:t>respondent rozumí a umí použít pouze několik základních slov a</w:t>
      </w:r>
      <w:r>
        <w:rPr>
          <w:rFonts w:cs="Arial"/>
        </w:rPr>
        <w:t> </w:t>
      </w:r>
      <w:r w:rsidRPr="00C2717E">
        <w:rPr>
          <w:rFonts w:cs="Arial"/>
        </w:rPr>
        <w:t xml:space="preserve">frází. Odpovídá úrovni A1 Společného evropského referenčního rámce úrovně znalosti cizího jazyka (SERR). </w:t>
      </w:r>
      <w:r w:rsidRPr="00D733F5">
        <w:rPr>
          <w:rFonts w:cs="Arial"/>
          <w:b/>
          <w:color w:val="C00000"/>
        </w:rPr>
        <w:t>(T22, T23)</w:t>
      </w:r>
    </w:p>
    <w:p w:rsidR="009D4DBE" w:rsidRPr="00C2717E" w:rsidRDefault="009D4DBE" w:rsidP="009D4DBE">
      <w:pPr>
        <w:spacing w:after="0" w:line="240" w:lineRule="auto"/>
        <w:jc w:val="both"/>
        <w:rPr>
          <w:rFonts w:cs="Arial"/>
        </w:rPr>
      </w:pPr>
    </w:p>
    <w:p w:rsidR="009D4DBE" w:rsidRPr="00C2717E" w:rsidRDefault="009D4DBE" w:rsidP="009D4DBE">
      <w:pPr>
        <w:spacing w:after="0" w:line="240" w:lineRule="auto"/>
        <w:jc w:val="both"/>
        <w:rPr>
          <w:rFonts w:cs="Arial"/>
        </w:rPr>
      </w:pPr>
      <w:r w:rsidRPr="00D733F5">
        <w:rPr>
          <w:rFonts w:cs="Arial"/>
          <w:b/>
          <w:color w:val="C00000"/>
        </w:rPr>
        <w:t xml:space="preserve">Základní úroveň znalosti cizího jazyka: </w:t>
      </w:r>
      <w:r w:rsidRPr="00C2717E">
        <w:rPr>
          <w:rFonts w:cs="Arial"/>
        </w:rPr>
        <w:t xml:space="preserve">respondent rozumí nejrozšířenějším výrazům a je schopen je používat v běžných každodenních situacích, domluví se o základních věcech. Odpovídá úrovni A2 SERR. </w:t>
      </w:r>
      <w:r w:rsidRPr="00D733F5">
        <w:rPr>
          <w:rFonts w:cs="Arial"/>
          <w:b/>
          <w:color w:val="C00000"/>
        </w:rPr>
        <w:t>(T22, T23)</w:t>
      </w:r>
    </w:p>
    <w:p w:rsidR="009D4DBE" w:rsidRPr="00C2717E" w:rsidRDefault="009D4DBE" w:rsidP="009D4DBE">
      <w:pPr>
        <w:spacing w:after="0" w:line="240" w:lineRule="auto"/>
        <w:jc w:val="both"/>
        <w:rPr>
          <w:rFonts w:cs="Arial"/>
        </w:rPr>
      </w:pPr>
    </w:p>
    <w:p w:rsidR="009D4DBE" w:rsidRPr="00C2717E" w:rsidRDefault="009D4DBE" w:rsidP="009D4DBE">
      <w:pPr>
        <w:spacing w:after="0" w:line="240" w:lineRule="auto"/>
        <w:jc w:val="both"/>
        <w:rPr>
          <w:rFonts w:cs="Arial"/>
        </w:rPr>
      </w:pPr>
      <w:r w:rsidRPr="00D733F5">
        <w:rPr>
          <w:rFonts w:cs="Arial"/>
          <w:b/>
          <w:color w:val="C00000"/>
        </w:rPr>
        <w:t>Středně pokročilá úroveň znalosti cizího jazyka:</w:t>
      </w:r>
      <w:r w:rsidRPr="00C2717E">
        <w:rPr>
          <w:rFonts w:cs="Arial"/>
        </w:rPr>
        <w:t xml:space="preserve"> respondent rozumí běžně používanému jazyku, je schopen psát jednodušší texty. Dovede popsat zážitky či události a poměrně plynule komunikovat. Odpovídá úrovni B1 a B2 SERR či zkouškám PET (</w:t>
      </w:r>
      <w:proofErr w:type="spellStart"/>
      <w:r w:rsidRPr="00C2717E">
        <w:rPr>
          <w:rFonts w:cs="Arial"/>
        </w:rPr>
        <w:t>Preliminary</w:t>
      </w:r>
      <w:proofErr w:type="spellEnd"/>
      <w:r w:rsidRPr="00C2717E">
        <w:rPr>
          <w:rFonts w:cs="Arial"/>
        </w:rPr>
        <w:t xml:space="preserve"> </w:t>
      </w:r>
      <w:proofErr w:type="spellStart"/>
      <w:r w:rsidRPr="00C2717E">
        <w:rPr>
          <w:rFonts w:cs="Arial"/>
        </w:rPr>
        <w:t>English</w:t>
      </w:r>
      <w:proofErr w:type="spellEnd"/>
      <w:r w:rsidRPr="00C2717E">
        <w:rPr>
          <w:rFonts w:cs="Arial"/>
        </w:rPr>
        <w:t xml:space="preserve"> Test) nebo FCE (</w:t>
      </w:r>
      <w:proofErr w:type="spellStart"/>
      <w:r w:rsidRPr="00C2717E">
        <w:rPr>
          <w:rFonts w:cs="Arial"/>
        </w:rPr>
        <w:t>First</w:t>
      </w:r>
      <w:proofErr w:type="spellEnd"/>
      <w:r w:rsidRPr="00C2717E">
        <w:rPr>
          <w:rFonts w:cs="Arial"/>
        </w:rPr>
        <w:t xml:space="preserve"> </w:t>
      </w:r>
      <w:proofErr w:type="spellStart"/>
      <w:r w:rsidRPr="00C2717E">
        <w:rPr>
          <w:rFonts w:cs="Arial"/>
        </w:rPr>
        <w:t>Certificate</w:t>
      </w:r>
      <w:proofErr w:type="spellEnd"/>
      <w:r w:rsidRPr="00C2717E">
        <w:rPr>
          <w:rFonts w:cs="Arial"/>
        </w:rPr>
        <w:t xml:space="preserve"> in </w:t>
      </w:r>
      <w:proofErr w:type="spellStart"/>
      <w:r w:rsidRPr="00C2717E">
        <w:rPr>
          <w:rFonts w:cs="Arial"/>
        </w:rPr>
        <w:t>English</w:t>
      </w:r>
      <w:proofErr w:type="spellEnd"/>
      <w:r w:rsidRPr="00C2717E">
        <w:rPr>
          <w:rFonts w:cs="Arial"/>
        </w:rPr>
        <w:t xml:space="preserve">). </w:t>
      </w:r>
      <w:r w:rsidRPr="00D733F5">
        <w:rPr>
          <w:rFonts w:cs="Arial"/>
          <w:b/>
          <w:color w:val="C00000"/>
        </w:rPr>
        <w:t>(T22, T23)</w:t>
      </w:r>
    </w:p>
    <w:p w:rsidR="009D4DBE" w:rsidRPr="00C2717E" w:rsidRDefault="009D4DBE" w:rsidP="009D4DBE">
      <w:pPr>
        <w:spacing w:after="0" w:line="240" w:lineRule="auto"/>
        <w:jc w:val="both"/>
        <w:rPr>
          <w:rFonts w:cs="Arial"/>
        </w:rPr>
      </w:pPr>
    </w:p>
    <w:p w:rsidR="009D4DBE" w:rsidRPr="00C2717E" w:rsidRDefault="009D4DBE" w:rsidP="009D4DBE">
      <w:pPr>
        <w:spacing w:after="0" w:line="240" w:lineRule="auto"/>
        <w:jc w:val="both"/>
        <w:rPr>
          <w:rFonts w:cs="Arial"/>
        </w:rPr>
      </w:pPr>
      <w:r w:rsidRPr="00D733F5">
        <w:rPr>
          <w:rFonts w:cs="Arial"/>
          <w:b/>
          <w:color w:val="C00000"/>
        </w:rPr>
        <w:t>Velmi pokročilá úroveň znalosti cizího jazyka:</w:t>
      </w:r>
      <w:r w:rsidRPr="00D733F5">
        <w:rPr>
          <w:rFonts w:cs="Arial"/>
          <w:color w:val="C00000"/>
        </w:rPr>
        <w:t xml:space="preserve"> </w:t>
      </w:r>
      <w:r w:rsidRPr="00C2717E">
        <w:rPr>
          <w:rFonts w:cs="Arial"/>
        </w:rPr>
        <w:t>respondent rozumí širokému spektru náročných textů, je schopen jazyk flexibilně používat. Odpovídá úrovni C1 a C2 SERR či zkouškám CAE (</w:t>
      </w:r>
      <w:proofErr w:type="spellStart"/>
      <w:r w:rsidRPr="00C2717E">
        <w:rPr>
          <w:rFonts w:cs="Arial"/>
        </w:rPr>
        <w:t>Certificate</w:t>
      </w:r>
      <w:proofErr w:type="spellEnd"/>
      <w:r w:rsidRPr="00C2717E">
        <w:rPr>
          <w:rFonts w:cs="Arial"/>
        </w:rPr>
        <w:t xml:space="preserve"> in</w:t>
      </w:r>
      <w:r w:rsidR="00AB65CD">
        <w:rPr>
          <w:rFonts w:cs="Arial"/>
        </w:rPr>
        <w:t> </w:t>
      </w:r>
      <w:proofErr w:type="spellStart"/>
      <w:r w:rsidRPr="00C2717E">
        <w:rPr>
          <w:rFonts w:cs="Arial"/>
        </w:rPr>
        <w:t>Advanced</w:t>
      </w:r>
      <w:proofErr w:type="spellEnd"/>
      <w:r w:rsidRPr="00C2717E">
        <w:rPr>
          <w:rFonts w:cs="Arial"/>
        </w:rPr>
        <w:t xml:space="preserve"> </w:t>
      </w:r>
      <w:proofErr w:type="spellStart"/>
      <w:r w:rsidRPr="00C2717E">
        <w:rPr>
          <w:rFonts w:cs="Arial"/>
        </w:rPr>
        <w:t>English</w:t>
      </w:r>
      <w:proofErr w:type="spellEnd"/>
      <w:r w:rsidRPr="00C2717E">
        <w:rPr>
          <w:rFonts w:cs="Arial"/>
        </w:rPr>
        <w:t>) nebo CPE (</w:t>
      </w:r>
      <w:proofErr w:type="spellStart"/>
      <w:r w:rsidRPr="00C2717E">
        <w:rPr>
          <w:rFonts w:cs="Arial"/>
        </w:rPr>
        <w:t>Certificate</w:t>
      </w:r>
      <w:proofErr w:type="spellEnd"/>
      <w:r w:rsidRPr="00C2717E">
        <w:rPr>
          <w:rFonts w:cs="Arial"/>
        </w:rPr>
        <w:t xml:space="preserve"> </w:t>
      </w:r>
      <w:proofErr w:type="spellStart"/>
      <w:r w:rsidRPr="00C2717E">
        <w:rPr>
          <w:rFonts w:cs="Arial"/>
        </w:rPr>
        <w:t>of</w:t>
      </w:r>
      <w:proofErr w:type="spellEnd"/>
      <w:r w:rsidRPr="00C2717E">
        <w:rPr>
          <w:rFonts w:cs="Arial"/>
        </w:rPr>
        <w:t xml:space="preserve"> </w:t>
      </w:r>
      <w:proofErr w:type="spellStart"/>
      <w:r w:rsidRPr="00C2717E">
        <w:rPr>
          <w:rFonts w:cs="Arial"/>
        </w:rPr>
        <w:t>Proficiency</w:t>
      </w:r>
      <w:proofErr w:type="spellEnd"/>
      <w:r w:rsidRPr="00C2717E">
        <w:rPr>
          <w:rFonts w:cs="Arial"/>
        </w:rPr>
        <w:t xml:space="preserve"> in </w:t>
      </w:r>
      <w:proofErr w:type="spellStart"/>
      <w:r w:rsidRPr="00C2717E">
        <w:rPr>
          <w:rFonts w:cs="Arial"/>
        </w:rPr>
        <w:t>English</w:t>
      </w:r>
      <w:proofErr w:type="spellEnd"/>
      <w:r w:rsidRPr="00C2717E">
        <w:rPr>
          <w:rFonts w:cs="Arial"/>
        </w:rPr>
        <w:t xml:space="preserve">). </w:t>
      </w:r>
      <w:r w:rsidRPr="00D733F5">
        <w:rPr>
          <w:rFonts w:cs="Arial"/>
          <w:b/>
          <w:color w:val="C00000"/>
        </w:rPr>
        <w:t>(T22, T23)</w:t>
      </w:r>
    </w:p>
    <w:p w:rsidR="009D4DBE" w:rsidRPr="00C2717E" w:rsidRDefault="009D4DBE" w:rsidP="009D4DBE">
      <w:pPr>
        <w:spacing w:after="0" w:line="240" w:lineRule="auto"/>
        <w:jc w:val="both"/>
        <w:rPr>
          <w:rFonts w:cs="Arial"/>
        </w:rPr>
      </w:pPr>
    </w:p>
    <w:p w:rsidR="009D4DBE" w:rsidRPr="00C2717E" w:rsidRDefault="009D4DBE" w:rsidP="009D4DBE">
      <w:pPr>
        <w:spacing w:after="0" w:line="240" w:lineRule="auto"/>
        <w:jc w:val="both"/>
        <w:rPr>
          <w:rFonts w:cs="Arial"/>
        </w:rPr>
      </w:pPr>
      <w:r w:rsidRPr="00D733F5">
        <w:rPr>
          <w:rFonts w:cs="Arial"/>
          <w:b/>
          <w:color w:val="C00000"/>
        </w:rPr>
        <w:t>Vzdělávání financováno zaměstnavatelem:</w:t>
      </w:r>
      <w:r w:rsidRPr="00D733F5">
        <w:rPr>
          <w:rFonts w:cs="Arial"/>
          <w:color w:val="C00000"/>
        </w:rPr>
        <w:t xml:space="preserve"> </w:t>
      </w:r>
      <w:r w:rsidRPr="00C2717E">
        <w:rPr>
          <w:rFonts w:cs="Arial"/>
        </w:rPr>
        <w:t xml:space="preserve">vzdělávání bylo alespoň částečně hrazeno zaměstnavatelem. </w:t>
      </w:r>
    </w:p>
    <w:p w:rsidR="009D4DBE" w:rsidRDefault="009D4DBE" w:rsidP="009D4DBE">
      <w:pPr>
        <w:spacing w:after="0" w:line="240" w:lineRule="auto"/>
        <w:jc w:val="both"/>
        <w:rPr>
          <w:rFonts w:cs="Arial"/>
          <w:b/>
          <w:color w:val="C00000"/>
        </w:rPr>
      </w:pPr>
      <w:r w:rsidRPr="00D733F5">
        <w:rPr>
          <w:rFonts w:cs="Arial"/>
          <w:b/>
          <w:color w:val="C00000"/>
        </w:rPr>
        <w:t xml:space="preserve">(T16, </w:t>
      </w:r>
      <w:proofErr w:type="gramStart"/>
      <w:r w:rsidRPr="00D733F5">
        <w:rPr>
          <w:rFonts w:cs="Arial"/>
          <w:b/>
          <w:color w:val="C00000"/>
        </w:rPr>
        <w:t>T31</w:t>
      </w:r>
      <w:proofErr w:type="gramEnd"/>
      <w:r w:rsidRPr="00D733F5">
        <w:rPr>
          <w:rFonts w:cs="Arial"/>
          <w:b/>
          <w:color w:val="C00000"/>
        </w:rPr>
        <w:t>–</w:t>
      </w:r>
      <w:proofErr w:type="gramStart"/>
      <w:r w:rsidRPr="00D733F5">
        <w:rPr>
          <w:rFonts w:cs="Arial"/>
          <w:b/>
          <w:color w:val="C00000"/>
        </w:rPr>
        <w:t>T32</w:t>
      </w:r>
      <w:proofErr w:type="gramEnd"/>
      <w:r w:rsidRPr="00D733F5">
        <w:rPr>
          <w:rFonts w:cs="Arial"/>
          <w:b/>
          <w:color w:val="C00000"/>
        </w:rPr>
        <w:t>)</w:t>
      </w:r>
    </w:p>
    <w:p w:rsidR="009D4DBE" w:rsidRDefault="009D4DBE" w:rsidP="009D4DBE">
      <w:pPr>
        <w:rPr>
          <w:rFonts w:cs="Arial"/>
          <w:b/>
          <w:color w:val="C00000"/>
        </w:rPr>
      </w:pPr>
      <w:r>
        <w:rPr>
          <w:rFonts w:cs="Arial"/>
          <w:b/>
          <w:color w:val="C00000"/>
        </w:rPr>
        <w:br w:type="page"/>
      </w:r>
    </w:p>
    <w:p w:rsidR="009D4DBE" w:rsidRDefault="009D4DBE" w:rsidP="009D4DBE">
      <w:pPr>
        <w:spacing w:after="0" w:line="240" w:lineRule="auto"/>
        <w:jc w:val="both"/>
        <w:rPr>
          <w:rFonts w:cs="Arial"/>
          <w:b/>
        </w:rPr>
      </w:pPr>
      <w:r w:rsidRPr="0077782E">
        <w:rPr>
          <w:noProof/>
        </w:rPr>
        <w:lastRenderedPageBreak/>
        <w:drawing>
          <wp:inline distT="0" distB="0" distL="0" distR="0" wp14:anchorId="64BE6E67" wp14:editId="789E544F">
            <wp:extent cx="6120130" cy="9109687"/>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120130" cy="9109687"/>
                    </a:xfrm>
                    <a:prstGeom prst="rect">
                      <a:avLst/>
                    </a:prstGeom>
                    <a:noFill/>
                    <a:ln>
                      <a:noFill/>
                    </a:ln>
                  </pic:spPr>
                </pic:pic>
              </a:graphicData>
            </a:graphic>
          </wp:inline>
        </w:drawing>
      </w:r>
    </w:p>
    <w:p w:rsidR="009D4DBE" w:rsidRDefault="009D4DBE" w:rsidP="009D4DBE">
      <w:pPr>
        <w:spacing w:after="0" w:line="240" w:lineRule="auto"/>
        <w:jc w:val="both"/>
        <w:rPr>
          <w:rFonts w:cs="Arial"/>
          <w:b/>
        </w:rPr>
      </w:pPr>
      <w:r w:rsidRPr="003B469A">
        <w:rPr>
          <w:noProof/>
        </w:rPr>
        <w:lastRenderedPageBreak/>
        <w:drawing>
          <wp:inline distT="0" distB="0" distL="0" distR="0" wp14:anchorId="6D15544E" wp14:editId="66502D0B">
            <wp:extent cx="6120130" cy="910028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120130" cy="9100285"/>
                    </a:xfrm>
                    <a:prstGeom prst="rect">
                      <a:avLst/>
                    </a:prstGeom>
                    <a:noFill/>
                    <a:ln>
                      <a:noFill/>
                    </a:ln>
                  </pic:spPr>
                </pic:pic>
              </a:graphicData>
            </a:graphic>
          </wp:inline>
        </w:drawing>
      </w:r>
    </w:p>
    <w:p w:rsidR="009D4DBE" w:rsidRDefault="009D4DBE" w:rsidP="009D4DBE">
      <w:pPr>
        <w:spacing w:after="0" w:line="240" w:lineRule="auto"/>
        <w:jc w:val="both"/>
        <w:rPr>
          <w:rFonts w:cs="Arial"/>
          <w:b/>
        </w:rPr>
      </w:pPr>
      <w:r w:rsidRPr="003B469A">
        <w:rPr>
          <w:noProof/>
        </w:rPr>
        <w:lastRenderedPageBreak/>
        <w:drawing>
          <wp:inline distT="0" distB="0" distL="0" distR="0" wp14:anchorId="2CDCF0D0" wp14:editId="330F3208">
            <wp:extent cx="5705475" cy="9086850"/>
            <wp:effectExtent l="0" t="0" r="9525"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705475" cy="9086850"/>
                    </a:xfrm>
                    <a:prstGeom prst="rect">
                      <a:avLst/>
                    </a:prstGeom>
                    <a:noFill/>
                    <a:ln>
                      <a:noFill/>
                    </a:ln>
                  </pic:spPr>
                </pic:pic>
              </a:graphicData>
            </a:graphic>
          </wp:inline>
        </w:drawing>
      </w:r>
    </w:p>
    <w:p w:rsidR="009D4DBE" w:rsidRDefault="00860F8E" w:rsidP="009D4DBE">
      <w:pPr>
        <w:spacing w:after="0" w:line="240" w:lineRule="auto"/>
        <w:jc w:val="both"/>
        <w:rPr>
          <w:rFonts w:cs="Arial"/>
          <w:b/>
        </w:rPr>
      </w:pPr>
      <w:r w:rsidRPr="00860F8E">
        <w:lastRenderedPageBreak/>
        <w:drawing>
          <wp:inline distT="0" distB="0" distL="0" distR="0" wp14:anchorId="37C0A0F8" wp14:editId="73EC1ED6">
            <wp:extent cx="6120130" cy="9109687"/>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120130" cy="9109687"/>
                    </a:xfrm>
                    <a:prstGeom prst="rect">
                      <a:avLst/>
                    </a:prstGeom>
                    <a:noFill/>
                    <a:ln>
                      <a:noFill/>
                    </a:ln>
                  </pic:spPr>
                </pic:pic>
              </a:graphicData>
            </a:graphic>
          </wp:inline>
        </w:drawing>
      </w:r>
    </w:p>
    <w:p w:rsidR="009D4DBE" w:rsidRDefault="009D4DBE" w:rsidP="009D4DBE">
      <w:pPr>
        <w:spacing w:after="0" w:line="240" w:lineRule="auto"/>
        <w:jc w:val="both"/>
        <w:rPr>
          <w:rFonts w:cs="Arial"/>
          <w:b/>
        </w:rPr>
      </w:pPr>
      <w:r w:rsidRPr="007131FD">
        <w:rPr>
          <w:noProof/>
        </w:rPr>
        <w:lastRenderedPageBreak/>
        <w:drawing>
          <wp:inline distT="0" distB="0" distL="0" distR="0" wp14:anchorId="7AACA57C" wp14:editId="4C557D2F">
            <wp:extent cx="6120130" cy="9109687"/>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120130" cy="9109687"/>
                    </a:xfrm>
                    <a:prstGeom prst="rect">
                      <a:avLst/>
                    </a:prstGeom>
                    <a:noFill/>
                    <a:ln>
                      <a:noFill/>
                    </a:ln>
                  </pic:spPr>
                </pic:pic>
              </a:graphicData>
            </a:graphic>
          </wp:inline>
        </w:drawing>
      </w:r>
    </w:p>
    <w:p w:rsidR="009D4DBE" w:rsidRDefault="009D4DBE" w:rsidP="009D4DBE">
      <w:pPr>
        <w:spacing w:after="0" w:line="240" w:lineRule="auto"/>
        <w:jc w:val="both"/>
        <w:rPr>
          <w:rFonts w:cs="Arial"/>
          <w:b/>
        </w:rPr>
      </w:pPr>
      <w:r w:rsidRPr="00200990">
        <w:rPr>
          <w:noProof/>
        </w:rPr>
        <w:lastRenderedPageBreak/>
        <w:drawing>
          <wp:inline distT="0" distB="0" distL="0" distR="0" wp14:anchorId="06B046B9" wp14:editId="3395E819">
            <wp:extent cx="5705475" cy="8896350"/>
            <wp:effectExtent l="0" t="0" r="9525"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05475" cy="8896350"/>
                    </a:xfrm>
                    <a:prstGeom prst="rect">
                      <a:avLst/>
                    </a:prstGeom>
                    <a:noFill/>
                    <a:ln>
                      <a:noFill/>
                    </a:ln>
                  </pic:spPr>
                </pic:pic>
              </a:graphicData>
            </a:graphic>
          </wp:inline>
        </w:drawing>
      </w:r>
    </w:p>
    <w:p w:rsidR="009D4DBE" w:rsidRDefault="009D4DBE" w:rsidP="009D4DBE">
      <w:pPr>
        <w:spacing w:after="0" w:line="240" w:lineRule="auto"/>
        <w:jc w:val="both"/>
        <w:rPr>
          <w:rFonts w:cs="Arial"/>
          <w:b/>
        </w:rPr>
      </w:pPr>
    </w:p>
    <w:p w:rsidR="009D4DBE" w:rsidRDefault="009D4DBE" w:rsidP="009D4DBE">
      <w:pPr>
        <w:spacing w:after="0" w:line="240" w:lineRule="auto"/>
        <w:jc w:val="both"/>
        <w:rPr>
          <w:rFonts w:cs="Arial"/>
          <w:b/>
        </w:rPr>
      </w:pPr>
    </w:p>
    <w:p w:rsidR="009D4DBE" w:rsidRDefault="009D4DBE" w:rsidP="009D4DBE">
      <w:pPr>
        <w:spacing w:after="0" w:line="240" w:lineRule="auto"/>
        <w:jc w:val="both"/>
        <w:rPr>
          <w:rFonts w:cs="Arial"/>
          <w:b/>
        </w:rPr>
      </w:pPr>
    </w:p>
    <w:p w:rsidR="009D4DBE" w:rsidRDefault="009D4DBE" w:rsidP="009D4DBE">
      <w:r w:rsidRPr="00200990">
        <w:rPr>
          <w:noProof/>
        </w:rPr>
        <w:drawing>
          <wp:inline distT="0" distB="0" distL="0" distR="0" wp14:anchorId="18F5C619" wp14:editId="27BD7DB5">
            <wp:extent cx="6020947" cy="807852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019412" cy="8076465"/>
                    </a:xfrm>
                    <a:prstGeom prst="rect">
                      <a:avLst/>
                    </a:prstGeom>
                    <a:noFill/>
                    <a:ln>
                      <a:noFill/>
                    </a:ln>
                  </pic:spPr>
                </pic:pic>
              </a:graphicData>
            </a:graphic>
          </wp:inline>
        </w:drawing>
      </w:r>
      <w:r>
        <w:rPr>
          <w:rFonts w:cs="Arial"/>
          <w:b/>
        </w:rPr>
        <w:br w:type="page"/>
      </w:r>
      <w:r w:rsidR="00860F8E" w:rsidRPr="00860F8E">
        <w:lastRenderedPageBreak/>
        <w:drawing>
          <wp:anchor distT="0" distB="0" distL="114300" distR="114300" simplePos="0" relativeHeight="251689472" behindDoc="0" locked="0" layoutInCell="1" allowOverlap="1">
            <wp:simplePos x="0" y="0"/>
            <wp:positionH relativeFrom="column">
              <wp:posOffset>-808990</wp:posOffset>
            </wp:positionH>
            <wp:positionV relativeFrom="paragraph">
              <wp:posOffset>2253615</wp:posOffset>
            </wp:positionV>
            <wp:extent cx="8024495" cy="4264660"/>
            <wp:effectExtent l="0" t="6032" r="8572" b="8573"/>
            <wp:wrapTopAndBottom/>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rot="16200000">
                      <a:off x="0" y="0"/>
                      <a:ext cx="8024495" cy="426466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sidR="00860F8E" w:rsidRPr="00860F8E">
        <w:lastRenderedPageBreak/>
        <w:drawing>
          <wp:anchor distT="0" distB="0" distL="114300" distR="114300" simplePos="0" relativeHeight="251690496" behindDoc="0" locked="0" layoutInCell="1" allowOverlap="1">
            <wp:simplePos x="0" y="0"/>
            <wp:positionH relativeFrom="column">
              <wp:posOffset>-252095</wp:posOffset>
            </wp:positionH>
            <wp:positionV relativeFrom="paragraph">
              <wp:posOffset>1314450</wp:posOffset>
            </wp:positionV>
            <wp:extent cx="6624955" cy="6118225"/>
            <wp:effectExtent l="5715" t="0" r="0" b="0"/>
            <wp:wrapTopAndBottom/>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rot="16200000">
                      <a:off x="0" y="0"/>
                      <a:ext cx="6624955" cy="611822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9D4DBE" w:rsidRDefault="009D4DBE" w:rsidP="009D4DBE">
      <w:pPr>
        <w:rPr>
          <w:rFonts w:cs="Arial"/>
          <w:b/>
        </w:rPr>
      </w:pPr>
      <w:bookmarkStart w:id="118" w:name="_GoBack"/>
      <w:r w:rsidRPr="009E3CE6">
        <w:rPr>
          <w:noProof/>
        </w:rPr>
        <w:lastRenderedPageBreak/>
        <w:drawing>
          <wp:anchor distT="0" distB="0" distL="114300" distR="114300" simplePos="0" relativeHeight="251675136" behindDoc="0" locked="0" layoutInCell="1" allowOverlap="1" wp14:anchorId="2E2D0800" wp14:editId="1098A24C">
            <wp:simplePos x="0" y="0"/>
            <wp:positionH relativeFrom="column">
              <wp:posOffset>-270510</wp:posOffset>
            </wp:positionH>
            <wp:positionV relativeFrom="paragraph">
              <wp:posOffset>1391920</wp:posOffset>
            </wp:positionV>
            <wp:extent cx="6663055" cy="6153785"/>
            <wp:effectExtent l="0" t="0" r="0" b="0"/>
            <wp:wrapTopAndBottom/>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rot="16200000">
                      <a:off x="0" y="0"/>
                      <a:ext cx="6663055" cy="61537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8"/>
      <w:r>
        <w:rPr>
          <w:rFonts w:cs="Arial"/>
          <w:b/>
        </w:rPr>
        <w:br w:type="page"/>
      </w:r>
    </w:p>
    <w:p w:rsidR="009D4DBE" w:rsidRDefault="009D4DBE" w:rsidP="009D4DBE">
      <w:pPr>
        <w:rPr>
          <w:rFonts w:cs="Arial"/>
          <w:b/>
        </w:rPr>
      </w:pPr>
      <w:r w:rsidRPr="00662853">
        <w:rPr>
          <w:noProof/>
        </w:rPr>
        <w:lastRenderedPageBreak/>
        <w:drawing>
          <wp:anchor distT="0" distB="0" distL="114300" distR="114300" simplePos="0" relativeHeight="251683328" behindDoc="0" locked="0" layoutInCell="1" allowOverlap="1" wp14:anchorId="4A96FD39" wp14:editId="1D7D55B7">
            <wp:simplePos x="0" y="0"/>
            <wp:positionH relativeFrom="column">
              <wp:posOffset>-135255</wp:posOffset>
            </wp:positionH>
            <wp:positionV relativeFrom="paragraph">
              <wp:posOffset>951865</wp:posOffset>
            </wp:positionV>
            <wp:extent cx="6371590" cy="6094730"/>
            <wp:effectExtent l="5080" t="0" r="0" b="0"/>
            <wp:wrapTopAndBottom/>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rot="16200000">
                      <a:off x="0" y="0"/>
                      <a:ext cx="6371590" cy="6094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rPr>
        <w:br/>
      </w:r>
    </w:p>
    <w:p w:rsidR="009D4DBE" w:rsidRDefault="009D4DBE" w:rsidP="009D4DBE">
      <w:pPr>
        <w:rPr>
          <w:rFonts w:cs="Arial"/>
          <w:b/>
        </w:rPr>
      </w:pPr>
      <w:r>
        <w:rPr>
          <w:rFonts w:cs="Arial"/>
          <w:b/>
        </w:rPr>
        <w:br w:type="page"/>
      </w:r>
    </w:p>
    <w:p w:rsidR="009D4DBE" w:rsidRDefault="009D4DBE" w:rsidP="009D4DBE">
      <w:pPr>
        <w:rPr>
          <w:rFonts w:cs="Arial"/>
          <w:b/>
        </w:rPr>
      </w:pPr>
    </w:p>
    <w:p w:rsidR="009D4DBE" w:rsidRDefault="009D4DBE" w:rsidP="009D4DBE">
      <w:pPr>
        <w:rPr>
          <w:rFonts w:cs="Arial"/>
          <w:b/>
        </w:rPr>
      </w:pPr>
    </w:p>
    <w:p w:rsidR="009D4DBE" w:rsidRDefault="009D4DBE" w:rsidP="009D4DBE">
      <w:pPr>
        <w:rPr>
          <w:rFonts w:cs="Arial"/>
          <w:b/>
        </w:rPr>
      </w:pPr>
      <w:r w:rsidRPr="00662853">
        <w:rPr>
          <w:noProof/>
        </w:rPr>
        <w:drawing>
          <wp:inline distT="0" distB="0" distL="0" distR="0" wp14:anchorId="6C4E176F" wp14:editId="0AE5E1E2">
            <wp:extent cx="6372000" cy="6095478"/>
            <wp:effectExtent l="4762"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rot="16200000">
                      <a:off x="0" y="0"/>
                      <a:ext cx="6372000" cy="6095478"/>
                    </a:xfrm>
                    <a:prstGeom prst="rect">
                      <a:avLst/>
                    </a:prstGeom>
                    <a:noFill/>
                    <a:ln>
                      <a:noFill/>
                    </a:ln>
                  </pic:spPr>
                </pic:pic>
              </a:graphicData>
            </a:graphic>
          </wp:inline>
        </w:drawing>
      </w:r>
      <w:r>
        <w:rPr>
          <w:rFonts w:cs="Arial"/>
          <w:b/>
        </w:rPr>
        <w:br w:type="page"/>
      </w:r>
    </w:p>
    <w:p w:rsidR="009D4DBE" w:rsidRDefault="009D4DBE" w:rsidP="009D4DBE">
      <w:pPr>
        <w:rPr>
          <w:rFonts w:cs="Arial"/>
          <w:b/>
        </w:rPr>
      </w:pPr>
    </w:p>
    <w:p w:rsidR="009D4DBE" w:rsidRDefault="009D4DBE" w:rsidP="009D4DBE">
      <w:pPr>
        <w:rPr>
          <w:rFonts w:cs="Arial"/>
          <w:b/>
        </w:rPr>
      </w:pPr>
      <w:r w:rsidRPr="005D6788">
        <w:rPr>
          <w:noProof/>
        </w:rPr>
        <w:drawing>
          <wp:anchor distT="0" distB="0" distL="114300" distR="114300" simplePos="0" relativeHeight="251676160" behindDoc="0" locked="0" layoutInCell="1" allowOverlap="1" wp14:anchorId="30174596" wp14:editId="07D564F6">
            <wp:simplePos x="0" y="0"/>
            <wp:positionH relativeFrom="column">
              <wp:posOffset>-180340</wp:posOffset>
            </wp:positionH>
            <wp:positionV relativeFrom="paragraph">
              <wp:posOffset>1016000</wp:posOffset>
            </wp:positionV>
            <wp:extent cx="6438900" cy="6158865"/>
            <wp:effectExtent l="0" t="0" r="0" b="6667"/>
            <wp:wrapTopAndBottom/>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rot="16200000">
                      <a:off x="0" y="0"/>
                      <a:ext cx="6438900" cy="6158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rPr>
        <w:br w:type="page"/>
      </w:r>
    </w:p>
    <w:p w:rsidR="009D4DBE" w:rsidRDefault="009D4DBE" w:rsidP="009D4DBE">
      <w:pPr>
        <w:rPr>
          <w:rFonts w:cs="Arial"/>
          <w:b/>
        </w:rPr>
      </w:pPr>
    </w:p>
    <w:p w:rsidR="009D4DBE" w:rsidRDefault="009D4DBE" w:rsidP="009D4DBE">
      <w:pPr>
        <w:rPr>
          <w:rFonts w:cs="Arial"/>
          <w:b/>
        </w:rPr>
      </w:pPr>
    </w:p>
    <w:p w:rsidR="009D4DBE" w:rsidRDefault="009D4DBE" w:rsidP="009D4DBE">
      <w:pPr>
        <w:rPr>
          <w:rFonts w:cs="Arial"/>
          <w:b/>
        </w:rPr>
      </w:pPr>
      <w:r w:rsidRPr="005D6788">
        <w:rPr>
          <w:noProof/>
        </w:rPr>
        <w:drawing>
          <wp:anchor distT="0" distB="0" distL="114300" distR="114300" simplePos="0" relativeHeight="251677184" behindDoc="0" locked="0" layoutInCell="1" allowOverlap="1" wp14:anchorId="208EE033" wp14:editId="243BCC29">
            <wp:simplePos x="0" y="0"/>
            <wp:positionH relativeFrom="column">
              <wp:posOffset>-138430</wp:posOffset>
            </wp:positionH>
            <wp:positionV relativeFrom="paragraph">
              <wp:posOffset>838200</wp:posOffset>
            </wp:positionV>
            <wp:extent cx="6352540" cy="6106160"/>
            <wp:effectExtent l="8890" t="0" r="0" b="0"/>
            <wp:wrapTopAndBottom/>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rot="16200000">
                      <a:off x="0" y="0"/>
                      <a:ext cx="6352540" cy="6106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rPr>
        <w:br w:type="page"/>
      </w:r>
    </w:p>
    <w:p w:rsidR="009D4DBE" w:rsidRDefault="009D4DBE" w:rsidP="009D4DBE">
      <w:pPr>
        <w:rPr>
          <w:rFonts w:cs="Arial"/>
          <w:b/>
        </w:rPr>
      </w:pPr>
    </w:p>
    <w:p w:rsidR="009D4DBE" w:rsidRDefault="009D4DBE" w:rsidP="009D4DBE">
      <w:pPr>
        <w:rPr>
          <w:rFonts w:cs="Arial"/>
          <w:b/>
        </w:rPr>
      </w:pPr>
      <w:r w:rsidRPr="00F62232">
        <w:rPr>
          <w:noProof/>
        </w:rPr>
        <w:drawing>
          <wp:anchor distT="0" distB="0" distL="114300" distR="114300" simplePos="0" relativeHeight="251678208" behindDoc="0" locked="0" layoutInCell="1" allowOverlap="1" wp14:anchorId="25140D40" wp14:editId="0D4D0740">
            <wp:simplePos x="0" y="0"/>
            <wp:positionH relativeFrom="column">
              <wp:posOffset>-431165</wp:posOffset>
            </wp:positionH>
            <wp:positionV relativeFrom="paragraph">
              <wp:posOffset>1430020</wp:posOffset>
            </wp:positionV>
            <wp:extent cx="6973570" cy="6122670"/>
            <wp:effectExtent l="0" t="0" r="0" b="5080"/>
            <wp:wrapTopAndBottom/>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rot="16200000">
                      <a:off x="0" y="0"/>
                      <a:ext cx="6973570" cy="6122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DBE" w:rsidRDefault="009D4DBE" w:rsidP="009D4DBE">
      <w:pPr>
        <w:rPr>
          <w:rFonts w:cs="Arial"/>
          <w:b/>
        </w:rPr>
      </w:pPr>
      <w:r>
        <w:rPr>
          <w:rFonts w:cs="Arial"/>
          <w:b/>
        </w:rPr>
        <w:br w:type="page"/>
      </w:r>
    </w:p>
    <w:p w:rsidR="009D4DBE" w:rsidRDefault="009D4DBE" w:rsidP="009D4DBE">
      <w:pPr>
        <w:rPr>
          <w:rFonts w:cs="Arial"/>
          <w:b/>
        </w:rPr>
      </w:pPr>
    </w:p>
    <w:p w:rsidR="009D4DBE" w:rsidRDefault="009D4DBE" w:rsidP="009D4DBE">
      <w:pPr>
        <w:rPr>
          <w:rFonts w:cs="Arial"/>
          <w:b/>
        </w:rPr>
      </w:pPr>
      <w:r w:rsidRPr="003C60F8">
        <w:rPr>
          <w:noProof/>
        </w:rPr>
        <w:drawing>
          <wp:anchor distT="0" distB="0" distL="114300" distR="114300" simplePos="0" relativeHeight="251679232" behindDoc="0" locked="0" layoutInCell="1" allowOverlap="1" wp14:anchorId="5F1BE22A" wp14:editId="4BC03CC6">
            <wp:simplePos x="0" y="0"/>
            <wp:positionH relativeFrom="column">
              <wp:posOffset>-410210</wp:posOffset>
            </wp:positionH>
            <wp:positionV relativeFrom="paragraph">
              <wp:posOffset>1075690</wp:posOffset>
            </wp:positionV>
            <wp:extent cx="6989445" cy="6144895"/>
            <wp:effectExtent l="0" t="0" r="0" b="5080"/>
            <wp:wrapTopAndBottom/>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rot="16200000">
                      <a:off x="0" y="0"/>
                      <a:ext cx="6989445" cy="6144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rPr>
        <w:br w:type="page"/>
      </w:r>
    </w:p>
    <w:p w:rsidR="009D4DBE" w:rsidRDefault="009D4DBE" w:rsidP="009D4DBE">
      <w:pPr>
        <w:rPr>
          <w:rFonts w:cs="Arial"/>
          <w:b/>
        </w:rPr>
      </w:pPr>
      <w:r w:rsidRPr="004D5885">
        <w:rPr>
          <w:noProof/>
        </w:rPr>
        <w:lastRenderedPageBreak/>
        <w:drawing>
          <wp:inline distT="0" distB="0" distL="0" distR="0" wp14:anchorId="28E857C4" wp14:editId="747BB9E4">
            <wp:extent cx="6120130" cy="8743043"/>
            <wp:effectExtent l="0" t="0" r="0" b="127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120130" cy="8743043"/>
                    </a:xfrm>
                    <a:prstGeom prst="rect">
                      <a:avLst/>
                    </a:prstGeom>
                    <a:noFill/>
                    <a:ln>
                      <a:noFill/>
                    </a:ln>
                  </pic:spPr>
                </pic:pic>
              </a:graphicData>
            </a:graphic>
          </wp:inline>
        </w:drawing>
      </w:r>
    </w:p>
    <w:p w:rsidR="009D4DBE" w:rsidRDefault="009D4DBE" w:rsidP="009D4DBE">
      <w:pPr>
        <w:rPr>
          <w:rFonts w:cs="Arial"/>
          <w:b/>
        </w:rPr>
      </w:pPr>
      <w:r>
        <w:rPr>
          <w:rFonts w:cs="Arial"/>
          <w:b/>
        </w:rPr>
        <w:br w:type="page"/>
      </w:r>
    </w:p>
    <w:p w:rsidR="009D4DBE" w:rsidRDefault="009D4DBE" w:rsidP="009D4DBE">
      <w:pPr>
        <w:rPr>
          <w:rFonts w:cs="Arial"/>
          <w:b/>
        </w:rPr>
      </w:pPr>
    </w:p>
    <w:p w:rsidR="009D4DBE" w:rsidRDefault="009D4DBE" w:rsidP="009D4DBE">
      <w:pPr>
        <w:rPr>
          <w:rFonts w:cs="Arial"/>
          <w:b/>
        </w:rPr>
      </w:pPr>
      <w:r w:rsidRPr="004D5885">
        <w:rPr>
          <w:noProof/>
        </w:rPr>
        <w:drawing>
          <wp:inline distT="0" distB="0" distL="0" distR="0" wp14:anchorId="499748CD" wp14:editId="4BD0CCBE">
            <wp:extent cx="6120130" cy="8743043"/>
            <wp:effectExtent l="0" t="0" r="0" b="127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120130" cy="8743043"/>
                    </a:xfrm>
                    <a:prstGeom prst="rect">
                      <a:avLst/>
                    </a:prstGeom>
                    <a:noFill/>
                    <a:ln>
                      <a:noFill/>
                    </a:ln>
                  </pic:spPr>
                </pic:pic>
              </a:graphicData>
            </a:graphic>
          </wp:inline>
        </w:drawing>
      </w:r>
      <w:r>
        <w:rPr>
          <w:rFonts w:cs="Arial"/>
          <w:b/>
        </w:rPr>
        <w:br w:type="page"/>
      </w:r>
    </w:p>
    <w:p w:rsidR="009D4DBE" w:rsidRDefault="009D4DBE" w:rsidP="009D4DBE">
      <w:pPr>
        <w:rPr>
          <w:rFonts w:cs="Arial"/>
          <w:b/>
        </w:rPr>
      </w:pPr>
      <w:r w:rsidRPr="004D5885">
        <w:rPr>
          <w:noProof/>
        </w:rPr>
        <w:lastRenderedPageBreak/>
        <w:drawing>
          <wp:inline distT="0" distB="0" distL="0" distR="0" wp14:anchorId="244B80EC" wp14:editId="7F9DA6C9">
            <wp:extent cx="6120130" cy="8743043"/>
            <wp:effectExtent l="0" t="0" r="0" b="127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120130" cy="8743043"/>
                    </a:xfrm>
                    <a:prstGeom prst="rect">
                      <a:avLst/>
                    </a:prstGeom>
                    <a:noFill/>
                    <a:ln>
                      <a:noFill/>
                    </a:ln>
                  </pic:spPr>
                </pic:pic>
              </a:graphicData>
            </a:graphic>
          </wp:inline>
        </w:drawing>
      </w:r>
    </w:p>
    <w:p w:rsidR="009D4DBE" w:rsidRDefault="009D4DBE" w:rsidP="009D4DBE">
      <w:pPr>
        <w:rPr>
          <w:rFonts w:cs="Arial"/>
          <w:b/>
        </w:rPr>
      </w:pPr>
      <w:r>
        <w:rPr>
          <w:rFonts w:cs="Arial"/>
          <w:b/>
        </w:rPr>
        <w:br w:type="page"/>
      </w:r>
    </w:p>
    <w:p w:rsidR="009D4DBE" w:rsidRDefault="009D4DBE" w:rsidP="009D4DBE">
      <w:pPr>
        <w:rPr>
          <w:rFonts w:cs="Arial"/>
          <w:b/>
        </w:rPr>
      </w:pPr>
      <w:r w:rsidRPr="004D5885">
        <w:rPr>
          <w:noProof/>
        </w:rPr>
        <w:lastRenderedPageBreak/>
        <w:drawing>
          <wp:inline distT="0" distB="0" distL="0" distR="0" wp14:anchorId="5E14710B" wp14:editId="51418EEF">
            <wp:extent cx="6120130" cy="7085583"/>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120130" cy="7085583"/>
                    </a:xfrm>
                    <a:prstGeom prst="rect">
                      <a:avLst/>
                    </a:prstGeom>
                    <a:noFill/>
                    <a:ln>
                      <a:noFill/>
                    </a:ln>
                  </pic:spPr>
                </pic:pic>
              </a:graphicData>
            </a:graphic>
          </wp:inline>
        </w:drawing>
      </w:r>
    </w:p>
    <w:p w:rsidR="009D4DBE" w:rsidRDefault="009D4DBE" w:rsidP="009D4DBE">
      <w:pPr>
        <w:rPr>
          <w:rFonts w:cs="Arial"/>
          <w:b/>
        </w:rPr>
      </w:pPr>
      <w:r>
        <w:rPr>
          <w:rFonts w:cs="Arial"/>
          <w:b/>
        </w:rPr>
        <w:br w:type="page"/>
      </w:r>
    </w:p>
    <w:p w:rsidR="009D4DBE" w:rsidRDefault="009D4DBE" w:rsidP="009D4DBE">
      <w:pPr>
        <w:rPr>
          <w:rFonts w:cs="Arial"/>
          <w:b/>
        </w:rPr>
      </w:pPr>
      <w:r w:rsidRPr="004D5885">
        <w:rPr>
          <w:noProof/>
        </w:rPr>
        <w:lastRenderedPageBreak/>
        <w:drawing>
          <wp:inline distT="0" distB="0" distL="0" distR="0" wp14:anchorId="5B153BCB" wp14:editId="58A3B3D6">
            <wp:extent cx="6120130" cy="7085583"/>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120130" cy="7085583"/>
                    </a:xfrm>
                    <a:prstGeom prst="rect">
                      <a:avLst/>
                    </a:prstGeom>
                    <a:noFill/>
                    <a:ln>
                      <a:noFill/>
                    </a:ln>
                  </pic:spPr>
                </pic:pic>
              </a:graphicData>
            </a:graphic>
          </wp:inline>
        </w:drawing>
      </w:r>
    </w:p>
    <w:p w:rsidR="009D4DBE" w:rsidRDefault="009D4DBE" w:rsidP="009D4DBE">
      <w:pPr>
        <w:rPr>
          <w:rFonts w:cs="Arial"/>
          <w:b/>
        </w:rPr>
      </w:pPr>
      <w:r>
        <w:rPr>
          <w:rFonts w:cs="Arial"/>
          <w:b/>
        </w:rPr>
        <w:br w:type="page"/>
      </w:r>
    </w:p>
    <w:p w:rsidR="009D4DBE" w:rsidRDefault="009D4DBE" w:rsidP="009D4DBE">
      <w:pPr>
        <w:rPr>
          <w:rFonts w:cs="Arial"/>
          <w:b/>
        </w:rPr>
      </w:pPr>
    </w:p>
    <w:p w:rsidR="009D4DBE" w:rsidRDefault="009D4DBE" w:rsidP="009D4DBE">
      <w:pPr>
        <w:rPr>
          <w:rFonts w:cs="Arial"/>
          <w:b/>
        </w:rPr>
      </w:pPr>
      <w:r w:rsidRPr="00C92303">
        <w:rPr>
          <w:noProof/>
        </w:rPr>
        <w:drawing>
          <wp:anchor distT="0" distB="0" distL="114300" distR="114300" simplePos="0" relativeHeight="251680256" behindDoc="0" locked="0" layoutInCell="1" allowOverlap="1" wp14:anchorId="1B36F176" wp14:editId="25D9F1BE">
            <wp:simplePos x="0" y="0"/>
            <wp:positionH relativeFrom="column">
              <wp:posOffset>-813435</wp:posOffset>
            </wp:positionH>
            <wp:positionV relativeFrom="paragraph">
              <wp:posOffset>1107440</wp:posOffset>
            </wp:positionV>
            <wp:extent cx="7663815" cy="6067425"/>
            <wp:effectExtent l="0" t="1905" r="0" b="0"/>
            <wp:wrapTopAndBottom/>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rot="16200000">
                      <a:off x="0" y="0"/>
                      <a:ext cx="7663815" cy="6067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rPr>
        <w:br w:type="page"/>
      </w:r>
    </w:p>
    <w:p w:rsidR="009D4DBE" w:rsidRDefault="009D4DBE" w:rsidP="009D4DBE">
      <w:pPr>
        <w:rPr>
          <w:rFonts w:cs="Arial"/>
          <w:b/>
        </w:rPr>
      </w:pPr>
      <w:r w:rsidRPr="00C92303">
        <w:rPr>
          <w:noProof/>
        </w:rPr>
        <w:lastRenderedPageBreak/>
        <w:drawing>
          <wp:inline distT="0" distB="0" distL="0" distR="0" wp14:anchorId="351BD081" wp14:editId="071AAD79">
            <wp:extent cx="6120130" cy="7211511"/>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120130" cy="7211511"/>
                    </a:xfrm>
                    <a:prstGeom prst="rect">
                      <a:avLst/>
                    </a:prstGeom>
                    <a:noFill/>
                    <a:ln>
                      <a:noFill/>
                    </a:ln>
                  </pic:spPr>
                </pic:pic>
              </a:graphicData>
            </a:graphic>
          </wp:inline>
        </w:drawing>
      </w:r>
    </w:p>
    <w:p w:rsidR="009D4DBE" w:rsidRDefault="009D4DBE" w:rsidP="009D4DBE">
      <w:pPr>
        <w:rPr>
          <w:rFonts w:cs="Arial"/>
          <w:b/>
        </w:rPr>
      </w:pPr>
      <w:r>
        <w:rPr>
          <w:rFonts w:cs="Arial"/>
          <w:b/>
        </w:rPr>
        <w:br w:type="page"/>
      </w:r>
    </w:p>
    <w:p w:rsidR="009D4DBE" w:rsidRDefault="009D4DBE" w:rsidP="009D4DBE">
      <w:pPr>
        <w:rPr>
          <w:rFonts w:cs="Arial"/>
          <w:b/>
        </w:rPr>
      </w:pPr>
      <w:r w:rsidRPr="00C92303">
        <w:rPr>
          <w:noProof/>
        </w:rPr>
        <w:lastRenderedPageBreak/>
        <w:drawing>
          <wp:inline distT="0" distB="0" distL="0" distR="0" wp14:anchorId="257DAECF" wp14:editId="61A80959">
            <wp:extent cx="6096000" cy="6489290"/>
            <wp:effectExtent l="0" t="0" r="0" b="6985"/>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7">
                      <a:extLst>
                        <a:ext uri="{28A0092B-C50C-407E-A947-70E740481C1C}">
                          <a14:useLocalDpi xmlns:a14="http://schemas.microsoft.com/office/drawing/2010/main" val="0"/>
                        </a:ext>
                      </a:extLst>
                    </a:blip>
                    <a:srcRect r="3476"/>
                    <a:stretch/>
                  </pic:blipFill>
                  <pic:spPr bwMode="auto">
                    <a:xfrm>
                      <a:off x="0" y="0"/>
                      <a:ext cx="6097946" cy="6491362"/>
                    </a:xfrm>
                    <a:prstGeom prst="rect">
                      <a:avLst/>
                    </a:prstGeom>
                    <a:noFill/>
                    <a:ln>
                      <a:noFill/>
                    </a:ln>
                    <a:extLst>
                      <a:ext uri="{53640926-AAD7-44D8-BBD7-CCE9431645EC}">
                        <a14:shadowObscured xmlns:a14="http://schemas.microsoft.com/office/drawing/2010/main"/>
                      </a:ext>
                    </a:extLst>
                  </pic:spPr>
                </pic:pic>
              </a:graphicData>
            </a:graphic>
          </wp:inline>
        </w:drawing>
      </w:r>
    </w:p>
    <w:p w:rsidR="009D4DBE" w:rsidRDefault="009D4DBE" w:rsidP="009D4DBE">
      <w:pPr>
        <w:rPr>
          <w:rFonts w:cs="Arial"/>
          <w:b/>
        </w:rPr>
      </w:pPr>
      <w:r>
        <w:rPr>
          <w:rFonts w:cs="Arial"/>
          <w:b/>
        </w:rPr>
        <w:br w:type="page"/>
      </w:r>
    </w:p>
    <w:p w:rsidR="009D4DBE" w:rsidRDefault="009D4DBE" w:rsidP="009D4DBE">
      <w:pPr>
        <w:rPr>
          <w:rFonts w:cs="Arial"/>
          <w:b/>
        </w:rPr>
      </w:pPr>
    </w:p>
    <w:p w:rsidR="009D4DBE" w:rsidRDefault="009D4DBE" w:rsidP="009D4DBE">
      <w:pPr>
        <w:rPr>
          <w:rFonts w:cs="Arial"/>
          <w:b/>
        </w:rPr>
      </w:pPr>
      <w:r w:rsidRPr="00C92303">
        <w:rPr>
          <w:noProof/>
        </w:rPr>
        <w:drawing>
          <wp:anchor distT="0" distB="0" distL="114300" distR="114300" simplePos="0" relativeHeight="251681280" behindDoc="0" locked="0" layoutInCell="1" allowOverlap="1" wp14:anchorId="067B867C" wp14:editId="4BE2ECC8">
            <wp:simplePos x="0" y="0"/>
            <wp:positionH relativeFrom="column">
              <wp:posOffset>-805815</wp:posOffset>
            </wp:positionH>
            <wp:positionV relativeFrom="paragraph">
              <wp:posOffset>1147445</wp:posOffset>
            </wp:positionV>
            <wp:extent cx="7687945" cy="6086475"/>
            <wp:effectExtent l="635" t="0" r="8890" b="8890"/>
            <wp:wrapTopAndBottom/>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rot="16200000">
                      <a:off x="0" y="0"/>
                      <a:ext cx="7687945" cy="6086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rPr>
        <w:br w:type="page"/>
      </w:r>
    </w:p>
    <w:p w:rsidR="009D4DBE" w:rsidRDefault="009D4DBE" w:rsidP="009D4DBE">
      <w:pPr>
        <w:rPr>
          <w:rFonts w:cs="Arial"/>
          <w:b/>
        </w:rPr>
      </w:pPr>
      <w:r w:rsidRPr="00C92303">
        <w:rPr>
          <w:noProof/>
        </w:rPr>
        <w:lastRenderedPageBreak/>
        <w:drawing>
          <wp:inline distT="0" distB="0" distL="0" distR="0" wp14:anchorId="5BA2952A" wp14:editId="0741444D">
            <wp:extent cx="6120130" cy="7198884"/>
            <wp:effectExtent l="0" t="0" r="0" b="2540"/>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120130" cy="7198884"/>
                    </a:xfrm>
                    <a:prstGeom prst="rect">
                      <a:avLst/>
                    </a:prstGeom>
                    <a:noFill/>
                    <a:ln>
                      <a:noFill/>
                    </a:ln>
                  </pic:spPr>
                </pic:pic>
              </a:graphicData>
            </a:graphic>
          </wp:inline>
        </w:drawing>
      </w:r>
    </w:p>
    <w:p w:rsidR="009D4DBE" w:rsidRDefault="009D4DBE" w:rsidP="009D4DBE">
      <w:pPr>
        <w:rPr>
          <w:rFonts w:cs="Arial"/>
          <w:b/>
        </w:rPr>
      </w:pPr>
      <w:r>
        <w:rPr>
          <w:rFonts w:cs="Arial"/>
          <w:b/>
        </w:rPr>
        <w:br w:type="page"/>
      </w:r>
    </w:p>
    <w:p w:rsidR="009D4DBE" w:rsidRDefault="009D4DBE" w:rsidP="009D4DBE">
      <w:pPr>
        <w:rPr>
          <w:rFonts w:cs="Arial"/>
          <w:b/>
        </w:rPr>
      </w:pPr>
      <w:r w:rsidRPr="0066123F">
        <w:rPr>
          <w:noProof/>
        </w:rPr>
        <w:lastRenderedPageBreak/>
        <w:drawing>
          <wp:inline distT="0" distB="0" distL="0" distR="0" wp14:anchorId="6DE601DB" wp14:editId="2BE21E21">
            <wp:extent cx="6120130" cy="7198884"/>
            <wp:effectExtent l="0" t="0" r="0" b="2540"/>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120130" cy="7198884"/>
                    </a:xfrm>
                    <a:prstGeom prst="rect">
                      <a:avLst/>
                    </a:prstGeom>
                    <a:noFill/>
                    <a:ln>
                      <a:noFill/>
                    </a:ln>
                  </pic:spPr>
                </pic:pic>
              </a:graphicData>
            </a:graphic>
          </wp:inline>
        </w:drawing>
      </w:r>
    </w:p>
    <w:p w:rsidR="009D4DBE" w:rsidRDefault="009D4DBE" w:rsidP="009D4DBE">
      <w:pPr>
        <w:rPr>
          <w:rFonts w:cs="Arial"/>
          <w:b/>
        </w:rPr>
      </w:pPr>
      <w:r>
        <w:rPr>
          <w:rFonts w:cs="Arial"/>
          <w:b/>
        </w:rPr>
        <w:br w:type="page"/>
      </w:r>
    </w:p>
    <w:p w:rsidR="009D4DBE" w:rsidRDefault="009D4DBE" w:rsidP="009D4DBE">
      <w:pPr>
        <w:rPr>
          <w:rFonts w:cs="Arial"/>
          <w:b/>
        </w:rPr>
      </w:pPr>
      <w:r w:rsidRPr="008304AA">
        <w:rPr>
          <w:noProof/>
        </w:rPr>
        <w:lastRenderedPageBreak/>
        <w:drawing>
          <wp:inline distT="0" distB="0" distL="0" distR="0" wp14:anchorId="1CAA9D4D" wp14:editId="5861471F">
            <wp:extent cx="6120130" cy="6391314"/>
            <wp:effectExtent l="0" t="0" r="0" b="9525"/>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120130" cy="6391314"/>
                    </a:xfrm>
                    <a:prstGeom prst="rect">
                      <a:avLst/>
                    </a:prstGeom>
                    <a:noFill/>
                    <a:ln>
                      <a:noFill/>
                    </a:ln>
                  </pic:spPr>
                </pic:pic>
              </a:graphicData>
            </a:graphic>
          </wp:inline>
        </w:drawing>
      </w:r>
    </w:p>
    <w:p w:rsidR="009D4DBE" w:rsidRDefault="009D4DBE" w:rsidP="009D4DBE">
      <w:pPr>
        <w:rPr>
          <w:rFonts w:cs="Arial"/>
          <w:b/>
        </w:rPr>
      </w:pPr>
      <w:r>
        <w:rPr>
          <w:rFonts w:cs="Arial"/>
          <w:b/>
        </w:rPr>
        <w:br w:type="page"/>
      </w:r>
    </w:p>
    <w:p w:rsidR="009D4DBE" w:rsidRDefault="009D4DBE" w:rsidP="009D4DBE">
      <w:pPr>
        <w:rPr>
          <w:rFonts w:cs="Arial"/>
          <w:b/>
        </w:rPr>
      </w:pPr>
      <w:r w:rsidRPr="0045720E">
        <w:rPr>
          <w:noProof/>
        </w:rPr>
        <w:lastRenderedPageBreak/>
        <w:drawing>
          <wp:inline distT="0" distB="0" distL="0" distR="0" wp14:anchorId="26F25A49" wp14:editId="3A7E7D2F">
            <wp:extent cx="6120130" cy="5908883"/>
            <wp:effectExtent l="0" t="0" r="0" b="0"/>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120130" cy="5908883"/>
                    </a:xfrm>
                    <a:prstGeom prst="rect">
                      <a:avLst/>
                    </a:prstGeom>
                    <a:noFill/>
                    <a:ln>
                      <a:noFill/>
                    </a:ln>
                  </pic:spPr>
                </pic:pic>
              </a:graphicData>
            </a:graphic>
          </wp:inline>
        </w:drawing>
      </w:r>
    </w:p>
    <w:p w:rsidR="009D4DBE" w:rsidRDefault="009D4DBE" w:rsidP="009D4DBE">
      <w:pPr>
        <w:rPr>
          <w:rFonts w:cs="Arial"/>
          <w:b/>
        </w:rPr>
      </w:pPr>
      <w:r>
        <w:rPr>
          <w:rFonts w:cs="Arial"/>
          <w:b/>
        </w:rPr>
        <w:br w:type="page"/>
      </w:r>
    </w:p>
    <w:p w:rsidR="009D4DBE" w:rsidRDefault="009D4DBE" w:rsidP="009D4DBE">
      <w:pPr>
        <w:rPr>
          <w:rFonts w:cs="Arial"/>
          <w:b/>
        </w:rPr>
      </w:pPr>
    </w:p>
    <w:p w:rsidR="009D4DBE" w:rsidRDefault="009D4DBE" w:rsidP="009D4DBE">
      <w:pPr>
        <w:rPr>
          <w:rFonts w:cs="Arial"/>
          <w:b/>
        </w:rPr>
      </w:pPr>
      <w:r w:rsidRPr="0045720E">
        <w:rPr>
          <w:noProof/>
        </w:rPr>
        <w:drawing>
          <wp:anchor distT="0" distB="0" distL="114300" distR="114300" simplePos="0" relativeHeight="251684352" behindDoc="0" locked="0" layoutInCell="1" allowOverlap="1" wp14:anchorId="219545AC" wp14:editId="769EA9E7">
            <wp:simplePos x="0" y="0"/>
            <wp:positionH relativeFrom="column">
              <wp:posOffset>-49530</wp:posOffset>
            </wp:positionH>
            <wp:positionV relativeFrom="paragraph">
              <wp:posOffset>1057275</wp:posOffset>
            </wp:positionV>
            <wp:extent cx="6224270" cy="6120130"/>
            <wp:effectExtent l="0" t="5080" r="0" b="0"/>
            <wp:wrapTopAndBottom/>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rot="16200000">
                      <a:off x="0" y="0"/>
                      <a:ext cx="6224270" cy="6120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rPr>
        <w:br w:type="page"/>
      </w:r>
    </w:p>
    <w:p w:rsidR="009D4DBE" w:rsidRDefault="005116D6" w:rsidP="009D4DBE">
      <w:pPr>
        <w:rPr>
          <w:rFonts w:cs="Arial"/>
          <w:b/>
        </w:rPr>
      </w:pPr>
      <w:r w:rsidRPr="005116D6">
        <w:rPr>
          <w:noProof/>
        </w:rPr>
        <w:lastRenderedPageBreak/>
        <w:drawing>
          <wp:inline distT="0" distB="0" distL="0" distR="0" wp14:anchorId="787050C0" wp14:editId="07D6BECE">
            <wp:extent cx="6120130" cy="7411816"/>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6120130" cy="7411816"/>
                    </a:xfrm>
                    <a:prstGeom prst="rect">
                      <a:avLst/>
                    </a:prstGeom>
                    <a:noFill/>
                    <a:ln>
                      <a:noFill/>
                    </a:ln>
                  </pic:spPr>
                </pic:pic>
              </a:graphicData>
            </a:graphic>
          </wp:inline>
        </w:drawing>
      </w:r>
    </w:p>
    <w:p w:rsidR="009D4DBE" w:rsidRDefault="009D4DBE" w:rsidP="009D4DBE">
      <w:pPr>
        <w:rPr>
          <w:rFonts w:cs="Arial"/>
          <w:b/>
        </w:rPr>
      </w:pPr>
      <w:r>
        <w:rPr>
          <w:rFonts w:cs="Arial"/>
          <w:b/>
        </w:rPr>
        <w:br w:type="page"/>
      </w:r>
    </w:p>
    <w:p w:rsidR="009D4DBE" w:rsidRDefault="00F75D08" w:rsidP="009D4DBE">
      <w:pPr>
        <w:rPr>
          <w:rFonts w:cs="Arial"/>
          <w:b/>
        </w:rPr>
      </w:pPr>
      <w:r w:rsidRPr="00F75D08">
        <w:rPr>
          <w:noProof/>
        </w:rPr>
        <w:lastRenderedPageBreak/>
        <w:drawing>
          <wp:inline distT="0" distB="0" distL="0" distR="0" wp14:anchorId="0F4E1A23" wp14:editId="424D6A43">
            <wp:extent cx="6120130" cy="6533561"/>
            <wp:effectExtent l="0" t="0" r="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120130" cy="6533561"/>
                    </a:xfrm>
                    <a:prstGeom prst="rect">
                      <a:avLst/>
                    </a:prstGeom>
                    <a:noFill/>
                    <a:ln>
                      <a:noFill/>
                    </a:ln>
                  </pic:spPr>
                </pic:pic>
              </a:graphicData>
            </a:graphic>
          </wp:inline>
        </w:drawing>
      </w:r>
    </w:p>
    <w:p w:rsidR="009D4DBE" w:rsidRDefault="009D4DBE" w:rsidP="009D4DBE">
      <w:pPr>
        <w:rPr>
          <w:rFonts w:cs="Arial"/>
          <w:b/>
        </w:rPr>
      </w:pPr>
      <w:r>
        <w:rPr>
          <w:rFonts w:cs="Arial"/>
          <w:b/>
        </w:rPr>
        <w:br w:type="page"/>
      </w:r>
    </w:p>
    <w:p w:rsidR="009D4DBE" w:rsidRDefault="009D4DBE" w:rsidP="009D4DBE">
      <w:pPr>
        <w:rPr>
          <w:rFonts w:cs="Arial"/>
          <w:b/>
        </w:rPr>
      </w:pPr>
      <w:r w:rsidRPr="00E143E7">
        <w:rPr>
          <w:noProof/>
        </w:rPr>
        <w:lastRenderedPageBreak/>
        <w:drawing>
          <wp:inline distT="0" distB="0" distL="0" distR="0" wp14:anchorId="55A9834F" wp14:editId="631F516D">
            <wp:extent cx="6143625" cy="5886404"/>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06">
                      <a:extLst>
                        <a:ext uri="{28A0092B-C50C-407E-A947-70E740481C1C}">
                          <a14:useLocalDpi xmlns:a14="http://schemas.microsoft.com/office/drawing/2010/main" val="0"/>
                        </a:ext>
                      </a:extLst>
                    </a:blip>
                    <a:srcRect r="3318"/>
                    <a:stretch/>
                  </pic:blipFill>
                  <pic:spPr bwMode="auto">
                    <a:xfrm>
                      <a:off x="0" y="0"/>
                      <a:ext cx="6145773" cy="5888462"/>
                    </a:xfrm>
                    <a:prstGeom prst="rect">
                      <a:avLst/>
                    </a:prstGeom>
                    <a:noFill/>
                    <a:ln>
                      <a:noFill/>
                    </a:ln>
                    <a:extLst>
                      <a:ext uri="{53640926-AAD7-44D8-BBD7-CCE9431645EC}">
                        <a14:shadowObscured xmlns:a14="http://schemas.microsoft.com/office/drawing/2010/main"/>
                      </a:ext>
                    </a:extLst>
                  </pic:spPr>
                </pic:pic>
              </a:graphicData>
            </a:graphic>
          </wp:inline>
        </w:drawing>
      </w:r>
    </w:p>
    <w:p w:rsidR="009D4DBE" w:rsidRDefault="009D4DBE" w:rsidP="009D4DBE">
      <w:pPr>
        <w:rPr>
          <w:rFonts w:cs="Arial"/>
          <w:b/>
        </w:rPr>
      </w:pPr>
      <w:r>
        <w:rPr>
          <w:rFonts w:cs="Arial"/>
          <w:b/>
        </w:rPr>
        <w:br w:type="page"/>
      </w:r>
    </w:p>
    <w:p w:rsidR="009D4DBE" w:rsidRDefault="009D4DBE" w:rsidP="009D4DBE">
      <w:pPr>
        <w:rPr>
          <w:rFonts w:cs="Arial"/>
          <w:b/>
        </w:rPr>
      </w:pPr>
      <w:r w:rsidRPr="00CC51D0">
        <w:rPr>
          <w:noProof/>
        </w:rPr>
        <w:lastRenderedPageBreak/>
        <w:drawing>
          <wp:inline distT="0" distB="0" distL="0" distR="0" wp14:anchorId="4383B9BC" wp14:editId="2F7933CB">
            <wp:extent cx="6105525" cy="5349992"/>
            <wp:effectExtent l="0" t="0" r="0" b="0"/>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107">
                      <a:extLst>
                        <a:ext uri="{28A0092B-C50C-407E-A947-70E740481C1C}">
                          <a14:useLocalDpi xmlns:a14="http://schemas.microsoft.com/office/drawing/2010/main" val="0"/>
                        </a:ext>
                      </a:extLst>
                    </a:blip>
                    <a:srcRect r="6937"/>
                    <a:stretch/>
                  </pic:blipFill>
                  <pic:spPr bwMode="auto">
                    <a:xfrm>
                      <a:off x="0" y="0"/>
                      <a:ext cx="6105072" cy="5349595"/>
                    </a:xfrm>
                    <a:prstGeom prst="rect">
                      <a:avLst/>
                    </a:prstGeom>
                    <a:noFill/>
                    <a:ln>
                      <a:noFill/>
                    </a:ln>
                    <a:extLst>
                      <a:ext uri="{53640926-AAD7-44D8-BBD7-CCE9431645EC}">
                        <a14:shadowObscured xmlns:a14="http://schemas.microsoft.com/office/drawing/2010/main"/>
                      </a:ext>
                    </a:extLst>
                  </pic:spPr>
                </pic:pic>
              </a:graphicData>
            </a:graphic>
          </wp:inline>
        </w:drawing>
      </w:r>
    </w:p>
    <w:p w:rsidR="009D4DBE" w:rsidRDefault="009D4DBE" w:rsidP="009D4DBE">
      <w:pPr>
        <w:rPr>
          <w:rFonts w:cs="Arial"/>
          <w:b/>
        </w:rPr>
      </w:pPr>
      <w:r>
        <w:rPr>
          <w:rFonts w:cs="Arial"/>
          <w:b/>
        </w:rPr>
        <w:br w:type="page"/>
      </w:r>
    </w:p>
    <w:p w:rsidR="009D4DBE" w:rsidRDefault="009D4DBE" w:rsidP="009D4DBE">
      <w:pPr>
        <w:rPr>
          <w:rFonts w:cs="Arial"/>
          <w:b/>
        </w:rPr>
      </w:pPr>
      <w:r w:rsidRPr="00E143E7">
        <w:rPr>
          <w:noProof/>
        </w:rPr>
        <w:lastRenderedPageBreak/>
        <w:drawing>
          <wp:inline distT="0" distB="0" distL="0" distR="0" wp14:anchorId="57C4CC0F" wp14:editId="33D54912">
            <wp:extent cx="6115050" cy="5634436"/>
            <wp:effectExtent l="0" t="0" r="0" b="0"/>
            <wp:docPr id="90" name="Obráze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08">
                      <a:extLst>
                        <a:ext uri="{28A0092B-C50C-407E-A947-70E740481C1C}">
                          <a14:useLocalDpi xmlns:a14="http://schemas.microsoft.com/office/drawing/2010/main" val="0"/>
                        </a:ext>
                      </a:extLst>
                    </a:blip>
                    <a:srcRect r="6953"/>
                    <a:stretch/>
                  </pic:blipFill>
                  <pic:spPr bwMode="auto">
                    <a:xfrm>
                      <a:off x="0" y="0"/>
                      <a:ext cx="6113594" cy="5633094"/>
                    </a:xfrm>
                    <a:prstGeom prst="rect">
                      <a:avLst/>
                    </a:prstGeom>
                    <a:noFill/>
                    <a:ln>
                      <a:noFill/>
                    </a:ln>
                    <a:extLst>
                      <a:ext uri="{53640926-AAD7-44D8-BBD7-CCE9431645EC}">
                        <a14:shadowObscured xmlns:a14="http://schemas.microsoft.com/office/drawing/2010/main"/>
                      </a:ext>
                    </a:extLst>
                  </pic:spPr>
                </pic:pic>
              </a:graphicData>
            </a:graphic>
          </wp:inline>
        </w:drawing>
      </w:r>
    </w:p>
    <w:p w:rsidR="009D4DBE" w:rsidRDefault="009D4DBE" w:rsidP="009D4DBE">
      <w:pPr>
        <w:rPr>
          <w:rFonts w:cs="Arial"/>
          <w:b/>
        </w:rPr>
      </w:pPr>
      <w:r>
        <w:rPr>
          <w:rFonts w:cs="Arial"/>
          <w:b/>
        </w:rPr>
        <w:br w:type="page"/>
      </w:r>
    </w:p>
    <w:p w:rsidR="009D4DBE" w:rsidRDefault="00A02152" w:rsidP="009D4DBE">
      <w:pPr>
        <w:rPr>
          <w:rFonts w:cs="Arial"/>
          <w:b/>
        </w:rPr>
      </w:pPr>
      <w:r w:rsidRPr="00E143E7">
        <w:rPr>
          <w:noProof/>
        </w:rPr>
        <w:lastRenderedPageBreak/>
        <w:drawing>
          <wp:anchor distT="0" distB="0" distL="114300" distR="114300" simplePos="0" relativeHeight="251686400" behindDoc="0" locked="0" layoutInCell="1" allowOverlap="1" wp14:anchorId="0916BF02" wp14:editId="48AA7675">
            <wp:simplePos x="0" y="0"/>
            <wp:positionH relativeFrom="column">
              <wp:posOffset>3810</wp:posOffset>
            </wp:positionH>
            <wp:positionV relativeFrom="paragraph">
              <wp:posOffset>13335</wp:posOffset>
            </wp:positionV>
            <wp:extent cx="5896610" cy="6381750"/>
            <wp:effectExtent l="0" t="0" r="8890" b="0"/>
            <wp:wrapTopAndBottom/>
            <wp:docPr id="91" name="Obráze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09">
                      <a:extLst>
                        <a:ext uri="{28A0092B-C50C-407E-A947-70E740481C1C}">
                          <a14:useLocalDpi xmlns:a14="http://schemas.microsoft.com/office/drawing/2010/main" val="0"/>
                        </a:ext>
                      </a:extLst>
                    </a:blip>
                    <a:srcRect r="10907"/>
                    <a:stretch/>
                  </pic:blipFill>
                  <pic:spPr bwMode="auto">
                    <a:xfrm>
                      <a:off x="0" y="0"/>
                      <a:ext cx="5896610" cy="6381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4DBE" w:rsidRDefault="009D4DBE" w:rsidP="009D4DBE">
      <w:pPr>
        <w:rPr>
          <w:rFonts w:cs="Arial"/>
          <w:b/>
        </w:rPr>
      </w:pPr>
      <w:r>
        <w:rPr>
          <w:rFonts w:cs="Arial"/>
          <w:b/>
        </w:rPr>
        <w:br w:type="page"/>
      </w:r>
    </w:p>
    <w:p w:rsidR="009D4DBE" w:rsidRDefault="00A02152" w:rsidP="009D4DBE">
      <w:pPr>
        <w:rPr>
          <w:rFonts w:cs="Arial"/>
          <w:b/>
        </w:rPr>
      </w:pPr>
      <w:r w:rsidRPr="003C3289">
        <w:rPr>
          <w:noProof/>
        </w:rPr>
        <w:lastRenderedPageBreak/>
        <w:drawing>
          <wp:anchor distT="0" distB="0" distL="114300" distR="114300" simplePos="0" relativeHeight="251687424" behindDoc="0" locked="0" layoutInCell="1" allowOverlap="1" wp14:anchorId="1A0C4977" wp14:editId="646B241C">
            <wp:simplePos x="0" y="0"/>
            <wp:positionH relativeFrom="column">
              <wp:posOffset>6350</wp:posOffset>
            </wp:positionH>
            <wp:positionV relativeFrom="paragraph">
              <wp:posOffset>32385</wp:posOffset>
            </wp:positionV>
            <wp:extent cx="5476875" cy="6747510"/>
            <wp:effectExtent l="0" t="0" r="9525" b="0"/>
            <wp:wrapTopAndBottom/>
            <wp:docPr id="92" name="Obráze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10">
                      <a:extLst>
                        <a:ext uri="{28A0092B-C50C-407E-A947-70E740481C1C}">
                          <a14:useLocalDpi xmlns:a14="http://schemas.microsoft.com/office/drawing/2010/main" val="0"/>
                        </a:ext>
                      </a:extLst>
                    </a:blip>
                    <a:srcRect r="10848"/>
                    <a:stretch/>
                  </pic:blipFill>
                  <pic:spPr bwMode="auto">
                    <a:xfrm>
                      <a:off x="0" y="0"/>
                      <a:ext cx="5476875" cy="6747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4DBE" w:rsidRDefault="009D4DBE" w:rsidP="009D4DBE">
      <w:pPr>
        <w:rPr>
          <w:rFonts w:cs="Arial"/>
          <w:b/>
        </w:rPr>
      </w:pPr>
      <w:r>
        <w:rPr>
          <w:rFonts w:cs="Arial"/>
          <w:b/>
        </w:rPr>
        <w:br w:type="page"/>
      </w:r>
    </w:p>
    <w:p w:rsidR="009D4DBE" w:rsidRDefault="009D4DBE" w:rsidP="009D4DBE">
      <w:pPr>
        <w:rPr>
          <w:rFonts w:cs="Arial"/>
          <w:b/>
        </w:rPr>
      </w:pPr>
      <w:r w:rsidRPr="003C3289">
        <w:rPr>
          <w:noProof/>
        </w:rPr>
        <w:lastRenderedPageBreak/>
        <w:drawing>
          <wp:inline distT="0" distB="0" distL="0" distR="0" wp14:anchorId="18A1A1D1" wp14:editId="0BC98541">
            <wp:extent cx="5208619" cy="6248400"/>
            <wp:effectExtent l="0" t="0" r="0" b="0"/>
            <wp:docPr id="93" name="Obrá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11">
                      <a:extLst>
                        <a:ext uri="{28A0092B-C50C-407E-A947-70E740481C1C}">
                          <a14:useLocalDpi xmlns:a14="http://schemas.microsoft.com/office/drawing/2010/main" val="0"/>
                        </a:ext>
                      </a:extLst>
                    </a:blip>
                    <a:srcRect r="6293"/>
                    <a:stretch/>
                  </pic:blipFill>
                  <pic:spPr bwMode="auto">
                    <a:xfrm>
                      <a:off x="0" y="0"/>
                      <a:ext cx="5217073" cy="6258542"/>
                    </a:xfrm>
                    <a:prstGeom prst="rect">
                      <a:avLst/>
                    </a:prstGeom>
                    <a:noFill/>
                    <a:ln>
                      <a:noFill/>
                    </a:ln>
                    <a:extLst>
                      <a:ext uri="{53640926-AAD7-44D8-BBD7-CCE9431645EC}">
                        <a14:shadowObscured xmlns:a14="http://schemas.microsoft.com/office/drawing/2010/main"/>
                      </a:ext>
                    </a:extLst>
                  </pic:spPr>
                </pic:pic>
              </a:graphicData>
            </a:graphic>
          </wp:inline>
        </w:drawing>
      </w:r>
    </w:p>
    <w:p w:rsidR="009D4DBE" w:rsidRDefault="009D4DBE" w:rsidP="009D4DBE">
      <w:pPr>
        <w:rPr>
          <w:rFonts w:cs="Arial"/>
          <w:b/>
        </w:rPr>
      </w:pPr>
      <w:r>
        <w:rPr>
          <w:rFonts w:cs="Arial"/>
          <w:b/>
        </w:rPr>
        <w:br w:type="page"/>
      </w:r>
    </w:p>
    <w:p w:rsidR="009D4DBE" w:rsidRDefault="009D4DBE" w:rsidP="009D4DBE">
      <w:pPr>
        <w:rPr>
          <w:rFonts w:cs="Arial"/>
          <w:b/>
        </w:rPr>
      </w:pPr>
      <w:r w:rsidRPr="003C3289">
        <w:rPr>
          <w:noProof/>
        </w:rPr>
        <w:lastRenderedPageBreak/>
        <w:drawing>
          <wp:inline distT="0" distB="0" distL="0" distR="0" wp14:anchorId="4D09B62D" wp14:editId="089EB298">
            <wp:extent cx="6097028" cy="4991100"/>
            <wp:effectExtent l="0" t="0" r="0" b="0"/>
            <wp:docPr id="94" name="Obráze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12">
                      <a:extLst>
                        <a:ext uri="{28A0092B-C50C-407E-A947-70E740481C1C}">
                          <a14:useLocalDpi xmlns:a14="http://schemas.microsoft.com/office/drawing/2010/main" val="0"/>
                        </a:ext>
                      </a:extLst>
                    </a:blip>
                    <a:srcRect r="1358"/>
                    <a:stretch/>
                  </pic:blipFill>
                  <pic:spPr bwMode="auto">
                    <a:xfrm>
                      <a:off x="0" y="0"/>
                      <a:ext cx="6095166" cy="4989575"/>
                    </a:xfrm>
                    <a:prstGeom prst="rect">
                      <a:avLst/>
                    </a:prstGeom>
                    <a:noFill/>
                    <a:ln>
                      <a:noFill/>
                    </a:ln>
                    <a:extLst>
                      <a:ext uri="{53640926-AAD7-44D8-BBD7-CCE9431645EC}">
                        <a14:shadowObscured xmlns:a14="http://schemas.microsoft.com/office/drawing/2010/main"/>
                      </a:ext>
                    </a:extLst>
                  </pic:spPr>
                </pic:pic>
              </a:graphicData>
            </a:graphic>
          </wp:inline>
        </w:drawing>
      </w:r>
    </w:p>
    <w:p w:rsidR="009D4DBE" w:rsidRDefault="009D4DBE" w:rsidP="009D4DBE">
      <w:pPr>
        <w:rPr>
          <w:rFonts w:cs="Arial"/>
          <w:b/>
        </w:rPr>
      </w:pPr>
      <w:r>
        <w:rPr>
          <w:rFonts w:cs="Arial"/>
          <w:b/>
        </w:rPr>
        <w:br w:type="page"/>
      </w:r>
    </w:p>
    <w:p w:rsidR="009D4DBE" w:rsidRDefault="00A02152" w:rsidP="009D4DBE">
      <w:pPr>
        <w:rPr>
          <w:rFonts w:cs="Arial"/>
          <w:b/>
        </w:rPr>
      </w:pPr>
      <w:r w:rsidRPr="003C3289">
        <w:rPr>
          <w:noProof/>
        </w:rPr>
        <w:lastRenderedPageBreak/>
        <w:drawing>
          <wp:anchor distT="0" distB="0" distL="114300" distR="114300" simplePos="0" relativeHeight="251688448" behindDoc="0" locked="0" layoutInCell="1" allowOverlap="1" wp14:anchorId="59604FD5" wp14:editId="5EE37465">
            <wp:simplePos x="0" y="0"/>
            <wp:positionH relativeFrom="column">
              <wp:posOffset>3810</wp:posOffset>
            </wp:positionH>
            <wp:positionV relativeFrom="paragraph">
              <wp:posOffset>60960</wp:posOffset>
            </wp:positionV>
            <wp:extent cx="5847715" cy="6581775"/>
            <wp:effectExtent l="0" t="0" r="635" b="0"/>
            <wp:wrapTopAndBottom/>
            <wp:docPr id="95" name="Obráze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847715" cy="658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DBE" w:rsidRDefault="009D4DBE" w:rsidP="009D4DBE">
      <w:pPr>
        <w:rPr>
          <w:rFonts w:cs="Arial"/>
          <w:b/>
        </w:rPr>
      </w:pPr>
      <w:r>
        <w:rPr>
          <w:rFonts w:cs="Arial"/>
          <w:b/>
        </w:rPr>
        <w:br w:type="page"/>
      </w:r>
    </w:p>
    <w:p w:rsidR="009D4DBE" w:rsidRDefault="009D4DBE" w:rsidP="009D4DBE">
      <w:pPr>
        <w:rPr>
          <w:rFonts w:cs="Arial"/>
          <w:b/>
        </w:rPr>
      </w:pPr>
      <w:r w:rsidRPr="003C3289">
        <w:rPr>
          <w:noProof/>
        </w:rPr>
        <w:lastRenderedPageBreak/>
        <w:drawing>
          <wp:inline distT="0" distB="0" distL="0" distR="0" wp14:anchorId="4ADD40CE" wp14:editId="250BFA2D">
            <wp:extent cx="5597952" cy="6581775"/>
            <wp:effectExtent l="0" t="0" r="3175" b="0"/>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14">
                      <a:extLst>
                        <a:ext uri="{28A0092B-C50C-407E-A947-70E740481C1C}">
                          <a14:useLocalDpi xmlns:a14="http://schemas.microsoft.com/office/drawing/2010/main" val="0"/>
                        </a:ext>
                      </a:extLst>
                    </a:blip>
                    <a:srcRect r="4531"/>
                    <a:stretch/>
                  </pic:blipFill>
                  <pic:spPr bwMode="auto">
                    <a:xfrm>
                      <a:off x="0" y="0"/>
                      <a:ext cx="5604491" cy="6589463"/>
                    </a:xfrm>
                    <a:prstGeom prst="rect">
                      <a:avLst/>
                    </a:prstGeom>
                    <a:noFill/>
                    <a:ln>
                      <a:noFill/>
                    </a:ln>
                    <a:extLst>
                      <a:ext uri="{53640926-AAD7-44D8-BBD7-CCE9431645EC}">
                        <a14:shadowObscured xmlns:a14="http://schemas.microsoft.com/office/drawing/2010/main"/>
                      </a:ext>
                    </a:extLst>
                  </pic:spPr>
                </pic:pic>
              </a:graphicData>
            </a:graphic>
          </wp:inline>
        </w:drawing>
      </w:r>
    </w:p>
    <w:p w:rsidR="009D4DBE" w:rsidRDefault="009D4DBE" w:rsidP="009D4DBE">
      <w:pPr>
        <w:rPr>
          <w:rFonts w:cs="Arial"/>
          <w:b/>
        </w:rPr>
      </w:pPr>
      <w:r>
        <w:rPr>
          <w:rFonts w:cs="Arial"/>
          <w:b/>
        </w:rPr>
        <w:br w:type="page"/>
      </w:r>
    </w:p>
    <w:p w:rsidR="009D4DBE" w:rsidRPr="00D733F5" w:rsidRDefault="009D4DBE" w:rsidP="009D4DBE">
      <w:pPr>
        <w:rPr>
          <w:rFonts w:cs="Arial"/>
          <w:b/>
        </w:rPr>
      </w:pPr>
      <w:r w:rsidRPr="003C3289">
        <w:rPr>
          <w:noProof/>
        </w:rPr>
        <w:lastRenderedPageBreak/>
        <w:drawing>
          <wp:anchor distT="0" distB="0" distL="114300" distR="114300" simplePos="0" relativeHeight="251682304" behindDoc="0" locked="0" layoutInCell="1" allowOverlap="1" wp14:anchorId="578953EF" wp14:editId="4A65CB85">
            <wp:simplePos x="0" y="0"/>
            <wp:positionH relativeFrom="column">
              <wp:posOffset>-974090</wp:posOffset>
            </wp:positionH>
            <wp:positionV relativeFrom="paragraph">
              <wp:posOffset>1583690</wp:posOffset>
            </wp:positionV>
            <wp:extent cx="7932420" cy="5949315"/>
            <wp:effectExtent l="0" t="0" r="0" b="0"/>
            <wp:wrapTopAndBottom/>
            <wp:docPr id="97" name="Obráze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rot="16200000">
                      <a:off x="0" y="0"/>
                      <a:ext cx="7932420" cy="5949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DBE" w:rsidRPr="00A61E17" w:rsidRDefault="009D4DBE" w:rsidP="009D4DBE"/>
    <w:p w:rsidR="009D4DBE" w:rsidRPr="004B7295" w:rsidRDefault="009D4DBE" w:rsidP="009D4DBE">
      <w:pPr>
        <w:pStyle w:val="Odstavecseseznamem"/>
        <w:spacing w:line="312" w:lineRule="auto"/>
        <w:ind w:left="1069"/>
        <w:jc w:val="both"/>
        <w:rPr>
          <w:rFonts w:cs="Arial"/>
        </w:rPr>
      </w:pPr>
    </w:p>
    <w:sectPr w:rsidR="009D4DBE" w:rsidRPr="004B7295" w:rsidSect="006F5416">
      <w:headerReference w:type="even" r:id="rId116"/>
      <w:headerReference w:type="default" r:id="rId117"/>
      <w:footerReference w:type="even" r:id="rId118"/>
      <w:footerReference w:type="default" r:id="rId119"/>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C1D" w:rsidRDefault="000B2C1D" w:rsidP="00E71A58">
      <w:r>
        <w:separator/>
      </w:r>
    </w:p>
  </w:endnote>
  <w:endnote w:type="continuationSeparator" w:id="0">
    <w:p w:rsidR="000B2C1D" w:rsidRDefault="000B2C1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1B" w:rsidRDefault="0064701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1B" w:rsidRDefault="0064701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1B" w:rsidRDefault="0064701B">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67" w:rsidRPr="00932443" w:rsidRDefault="00560767"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860F8E">
      <w:rPr>
        <w:szCs w:val="16"/>
      </w:rPr>
      <w:t>14</w:t>
    </w:r>
    <w:r w:rsidRPr="00932443">
      <w:rPr>
        <w:szCs w:val="16"/>
      </w:rPr>
      <w:fldChar w:fldCharType="end"/>
    </w:r>
    <w:r w:rsidRPr="00932443">
      <w:rPr>
        <w:szCs w:val="16"/>
      </w:rPr>
      <w:tab/>
    </w:r>
    <w:r>
      <w:rPr>
        <w:szCs w:val="16"/>
      </w:rPr>
      <w:t>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67" w:rsidRPr="00932443" w:rsidRDefault="00560767"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2016</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860F8E">
      <w:rPr>
        <w:rStyle w:val="ZpatChar"/>
        <w:szCs w:val="16"/>
      </w:rPr>
      <w:t>15</w:t>
    </w:r>
    <w:r w:rsidRPr="00932443">
      <w:rPr>
        <w:rStyle w:val="ZpatCha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C1D" w:rsidRDefault="000B2C1D" w:rsidP="00E71A58">
      <w:r>
        <w:separator/>
      </w:r>
    </w:p>
  </w:footnote>
  <w:footnote w:type="continuationSeparator" w:id="0">
    <w:p w:rsidR="000B2C1D" w:rsidRDefault="000B2C1D" w:rsidP="00E71A58">
      <w:r>
        <w:continuationSeparator/>
      </w:r>
    </w:p>
  </w:footnote>
  <w:footnote w:id="1">
    <w:p w:rsidR="00560767" w:rsidRPr="006923A5" w:rsidRDefault="00560767" w:rsidP="00585EBD">
      <w:pPr>
        <w:spacing w:after="0" w:line="240" w:lineRule="auto"/>
        <w:jc w:val="both"/>
        <w:rPr>
          <w:lang w:val="en-US"/>
        </w:rPr>
      </w:pPr>
      <w:r>
        <w:rPr>
          <w:rStyle w:val="Znakapoznpodarou"/>
        </w:rPr>
        <w:footnoteRef/>
      </w:r>
      <w:r>
        <w:t xml:space="preserve"> </w:t>
      </w:r>
      <w:r>
        <w:rPr>
          <w:sz w:val="16"/>
        </w:rPr>
        <w:t xml:space="preserve">Další výstupy šetření jsou dostupné ve </w:t>
      </w:r>
      <w:hyperlink r:id="rId1" w:history="1">
        <w:r w:rsidRPr="002B4D0F">
          <w:rPr>
            <w:rStyle w:val="Hypertextovodkaz"/>
            <w:sz w:val="16"/>
          </w:rPr>
          <w:t>Statistické ročence ČSÚ</w:t>
        </w:r>
      </w:hyperlink>
      <w:r>
        <w:rPr>
          <w:sz w:val="16"/>
        </w:rPr>
        <w:t xml:space="preserve">. Jazykovým (neformálním) vzděláváním a znalostí cizích jazyků v české populaci se zabývá </w:t>
      </w:r>
      <w:hyperlink r:id="rId2" w:history="1">
        <w:r w:rsidRPr="002B4D0F">
          <w:rPr>
            <w:rStyle w:val="Hypertextovodkaz"/>
            <w:sz w:val="16"/>
          </w:rPr>
          <w:t>článek v časopisu ČSÚ Statistika a My</w:t>
        </w:r>
      </w:hyperlink>
      <w:r>
        <w:rPr>
          <w:sz w:val="16"/>
        </w:rPr>
        <w:t>.</w:t>
      </w:r>
    </w:p>
    <w:p w:rsidR="00560767" w:rsidRPr="006923A5" w:rsidRDefault="00560767">
      <w:pPr>
        <w:pStyle w:val="Textpoznpodarou"/>
        <w:rPr>
          <w:lang w:val="en-US"/>
        </w:rPr>
      </w:pPr>
    </w:p>
  </w:footnote>
  <w:footnote w:id="2">
    <w:p w:rsidR="00560767" w:rsidRPr="008C3137" w:rsidRDefault="00560767" w:rsidP="00F74103">
      <w:pPr>
        <w:pStyle w:val="Textpoznpodarou"/>
        <w:jc w:val="both"/>
        <w:rPr>
          <w:rFonts w:ascii="Arial" w:hAnsi="Arial" w:cs="Arial"/>
          <w:sz w:val="16"/>
        </w:rPr>
      </w:pPr>
      <w:r w:rsidRPr="008C3137">
        <w:rPr>
          <w:rStyle w:val="Znakapoznpodarou"/>
          <w:rFonts w:ascii="Arial" w:hAnsi="Arial" w:cs="Arial"/>
          <w:sz w:val="16"/>
        </w:rPr>
        <w:footnoteRef/>
      </w:r>
      <w:r w:rsidRPr="008C3137">
        <w:rPr>
          <w:rFonts w:ascii="Arial" w:hAnsi="Arial" w:cs="Arial"/>
          <w:sz w:val="16"/>
        </w:rPr>
        <w:t xml:space="preserve"> Večerní formou vzdělávání je výuka organizovaná pravidelně několikrát v týdnu v rozsahu 10 až 18 hodin týdně v průběhu školního roku zpravidla v odpoledních a večerních hodinách.</w:t>
      </w:r>
    </w:p>
  </w:footnote>
  <w:footnote w:id="3">
    <w:p w:rsidR="00560767" w:rsidRPr="008C3137" w:rsidRDefault="00560767" w:rsidP="00F74103">
      <w:pPr>
        <w:pStyle w:val="Textpoznpodarou"/>
        <w:jc w:val="both"/>
        <w:rPr>
          <w:rFonts w:ascii="Arial" w:hAnsi="Arial" w:cs="Arial"/>
          <w:sz w:val="16"/>
        </w:rPr>
      </w:pPr>
      <w:r w:rsidRPr="008C3137">
        <w:rPr>
          <w:rStyle w:val="Znakapoznpodarou"/>
          <w:rFonts w:ascii="Arial" w:hAnsi="Arial" w:cs="Arial"/>
          <w:sz w:val="16"/>
        </w:rPr>
        <w:footnoteRef/>
      </w:r>
      <w:r w:rsidRPr="008C3137">
        <w:rPr>
          <w:rFonts w:ascii="Arial" w:hAnsi="Arial" w:cs="Arial"/>
          <w:sz w:val="16"/>
        </w:rPr>
        <w:t xml:space="preserve"> Dálkovou formou vzdělávání je myšleno samostatné studium spojené s konzultacemi v rozsahu 200 až 220 konzultačních hodin ve</w:t>
      </w:r>
      <w:r>
        <w:rPr>
          <w:rFonts w:ascii="Arial" w:hAnsi="Arial" w:cs="Arial"/>
          <w:sz w:val="16"/>
        </w:rPr>
        <w:t> </w:t>
      </w:r>
      <w:r w:rsidRPr="008C3137">
        <w:rPr>
          <w:rFonts w:ascii="Arial" w:hAnsi="Arial" w:cs="Arial"/>
          <w:sz w:val="16"/>
        </w:rPr>
        <w:t>školním roce.</w:t>
      </w:r>
    </w:p>
  </w:footnote>
  <w:footnote w:id="4">
    <w:p w:rsidR="00560767" w:rsidRPr="008C3137" w:rsidRDefault="00560767" w:rsidP="00F74103">
      <w:pPr>
        <w:pStyle w:val="Textpoznpodarou"/>
        <w:jc w:val="both"/>
        <w:rPr>
          <w:rFonts w:ascii="Arial" w:hAnsi="Arial" w:cs="Arial"/>
          <w:sz w:val="16"/>
        </w:rPr>
      </w:pPr>
      <w:r w:rsidRPr="008C3137">
        <w:rPr>
          <w:rStyle w:val="Znakapoznpodarou"/>
          <w:rFonts w:ascii="Arial" w:hAnsi="Arial" w:cs="Arial"/>
          <w:sz w:val="16"/>
        </w:rPr>
        <w:footnoteRef/>
      </w:r>
      <w:r w:rsidRPr="008C3137">
        <w:rPr>
          <w:rFonts w:ascii="Arial" w:hAnsi="Arial" w:cs="Arial"/>
          <w:sz w:val="16"/>
        </w:rPr>
        <w:t xml:space="preserve"> Distanční formou vzdělávání se rozumí samostatné studium uskutečňované převážně nebo zcela prostřednictvím informačních technologií, popřípadě spojené s individuálními konzultacemi.</w:t>
      </w:r>
    </w:p>
  </w:footnote>
  <w:footnote w:id="5">
    <w:p w:rsidR="00560767" w:rsidRPr="008C3137" w:rsidRDefault="00560767" w:rsidP="00F74103">
      <w:pPr>
        <w:pStyle w:val="Textpoznpodarou"/>
        <w:jc w:val="both"/>
        <w:rPr>
          <w:rFonts w:ascii="Arial" w:hAnsi="Arial" w:cs="Arial"/>
          <w:sz w:val="16"/>
        </w:rPr>
      </w:pPr>
      <w:r w:rsidRPr="008C3137">
        <w:rPr>
          <w:rStyle w:val="Znakapoznpodarou"/>
          <w:rFonts w:ascii="Arial" w:hAnsi="Arial" w:cs="Arial"/>
          <w:sz w:val="16"/>
        </w:rPr>
        <w:footnoteRef/>
      </w:r>
      <w:r w:rsidRPr="008C3137">
        <w:rPr>
          <w:rFonts w:ascii="Arial" w:hAnsi="Arial" w:cs="Arial"/>
          <w:sz w:val="16"/>
        </w:rPr>
        <w:t xml:space="preserve"> Kombinovanou formou vzdělávání je střídání denní a jiné formy vzdělávání stanovené školským zákonem.</w:t>
      </w:r>
    </w:p>
  </w:footnote>
  <w:footnote w:id="6">
    <w:p w:rsidR="00560767" w:rsidRPr="008C3137" w:rsidRDefault="00560767" w:rsidP="00F74103">
      <w:pPr>
        <w:pStyle w:val="Textpoznpodarou"/>
        <w:jc w:val="both"/>
        <w:rPr>
          <w:rFonts w:ascii="Arial" w:hAnsi="Arial" w:cs="Arial"/>
          <w:sz w:val="16"/>
        </w:rPr>
      </w:pPr>
      <w:r w:rsidRPr="008C3137">
        <w:rPr>
          <w:rStyle w:val="Znakapoznpodarou"/>
          <w:rFonts w:ascii="Arial" w:hAnsi="Arial" w:cs="Arial"/>
          <w:sz w:val="16"/>
        </w:rPr>
        <w:footnoteRef/>
      </w:r>
      <w:r w:rsidRPr="008C3137">
        <w:rPr>
          <w:rFonts w:ascii="Arial" w:hAnsi="Arial" w:cs="Arial"/>
          <w:sz w:val="16"/>
        </w:rPr>
        <w:t xml:space="preserve"> Zkrácené studium pro získání středního vzdělání s maturitní zkouškou lze absolvovat za 1–2 roky a je určené uchazečům, kteří již úspěšně složili maturitní zkoušku, ovšem v jiném oboru vzdělávání. Zkrácené studium pro získání středního vzdělání s výučním listem trvá v denní formě 1–2 roky a je určeno pro uchazeče, kteří již získali maturitní vysvědčení či výuční list, ovšem v jiném oboru vzdělávání.</w:t>
      </w:r>
    </w:p>
  </w:footnote>
  <w:footnote w:id="7">
    <w:p w:rsidR="00560767" w:rsidRPr="008C3137" w:rsidRDefault="00560767" w:rsidP="00F74103">
      <w:pPr>
        <w:pStyle w:val="Textpoznpodarou"/>
        <w:jc w:val="both"/>
        <w:rPr>
          <w:rFonts w:ascii="Arial" w:hAnsi="Arial" w:cs="Arial"/>
          <w:sz w:val="16"/>
        </w:rPr>
      </w:pPr>
      <w:r w:rsidRPr="008C3137">
        <w:rPr>
          <w:rStyle w:val="Znakapoznpodarou"/>
          <w:rFonts w:ascii="Arial" w:hAnsi="Arial" w:cs="Arial"/>
          <w:sz w:val="16"/>
        </w:rPr>
        <w:footnoteRef/>
      </w:r>
      <w:r w:rsidRPr="008C3137">
        <w:rPr>
          <w:rFonts w:ascii="Arial" w:hAnsi="Arial" w:cs="Arial"/>
          <w:sz w:val="16"/>
        </w:rPr>
        <w:t xml:space="preserve"> Nástavbové studium je zakončené maturitní zkouškou a je určené pro uchazeče, kteří získali vzdělání s výučním listem v příbuzném oboru vzdělání. V denní formě trvá 2 roky.</w:t>
      </w:r>
    </w:p>
  </w:footnote>
  <w:footnote w:id="8">
    <w:p w:rsidR="00560767" w:rsidRPr="008C3137" w:rsidRDefault="00560767" w:rsidP="00585EBD">
      <w:pPr>
        <w:pStyle w:val="Textpoznpodarou"/>
        <w:jc w:val="both"/>
        <w:rPr>
          <w:rFonts w:ascii="Arial" w:hAnsi="Arial" w:cs="Arial"/>
          <w:sz w:val="16"/>
        </w:rPr>
      </w:pPr>
      <w:r w:rsidRPr="008C3137">
        <w:rPr>
          <w:rStyle w:val="Znakapoznpodarou"/>
          <w:rFonts w:ascii="Arial" w:hAnsi="Arial" w:cs="Arial"/>
          <w:sz w:val="16"/>
        </w:rPr>
        <w:footnoteRef/>
      </w:r>
      <w:r>
        <w:rPr>
          <w:rFonts w:ascii="Arial" w:hAnsi="Arial" w:cs="Arial"/>
          <w:sz w:val="16"/>
        </w:rPr>
        <w:t xml:space="preserve"> N</w:t>
      </w:r>
      <w:r w:rsidRPr="008C3137">
        <w:rPr>
          <w:rFonts w:ascii="Arial" w:hAnsi="Arial" w:cs="Arial"/>
          <w:sz w:val="16"/>
        </w:rPr>
        <w:t xml:space="preserve">ástavbové i zkrácené studium lze studovat i prostřednictvím denní formy vzdělávání – z 10 909 žáků studujících nástavbové či zkrácené studium denní formou jich je však pouze 5 </w:t>
      </w:r>
      <w:r w:rsidRPr="008C3137">
        <w:rPr>
          <w:rFonts w:ascii="Arial" w:hAnsi="Arial" w:cs="Arial"/>
          <w:sz w:val="16"/>
          <w:lang w:val="en-US"/>
        </w:rPr>
        <w:t>% star</w:t>
      </w:r>
      <w:r w:rsidRPr="008C3137">
        <w:rPr>
          <w:rFonts w:ascii="Arial" w:hAnsi="Arial" w:cs="Arial"/>
          <w:sz w:val="16"/>
        </w:rPr>
        <w:t>ších 25 let, u naprosté většiny tak lze předpokládat přímé navázání studia na</w:t>
      </w:r>
      <w:r>
        <w:rPr>
          <w:rFonts w:ascii="Arial" w:hAnsi="Arial" w:cs="Arial"/>
          <w:sz w:val="16"/>
        </w:rPr>
        <w:t> </w:t>
      </w:r>
      <w:r w:rsidRPr="008C3137">
        <w:rPr>
          <w:rFonts w:ascii="Arial" w:hAnsi="Arial" w:cs="Arial"/>
          <w:sz w:val="16"/>
        </w:rPr>
        <w:t>ukončení předchozího stupně vzdělávání, obvykle středního vzdělávání s výučním listem.</w:t>
      </w:r>
    </w:p>
  </w:footnote>
  <w:footnote w:id="9">
    <w:p w:rsidR="00560767" w:rsidRPr="006F4BEE" w:rsidRDefault="00560767" w:rsidP="00585EBD">
      <w:pPr>
        <w:spacing w:after="0" w:line="240" w:lineRule="auto"/>
        <w:jc w:val="both"/>
      </w:pPr>
      <w:r>
        <w:rPr>
          <w:rStyle w:val="Znakapoznpodarou"/>
        </w:rPr>
        <w:footnoteRef/>
      </w:r>
      <w:r>
        <w:rPr>
          <w:sz w:val="16"/>
          <w:szCs w:val="16"/>
        </w:rPr>
        <w:t xml:space="preserve"> </w:t>
      </w:r>
      <w:r w:rsidRPr="00380A0B">
        <w:rPr>
          <w:sz w:val="16"/>
          <w:szCs w:val="16"/>
        </w:rPr>
        <w:t>V těchto formách vysokoškolského studia lze studovat v bakalářských, (navazujících) magisterských a doktorských studijních programech (zákon č. 111/1998 Sb., § 2). Studium ve všech formách je ze zákona rovnocenné.</w:t>
      </w:r>
    </w:p>
    <w:p w:rsidR="00560767" w:rsidRDefault="00560767">
      <w:pPr>
        <w:pStyle w:val="Textpoznpodarou"/>
      </w:pPr>
    </w:p>
  </w:footnote>
  <w:footnote w:id="10">
    <w:p w:rsidR="00560767" w:rsidRPr="008C3137" w:rsidRDefault="00560767" w:rsidP="00D745F5">
      <w:pPr>
        <w:pStyle w:val="Textpoznpodarou"/>
        <w:rPr>
          <w:rFonts w:ascii="Arial" w:hAnsi="Arial" w:cs="Arial"/>
          <w:sz w:val="16"/>
        </w:rPr>
      </w:pPr>
      <w:r w:rsidRPr="008C3137">
        <w:rPr>
          <w:rStyle w:val="Znakapoznpodarou"/>
          <w:rFonts w:ascii="Arial" w:hAnsi="Arial" w:cs="Arial"/>
          <w:sz w:val="16"/>
        </w:rPr>
        <w:footnoteRef/>
      </w:r>
      <w:r w:rsidRPr="008C3137">
        <w:rPr>
          <w:rFonts w:ascii="Arial" w:hAnsi="Arial" w:cs="Arial"/>
          <w:sz w:val="16"/>
        </w:rPr>
        <w:t xml:space="preserve"> údaj pouze za veřejné a soukromé vysoké školy</w:t>
      </w:r>
    </w:p>
  </w:footnote>
  <w:footnote w:id="11">
    <w:p w:rsidR="00560767" w:rsidRPr="008C3137" w:rsidRDefault="00560767" w:rsidP="00585EBD">
      <w:pPr>
        <w:pStyle w:val="Textpoznpodarou"/>
        <w:jc w:val="both"/>
        <w:rPr>
          <w:rStyle w:val="Znakapoznpodarou"/>
          <w:rFonts w:ascii="Arial" w:hAnsi="Arial" w:cs="Arial"/>
          <w:sz w:val="16"/>
        </w:rPr>
      </w:pPr>
      <w:r w:rsidRPr="008C3137">
        <w:rPr>
          <w:rStyle w:val="Znakapoznpodarou"/>
          <w:rFonts w:ascii="Arial" w:hAnsi="Arial" w:cs="Arial"/>
          <w:sz w:val="16"/>
        </w:rPr>
        <w:footnoteRef/>
      </w:r>
      <w:r w:rsidRPr="008C3137">
        <w:rPr>
          <w:rStyle w:val="Znakapoznpodarou"/>
          <w:rFonts w:ascii="Arial" w:hAnsi="Arial" w:cs="Arial"/>
          <w:sz w:val="16"/>
        </w:rPr>
        <w:t xml:space="preserve"> </w:t>
      </w:r>
      <w:r w:rsidRPr="008C3137">
        <w:rPr>
          <w:rFonts w:ascii="Arial" w:hAnsi="Arial" w:cs="Arial"/>
          <w:sz w:val="16"/>
        </w:rPr>
        <w:t>V rámci dotazování nebylo důležité, zda studium probíhalo v průběhu celých 12 měsíců, směrodatná byla pouze samotná účast. Respondent již mohl mít v době dotazování studium ukončené nebo ho naopak studovat teprve krátce.</w:t>
      </w:r>
    </w:p>
  </w:footnote>
  <w:footnote w:id="12">
    <w:p w:rsidR="00560767" w:rsidRPr="008C3137" w:rsidRDefault="00560767" w:rsidP="00585EBD">
      <w:pPr>
        <w:pStyle w:val="Textpoznpodarou"/>
        <w:jc w:val="both"/>
        <w:rPr>
          <w:rStyle w:val="Znakapoznpodarou"/>
          <w:rFonts w:ascii="Arial" w:hAnsi="Arial" w:cs="Arial"/>
          <w:sz w:val="16"/>
        </w:rPr>
      </w:pPr>
      <w:r w:rsidRPr="008C3137">
        <w:rPr>
          <w:rStyle w:val="Znakapoznpodarou"/>
          <w:rFonts w:ascii="Arial" w:hAnsi="Arial" w:cs="Arial"/>
          <w:sz w:val="16"/>
        </w:rPr>
        <w:footnoteRef/>
      </w:r>
      <w:r w:rsidRPr="008C3137">
        <w:rPr>
          <w:rStyle w:val="Znakapoznpodarou"/>
          <w:rFonts w:ascii="Arial" w:hAnsi="Arial" w:cs="Arial"/>
          <w:sz w:val="16"/>
        </w:rPr>
        <w:t xml:space="preserve"> </w:t>
      </w:r>
      <w:r w:rsidRPr="008C3137">
        <w:rPr>
          <w:rFonts w:ascii="Arial" w:hAnsi="Arial" w:cs="Arial"/>
          <w:sz w:val="16"/>
        </w:rPr>
        <w:t xml:space="preserve">Zahrnuje 3. a 4. stupeň </w:t>
      </w:r>
      <w:hyperlink r:id="rId3" w:history="1">
        <w:r w:rsidRPr="00784BF9">
          <w:rPr>
            <w:rStyle w:val="Hypertextovodkaz"/>
            <w:rFonts w:ascii="Arial" w:hAnsi="Arial" w:cs="Arial"/>
            <w:sz w:val="16"/>
          </w:rPr>
          <w:t>klasifikace ISCED 2011</w:t>
        </w:r>
      </w:hyperlink>
      <w:r w:rsidRPr="008C3137">
        <w:rPr>
          <w:rFonts w:ascii="Arial" w:hAnsi="Arial" w:cs="Arial"/>
          <w:sz w:val="16"/>
        </w:rPr>
        <w:t>, střední vzdělávání s výučním listem, střední vzdělávání s maturitou, nástavbové a</w:t>
      </w:r>
      <w:r>
        <w:rPr>
          <w:rFonts w:ascii="Arial" w:hAnsi="Arial" w:cs="Arial"/>
          <w:sz w:val="16"/>
        </w:rPr>
        <w:t> </w:t>
      </w:r>
      <w:r w:rsidRPr="008C3137">
        <w:rPr>
          <w:rFonts w:ascii="Arial" w:hAnsi="Arial" w:cs="Arial"/>
          <w:sz w:val="16"/>
        </w:rPr>
        <w:t>pomaturitní studium, studium pro absolventy středních škol s výučním listem.</w:t>
      </w:r>
    </w:p>
  </w:footnote>
  <w:footnote w:id="13">
    <w:p w:rsidR="00560767" w:rsidRPr="008C3137" w:rsidRDefault="00560767" w:rsidP="00585EBD">
      <w:pPr>
        <w:pStyle w:val="Textpoznpodarou"/>
        <w:jc w:val="both"/>
        <w:rPr>
          <w:rStyle w:val="Znakapoznpodarou"/>
          <w:rFonts w:ascii="Arial" w:hAnsi="Arial" w:cs="Arial"/>
          <w:sz w:val="16"/>
        </w:rPr>
      </w:pPr>
      <w:r w:rsidRPr="008C3137">
        <w:rPr>
          <w:rStyle w:val="Znakapoznpodarou"/>
          <w:rFonts w:ascii="Arial" w:hAnsi="Arial" w:cs="Arial"/>
          <w:sz w:val="16"/>
        </w:rPr>
        <w:footnoteRef/>
      </w:r>
      <w:r w:rsidRPr="008C3137">
        <w:rPr>
          <w:rStyle w:val="Znakapoznpodarou"/>
          <w:rFonts w:ascii="Arial" w:hAnsi="Arial" w:cs="Arial"/>
          <w:sz w:val="16"/>
        </w:rPr>
        <w:t xml:space="preserve"> </w:t>
      </w:r>
      <w:r w:rsidRPr="008C3137">
        <w:rPr>
          <w:rStyle w:val="Znakapoznpodarou"/>
          <w:rFonts w:ascii="Arial" w:hAnsi="Arial" w:cs="Arial"/>
          <w:sz w:val="16"/>
          <w:vertAlign w:val="baseline"/>
        </w:rPr>
        <w:t>Zahrnuje 5. a</w:t>
      </w:r>
      <w:r>
        <w:rPr>
          <w:rFonts w:ascii="Arial" w:hAnsi="Arial" w:cs="Arial"/>
          <w:sz w:val="16"/>
        </w:rPr>
        <w:t>ž 8</w:t>
      </w:r>
      <w:r w:rsidRPr="008C3137">
        <w:rPr>
          <w:rStyle w:val="Znakapoznpodarou"/>
          <w:rFonts w:ascii="Arial" w:hAnsi="Arial" w:cs="Arial"/>
          <w:sz w:val="16"/>
          <w:vertAlign w:val="baseline"/>
        </w:rPr>
        <w:t xml:space="preserve">. stupeň </w:t>
      </w:r>
      <w:hyperlink r:id="rId4" w:history="1">
        <w:r w:rsidRPr="00784BF9">
          <w:rPr>
            <w:rStyle w:val="Hypertextovodkaz"/>
            <w:rFonts w:ascii="Arial" w:hAnsi="Arial" w:cs="Arial"/>
            <w:sz w:val="16"/>
          </w:rPr>
          <w:t>klasifikace ISCED 2011</w:t>
        </w:r>
      </w:hyperlink>
      <w:r w:rsidRPr="008C3137">
        <w:rPr>
          <w:rStyle w:val="Znakapoznpodarou"/>
          <w:rFonts w:ascii="Arial" w:hAnsi="Arial" w:cs="Arial"/>
          <w:sz w:val="16"/>
          <w:vertAlign w:val="baseline"/>
        </w:rPr>
        <w:t>, vyšší odborné školy a odpovídající ročníky konzervatoří, vysokoškolské bakalářské studium, magisterské studium, doktorské studium.</w:t>
      </w:r>
    </w:p>
  </w:footnote>
  <w:footnote w:id="14">
    <w:p w:rsidR="00560767" w:rsidRPr="008C3137" w:rsidRDefault="00560767" w:rsidP="00B206A6">
      <w:pPr>
        <w:pStyle w:val="Textpoznpodarou"/>
        <w:rPr>
          <w:rFonts w:ascii="Arial" w:hAnsi="Arial" w:cs="Arial"/>
          <w:sz w:val="16"/>
        </w:rPr>
      </w:pPr>
      <w:r w:rsidRPr="008C3137">
        <w:rPr>
          <w:rStyle w:val="Znakapoznpodarou"/>
          <w:rFonts w:ascii="Arial" w:hAnsi="Arial" w:cs="Arial"/>
          <w:sz w:val="16"/>
        </w:rPr>
        <w:footnoteRef/>
      </w:r>
      <w:r w:rsidRPr="008C3137">
        <w:rPr>
          <w:rFonts w:ascii="Arial" w:hAnsi="Arial" w:cs="Arial"/>
          <w:sz w:val="16"/>
        </w:rPr>
        <w:t xml:space="preserve"> Vzdělávání v rámci univerzit třetího věku je v rámci šetření AES řazeno do kategorie neformálního vzdělávání.</w:t>
      </w:r>
    </w:p>
  </w:footnote>
  <w:footnote w:id="15">
    <w:p w:rsidR="00560767" w:rsidRPr="00E17621" w:rsidRDefault="00560767" w:rsidP="00AC2D7F">
      <w:pPr>
        <w:pStyle w:val="Textpoznpodarou"/>
        <w:jc w:val="both"/>
      </w:pPr>
      <w:r>
        <w:rPr>
          <w:rStyle w:val="Znakapoznpodarou"/>
        </w:rPr>
        <w:footnoteRef/>
      </w:r>
      <w:r>
        <w:t xml:space="preserve"> </w:t>
      </w:r>
      <w:r w:rsidRPr="00E17621">
        <w:rPr>
          <w:rFonts w:ascii="Arial" w:hAnsi="Arial" w:cs="Arial"/>
          <w:sz w:val="16"/>
        </w:rPr>
        <w:t xml:space="preserve">přesný počet nelze bohužel z metodologických důvodů </w:t>
      </w:r>
      <w:r>
        <w:rPr>
          <w:rFonts w:ascii="Arial" w:hAnsi="Arial" w:cs="Arial"/>
          <w:sz w:val="16"/>
        </w:rPr>
        <w:t>organizace šetření</w:t>
      </w:r>
      <w:r w:rsidRPr="00E17621">
        <w:rPr>
          <w:rFonts w:ascii="Arial" w:hAnsi="Arial" w:cs="Arial"/>
          <w:sz w:val="16"/>
        </w:rPr>
        <w:t xml:space="preserve"> určit</w:t>
      </w:r>
      <w:r>
        <w:rPr>
          <w:rFonts w:ascii="Arial" w:hAnsi="Arial" w:cs="Arial"/>
          <w:sz w:val="16"/>
        </w:rPr>
        <w:t xml:space="preserve"> (vzhledem k referenčnímu období šetření bylo formální vzdělávání, jehož podobu respondenti popisovali pro část respondentů také zároveň jejich nejvyšším dosaženým)</w:t>
      </w:r>
      <w:r w:rsidRPr="00E17621">
        <w:rPr>
          <w:rFonts w:ascii="Arial" w:hAnsi="Arial" w:cs="Arial"/>
          <w:sz w:val="16"/>
        </w:rPr>
        <w:t xml:space="preserve">, ale </w:t>
      </w:r>
      <w:r>
        <w:rPr>
          <w:rFonts w:ascii="Arial" w:hAnsi="Arial" w:cs="Arial"/>
          <w:sz w:val="16"/>
        </w:rPr>
        <w:t xml:space="preserve">je patrně vyšší, resp. se </w:t>
      </w:r>
      <w:r w:rsidRPr="00E17621">
        <w:rPr>
          <w:rFonts w:ascii="Arial" w:hAnsi="Arial" w:cs="Arial"/>
          <w:sz w:val="16"/>
        </w:rPr>
        <w:t xml:space="preserve">pohybuje přibližně mezi 66 a 80 </w:t>
      </w:r>
      <w:r w:rsidRPr="00E17621">
        <w:rPr>
          <w:rFonts w:ascii="Arial" w:hAnsi="Arial" w:cs="Arial"/>
          <w:sz w:val="16"/>
          <w:lang w:val="en-US"/>
        </w:rPr>
        <w:t>% student</w:t>
      </w:r>
      <w:r w:rsidRPr="00E17621">
        <w:rPr>
          <w:rFonts w:ascii="Arial" w:hAnsi="Arial" w:cs="Arial"/>
          <w:sz w:val="16"/>
        </w:rPr>
        <w:t>ů dalšího vzdělávání</w:t>
      </w:r>
    </w:p>
  </w:footnote>
  <w:footnote w:id="16">
    <w:p w:rsidR="00560767" w:rsidRDefault="00560767" w:rsidP="00AC2D7F">
      <w:pPr>
        <w:pStyle w:val="Textpoznpodarou"/>
        <w:jc w:val="both"/>
      </w:pPr>
      <w:r>
        <w:rPr>
          <w:rStyle w:val="Znakapoznpodarou"/>
        </w:rPr>
        <w:footnoteRef/>
      </w:r>
      <w:r>
        <w:t xml:space="preserve"> C</w:t>
      </w:r>
      <w:r w:rsidRPr="001A2E6F">
        <w:rPr>
          <w:rFonts w:ascii="Arial" w:hAnsi="Arial" w:cs="Arial"/>
          <w:sz w:val="16"/>
          <w:szCs w:val="16"/>
        </w:rPr>
        <w:t>ož však lze vysvětlit tím, že respondenti referovali o studiu, kterého se účastnili (a příp. ho dokončili) ne více než 12 měsíců před datem dotazování. Je tedy pravděpodobné, že i v případě již dokončeného studia uplynula od jeho dokončení relativně krátká doba.</w:t>
      </w:r>
      <w:r>
        <w:rPr>
          <w:rFonts w:ascii="Arial" w:hAnsi="Arial" w:cs="Arial"/>
          <w:sz w:val="16"/>
          <w:szCs w:val="16"/>
        </w:rPr>
        <w:t xml:space="preserve"> Možným závěrem tak zde není neexistence efektu, jako spíš nepříliš vysoká rychlost jeho nástupu.</w:t>
      </w:r>
    </w:p>
  </w:footnote>
  <w:footnote w:id="17">
    <w:p w:rsidR="00560767" w:rsidRPr="00BF2A76" w:rsidRDefault="00560767" w:rsidP="00AC2D7F">
      <w:pPr>
        <w:pStyle w:val="Textpoznpodarou"/>
        <w:jc w:val="both"/>
        <w:rPr>
          <w:rFonts w:ascii="Arial" w:hAnsi="Arial" w:cs="Arial"/>
        </w:rPr>
      </w:pPr>
      <w:r w:rsidRPr="00BF2A76">
        <w:rPr>
          <w:rStyle w:val="Znakapoznpodarou"/>
          <w:rFonts w:cs="Arial"/>
          <w:sz w:val="18"/>
        </w:rPr>
        <w:footnoteRef/>
      </w:r>
      <w:r w:rsidRPr="00BF2A76">
        <w:rPr>
          <w:rFonts w:ascii="Arial" w:hAnsi="Arial" w:cs="Arial"/>
          <w:sz w:val="18"/>
        </w:rPr>
        <w:t xml:space="preserve"> </w:t>
      </w:r>
      <w:r w:rsidRPr="00E8785C">
        <w:rPr>
          <w:rFonts w:ascii="Arial" w:hAnsi="Arial" w:cs="Arial"/>
          <w:sz w:val="16"/>
        </w:rPr>
        <w:t xml:space="preserve">Z šetření AES byla z důvodu možného nežádoucího zkreslení míry zapojení populace do </w:t>
      </w:r>
      <w:r>
        <w:rPr>
          <w:rFonts w:ascii="Arial" w:hAnsi="Arial" w:cs="Arial"/>
          <w:sz w:val="16"/>
        </w:rPr>
        <w:t xml:space="preserve">neformálního </w:t>
      </w:r>
      <w:r w:rsidRPr="00E8785C">
        <w:rPr>
          <w:rFonts w:ascii="Arial" w:hAnsi="Arial" w:cs="Arial"/>
          <w:sz w:val="16"/>
        </w:rPr>
        <w:t>vzdělávání vyloučena povinná školení, která přímo nesouvisí s obsahem a náplní vykonávaného zaměstnání (zejména školení o požární ochraně či školení o</w:t>
      </w:r>
      <w:r>
        <w:rPr>
          <w:rFonts w:ascii="Arial" w:hAnsi="Arial" w:cs="Arial"/>
          <w:sz w:val="16"/>
        </w:rPr>
        <w:t> </w:t>
      </w:r>
      <w:r w:rsidRPr="00E8785C">
        <w:rPr>
          <w:rFonts w:ascii="Arial" w:hAnsi="Arial" w:cs="Arial"/>
          <w:sz w:val="16"/>
        </w:rPr>
        <w:t>bezpečnosti a ochraně zdraví na pracovišti).</w:t>
      </w:r>
    </w:p>
  </w:footnote>
  <w:footnote w:id="18">
    <w:p w:rsidR="00560767" w:rsidRDefault="00560767" w:rsidP="00AC2D7F">
      <w:pPr>
        <w:pStyle w:val="Textpoznpodarou"/>
        <w:jc w:val="both"/>
      </w:pPr>
      <w:r>
        <w:rPr>
          <w:rStyle w:val="Znakapoznpodarou"/>
        </w:rPr>
        <w:footnoteRef/>
      </w:r>
      <w:r>
        <w:t xml:space="preserve"> </w:t>
      </w:r>
      <w:r>
        <w:rPr>
          <w:rFonts w:ascii="Arial" w:hAnsi="Arial" w:cs="Arial"/>
          <w:sz w:val="16"/>
        </w:rPr>
        <w:t>V</w:t>
      </w:r>
      <w:r w:rsidRPr="00AC27E7">
        <w:rPr>
          <w:rFonts w:ascii="Arial" w:hAnsi="Arial" w:cs="Arial"/>
          <w:sz w:val="16"/>
        </w:rPr>
        <w:t>zhledem k omezené dostupnosti dat za všechny členské státy EU není možné v době psaní publikace přesný průměr, resp.</w:t>
      </w:r>
      <w:r>
        <w:rPr>
          <w:rFonts w:ascii="Arial" w:hAnsi="Arial" w:cs="Arial"/>
          <w:sz w:val="16"/>
        </w:rPr>
        <w:t> </w:t>
      </w:r>
      <w:r w:rsidRPr="00AC27E7">
        <w:rPr>
          <w:rFonts w:ascii="Arial" w:hAnsi="Arial" w:cs="Arial"/>
          <w:sz w:val="16"/>
        </w:rPr>
        <w:t>postavení ČR v mezinárodním srovnání</w:t>
      </w:r>
      <w:r>
        <w:rPr>
          <w:rFonts w:ascii="Arial" w:hAnsi="Arial" w:cs="Arial"/>
          <w:sz w:val="16"/>
        </w:rPr>
        <w:t xml:space="preserve"> evropské 28</w:t>
      </w:r>
      <w:r w:rsidRPr="00AC27E7">
        <w:rPr>
          <w:rFonts w:ascii="Arial" w:hAnsi="Arial" w:cs="Arial"/>
          <w:sz w:val="16"/>
        </w:rPr>
        <w:t>, určit.</w:t>
      </w:r>
    </w:p>
  </w:footnote>
  <w:footnote w:id="19">
    <w:p w:rsidR="00560767" w:rsidRDefault="00560767" w:rsidP="00AC2D7F">
      <w:pPr>
        <w:pStyle w:val="Textpoznpodarou"/>
        <w:jc w:val="both"/>
      </w:pPr>
      <w:r>
        <w:rPr>
          <w:rStyle w:val="Znakapoznpodarou"/>
        </w:rPr>
        <w:footnoteRef/>
      </w:r>
      <w:r>
        <w:t xml:space="preserve"> </w:t>
      </w:r>
      <w:r>
        <w:rPr>
          <w:rFonts w:ascii="Arial" w:hAnsi="Arial" w:cs="Arial"/>
          <w:sz w:val="16"/>
        </w:rPr>
        <w:t>M</w:t>
      </w:r>
      <w:r w:rsidRPr="002572A0">
        <w:rPr>
          <w:rFonts w:ascii="Arial" w:hAnsi="Arial" w:cs="Arial"/>
          <w:sz w:val="16"/>
        </w:rPr>
        <w:t>uži naopak tráví mírně více času v mimopracovních aktivitách neformálního vzdělávání, kterých však absolvují</w:t>
      </w:r>
      <w:r>
        <w:rPr>
          <w:rFonts w:ascii="Arial" w:hAnsi="Arial" w:cs="Arial"/>
          <w:sz w:val="16"/>
        </w:rPr>
        <w:t xml:space="preserve"> výrazně </w:t>
      </w:r>
      <w:r w:rsidRPr="002572A0">
        <w:rPr>
          <w:rFonts w:ascii="Arial" w:hAnsi="Arial" w:cs="Arial"/>
          <w:sz w:val="16"/>
        </w:rPr>
        <w:t>méně</w:t>
      </w:r>
      <w:r>
        <w:rPr>
          <w:rFonts w:ascii="Arial" w:hAnsi="Arial" w:cs="Arial"/>
          <w:sz w:val="16"/>
        </w:rPr>
        <w:t>.</w:t>
      </w:r>
    </w:p>
  </w:footnote>
  <w:footnote w:id="20">
    <w:p w:rsidR="00560767" w:rsidRPr="00AC5216" w:rsidRDefault="00560767" w:rsidP="00CD2B68">
      <w:pPr>
        <w:pStyle w:val="Textpoznpodarou"/>
        <w:jc w:val="both"/>
        <w:rPr>
          <w:rFonts w:ascii="Arial" w:hAnsi="Arial" w:cs="Arial"/>
          <w:sz w:val="16"/>
        </w:rPr>
      </w:pPr>
      <w:r>
        <w:rPr>
          <w:rStyle w:val="Znakapoznpodarou"/>
        </w:rPr>
        <w:footnoteRef/>
      </w:r>
      <w:r>
        <w:rPr>
          <w:rFonts w:ascii="Arial" w:hAnsi="Arial" w:cs="Arial"/>
          <w:sz w:val="16"/>
        </w:rPr>
        <w:t xml:space="preserve"> </w:t>
      </w:r>
      <w:r w:rsidRPr="00E8785C">
        <w:rPr>
          <w:rFonts w:ascii="Arial" w:hAnsi="Arial" w:cs="Arial"/>
          <w:sz w:val="16"/>
        </w:rPr>
        <w:t xml:space="preserve">Z šetření AES byla z důvodu možného nežádoucího zkreslení míry zapojení populace do </w:t>
      </w:r>
      <w:r>
        <w:rPr>
          <w:rFonts w:ascii="Arial" w:hAnsi="Arial" w:cs="Arial"/>
          <w:sz w:val="16"/>
        </w:rPr>
        <w:t xml:space="preserve">neformálního </w:t>
      </w:r>
      <w:r w:rsidRPr="00E8785C">
        <w:rPr>
          <w:rFonts w:ascii="Arial" w:hAnsi="Arial" w:cs="Arial"/>
          <w:sz w:val="16"/>
        </w:rPr>
        <w:t>vzdělávání vyloučena povinná školení, která přímo nesouvisí s</w:t>
      </w:r>
      <w:r>
        <w:rPr>
          <w:rFonts w:ascii="Arial" w:hAnsi="Arial" w:cs="Arial"/>
          <w:sz w:val="16"/>
        </w:rPr>
        <w:t> pracovní náplní účastnící se osoby</w:t>
      </w:r>
      <w:r w:rsidRPr="00E8785C">
        <w:rPr>
          <w:rFonts w:ascii="Arial" w:hAnsi="Arial" w:cs="Arial"/>
          <w:sz w:val="16"/>
        </w:rPr>
        <w:t xml:space="preserve"> (zejména školení o požární ochraně či školení o</w:t>
      </w:r>
      <w:r>
        <w:rPr>
          <w:rFonts w:ascii="Arial" w:hAnsi="Arial" w:cs="Arial"/>
          <w:sz w:val="16"/>
        </w:rPr>
        <w:t> </w:t>
      </w:r>
      <w:r w:rsidRPr="00E8785C">
        <w:rPr>
          <w:rFonts w:ascii="Arial" w:hAnsi="Arial" w:cs="Arial"/>
          <w:sz w:val="16"/>
        </w:rPr>
        <w:t>bezpečnosti a ochraně zdraví na pracovišti</w:t>
      </w:r>
      <w:r>
        <w:rPr>
          <w:rFonts w:ascii="Arial" w:hAnsi="Arial" w:cs="Arial"/>
          <w:sz w:val="16"/>
        </w:rPr>
        <w:t>, pokud přímo nesouvisela s pracovní náplní vykonávaného zaměstnání</w:t>
      </w:r>
      <w:r w:rsidRPr="00E8785C">
        <w:rPr>
          <w:rFonts w:ascii="Arial" w:hAnsi="Arial" w:cs="Arial"/>
          <w:sz w:val="16"/>
        </w:rPr>
        <w:t>).</w:t>
      </w:r>
    </w:p>
  </w:footnote>
  <w:footnote w:id="21">
    <w:p w:rsidR="00560767" w:rsidRPr="00127F4F" w:rsidRDefault="00560767" w:rsidP="00CB67EE">
      <w:pPr>
        <w:pStyle w:val="Textpoznpodarou"/>
        <w:rPr>
          <w:lang w:val="en-US"/>
        </w:rPr>
      </w:pPr>
      <w:r w:rsidRPr="00CB67EE">
        <w:rPr>
          <w:rStyle w:val="Znakapoznpodarou"/>
          <w:rFonts w:ascii="Arial" w:hAnsi="Arial" w:cs="Arial"/>
        </w:rPr>
        <w:footnoteRef/>
      </w:r>
      <w:r>
        <w:t xml:space="preserve"> </w:t>
      </w:r>
      <w:r>
        <w:rPr>
          <w:rFonts w:ascii="Arial" w:hAnsi="Arial" w:cs="Arial"/>
          <w:sz w:val="16"/>
          <w:szCs w:val="16"/>
        </w:rPr>
        <w:t>V</w:t>
      </w:r>
      <w:r w:rsidRPr="00CB67EE">
        <w:rPr>
          <w:rFonts w:ascii="Arial" w:hAnsi="Arial" w:cs="Arial"/>
          <w:sz w:val="16"/>
          <w:szCs w:val="16"/>
        </w:rPr>
        <w:t>íce o zapojení osob do jazykového vzdělávání na základě dat AES 2016 lze zjistit z </w:t>
      </w:r>
      <w:hyperlink r:id="rId5" w:history="1">
        <w:r w:rsidRPr="00CB67EE">
          <w:rPr>
            <w:rStyle w:val="Hypertextovodkaz"/>
            <w:rFonts w:ascii="Arial" w:hAnsi="Arial" w:cs="Arial"/>
            <w:sz w:val="16"/>
            <w:szCs w:val="16"/>
          </w:rPr>
          <w:t>článku v časopisu ČSÚ Statistika a My</w:t>
        </w:r>
      </w:hyperlink>
      <w:r w:rsidRPr="00CB67EE">
        <w:rPr>
          <w:rFonts w:ascii="Arial" w:hAnsi="Arial" w:cs="Arial"/>
          <w:sz w:val="16"/>
          <w:szCs w:val="16"/>
        </w:rPr>
        <w:t>, který se věnuje j</w:t>
      </w:r>
      <w:r w:rsidRPr="00CB67EE">
        <w:rPr>
          <w:rFonts w:ascii="Arial" w:hAnsi="Arial" w:cs="Arial"/>
          <w:sz w:val="16"/>
        </w:rPr>
        <w:t>azykovému (neformálním) vzdělávání a znalosti cizích jazyků v české populaci.</w:t>
      </w:r>
    </w:p>
  </w:footnote>
  <w:footnote w:id="22">
    <w:p w:rsidR="00560767" w:rsidRPr="00093BDF" w:rsidRDefault="00560767">
      <w:pPr>
        <w:pStyle w:val="Textpoznpodarou"/>
        <w:rPr>
          <w:b/>
        </w:rPr>
      </w:pPr>
      <w:r w:rsidRPr="00093BDF">
        <w:rPr>
          <w:rStyle w:val="Znakapoznpodarou"/>
          <w:rFonts w:ascii="Arial" w:hAnsi="Arial" w:cs="Arial"/>
        </w:rPr>
        <w:footnoteRef/>
      </w:r>
      <w:r w:rsidRPr="00093BDF">
        <w:rPr>
          <w:rFonts w:ascii="Arial" w:hAnsi="Arial" w:cs="Arial"/>
        </w:rPr>
        <w:t xml:space="preserve"> </w:t>
      </w:r>
      <w:r w:rsidRPr="00093BDF">
        <w:rPr>
          <w:rFonts w:ascii="Arial" w:hAnsi="Arial" w:cs="Arial"/>
          <w:sz w:val="16"/>
        </w:rPr>
        <w:t>z toho 39 % v předchozích 12 měsících absolvovalo nějaké vzdělávání, 48 % se ani prostřednictvím formálních ani neformálních vzdělávacích aktivit nevzdělávalo</w:t>
      </w:r>
    </w:p>
  </w:footnote>
  <w:footnote w:id="23">
    <w:p w:rsidR="0064701B" w:rsidRPr="00256DD2" w:rsidRDefault="0064701B" w:rsidP="0064701B">
      <w:pPr>
        <w:pStyle w:val="Textpoznpodarou"/>
        <w:rPr>
          <w:rFonts w:ascii="Arial" w:hAnsi="Arial" w:cs="Arial"/>
          <w:sz w:val="16"/>
        </w:rPr>
      </w:pPr>
      <w:r w:rsidRPr="00256DD2">
        <w:rPr>
          <w:rStyle w:val="Znakapoznpodarou"/>
          <w:rFonts w:ascii="Arial" w:hAnsi="Arial" w:cs="Arial"/>
          <w:sz w:val="16"/>
        </w:rPr>
        <w:footnoteRef/>
      </w:r>
      <w:r w:rsidRPr="00256DD2">
        <w:rPr>
          <w:rFonts w:ascii="Arial" w:hAnsi="Arial" w:cs="Arial"/>
          <w:sz w:val="16"/>
        </w:rPr>
        <w:t xml:space="preserve"> Informální učení</w:t>
      </w:r>
      <w:r>
        <w:rPr>
          <w:rFonts w:ascii="Arial" w:hAnsi="Arial" w:cs="Arial"/>
          <w:sz w:val="16"/>
        </w:rPr>
        <w:t xml:space="preserve"> zahrnuje</w:t>
      </w:r>
      <w:r w:rsidRPr="00256DD2">
        <w:rPr>
          <w:rFonts w:ascii="Arial" w:hAnsi="Arial" w:cs="Arial"/>
          <w:sz w:val="16"/>
        </w:rPr>
        <w:t xml:space="preserve"> institucionálně neorganizované záměrné získávání poznatků, dovedností a znalostí. Respondent musel vyvinout cílenou snahu něco nového se naučit a podniknout pro to záměrné kroky.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1B" w:rsidRDefault="0064701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1B" w:rsidRDefault="0064701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1B" w:rsidRDefault="0064701B">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67" w:rsidRPr="006F5416" w:rsidRDefault="00560767" w:rsidP="00513C8F">
    <w:pPr>
      <w:pStyle w:val="Zhlav"/>
    </w:pPr>
    <w:r>
      <w:t xml:space="preserve">Vzdělávání dospělých v České republice: výstupy z šetření </w:t>
    </w:r>
    <w:proofErr w:type="spellStart"/>
    <w:r>
      <w:t>Adult</w:t>
    </w:r>
    <w:proofErr w:type="spellEnd"/>
    <w:r>
      <w:t xml:space="preserve"> </w:t>
    </w:r>
    <w:proofErr w:type="spellStart"/>
    <w:r>
      <w:t>Education</w:t>
    </w:r>
    <w:proofErr w:type="spellEnd"/>
    <w:r>
      <w:t xml:space="preserve"> </w:t>
    </w:r>
    <w:proofErr w:type="spellStart"/>
    <w:r>
      <w:t>Survey</w:t>
    </w:r>
    <w:proofErr w:type="spellEnd"/>
    <w:r>
      <w:t xml:space="preserve"> 2016</w:t>
    </w:r>
  </w:p>
  <w:p w:rsidR="00560767" w:rsidRPr="00513C8F" w:rsidRDefault="00560767" w:rsidP="00513C8F">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67" w:rsidRPr="006F5416" w:rsidRDefault="00560767" w:rsidP="00937AE2">
    <w:pPr>
      <w:pStyle w:val="Zhlav"/>
    </w:pPr>
    <w:r>
      <w:t xml:space="preserve">Vzdělávání dospělých v České republice: výstupy z šetření </w:t>
    </w:r>
    <w:proofErr w:type="spellStart"/>
    <w:r>
      <w:t>Adult</w:t>
    </w:r>
    <w:proofErr w:type="spellEnd"/>
    <w:r>
      <w:t xml:space="preserve"> </w:t>
    </w:r>
    <w:proofErr w:type="spellStart"/>
    <w:r>
      <w:t>Education</w:t>
    </w:r>
    <w:proofErr w:type="spellEnd"/>
    <w:r>
      <w:t xml:space="preserve"> </w:t>
    </w:r>
    <w:proofErr w:type="spellStart"/>
    <w:r>
      <w:t>Survey</w:t>
    </w:r>
    <w:proofErr w:type="spellEnd"/>
    <w: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3F145C7"/>
    <w:multiLevelType w:val="hybridMultilevel"/>
    <w:tmpl w:val="DBC6F89C"/>
    <w:lvl w:ilvl="0" w:tplc="8B5240B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DFF7670"/>
    <w:multiLevelType w:val="hybridMultilevel"/>
    <w:tmpl w:val="AF62AE82"/>
    <w:lvl w:ilvl="0" w:tplc="7FF20D26">
      <w:start w:val="1"/>
      <w:numFmt w:val="bullet"/>
      <w:lvlText w:val="-"/>
      <w:lvlJc w:val="left"/>
      <w:pPr>
        <w:ind w:left="1069" w:hanging="360"/>
      </w:pPr>
      <w:rPr>
        <w:rFonts w:ascii="Arial" w:eastAsia="Calibri" w:hAnsi="Arial" w:cs="Aria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B7"/>
    <w:rsid w:val="0000209D"/>
    <w:rsid w:val="00004D5A"/>
    <w:rsid w:val="000056D5"/>
    <w:rsid w:val="00006B90"/>
    <w:rsid w:val="0000767A"/>
    <w:rsid w:val="00010680"/>
    <w:rsid w:val="00010702"/>
    <w:rsid w:val="00012274"/>
    <w:rsid w:val="00016992"/>
    <w:rsid w:val="000211A4"/>
    <w:rsid w:val="000234D6"/>
    <w:rsid w:val="00023D29"/>
    <w:rsid w:val="00026389"/>
    <w:rsid w:val="0003132C"/>
    <w:rsid w:val="00031AE0"/>
    <w:rsid w:val="000322EF"/>
    <w:rsid w:val="0003395C"/>
    <w:rsid w:val="00033FCD"/>
    <w:rsid w:val="000412FF"/>
    <w:rsid w:val="00041CEC"/>
    <w:rsid w:val="00042C60"/>
    <w:rsid w:val="0004694F"/>
    <w:rsid w:val="00047009"/>
    <w:rsid w:val="000522E4"/>
    <w:rsid w:val="000574C3"/>
    <w:rsid w:val="000610E1"/>
    <w:rsid w:val="0006282F"/>
    <w:rsid w:val="00062EC5"/>
    <w:rsid w:val="00062F22"/>
    <w:rsid w:val="00066A32"/>
    <w:rsid w:val="000712B3"/>
    <w:rsid w:val="00071C49"/>
    <w:rsid w:val="00074C90"/>
    <w:rsid w:val="00080205"/>
    <w:rsid w:val="000815DC"/>
    <w:rsid w:val="0008263E"/>
    <w:rsid w:val="00082C19"/>
    <w:rsid w:val="000844A1"/>
    <w:rsid w:val="00085395"/>
    <w:rsid w:val="00087634"/>
    <w:rsid w:val="0008793A"/>
    <w:rsid w:val="00087F2B"/>
    <w:rsid w:val="00092457"/>
    <w:rsid w:val="000939B3"/>
    <w:rsid w:val="00093BDF"/>
    <w:rsid w:val="000974D1"/>
    <w:rsid w:val="0009799E"/>
    <w:rsid w:val="000A1183"/>
    <w:rsid w:val="000A256D"/>
    <w:rsid w:val="000A3A2C"/>
    <w:rsid w:val="000B2C1D"/>
    <w:rsid w:val="000B30FA"/>
    <w:rsid w:val="000B3EB4"/>
    <w:rsid w:val="000C3408"/>
    <w:rsid w:val="000C4D26"/>
    <w:rsid w:val="000C6AFD"/>
    <w:rsid w:val="000D276B"/>
    <w:rsid w:val="000D5637"/>
    <w:rsid w:val="000D6721"/>
    <w:rsid w:val="000E6FBD"/>
    <w:rsid w:val="000F5E21"/>
    <w:rsid w:val="00100F5C"/>
    <w:rsid w:val="0010437D"/>
    <w:rsid w:val="00104C4C"/>
    <w:rsid w:val="001054D9"/>
    <w:rsid w:val="00113B38"/>
    <w:rsid w:val="0012192F"/>
    <w:rsid w:val="00125D69"/>
    <w:rsid w:val="00127F4F"/>
    <w:rsid w:val="00135429"/>
    <w:rsid w:val="001405FA"/>
    <w:rsid w:val="001425C3"/>
    <w:rsid w:val="00143760"/>
    <w:rsid w:val="00144E4E"/>
    <w:rsid w:val="001467A5"/>
    <w:rsid w:val="0016256B"/>
    <w:rsid w:val="00163793"/>
    <w:rsid w:val="00164B85"/>
    <w:rsid w:val="00170501"/>
    <w:rsid w:val="001706D6"/>
    <w:rsid w:val="001714F2"/>
    <w:rsid w:val="00184B08"/>
    <w:rsid w:val="00184B64"/>
    <w:rsid w:val="00185010"/>
    <w:rsid w:val="001866FE"/>
    <w:rsid w:val="001913B8"/>
    <w:rsid w:val="001A2E6F"/>
    <w:rsid w:val="001A552F"/>
    <w:rsid w:val="001B2CA9"/>
    <w:rsid w:val="001B3110"/>
    <w:rsid w:val="001B4729"/>
    <w:rsid w:val="001B6C09"/>
    <w:rsid w:val="001C05CD"/>
    <w:rsid w:val="001D68B2"/>
    <w:rsid w:val="001F4597"/>
    <w:rsid w:val="001F49B3"/>
    <w:rsid w:val="00200BCD"/>
    <w:rsid w:val="00201D5F"/>
    <w:rsid w:val="00204BA1"/>
    <w:rsid w:val="002118B9"/>
    <w:rsid w:val="002137B7"/>
    <w:rsid w:val="002167B1"/>
    <w:rsid w:val="00217C5B"/>
    <w:rsid w:val="0022139E"/>
    <w:rsid w:val="002252E0"/>
    <w:rsid w:val="002255F6"/>
    <w:rsid w:val="00227850"/>
    <w:rsid w:val="00227A53"/>
    <w:rsid w:val="00230C6E"/>
    <w:rsid w:val="00236443"/>
    <w:rsid w:val="00241357"/>
    <w:rsid w:val="00241789"/>
    <w:rsid w:val="00242F16"/>
    <w:rsid w:val="002436BA"/>
    <w:rsid w:val="00244A15"/>
    <w:rsid w:val="00247319"/>
    <w:rsid w:val="0024799E"/>
    <w:rsid w:val="0025127D"/>
    <w:rsid w:val="00253C0F"/>
    <w:rsid w:val="00255583"/>
    <w:rsid w:val="00256DD2"/>
    <w:rsid w:val="002572A0"/>
    <w:rsid w:val="00257CDD"/>
    <w:rsid w:val="0026599B"/>
    <w:rsid w:val="00271465"/>
    <w:rsid w:val="00271A37"/>
    <w:rsid w:val="00273722"/>
    <w:rsid w:val="0027721F"/>
    <w:rsid w:val="00280224"/>
    <w:rsid w:val="00280ED7"/>
    <w:rsid w:val="00285412"/>
    <w:rsid w:val="0029684A"/>
    <w:rsid w:val="002A00BE"/>
    <w:rsid w:val="002A16D4"/>
    <w:rsid w:val="002A230C"/>
    <w:rsid w:val="002B132D"/>
    <w:rsid w:val="002B4D0F"/>
    <w:rsid w:val="002B69D9"/>
    <w:rsid w:val="002C1E4B"/>
    <w:rsid w:val="002C43BD"/>
    <w:rsid w:val="002C4590"/>
    <w:rsid w:val="002C6976"/>
    <w:rsid w:val="002D0E59"/>
    <w:rsid w:val="002D7715"/>
    <w:rsid w:val="002E02A1"/>
    <w:rsid w:val="002E4E4C"/>
    <w:rsid w:val="002E5F1B"/>
    <w:rsid w:val="00303EBB"/>
    <w:rsid w:val="00304771"/>
    <w:rsid w:val="003052D4"/>
    <w:rsid w:val="00306C5B"/>
    <w:rsid w:val="00312B65"/>
    <w:rsid w:val="003209D6"/>
    <w:rsid w:val="00321924"/>
    <w:rsid w:val="0032656E"/>
    <w:rsid w:val="00332190"/>
    <w:rsid w:val="003364F0"/>
    <w:rsid w:val="00336561"/>
    <w:rsid w:val="0034023E"/>
    <w:rsid w:val="003419D8"/>
    <w:rsid w:val="00344668"/>
    <w:rsid w:val="003462D9"/>
    <w:rsid w:val="00347121"/>
    <w:rsid w:val="003505DF"/>
    <w:rsid w:val="003536C8"/>
    <w:rsid w:val="003545D7"/>
    <w:rsid w:val="00356EDD"/>
    <w:rsid w:val="00360C86"/>
    <w:rsid w:val="003657F3"/>
    <w:rsid w:val="0038064C"/>
    <w:rsid w:val="00380A0B"/>
    <w:rsid w:val="003818DC"/>
    <w:rsid w:val="00383392"/>
    <w:rsid w:val="00384327"/>
    <w:rsid w:val="00385D98"/>
    <w:rsid w:val="0039316D"/>
    <w:rsid w:val="003952A6"/>
    <w:rsid w:val="003963DC"/>
    <w:rsid w:val="003A2B4D"/>
    <w:rsid w:val="003A3D15"/>
    <w:rsid w:val="003A478C"/>
    <w:rsid w:val="003A5525"/>
    <w:rsid w:val="003A6B38"/>
    <w:rsid w:val="003B3766"/>
    <w:rsid w:val="003B51E9"/>
    <w:rsid w:val="003B5A32"/>
    <w:rsid w:val="003B5D01"/>
    <w:rsid w:val="003B6228"/>
    <w:rsid w:val="003B7199"/>
    <w:rsid w:val="003C164F"/>
    <w:rsid w:val="003C19EA"/>
    <w:rsid w:val="003C32D5"/>
    <w:rsid w:val="003C3490"/>
    <w:rsid w:val="003C6DA9"/>
    <w:rsid w:val="003D4835"/>
    <w:rsid w:val="003D4BC6"/>
    <w:rsid w:val="003D6920"/>
    <w:rsid w:val="003E4C91"/>
    <w:rsid w:val="003F313C"/>
    <w:rsid w:val="003F4B2C"/>
    <w:rsid w:val="003F4E3A"/>
    <w:rsid w:val="003F551C"/>
    <w:rsid w:val="003F7D23"/>
    <w:rsid w:val="00407C13"/>
    <w:rsid w:val="00410638"/>
    <w:rsid w:val="004223AF"/>
    <w:rsid w:val="0042619C"/>
    <w:rsid w:val="00432A58"/>
    <w:rsid w:val="00434617"/>
    <w:rsid w:val="00440900"/>
    <w:rsid w:val="0044416B"/>
    <w:rsid w:val="004441A0"/>
    <w:rsid w:val="00444D0E"/>
    <w:rsid w:val="004469D5"/>
    <w:rsid w:val="00446BB7"/>
    <w:rsid w:val="00460FB3"/>
    <w:rsid w:val="00462266"/>
    <w:rsid w:val="00465B1D"/>
    <w:rsid w:val="00475409"/>
    <w:rsid w:val="00476240"/>
    <w:rsid w:val="00476439"/>
    <w:rsid w:val="0047735C"/>
    <w:rsid w:val="004776BC"/>
    <w:rsid w:val="0048139F"/>
    <w:rsid w:val="00481E40"/>
    <w:rsid w:val="00484ECE"/>
    <w:rsid w:val="004900FF"/>
    <w:rsid w:val="004915CB"/>
    <w:rsid w:val="004924DC"/>
    <w:rsid w:val="004956CD"/>
    <w:rsid w:val="004A14E4"/>
    <w:rsid w:val="004A2FDF"/>
    <w:rsid w:val="004A3212"/>
    <w:rsid w:val="004A3960"/>
    <w:rsid w:val="004A61C5"/>
    <w:rsid w:val="004A77DF"/>
    <w:rsid w:val="004B1417"/>
    <w:rsid w:val="004B55B7"/>
    <w:rsid w:val="004B6468"/>
    <w:rsid w:val="004B7295"/>
    <w:rsid w:val="004C384C"/>
    <w:rsid w:val="004C3867"/>
    <w:rsid w:val="004C4CD0"/>
    <w:rsid w:val="004C4F0B"/>
    <w:rsid w:val="004C61ED"/>
    <w:rsid w:val="004C70DC"/>
    <w:rsid w:val="004C78B4"/>
    <w:rsid w:val="004D0211"/>
    <w:rsid w:val="004D0794"/>
    <w:rsid w:val="004F06F5"/>
    <w:rsid w:val="004F33A0"/>
    <w:rsid w:val="00500A8A"/>
    <w:rsid w:val="005022F5"/>
    <w:rsid w:val="005036C1"/>
    <w:rsid w:val="005108C0"/>
    <w:rsid w:val="005116D6"/>
    <w:rsid w:val="00511873"/>
    <w:rsid w:val="00512A2F"/>
    <w:rsid w:val="00513B7E"/>
    <w:rsid w:val="00513C8F"/>
    <w:rsid w:val="00515C74"/>
    <w:rsid w:val="0052007E"/>
    <w:rsid w:val="0052227C"/>
    <w:rsid w:val="0052337A"/>
    <w:rsid w:val="00525137"/>
    <w:rsid w:val="005251DD"/>
    <w:rsid w:val="005252C7"/>
    <w:rsid w:val="00530358"/>
    <w:rsid w:val="00532CE7"/>
    <w:rsid w:val="0053324C"/>
    <w:rsid w:val="00534A28"/>
    <w:rsid w:val="00536ED4"/>
    <w:rsid w:val="00541508"/>
    <w:rsid w:val="0055599F"/>
    <w:rsid w:val="00556D68"/>
    <w:rsid w:val="00560767"/>
    <w:rsid w:val="005647BF"/>
    <w:rsid w:val="00567CCB"/>
    <w:rsid w:val="0057104E"/>
    <w:rsid w:val="0057364B"/>
    <w:rsid w:val="00574773"/>
    <w:rsid w:val="00575CAF"/>
    <w:rsid w:val="00577ADE"/>
    <w:rsid w:val="00583FFD"/>
    <w:rsid w:val="00585EBD"/>
    <w:rsid w:val="005911BE"/>
    <w:rsid w:val="005919E3"/>
    <w:rsid w:val="00592E9D"/>
    <w:rsid w:val="00593152"/>
    <w:rsid w:val="00596AC3"/>
    <w:rsid w:val="005A10F2"/>
    <w:rsid w:val="005A21E0"/>
    <w:rsid w:val="005A28FF"/>
    <w:rsid w:val="005A3DF8"/>
    <w:rsid w:val="005A5549"/>
    <w:rsid w:val="005B121D"/>
    <w:rsid w:val="005C06ED"/>
    <w:rsid w:val="005D5802"/>
    <w:rsid w:val="005D7890"/>
    <w:rsid w:val="005E1EDF"/>
    <w:rsid w:val="005E3D36"/>
    <w:rsid w:val="005E3E25"/>
    <w:rsid w:val="005E7C78"/>
    <w:rsid w:val="005F103E"/>
    <w:rsid w:val="005F3EB1"/>
    <w:rsid w:val="005F5469"/>
    <w:rsid w:val="00604307"/>
    <w:rsid w:val="0060487F"/>
    <w:rsid w:val="00604EAD"/>
    <w:rsid w:val="006104FB"/>
    <w:rsid w:val="00610A12"/>
    <w:rsid w:val="0061298D"/>
    <w:rsid w:val="00612A2F"/>
    <w:rsid w:val="00616E05"/>
    <w:rsid w:val="00624093"/>
    <w:rsid w:val="006241DA"/>
    <w:rsid w:val="00625441"/>
    <w:rsid w:val="00635EFE"/>
    <w:rsid w:val="006404A7"/>
    <w:rsid w:val="00642E59"/>
    <w:rsid w:val="006451E4"/>
    <w:rsid w:val="00645B33"/>
    <w:rsid w:val="0064701B"/>
    <w:rsid w:val="006516CB"/>
    <w:rsid w:val="00655FC0"/>
    <w:rsid w:val="00657E87"/>
    <w:rsid w:val="00660DB6"/>
    <w:rsid w:val="00664803"/>
    <w:rsid w:val="00664C0B"/>
    <w:rsid w:val="006650D4"/>
    <w:rsid w:val="00665BA4"/>
    <w:rsid w:val="00667AF2"/>
    <w:rsid w:val="006710C9"/>
    <w:rsid w:val="00674D89"/>
    <w:rsid w:val="00675E37"/>
    <w:rsid w:val="0068174E"/>
    <w:rsid w:val="00681DCE"/>
    <w:rsid w:val="0068260E"/>
    <w:rsid w:val="0068424C"/>
    <w:rsid w:val="006921DA"/>
    <w:rsid w:val="006923A5"/>
    <w:rsid w:val="00692CB8"/>
    <w:rsid w:val="00693373"/>
    <w:rsid w:val="00695BEF"/>
    <w:rsid w:val="0069600B"/>
    <w:rsid w:val="006977F6"/>
    <w:rsid w:val="00697A13"/>
    <w:rsid w:val="006A109C"/>
    <w:rsid w:val="006A43AD"/>
    <w:rsid w:val="006A5F3C"/>
    <w:rsid w:val="006B344A"/>
    <w:rsid w:val="006B78D8"/>
    <w:rsid w:val="006C113F"/>
    <w:rsid w:val="006C123E"/>
    <w:rsid w:val="006C1898"/>
    <w:rsid w:val="006C56D4"/>
    <w:rsid w:val="006C5C1A"/>
    <w:rsid w:val="006C6924"/>
    <w:rsid w:val="006C7220"/>
    <w:rsid w:val="006C7CA6"/>
    <w:rsid w:val="006D3E8A"/>
    <w:rsid w:val="006D4359"/>
    <w:rsid w:val="006D61F6"/>
    <w:rsid w:val="006E0D1C"/>
    <w:rsid w:val="006E279A"/>
    <w:rsid w:val="006E313B"/>
    <w:rsid w:val="006E3537"/>
    <w:rsid w:val="006E3FD7"/>
    <w:rsid w:val="006F0AA1"/>
    <w:rsid w:val="006F181D"/>
    <w:rsid w:val="006F265C"/>
    <w:rsid w:val="006F2E0F"/>
    <w:rsid w:val="006F4BEE"/>
    <w:rsid w:val="006F4DC1"/>
    <w:rsid w:val="006F5416"/>
    <w:rsid w:val="006F56C4"/>
    <w:rsid w:val="006F7137"/>
    <w:rsid w:val="00705950"/>
    <w:rsid w:val="00706AD4"/>
    <w:rsid w:val="007140BE"/>
    <w:rsid w:val="007211F5"/>
    <w:rsid w:val="00725BB5"/>
    <w:rsid w:val="00730AE8"/>
    <w:rsid w:val="00732FA7"/>
    <w:rsid w:val="00733B26"/>
    <w:rsid w:val="00741493"/>
    <w:rsid w:val="00752180"/>
    <w:rsid w:val="00755202"/>
    <w:rsid w:val="00755D3A"/>
    <w:rsid w:val="007578D3"/>
    <w:rsid w:val="007609C6"/>
    <w:rsid w:val="0076175D"/>
    <w:rsid w:val="0076343F"/>
    <w:rsid w:val="0076521E"/>
    <w:rsid w:val="007661E9"/>
    <w:rsid w:val="0077066B"/>
    <w:rsid w:val="00771A74"/>
    <w:rsid w:val="00772CBF"/>
    <w:rsid w:val="0077612E"/>
    <w:rsid w:val="00776169"/>
    <w:rsid w:val="00776527"/>
    <w:rsid w:val="00780EF1"/>
    <w:rsid w:val="00782D73"/>
    <w:rsid w:val="00784BF9"/>
    <w:rsid w:val="007852DA"/>
    <w:rsid w:val="00790764"/>
    <w:rsid w:val="00792DB1"/>
    <w:rsid w:val="0079453C"/>
    <w:rsid w:val="00794677"/>
    <w:rsid w:val="007970CB"/>
    <w:rsid w:val="007A3F91"/>
    <w:rsid w:val="007B6689"/>
    <w:rsid w:val="007B6B57"/>
    <w:rsid w:val="007D157D"/>
    <w:rsid w:val="007D40DF"/>
    <w:rsid w:val="007E466B"/>
    <w:rsid w:val="007E7E61"/>
    <w:rsid w:val="007F0845"/>
    <w:rsid w:val="007F41A4"/>
    <w:rsid w:val="00800269"/>
    <w:rsid w:val="00804953"/>
    <w:rsid w:val="00807C82"/>
    <w:rsid w:val="008115EF"/>
    <w:rsid w:val="00814F76"/>
    <w:rsid w:val="00816905"/>
    <w:rsid w:val="00821FF6"/>
    <w:rsid w:val="00825C4D"/>
    <w:rsid w:val="0083143E"/>
    <w:rsid w:val="00831CDE"/>
    <w:rsid w:val="00834304"/>
    <w:rsid w:val="008346B5"/>
    <w:rsid w:val="00834FAA"/>
    <w:rsid w:val="00836086"/>
    <w:rsid w:val="00844EE4"/>
    <w:rsid w:val="0084708F"/>
    <w:rsid w:val="008477C8"/>
    <w:rsid w:val="0085114D"/>
    <w:rsid w:val="00852217"/>
    <w:rsid w:val="00855408"/>
    <w:rsid w:val="00856D65"/>
    <w:rsid w:val="00860F8E"/>
    <w:rsid w:val="00861B41"/>
    <w:rsid w:val="00863434"/>
    <w:rsid w:val="00865E4C"/>
    <w:rsid w:val="00866AAA"/>
    <w:rsid w:val="008701E4"/>
    <w:rsid w:val="008704B3"/>
    <w:rsid w:val="00871E3C"/>
    <w:rsid w:val="00875A32"/>
    <w:rsid w:val="00876086"/>
    <w:rsid w:val="008873D4"/>
    <w:rsid w:val="0089396E"/>
    <w:rsid w:val="00893E85"/>
    <w:rsid w:val="00894031"/>
    <w:rsid w:val="008968C0"/>
    <w:rsid w:val="008969B9"/>
    <w:rsid w:val="008A3E60"/>
    <w:rsid w:val="008A4F1C"/>
    <w:rsid w:val="008A7D68"/>
    <w:rsid w:val="008A7EAA"/>
    <w:rsid w:val="008B7C02"/>
    <w:rsid w:val="008B7D2B"/>
    <w:rsid w:val="008C0049"/>
    <w:rsid w:val="008C0E88"/>
    <w:rsid w:val="008C3137"/>
    <w:rsid w:val="008C45EF"/>
    <w:rsid w:val="008C5DD0"/>
    <w:rsid w:val="008D1E6A"/>
    <w:rsid w:val="008D2A16"/>
    <w:rsid w:val="008D4F48"/>
    <w:rsid w:val="008E2C57"/>
    <w:rsid w:val="008E31FF"/>
    <w:rsid w:val="008E4D08"/>
    <w:rsid w:val="008E6F06"/>
    <w:rsid w:val="008F029B"/>
    <w:rsid w:val="008F15F0"/>
    <w:rsid w:val="008F3FC9"/>
    <w:rsid w:val="008F585B"/>
    <w:rsid w:val="008F617E"/>
    <w:rsid w:val="009003A8"/>
    <w:rsid w:val="009006FA"/>
    <w:rsid w:val="00902500"/>
    <w:rsid w:val="0090250A"/>
    <w:rsid w:val="00902E03"/>
    <w:rsid w:val="00902EFF"/>
    <w:rsid w:val="00906275"/>
    <w:rsid w:val="00906401"/>
    <w:rsid w:val="00907C65"/>
    <w:rsid w:val="0091155E"/>
    <w:rsid w:val="00911ECD"/>
    <w:rsid w:val="00912A92"/>
    <w:rsid w:val="00914C76"/>
    <w:rsid w:val="0091728D"/>
    <w:rsid w:val="00917D79"/>
    <w:rsid w:val="0092180B"/>
    <w:rsid w:val="00921F14"/>
    <w:rsid w:val="00922620"/>
    <w:rsid w:val="00924AC8"/>
    <w:rsid w:val="0092597A"/>
    <w:rsid w:val="00925D42"/>
    <w:rsid w:val="00932443"/>
    <w:rsid w:val="00932EF4"/>
    <w:rsid w:val="00937AE2"/>
    <w:rsid w:val="00940D55"/>
    <w:rsid w:val="0094427A"/>
    <w:rsid w:val="00944594"/>
    <w:rsid w:val="00947FBF"/>
    <w:rsid w:val="009505C9"/>
    <w:rsid w:val="009519DD"/>
    <w:rsid w:val="00951D29"/>
    <w:rsid w:val="00961A70"/>
    <w:rsid w:val="00974923"/>
    <w:rsid w:val="00977C02"/>
    <w:rsid w:val="00980D3D"/>
    <w:rsid w:val="00987A30"/>
    <w:rsid w:val="00992CF3"/>
    <w:rsid w:val="00994790"/>
    <w:rsid w:val="009968D6"/>
    <w:rsid w:val="009969B5"/>
    <w:rsid w:val="009A1CAB"/>
    <w:rsid w:val="009A60D1"/>
    <w:rsid w:val="009A6EEA"/>
    <w:rsid w:val="009B6FD3"/>
    <w:rsid w:val="009C1750"/>
    <w:rsid w:val="009C2494"/>
    <w:rsid w:val="009C2E29"/>
    <w:rsid w:val="009C4063"/>
    <w:rsid w:val="009C554B"/>
    <w:rsid w:val="009C687D"/>
    <w:rsid w:val="009C6B38"/>
    <w:rsid w:val="009C719E"/>
    <w:rsid w:val="009D3ACD"/>
    <w:rsid w:val="009D4DBE"/>
    <w:rsid w:val="009E5273"/>
    <w:rsid w:val="009E5DDB"/>
    <w:rsid w:val="009F1A6F"/>
    <w:rsid w:val="009F1A9A"/>
    <w:rsid w:val="009F4CA7"/>
    <w:rsid w:val="00A00352"/>
    <w:rsid w:val="00A0046C"/>
    <w:rsid w:val="00A02152"/>
    <w:rsid w:val="00A10D66"/>
    <w:rsid w:val="00A11CE9"/>
    <w:rsid w:val="00A14114"/>
    <w:rsid w:val="00A16413"/>
    <w:rsid w:val="00A238C2"/>
    <w:rsid w:val="00A23E43"/>
    <w:rsid w:val="00A2772B"/>
    <w:rsid w:val="00A30F65"/>
    <w:rsid w:val="00A344BE"/>
    <w:rsid w:val="00A418BC"/>
    <w:rsid w:val="00A44674"/>
    <w:rsid w:val="00A46DE0"/>
    <w:rsid w:val="00A502C3"/>
    <w:rsid w:val="00A50D73"/>
    <w:rsid w:val="00A52CAD"/>
    <w:rsid w:val="00A536A6"/>
    <w:rsid w:val="00A53FC7"/>
    <w:rsid w:val="00A5401F"/>
    <w:rsid w:val="00A62CE1"/>
    <w:rsid w:val="00A6719C"/>
    <w:rsid w:val="00A6741E"/>
    <w:rsid w:val="00A72218"/>
    <w:rsid w:val="00A75E40"/>
    <w:rsid w:val="00A77D1D"/>
    <w:rsid w:val="00A808B2"/>
    <w:rsid w:val="00A857C0"/>
    <w:rsid w:val="00A939DE"/>
    <w:rsid w:val="00A97BBA"/>
    <w:rsid w:val="00AA2996"/>
    <w:rsid w:val="00AA2A0D"/>
    <w:rsid w:val="00AA4922"/>
    <w:rsid w:val="00AA508B"/>
    <w:rsid w:val="00AA52BF"/>
    <w:rsid w:val="00AA559A"/>
    <w:rsid w:val="00AB063A"/>
    <w:rsid w:val="00AB2AF1"/>
    <w:rsid w:val="00AB65CD"/>
    <w:rsid w:val="00AC0CBE"/>
    <w:rsid w:val="00AC0E34"/>
    <w:rsid w:val="00AC26F5"/>
    <w:rsid w:val="00AC27E7"/>
    <w:rsid w:val="00AC2D7F"/>
    <w:rsid w:val="00AC4EB9"/>
    <w:rsid w:val="00AC5216"/>
    <w:rsid w:val="00AD284D"/>
    <w:rsid w:val="00AD306C"/>
    <w:rsid w:val="00AD4C08"/>
    <w:rsid w:val="00AD6BF4"/>
    <w:rsid w:val="00AE09B3"/>
    <w:rsid w:val="00AE1A83"/>
    <w:rsid w:val="00AE6059"/>
    <w:rsid w:val="00AE7CE7"/>
    <w:rsid w:val="00AF411F"/>
    <w:rsid w:val="00B00913"/>
    <w:rsid w:val="00B01593"/>
    <w:rsid w:val="00B10A4D"/>
    <w:rsid w:val="00B149FD"/>
    <w:rsid w:val="00B17E71"/>
    <w:rsid w:val="00B17E8B"/>
    <w:rsid w:val="00B17FDE"/>
    <w:rsid w:val="00B206A6"/>
    <w:rsid w:val="00B219C0"/>
    <w:rsid w:val="00B2379C"/>
    <w:rsid w:val="00B2687D"/>
    <w:rsid w:val="00B327BB"/>
    <w:rsid w:val="00B32DDB"/>
    <w:rsid w:val="00B34528"/>
    <w:rsid w:val="00B37C4C"/>
    <w:rsid w:val="00B402FC"/>
    <w:rsid w:val="00B4133C"/>
    <w:rsid w:val="00B415F8"/>
    <w:rsid w:val="00B418A2"/>
    <w:rsid w:val="00B46604"/>
    <w:rsid w:val="00B530CD"/>
    <w:rsid w:val="00B55F5E"/>
    <w:rsid w:val="00B5752E"/>
    <w:rsid w:val="00B636DA"/>
    <w:rsid w:val="00B63A11"/>
    <w:rsid w:val="00B64886"/>
    <w:rsid w:val="00B64C24"/>
    <w:rsid w:val="00B6608F"/>
    <w:rsid w:val="00B679FB"/>
    <w:rsid w:val="00B76D1E"/>
    <w:rsid w:val="00B77EA5"/>
    <w:rsid w:val="00B80EC6"/>
    <w:rsid w:val="00B814A3"/>
    <w:rsid w:val="00B84B23"/>
    <w:rsid w:val="00B92D1D"/>
    <w:rsid w:val="00B938C5"/>
    <w:rsid w:val="00B95940"/>
    <w:rsid w:val="00BA0D5C"/>
    <w:rsid w:val="00BB46F3"/>
    <w:rsid w:val="00BB4CB1"/>
    <w:rsid w:val="00BB4F98"/>
    <w:rsid w:val="00BC7154"/>
    <w:rsid w:val="00BD08CF"/>
    <w:rsid w:val="00BD15CA"/>
    <w:rsid w:val="00BD18BF"/>
    <w:rsid w:val="00BD2976"/>
    <w:rsid w:val="00BD366B"/>
    <w:rsid w:val="00BD6D50"/>
    <w:rsid w:val="00BE18B9"/>
    <w:rsid w:val="00BE2495"/>
    <w:rsid w:val="00BF1578"/>
    <w:rsid w:val="00BF653F"/>
    <w:rsid w:val="00C06B29"/>
    <w:rsid w:val="00C07A2D"/>
    <w:rsid w:val="00C21F94"/>
    <w:rsid w:val="00C27913"/>
    <w:rsid w:val="00C27ECC"/>
    <w:rsid w:val="00C33B68"/>
    <w:rsid w:val="00C36A79"/>
    <w:rsid w:val="00C405D4"/>
    <w:rsid w:val="00C4513B"/>
    <w:rsid w:val="00C4720E"/>
    <w:rsid w:val="00C54697"/>
    <w:rsid w:val="00C635FD"/>
    <w:rsid w:val="00C73885"/>
    <w:rsid w:val="00C73AA9"/>
    <w:rsid w:val="00C747B1"/>
    <w:rsid w:val="00C82191"/>
    <w:rsid w:val="00C82BB1"/>
    <w:rsid w:val="00C90CF4"/>
    <w:rsid w:val="00C92EB6"/>
    <w:rsid w:val="00C93389"/>
    <w:rsid w:val="00CA6ECE"/>
    <w:rsid w:val="00CB3674"/>
    <w:rsid w:val="00CB4930"/>
    <w:rsid w:val="00CB67EE"/>
    <w:rsid w:val="00CB7412"/>
    <w:rsid w:val="00CC2E7D"/>
    <w:rsid w:val="00CC5F2F"/>
    <w:rsid w:val="00CD10A5"/>
    <w:rsid w:val="00CD2076"/>
    <w:rsid w:val="00CD2B68"/>
    <w:rsid w:val="00CD5780"/>
    <w:rsid w:val="00CE3A26"/>
    <w:rsid w:val="00CE670B"/>
    <w:rsid w:val="00CF51EC"/>
    <w:rsid w:val="00CF73AE"/>
    <w:rsid w:val="00CF751A"/>
    <w:rsid w:val="00D01961"/>
    <w:rsid w:val="00D03BB0"/>
    <w:rsid w:val="00D040DD"/>
    <w:rsid w:val="00D05C1C"/>
    <w:rsid w:val="00D13986"/>
    <w:rsid w:val="00D21DE0"/>
    <w:rsid w:val="00D235B7"/>
    <w:rsid w:val="00D25F28"/>
    <w:rsid w:val="00D27973"/>
    <w:rsid w:val="00D3473E"/>
    <w:rsid w:val="00D436D3"/>
    <w:rsid w:val="00D44E5A"/>
    <w:rsid w:val="00D50F46"/>
    <w:rsid w:val="00D66223"/>
    <w:rsid w:val="00D745F5"/>
    <w:rsid w:val="00D8084C"/>
    <w:rsid w:val="00D8166C"/>
    <w:rsid w:val="00D86BE2"/>
    <w:rsid w:val="00D947DD"/>
    <w:rsid w:val="00DA3268"/>
    <w:rsid w:val="00DA3410"/>
    <w:rsid w:val="00DA7C0C"/>
    <w:rsid w:val="00DB2EC8"/>
    <w:rsid w:val="00DC5B3B"/>
    <w:rsid w:val="00DD129F"/>
    <w:rsid w:val="00DF42FF"/>
    <w:rsid w:val="00E01C0E"/>
    <w:rsid w:val="00E022A3"/>
    <w:rsid w:val="00E03F9A"/>
    <w:rsid w:val="00E04694"/>
    <w:rsid w:val="00E12B1E"/>
    <w:rsid w:val="00E17262"/>
    <w:rsid w:val="00E17621"/>
    <w:rsid w:val="00E176D8"/>
    <w:rsid w:val="00E253A2"/>
    <w:rsid w:val="00E27C4A"/>
    <w:rsid w:val="00E3309D"/>
    <w:rsid w:val="00E33857"/>
    <w:rsid w:val="00E33E06"/>
    <w:rsid w:val="00E462B7"/>
    <w:rsid w:val="00E50156"/>
    <w:rsid w:val="00E50FF8"/>
    <w:rsid w:val="00E5165F"/>
    <w:rsid w:val="00E53470"/>
    <w:rsid w:val="00E539F6"/>
    <w:rsid w:val="00E55E47"/>
    <w:rsid w:val="00E6519D"/>
    <w:rsid w:val="00E67696"/>
    <w:rsid w:val="00E703C0"/>
    <w:rsid w:val="00E704A3"/>
    <w:rsid w:val="00E71A58"/>
    <w:rsid w:val="00E72A7A"/>
    <w:rsid w:val="00E75C94"/>
    <w:rsid w:val="00E80A44"/>
    <w:rsid w:val="00E82629"/>
    <w:rsid w:val="00E83F54"/>
    <w:rsid w:val="00E84D30"/>
    <w:rsid w:val="00E8785C"/>
    <w:rsid w:val="00E93820"/>
    <w:rsid w:val="00EA0C68"/>
    <w:rsid w:val="00EA308A"/>
    <w:rsid w:val="00EA32BC"/>
    <w:rsid w:val="00EB44D0"/>
    <w:rsid w:val="00EB4511"/>
    <w:rsid w:val="00EB6316"/>
    <w:rsid w:val="00EC03D7"/>
    <w:rsid w:val="00EC1062"/>
    <w:rsid w:val="00EC58D3"/>
    <w:rsid w:val="00EC67AA"/>
    <w:rsid w:val="00ED5565"/>
    <w:rsid w:val="00ED62C6"/>
    <w:rsid w:val="00ED64C1"/>
    <w:rsid w:val="00ED750A"/>
    <w:rsid w:val="00EE07CF"/>
    <w:rsid w:val="00EE3446"/>
    <w:rsid w:val="00EE3E78"/>
    <w:rsid w:val="00EE4666"/>
    <w:rsid w:val="00EE4B1B"/>
    <w:rsid w:val="00EE7F24"/>
    <w:rsid w:val="00EF150D"/>
    <w:rsid w:val="00EF1F5A"/>
    <w:rsid w:val="00EF47BF"/>
    <w:rsid w:val="00EF694B"/>
    <w:rsid w:val="00F04811"/>
    <w:rsid w:val="00F0488C"/>
    <w:rsid w:val="00F04FD7"/>
    <w:rsid w:val="00F05F5E"/>
    <w:rsid w:val="00F10F11"/>
    <w:rsid w:val="00F15AAA"/>
    <w:rsid w:val="00F15BEF"/>
    <w:rsid w:val="00F15D93"/>
    <w:rsid w:val="00F24407"/>
    <w:rsid w:val="00F24FAA"/>
    <w:rsid w:val="00F258A3"/>
    <w:rsid w:val="00F3040B"/>
    <w:rsid w:val="00F3364D"/>
    <w:rsid w:val="00F437CC"/>
    <w:rsid w:val="00F47067"/>
    <w:rsid w:val="00F525EB"/>
    <w:rsid w:val="00F55B0B"/>
    <w:rsid w:val="00F57304"/>
    <w:rsid w:val="00F63DDE"/>
    <w:rsid w:val="00F63FB7"/>
    <w:rsid w:val="00F64261"/>
    <w:rsid w:val="00F649D2"/>
    <w:rsid w:val="00F6602B"/>
    <w:rsid w:val="00F67E01"/>
    <w:rsid w:val="00F7260E"/>
    <w:rsid w:val="00F73A0C"/>
    <w:rsid w:val="00F74103"/>
    <w:rsid w:val="00F756DB"/>
    <w:rsid w:val="00F75D08"/>
    <w:rsid w:val="00F767F9"/>
    <w:rsid w:val="00F8446D"/>
    <w:rsid w:val="00F85066"/>
    <w:rsid w:val="00FA5D4D"/>
    <w:rsid w:val="00FB0EE2"/>
    <w:rsid w:val="00FB542E"/>
    <w:rsid w:val="00FC0E5F"/>
    <w:rsid w:val="00FC1A95"/>
    <w:rsid w:val="00FC2F5E"/>
    <w:rsid w:val="00FC49A2"/>
    <w:rsid w:val="00FC56DE"/>
    <w:rsid w:val="00FC684B"/>
    <w:rsid w:val="00FD3265"/>
    <w:rsid w:val="00FE07B0"/>
    <w:rsid w:val="00FE138E"/>
    <w:rsid w:val="00FE2F78"/>
    <w:rsid w:val="00FE5544"/>
    <w:rsid w:val="00FF1D87"/>
    <w:rsid w:val="00FF46A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164B85"/>
    <w:pPr>
      <w:keepNext/>
      <w:keepLines/>
      <w:spacing w:after="120"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unhideWhenUsed/>
    <w:rsid w:val="00BD08CF"/>
    <w:pPr>
      <w:keepNext/>
      <w:keepLines/>
      <w:spacing w:before="200" w:after="0"/>
      <w:outlineLvl w:val="4"/>
    </w:pPr>
    <w:rPr>
      <w:rFonts w:eastAsiaTheme="majorEastAsia" w:cstheme="majorBidi"/>
      <w:b/>
      <w:color w:val="0D0D0D" w:themeColor="text1" w:themeTint="F2"/>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164B85"/>
    <w:rPr>
      <w:rFonts w:ascii="Arial" w:eastAsia="MS Gothic" w:hAnsi="Arial"/>
      <w:b/>
      <w:bCs/>
      <w:iCs/>
      <w:szCs w:val="24"/>
      <w:lang w:eastAsia="cs-CZ"/>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705950"/>
    <w:rPr>
      <w:noProof/>
      <w:sz w:val="18"/>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extpoznpodarou">
    <w:name w:val="footnote text"/>
    <w:basedOn w:val="Normln"/>
    <w:link w:val="TextpoznpodarouChar"/>
    <w:uiPriority w:val="99"/>
    <w:semiHidden/>
    <w:unhideWhenUsed/>
    <w:rsid w:val="00F74103"/>
    <w:pPr>
      <w:spacing w:after="0"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F74103"/>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F74103"/>
    <w:rPr>
      <w:vertAlign w:val="superscript"/>
    </w:rPr>
  </w:style>
  <w:style w:type="table" w:styleId="Mkatabulky">
    <w:name w:val="Table Grid"/>
    <w:basedOn w:val="Normlntabulka"/>
    <w:uiPriority w:val="59"/>
    <w:rsid w:val="00F7410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8C3137"/>
    <w:rPr>
      <w:sz w:val="16"/>
      <w:szCs w:val="16"/>
    </w:rPr>
  </w:style>
  <w:style w:type="paragraph" w:styleId="Textkomente">
    <w:name w:val="annotation text"/>
    <w:basedOn w:val="Normln"/>
    <w:link w:val="TextkomenteChar"/>
    <w:uiPriority w:val="99"/>
    <w:semiHidden/>
    <w:unhideWhenUsed/>
    <w:rsid w:val="008C3137"/>
    <w:pPr>
      <w:spacing w:line="240" w:lineRule="auto"/>
    </w:pPr>
    <w:rPr>
      <w:szCs w:val="20"/>
    </w:rPr>
  </w:style>
  <w:style w:type="character" w:customStyle="1" w:styleId="TextkomenteChar">
    <w:name w:val="Text komentáře Char"/>
    <w:basedOn w:val="Standardnpsmoodstavce"/>
    <w:link w:val="Textkomente"/>
    <w:uiPriority w:val="99"/>
    <w:semiHidden/>
    <w:rsid w:val="008C3137"/>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8C3137"/>
    <w:rPr>
      <w:b/>
      <w:bCs/>
    </w:rPr>
  </w:style>
  <w:style w:type="character" w:customStyle="1" w:styleId="PedmtkomenteChar">
    <w:name w:val="Předmět komentáře Char"/>
    <w:basedOn w:val="TextkomenteChar"/>
    <w:link w:val="Pedmtkomente"/>
    <w:uiPriority w:val="99"/>
    <w:semiHidden/>
    <w:rsid w:val="008C3137"/>
    <w:rPr>
      <w:rFonts w:ascii="Arial" w:eastAsia="Times New Roman" w:hAnsi="Arial"/>
      <w:b/>
      <w:bCs/>
      <w:lang w:eastAsia="cs-CZ"/>
    </w:rPr>
  </w:style>
  <w:style w:type="paragraph" w:styleId="Odstavecseseznamem">
    <w:name w:val="List Paragraph"/>
    <w:basedOn w:val="Normln"/>
    <w:uiPriority w:val="34"/>
    <w:rsid w:val="000D276B"/>
    <w:pPr>
      <w:ind w:left="720"/>
      <w:contextualSpacing/>
    </w:pPr>
  </w:style>
  <w:style w:type="paragraph" w:styleId="Nadpisobsahu">
    <w:name w:val="TOC Heading"/>
    <w:basedOn w:val="Nadpis1"/>
    <w:next w:val="Normln"/>
    <w:uiPriority w:val="39"/>
    <w:unhideWhenUsed/>
    <w:qFormat/>
    <w:rsid w:val="00CE3A26"/>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5022F5"/>
    <w:rPr>
      <w:color w:val="800080" w:themeColor="followedHyperlink"/>
      <w:u w:val="single"/>
    </w:rPr>
  </w:style>
  <w:style w:type="paragraph" w:styleId="Titulek">
    <w:name w:val="caption"/>
    <w:basedOn w:val="Normln"/>
    <w:next w:val="Normln"/>
    <w:uiPriority w:val="35"/>
    <w:unhideWhenUsed/>
    <w:qFormat/>
    <w:rsid w:val="00F55B0B"/>
    <w:pPr>
      <w:spacing w:after="200" w:line="240" w:lineRule="auto"/>
    </w:pPr>
    <w:rPr>
      <w:b/>
      <w:bCs/>
      <w:color w:val="4F81BD" w:themeColor="accent1"/>
      <w:sz w:val="18"/>
      <w:szCs w:val="18"/>
    </w:rPr>
  </w:style>
  <w:style w:type="paragraph" w:customStyle="1" w:styleId="Default">
    <w:name w:val="Default"/>
    <w:rsid w:val="0025127D"/>
    <w:pPr>
      <w:autoSpaceDE w:val="0"/>
      <w:autoSpaceDN w:val="0"/>
      <w:adjustRightInd w:val="0"/>
    </w:pPr>
    <w:rPr>
      <w:rFonts w:ascii="Arial" w:eastAsiaTheme="minorHAnsi" w:hAnsi="Arial" w:cs="Arial"/>
      <w:color w:val="000000"/>
      <w:sz w:val="24"/>
      <w:szCs w:val="24"/>
    </w:rPr>
  </w:style>
  <w:style w:type="paragraph" w:customStyle="1" w:styleId="Nadpispt">
    <w:name w:val="Nadpis pět"/>
    <w:basedOn w:val="Zkladnodstavec"/>
    <w:qFormat/>
    <w:rsid w:val="008C5DD0"/>
    <w:rPr>
      <w:rFonts w:cs="Arial"/>
      <w:b/>
      <w:szCs w:val="20"/>
    </w:rPr>
  </w:style>
  <w:style w:type="character" w:customStyle="1" w:styleId="Nadpis5Char">
    <w:name w:val="Nadpis 5 Char"/>
    <w:basedOn w:val="Standardnpsmoodstavce"/>
    <w:link w:val="Nadpis5"/>
    <w:uiPriority w:val="9"/>
    <w:rsid w:val="00BD08CF"/>
    <w:rPr>
      <w:rFonts w:ascii="Arial" w:eastAsiaTheme="majorEastAsia" w:hAnsi="Arial" w:cstheme="majorBidi"/>
      <w:b/>
      <w:color w:val="0D0D0D" w:themeColor="text1" w:themeTint="F2"/>
      <w:szCs w:val="24"/>
      <w:lang w:eastAsia="cs-CZ"/>
    </w:rPr>
  </w:style>
  <w:style w:type="paragraph" w:styleId="Normlnweb">
    <w:name w:val="Normal (Web)"/>
    <w:basedOn w:val="Normln"/>
    <w:uiPriority w:val="99"/>
    <w:semiHidden/>
    <w:unhideWhenUsed/>
    <w:rsid w:val="006E3537"/>
    <w:pPr>
      <w:spacing w:before="100" w:beforeAutospacing="1" w:after="100" w:afterAutospacing="1" w:line="240" w:lineRule="auto"/>
    </w:pPr>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164B85"/>
    <w:pPr>
      <w:keepNext/>
      <w:keepLines/>
      <w:spacing w:after="120"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unhideWhenUsed/>
    <w:rsid w:val="00BD08CF"/>
    <w:pPr>
      <w:keepNext/>
      <w:keepLines/>
      <w:spacing w:before="200" w:after="0"/>
      <w:outlineLvl w:val="4"/>
    </w:pPr>
    <w:rPr>
      <w:rFonts w:eastAsiaTheme="majorEastAsia" w:cstheme="majorBidi"/>
      <w:b/>
      <w:color w:val="0D0D0D" w:themeColor="text1" w:themeTint="F2"/>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164B85"/>
    <w:rPr>
      <w:rFonts w:ascii="Arial" w:eastAsia="MS Gothic" w:hAnsi="Arial"/>
      <w:b/>
      <w:bCs/>
      <w:iCs/>
      <w:szCs w:val="24"/>
      <w:lang w:eastAsia="cs-CZ"/>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705950"/>
    <w:rPr>
      <w:noProof/>
      <w:sz w:val="18"/>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extpoznpodarou">
    <w:name w:val="footnote text"/>
    <w:basedOn w:val="Normln"/>
    <w:link w:val="TextpoznpodarouChar"/>
    <w:uiPriority w:val="99"/>
    <w:semiHidden/>
    <w:unhideWhenUsed/>
    <w:rsid w:val="00F74103"/>
    <w:pPr>
      <w:spacing w:after="0"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F74103"/>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F74103"/>
    <w:rPr>
      <w:vertAlign w:val="superscript"/>
    </w:rPr>
  </w:style>
  <w:style w:type="table" w:styleId="Mkatabulky">
    <w:name w:val="Table Grid"/>
    <w:basedOn w:val="Normlntabulka"/>
    <w:uiPriority w:val="59"/>
    <w:rsid w:val="00F7410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8C3137"/>
    <w:rPr>
      <w:sz w:val="16"/>
      <w:szCs w:val="16"/>
    </w:rPr>
  </w:style>
  <w:style w:type="paragraph" w:styleId="Textkomente">
    <w:name w:val="annotation text"/>
    <w:basedOn w:val="Normln"/>
    <w:link w:val="TextkomenteChar"/>
    <w:uiPriority w:val="99"/>
    <w:semiHidden/>
    <w:unhideWhenUsed/>
    <w:rsid w:val="008C3137"/>
    <w:pPr>
      <w:spacing w:line="240" w:lineRule="auto"/>
    </w:pPr>
    <w:rPr>
      <w:szCs w:val="20"/>
    </w:rPr>
  </w:style>
  <w:style w:type="character" w:customStyle="1" w:styleId="TextkomenteChar">
    <w:name w:val="Text komentáře Char"/>
    <w:basedOn w:val="Standardnpsmoodstavce"/>
    <w:link w:val="Textkomente"/>
    <w:uiPriority w:val="99"/>
    <w:semiHidden/>
    <w:rsid w:val="008C3137"/>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8C3137"/>
    <w:rPr>
      <w:b/>
      <w:bCs/>
    </w:rPr>
  </w:style>
  <w:style w:type="character" w:customStyle="1" w:styleId="PedmtkomenteChar">
    <w:name w:val="Předmět komentáře Char"/>
    <w:basedOn w:val="TextkomenteChar"/>
    <w:link w:val="Pedmtkomente"/>
    <w:uiPriority w:val="99"/>
    <w:semiHidden/>
    <w:rsid w:val="008C3137"/>
    <w:rPr>
      <w:rFonts w:ascii="Arial" w:eastAsia="Times New Roman" w:hAnsi="Arial"/>
      <w:b/>
      <w:bCs/>
      <w:lang w:eastAsia="cs-CZ"/>
    </w:rPr>
  </w:style>
  <w:style w:type="paragraph" w:styleId="Odstavecseseznamem">
    <w:name w:val="List Paragraph"/>
    <w:basedOn w:val="Normln"/>
    <w:uiPriority w:val="34"/>
    <w:rsid w:val="000D276B"/>
    <w:pPr>
      <w:ind w:left="720"/>
      <w:contextualSpacing/>
    </w:pPr>
  </w:style>
  <w:style w:type="paragraph" w:styleId="Nadpisobsahu">
    <w:name w:val="TOC Heading"/>
    <w:basedOn w:val="Nadpis1"/>
    <w:next w:val="Normln"/>
    <w:uiPriority w:val="39"/>
    <w:unhideWhenUsed/>
    <w:qFormat/>
    <w:rsid w:val="00CE3A26"/>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5022F5"/>
    <w:rPr>
      <w:color w:val="800080" w:themeColor="followedHyperlink"/>
      <w:u w:val="single"/>
    </w:rPr>
  </w:style>
  <w:style w:type="paragraph" w:styleId="Titulek">
    <w:name w:val="caption"/>
    <w:basedOn w:val="Normln"/>
    <w:next w:val="Normln"/>
    <w:uiPriority w:val="35"/>
    <w:unhideWhenUsed/>
    <w:qFormat/>
    <w:rsid w:val="00F55B0B"/>
    <w:pPr>
      <w:spacing w:after="200" w:line="240" w:lineRule="auto"/>
    </w:pPr>
    <w:rPr>
      <w:b/>
      <w:bCs/>
      <w:color w:val="4F81BD" w:themeColor="accent1"/>
      <w:sz w:val="18"/>
      <w:szCs w:val="18"/>
    </w:rPr>
  </w:style>
  <w:style w:type="paragraph" w:customStyle="1" w:styleId="Default">
    <w:name w:val="Default"/>
    <w:rsid w:val="0025127D"/>
    <w:pPr>
      <w:autoSpaceDE w:val="0"/>
      <w:autoSpaceDN w:val="0"/>
      <w:adjustRightInd w:val="0"/>
    </w:pPr>
    <w:rPr>
      <w:rFonts w:ascii="Arial" w:eastAsiaTheme="minorHAnsi" w:hAnsi="Arial" w:cs="Arial"/>
      <w:color w:val="000000"/>
      <w:sz w:val="24"/>
      <w:szCs w:val="24"/>
    </w:rPr>
  </w:style>
  <w:style w:type="paragraph" w:customStyle="1" w:styleId="Nadpispt">
    <w:name w:val="Nadpis pět"/>
    <w:basedOn w:val="Zkladnodstavec"/>
    <w:qFormat/>
    <w:rsid w:val="008C5DD0"/>
    <w:rPr>
      <w:rFonts w:cs="Arial"/>
      <w:b/>
      <w:szCs w:val="20"/>
    </w:rPr>
  </w:style>
  <w:style w:type="character" w:customStyle="1" w:styleId="Nadpis5Char">
    <w:name w:val="Nadpis 5 Char"/>
    <w:basedOn w:val="Standardnpsmoodstavce"/>
    <w:link w:val="Nadpis5"/>
    <w:uiPriority w:val="9"/>
    <w:rsid w:val="00BD08CF"/>
    <w:rPr>
      <w:rFonts w:ascii="Arial" w:eastAsiaTheme="majorEastAsia" w:hAnsi="Arial" w:cstheme="majorBidi"/>
      <w:b/>
      <w:color w:val="0D0D0D" w:themeColor="text1" w:themeTint="F2"/>
      <w:szCs w:val="24"/>
      <w:lang w:eastAsia="cs-CZ"/>
    </w:rPr>
  </w:style>
  <w:style w:type="paragraph" w:styleId="Normlnweb">
    <w:name w:val="Normal (Web)"/>
    <w:basedOn w:val="Normln"/>
    <w:uiPriority w:val="99"/>
    <w:semiHidden/>
    <w:unhideWhenUsed/>
    <w:rsid w:val="006E3537"/>
    <w:pPr>
      <w:spacing w:before="100" w:beforeAutospacing="1" w:after="100" w:afterAutospacing="1"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2339644">
      <w:bodyDiv w:val="1"/>
      <w:marLeft w:val="0"/>
      <w:marRight w:val="0"/>
      <w:marTop w:val="0"/>
      <w:marBottom w:val="0"/>
      <w:divBdr>
        <w:top w:val="none" w:sz="0" w:space="0" w:color="auto"/>
        <w:left w:val="none" w:sz="0" w:space="0" w:color="auto"/>
        <w:bottom w:val="none" w:sz="0" w:space="0" w:color="auto"/>
        <w:right w:val="none" w:sz="0" w:space="0" w:color="auto"/>
      </w:divBdr>
      <w:divsChild>
        <w:div w:id="16589340">
          <w:marLeft w:val="0"/>
          <w:marRight w:val="0"/>
          <w:marTop w:val="0"/>
          <w:marBottom w:val="0"/>
          <w:divBdr>
            <w:top w:val="none" w:sz="0" w:space="0" w:color="auto"/>
            <w:left w:val="none" w:sz="0" w:space="0" w:color="auto"/>
            <w:bottom w:val="none" w:sz="0" w:space="0" w:color="auto"/>
            <w:right w:val="none" w:sz="0" w:space="0" w:color="auto"/>
          </w:divBdr>
        </w:div>
        <w:div w:id="17581461">
          <w:marLeft w:val="0"/>
          <w:marRight w:val="0"/>
          <w:marTop w:val="0"/>
          <w:marBottom w:val="0"/>
          <w:divBdr>
            <w:top w:val="none" w:sz="0" w:space="0" w:color="auto"/>
            <w:left w:val="none" w:sz="0" w:space="0" w:color="auto"/>
            <w:bottom w:val="none" w:sz="0" w:space="0" w:color="auto"/>
            <w:right w:val="none" w:sz="0" w:space="0" w:color="auto"/>
          </w:divBdr>
        </w:div>
        <w:div w:id="20713678">
          <w:marLeft w:val="0"/>
          <w:marRight w:val="0"/>
          <w:marTop w:val="0"/>
          <w:marBottom w:val="0"/>
          <w:divBdr>
            <w:top w:val="none" w:sz="0" w:space="0" w:color="auto"/>
            <w:left w:val="none" w:sz="0" w:space="0" w:color="auto"/>
            <w:bottom w:val="none" w:sz="0" w:space="0" w:color="auto"/>
            <w:right w:val="none" w:sz="0" w:space="0" w:color="auto"/>
          </w:divBdr>
        </w:div>
        <w:div w:id="28192721">
          <w:marLeft w:val="0"/>
          <w:marRight w:val="0"/>
          <w:marTop w:val="0"/>
          <w:marBottom w:val="0"/>
          <w:divBdr>
            <w:top w:val="none" w:sz="0" w:space="0" w:color="auto"/>
            <w:left w:val="none" w:sz="0" w:space="0" w:color="auto"/>
            <w:bottom w:val="none" w:sz="0" w:space="0" w:color="auto"/>
            <w:right w:val="none" w:sz="0" w:space="0" w:color="auto"/>
          </w:divBdr>
        </w:div>
        <w:div w:id="41099745">
          <w:marLeft w:val="0"/>
          <w:marRight w:val="0"/>
          <w:marTop w:val="0"/>
          <w:marBottom w:val="0"/>
          <w:divBdr>
            <w:top w:val="none" w:sz="0" w:space="0" w:color="auto"/>
            <w:left w:val="none" w:sz="0" w:space="0" w:color="auto"/>
            <w:bottom w:val="none" w:sz="0" w:space="0" w:color="auto"/>
            <w:right w:val="none" w:sz="0" w:space="0" w:color="auto"/>
          </w:divBdr>
        </w:div>
        <w:div w:id="42028469">
          <w:marLeft w:val="0"/>
          <w:marRight w:val="0"/>
          <w:marTop w:val="0"/>
          <w:marBottom w:val="0"/>
          <w:divBdr>
            <w:top w:val="none" w:sz="0" w:space="0" w:color="auto"/>
            <w:left w:val="none" w:sz="0" w:space="0" w:color="auto"/>
            <w:bottom w:val="none" w:sz="0" w:space="0" w:color="auto"/>
            <w:right w:val="none" w:sz="0" w:space="0" w:color="auto"/>
          </w:divBdr>
        </w:div>
        <w:div w:id="53312155">
          <w:marLeft w:val="0"/>
          <w:marRight w:val="0"/>
          <w:marTop w:val="0"/>
          <w:marBottom w:val="0"/>
          <w:divBdr>
            <w:top w:val="none" w:sz="0" w:space="0" w:color="auto"/>
            <w:left w:val="none" w:sz="0" w:space="0" w:color="auto"/>
            <w:bottom w:val="none" w:sz="0" w:space="0" w:color="auto"/>
            <w:right w:val="none" w:sz="0" w:space="0" w:color="auto"/>
          </w:divBdr>
        </w:div>
        <w:div w:id="57242944">
          <w:marLeft w:val="0"/>
          <w:marRight w:val="0"/>
          <w:marTop w:val="0"/>
          <w:marBottom w:val="0"/>
          <w:divBdr>
            <w:top w:val="none" w:sz="0" w:space="0" w:color="auto"/>
            <w:left w:val="none" w:sz="0" w:space="0" w:color="auto"/>
            <w:bottom w:val="none" w:sz="0" w:space="0" w:color="auto"/>
            <w:right w:val="none" w:sz="0" w:space="0" w:color="auto"/>
          </w:divBdr>
        </w:div>
        <w:div w:id="79758482">
          <w:marLeft w:val="0"/>
          <w:marRight w:val="0"/>
          <w:marTop w:val="0"/>
          <w:marBottom w:val="0"/>
          <w:divBdr>
            <w:top w:val="none" w:sz="0" w:space="0" w:color="auto"/>
            <w:left w:val="none" w:sz="0" w:space="0" w:color="auto"/>
            <w:bottom w:val="none" w:sz="0" w:space="0" w:color="auto"/>
            <w:right w:val="none" w:sz="0" w:space="0" w:color="auto"/>
          </w:divBdr>
        </w:div>
        <w:div w:id="81726152">
          <w:marLeft w:val="0"/>
          <w:marRight w:val="0"/>
          <w:marTop w:val="0"/>
          <w:marBottom w:val="0"/>
          <w:divBdr>
            <w:top w:val="none" w:sz="0" w:space="0" w:color="auto"/>
            <w:left w:val="none" w:sz="0" w:space="0" w:color="auto"/>
            <w:bottom w:val="none" w:sz="0" w:space="0" w:color="auto"/>
            <w:right w:val="none" w:sz="0" w:space="0" w:color="auto"/>
          </w:divBdr>
        </w:div>
        <w:div w:id="83193032">
          <w:marLeft w:val="0"/>
          <w:marRight w:val="0"/>
          <w:marTop w:val="0"/>
          <w:marBottom w:val="0"/>
          <w:divBdr>
            <w:top w:val="none" w:sz="0" w:space="0" w:color="auto"/>
            <w:left w:val="none" w:sz="0" w:space="0" w:color="auto"/>
            <w:bottom w:val="none" w:sz="0" w:space="0" w:color="auto"/>
            <w:right w:val="none" w:sz="0" w:space="0" w:color="auto"/>
          </w:divBdr>
        </w:div>
        <w:div w:id="104160522">
          <w:marLeft w:val="0"/>
          <w:marRight w:val="0"/>
          <w:marTop w:val="0"/>
          <w:marBottom w:val="0"/>
          <w:divBdr>
            <w:top w:val="none" w:sz="0" w:space="0" w:color="auto"/>
            <w:left w:val="none" w:sz="0" w:space="0" w:color="auto"/>
            <w:bottom w:val="none" w:sz="0" w:space="0" w:color="auto"/>
            <w:right w:val="none" w:sz="0" w:space="0" w:color="auto"/>
          </w:divBdr>
        </w:div>
        <w:div w:id="114376655">
          <w:marLeft w:val="0"/>
          <w:marRight w:val="0"/>
          <w:marTop w:val="0"/>
          <w:marBottom w:val="0"/>
          <w:divBdr>
            <w:top w:val="none" w:sz="0" w:space="0" w:color="auto"/>
            <w:left w:val="none" w:sz="0" w:space="0" w:color="auto"/>
            <w:bottom w:val="none" w:sz="0" w:space="0" w:color="auto"/>
            <w:right w:val="none" w:sz="0" w:space="0" w:color="auto"/>
          </w:divBdr>
        </w:div>
        <w:div w:id="115414961">
          <w:marLeft w:val="0"/>
          <w:marRight w:val="0"/>
          <w:marTop w:val="0"/>
          <w:marBottom w:val="0"/>
          <w:divBdr>
            <w:top w:val="none" w:sz="0" w:space="0" w:color="auto"/>
            <w:left w:val="none" w:sz="0" w:space="0" w:color="auto"/>
            <w:bottom w:val="none" w:sz="0" w:space="0" w:color="auto"/>
            <w:right w:val="none" w:sz="0" w:space="0" w:color="auto"/>
          </w:divBdr>
        </w:div>
        <w:div w:id="122040633">
          <w:marLeft w:val="0"/>
          <w:marRight w:val="0"/>
          <w:marTop w:val="0"/>
          <w:marBottom w:val="0"/>
          <w:divBdr>
            <w:top w:val="none" w:sz="0" w:space="0" w:color="auto"/>
            <w:left w:val="none" w:sz="0" w:space="0" w:color="auto"/>
            <w:bottom w:val="none" w:sz="0" w:space="0" w:color="auto"/>
            <w:right w:val="none" w:sz="0" w:space="0" w:color="auto"/>
          </w:divBdr>
        </w:div>
        <w:div w:id="125440342">
          <w:marLeft w:val="0"/>
          <w:marRight w:val="0"/>
          <w:marTop w:val="0"/>
          <w:marBottom w:val="0"/>
          <w:divBdr>
            <w:top w:val="none" w:sz="0" w:space="0" w:color="auto"/>
            <w:left w:val="none" w:sz="0" w:space="0" w:color="auto"/>
            <w:bottom w:val="none" w:sz="0" w:space="0" w:color="auto"/>
            <w:right w:val="none" w:sz="0" w:space="0" w:color="auto"/>
          </w:divBdr>
        </w:div>
        <w:div w:id="127357696">
          <w:marLeft w:val="0"/>
          <w:marRight w:val="0"/>
          <w:marTop w:val="0"/>
          <w:marBottom w:val="0"/>
          <w:divBdr>
            <w:top w:val="none" w:sz="0" w:space="0" w:color="auto"/>
            <w:left w:val="none" w:sz="0" w:space="0" w:color="auto"/>
            <w:bottom w:val="none" w:sz="0" w:space="0" w:color="auto"/>
            <w:right w:val="none" w:sz="0" w:space="0" w:color="auto"/>
          </w:divBdr>
        </w:div>
        <w:div w:id="147284572">
          <w:marLeft w:val="0"/>
          <w:marRight w:val="0"/>
          <w:marTop w:val="0"/>
          <w:marBottom w:val="0"/>
          <w:divBdr>
            <w:top w:val="none" w:sz="0" w:space="0" w:color="auto"/>
            <w:left w:val="none" w:sz="0" w:space="0" w:color="auto"/>
            <w:bottom w:val="none" w:sz="0" w:space="0" w:color="auto"/>
            <w:right w:val="none" w:sz="0" w:space="0" w:color="auto"/>
          </w:divBdr>
        </w:div>
        <w:div w:id="155265839">
          <w:marLeft w:val="0"/>
          <w:marRight w:val="0"/>
          <w:marTop w:val="0"/>
          <w:marBottom w:val="0"/>
          <w:divBdr>
            <w:top w:val="none" w:sz="0" w:space="0" w:color="auto"/>
            <w:left w:val="none" w:sz="0" w:space="0" w:color="auto"/>
            <w:bottom w:val="none" w:sz="0" w:space="0" w:color="auto"/>
            <w:right w:val="none" w:sz="0" w:space="0" w:color="auto"/>
          </w:divBdr>
        </w:div>
        <w:div w:id="159544699">
          <w:marLeft w:val="0"/>
          <w:marRight w:val="0"/>
          <w:marTop w:val="0"/>
          <w:marBottom w:val="0"/>
          <w:divBdr>
            <w:top w:val="none" w:sz="0" w:space="0" w:color="auto"/>
            <w:left w:val="none" w:sz="0" w:space="0" w:color="auto"/>
            <w:bottom w:val="none" w:sz="0" w:space="0" w:color="auto"/>
            <w:right w:val="none" w:sz="0" w:space="0" w:color="auto"/>
          </w:divBdr>
        </w:div>
        <w:div w:id="162742297">
          <w:marLeft w:val="0"/>
          <w:marRight w:val="0"/>
          <w:marTop w:val="0"/>
          <w:marBottom w:val="0"/>
          <w:divBdr>
            <w:top w:val="none" w:sz="0" w:space="0" w:color="auto"/>
            <w:left w:val="none" w:sz="0" w:space="0" w:color="auto"/>
            <w:bottom w:val="none" w:sz="0" w:space="0" w:color="auto"/>
            <w:right w:val="none" w:sz="0" w:space="0" w:color="auto"/>
          </w:divBdr>
        </w:div>
        <w:div w:id="185562269">
          <w:marLeft w:val="0"/>
          <w:marRight w:val="0"/>
          <w:marTop w:val="0"/>
          <w:marBottom w:val="0"/>
          <w:divBdr>
            <w:top w:val="none" w:sz="0" w:space="0" w:color="auto"/>
            <w:left w:val="none" w:sz="0" w:space="0" w:color="auto"/>
            <w:bottom w:val="none" w:sz="0" w:space="0" w:color="auto"/>
            <w:right w:val="none" w:sz="0" w:space="0" w:color="auto"/>
          </w:divBdr>
        </w:div>
        <w:div w:id="192963498">
          <w:marLeft w:val="0"/>
          <w:marRight w:val="0"/>
          <w:marTop w:val="0"/>
          <w:marBottom w:val="0"/>
          <w:divBdr>
            <w:top w:val="none" w:sz="0" w:space="0" w:color="auto"/>
            <w:left w:val="none" w:sz="0" w:space="0" w:color="auto"/>
            <w:bottom w:val="none" w:sz="0" w:space="0" w:color="auto"/>
            <w:right w:val="none" w:sz="0" w:space="0" w:color="auto"/>
          </w:divBdr>
        </w:div>
        <w:div w:id="202983831">
          <w:marLeft w:val="0"/>
          <w:marRight w:val="0"/>
          <w:marTop w:val="0"/>
          <w:marBottom w:val="0"/>
          <w:divBdr>
            <w:top w:val="none" w:sz="0" w:space="0" w:color="auto"/>
            <w:left w:val="none" w:sz="0" w:space="0" w:color="auto"/>
            <w:bottom w:val="none" w:sz="0" w:space="0" w:color="auto"/>
            <w:right w:val="none" w:sz="0" w:space="0" w:color="auto"/>
          </w:divBdr>
        </w:div>
        <w:div w:id="207694276">
          <w:marLeft w:val="0"/>
          <w:marRight w:val="0"/>
          <w:marTop w:val="0"/>
          <w:marBottom w:val="0"/>
          <w:divBdr>
            <w:top w:val="none" w:sz="0" w:space="0" w:color="auto"/>
            <w:left w:val="none" w:sz="0" w:space="0" w:color="auto"/>
            <w:bottom w:val="none" w:sz="0" w:space="0" w:color="auto"/>
            <w:right w:val="none" w:sz="0" w:space="0" w:color="auto"/>
          </w:divBdr>
        </w:div>
        <w:div w:id="213081013">
          <w:marLeft w:val="0"/>
          <w:marRight w:val="0"/>
          <w:marTop w:val="0"/>
          <w:marBottom w:val="0"/>
          <w:divBdr>
            <w:top w:val="none" w:sz="0" w:space="0" w:color="auto"/>
            <w:left w:val="none" w:sz="0" w:space="0" w:color="auto"/>
            <w:bottom w:val="none" w:sz="0" w:space="0" w:color="auto"/>
            <w:right w:val="none" w:sz="0" w:space="0" w:color="auto"/>
          </w:divBdr>
        </w:div>
        <w:div w:id="213542866">
          <w:marLeft w:val="0"/>
          <w:marRight w:val="0"/>
          <w:marTop w:val="0"/>
          <w:marBottom w:val="0"/>
          <w:divBdr>
            <w:top w:val="none" w:sz="0" w:space="0" w:color="auto"/>
            <w:left w:val="none" w:sz="0" w:space="0" w:color="auto"/>
            <w:bottom w:val="none" w:sz="0" w:space="0" w:color="auto"/>
            <w:right w:val="none" w:sz="0" w:space="0" w:color="auto"/>
          </w:divBdr>
        </w:div>
        <w:div w:id="229511475">
          <w:marLeft w:val="0"/>
          <w:marRight w:val="0"/>
          <w:marTop w:val="0"/>
          <w:marBottom w:val="0"/>
          <w:divBdr>
            <w:top w:val="none" w:sz="0" w:space="0" w:color="auto"/>
            <w:left w:val="none" w:sz="0" w:space="0" w:color="auto"/>
            <w:bottom w:val="none" w:sz="0" w:space="0" w:color="auto"/>
            <w:right w:val="none" w:sz="0" w:space="0" w:color="auto"/>
          </w:divBdr>
        </w:div>
        <w:div w:id="232667742">
          <w:marLeft w:val="0"/>
          <w:marRight w:val="0"/>
          <w:marTop w:val="0"/>
          <w:marBottom w:val="0"/>
          <w:divBdr>
            <w:top w:val="none" w:sz="0" w:space="0" w:color="auto"/>
            <w:left w:val="none" w:sz="0" w:space="0" w:color="auto"/>
            <w:bottom w:val="none" w:sz="0" w:space="0" w:color="auto"/>
            <w:right w:val="none" w:sz="0" w:space="0" w:color="auto"/>
          </w:divBdr>
        </w:div>
        <w:div w:id="233128577">
          <w:marLeft w:val="0"/>
          <w:marRight w:val="0"/>
          <w:marTop w:val="0"/>
          <w:marBottom w:val="0"/>
          <w:divBdr>
            <w:top w:val="none" w:sz="0" w:space="0" w:color="auto"/>
            <w:left w:val="none" w:sz="0" w:space="0" w:color="auto"/>
            <w:bottom w:val="none" w:sz="0" w:space="0" w:color="auto"/>
            <w:right w:val="none" w:sz="0" w:space="0" w:color="auto"/>
          </w:divBdr>
        </w:div>
        <w:div w:id="245966344">
          <w:marLeft w:val="0"/>
          <w:marRight w:val="0"/>
          <w:marTop w:val="0"/>
          <w:marBottom w:val="0"/>
          <w:divBdr>
            <w:top w:val="none" w:sz="0" w:space="0" w:color="auto"/>
            <w:left w:val="none" w:sz="0" w:space="0" w:color="auto"/>
            <w:bottom w:val="none" w:sz="0" w:space="0" w:color="auto"/>
            <w:right w:val="none" w:sz="0" w:space="0" w:color="auto"/>
          </w:divBdr>
        </w:div>
        <w:div w:id="256602021">
          <w:marLeft w:val="0"/>
          <w:marRight w:val="0"/>
          <w:marTop w:val="0"/>
          <w:marBottom w:val="0"/>
          <w:divBdr>
            <w:top w:val="none" w:sz="0" w:space="0" w:color="auto"/>
            <w:left w:val="none" w:sz="0" w:space="0" w:color="auto"/>
            <w:bottom w:val="none" w:sz="0" w:space="0" w:color="auto"/>
            <w:right w:val="none" w:sz="0" w:space="0" w:color="auto"/>
          </w:divBdr>
        </w:div>
        <w:div w:id="261376900">
          <w:marLeft w:val="0"/>
          <w:marRight w:val="0"/>
          <w:marTop w:val="0"/>
          <w:marBottom w:val="0"/>
          <w:divBdr>
            <w:top w:val="none" w:sz="0" w:space="0" w:color="auto"/>
            <w:left w:val="none" w:sz="0" w:space="0" w:color="auto"/>
            <w:bottom w:val="none" w:sz="0" w:space="0" w:color="auto"/>
            <w:right w:val="none" w:sz="0" w:space="0" w:color="auto"/>
          </w:divBdr>
        </w:div>
        <w:div w:id="264194576">
          <w:marLeft w:val="0"/>
          <w:marRight w:val="0"/>
          <w:marTop w:val="0"/>
          <w:marBottom w:val="0"/>
          <w:divBdr>
            <w:top w:val="none" w:sz="0" w:space="0" w:color="auto"/>
            <w:left w:val="none" w:sz="0" w:space="0" w:color="auto"/>
            <w:bottom w:val="none" w:sz="0" w:space="0" w:color="auto"/>
            <w:right w:val="none" w:sz="0" w:space="0" w:color="auto"/>
          </w:divBdr>
        </w:div>
        <w:div w:id="272439118">
          <w:marLeft w:val="0"/>
          <w:marRight w:val="0"/>
          <w:marTop w:val="0"/>
          <w:marBottom w:val="0"/>
          <w:divBdr>
            <w:top w:val="none" w:sz="0" w:space="0" w:color="auto"/>
            <w:left w:val="none" w:sz="0" w:space="0" w:color="auto"/>
            <w:bottom w:val="none" w:sz="0" w:space="0" w:color="auto"/>
            <w:right w:val="none" w:sz="0" w:space="0" w:color="auto"/>
          </w:divBdr>
        </w:div>
        <w:div w:id="274992559">
          <w:marLeft w:val="0"/>
          <w:marRight w:val="0"/>
          <w:marTop w:val="0"/>
          <w:marBottom w:val="0"/>
          <w:divBdr>
            <w:top w:val="none" w:sz="0" w:space="0" w:color="auto"/>
            <w:left w:val="none" w:sz="0" w:space="0" w:color="auto"/>
            <w:bottom w:val="none" w:sz="0" w:space="0" w:color="auto"/>
            <w:right w:val="none" w:sz="0" w:space="0" w:color="auto"/>
          </w:divBdr>
        </w:div>
        <w:div w:id="277221030">
          <w:marLeft w:val="0"/>
          <w:marRight w:val="0"/>
          <w:marTop w:val="0"/>
          <w:marBottom w:val="0"/>
          <w:divBdr>
            <w:top w:val="none" w:sz="0" w:space="0" w:color="auto"/>
            <w:left w:val="none" w:sz="0" w:space="0" w:color="auto"/>
            <w:bottom w:val="none" w:sz="0" w:space="0" w:color="auto"/>
            <w:right w:val="none" w:sz="0" w:space="0" w:color="auto"/>
          </w:divBdr>
        </w:div>
        <w:div w:id="279607568">
          <w:marLeft w:val="0"/>
          <w:marRight w:val="0"/>
          <w:marTop w:val="0"/>
          <w:marBottom w:val="0"/>
          <w:divBdr>
            <w:top w:val="none" w:sz="0" w:space="0" w:color="auto"/>
            <w:left w:val="none" w:sz="0" w:space="0" w:color="auto"/>
            <w:bottom w:val="none" w:sz="0" w:space="0" w:color="auto"/>
            <w:right w:val="none" w:sz="0" w:space="0" w:color="auto"/>
          </w:divBdr>
        </w:div>
        <w:div w:id="295765082">
          <w:marLeft w:val="0"/>
          <w:marRight w:val="0"/>
          <w:marTop w:val="0"/>
          <w:marBottom w:val="0"/>
          <w:divBdr>
            <w:top w:val="none" w:sz="0" w:space="0" w:color="auto"/>
            <w:left w:val="none" w:sz="0" w:space="0" w:color="auto"/>
            <w:bottom w:val="none" w:sz="0" w:space="0" w:color="auto"/>
            <w:right w:val="none" w:sz="0" w:space="0" w:color="auto"/>
          </w:divBdr>
        </w:div>
        <w:div w:id="301081863">
          <w:marLeft w:val="0"/>
          <w:marRight w:val="0"/>
          <w:marTop w:val="0"/>
          <w:marBottom w:val="0"/>
          <w:divBdr>
            <w:top w:val="none" w:sz="0" w:space="0" w:color="auto"/>
            <w:left w:val="none" w:sz="0" w:space="0" w:color="auto"/>
            <w:bottom w:val="none" w:sz="0" w:space="0" w:color="auto"/>
            <w:right w:val="none" w:sz="0" w:space="0" w:color="auto"/>
          </w:divBdr>
        </w:div>
        <w:div w:id="306011115">
          <w:marLeft w:val="0"/>
          <w:marRight w:val="0"/>
          <w:marTop w:val="0"/>
          <w:marBottom w:val="0"/>
          <w:divBdr>
            <w:top w:val="none" w:sz="0" w:space="0" w:color="auto"/>
            <w:left w:val="none" w:sz="0" w:space="0" w:color="auto"/>
            <w:bottom w:val="none" w:sz="0" w:space="0" w:color="auto"/>
            <w:right w:val="none" w:sz="0" w:space="0" w:color="auto"/>
          </w:divBdr>
        </w:div>
        <w:div w:id="313722629">
          <w:marLeft w:val="0"/>
          <w:marRight w:val="0"/>
          <w:marTop w:val="0"/>
          <w:marBottom w:val="0"/>
          <w:divBdr>
            <w:top w:val="none" w:sz="0" w:space="0" w:color="auto"/>
            <w:left w:val="none" w:sz="0" w:space="0" w:color="auto"/>
            <w:bottom w:val="none" w:sz="0" w:space="0" w:color="auto"/>
            <w:right w:val="none" w:sz="0" w:space="0" w:color="auto"/>
          </w:divBdr>
        </w:div>
        <w:div w:id="330523376">
          <w:marLeft w:val="0"/>
          <w:marRight w:val="0"/>
          <w:marTop w:val="0"/>
          <w:marBottom w:val="0"/>
          <w:divBdr>
            <w:top w:val="none" w:sz="0" w:space="0" w:color="auto"/>
            <w:left w:val="none" w:sz="0" w:space="0" w:color="auto"/>
            <w:bottom w:val="none" w:sz="0" w:space="0" w:color="auto"/>
            <w:right w:val="none" w:sz="0" w:space="0" w:color="auto"/>
          </w:divBdr>
        </w:div>
        <w:div w:id="338193013">
          <w:marLeft w:val="0"/>
          <w:marRight w:val="0"/>
          <w:marTop w:val="0"/>
          <w:marBottom w:val="0"/>
          <w:divBdr>
            <w:top w:val="none" w:sz="0" w:space="0" w:color="auto"/>
            <w:left w:val="none" w:sz="0" w:space="0" w:color="auto"/>
            <w:bottom w:val="none" w:sz="0" w:space="0" w:color="auto"/>
            <w:right w:val="none" w:sz="0" w:space="0" w:color="auto"/>
          </w:divBdr>
        </w:div>
        <w:div w:id="348531560">
          <w:marLeft w:val="0"/>
          <w:marRight w:val="0"/>
          <w:marTop w:val="0"/>
          <w:marBottom w:val="0"/>
          <w:divBdr>
            <w:top w:val="none" w:sz="0" w:space="0" w:color="auto"/>
            <w:left w:val="none" w:sz="0" w:space="0" w:color="auto"/>
            <w:bottom w:val="none" w:sz="0" w:space="0" w:color="auto"/>
            <w:right w:val="none" w:sz="0" w:space="0" w:color="auto"/>
          </w:divBdr>
        </w:div>
        <w:div w:id="353848554">
          <w:marLeft w:val="0"/>
          <w:marRight w:val="0"/>
          <w:marTop w:val="0"/>
          <w:marBottom w:val="0"/>
          <w:divBdr>
            <w:top w:val="none" w:sz="0" w:space="0" w:color="auto"/>
            <w:left w:val="none" w:sz="0" w:space="0" w:color="auto"/>
            <w:bottom w:val="none" w:sz="0" w:space="0" w:color="auto"/>
            <w:right w:val="none" w:sz="0" w:space="0" w:color="auto"/>
          </w:divBdr>
        </w:div>
        <w:div w:id="361706262">
          <w:marLeft w:val="0"/>
          <w:marRight w:val="0"/>
          <w:marTop w:val="0"/>
          <w:marBottom w:val="0"/>
          <w:divBdr>
            <w:top w:val="none" w:sz="0" w:space="0" w:color="auto"/>
            <w:left w:val="none" w:sz="0" w:space="0" w:color="auto"/>
            <w:bottom w:val="none" w:sz="0" w:space="0" w:color="auto"/>
            <w:right w:val="none" w:sz="0" w:space="0" w:color="auto"/>
          </w:divBdr>
        </w:div>
        <w:div w:id="364791505">
          <w:marLeft w:val="0"/>
          <w:marRight w:val="0"/>
          <w:marTop w:val="0"/>
          <w:marBottom w:val="0"/>
          <w:divBdr>
            <w:top w:val="none" w:sz="0" w:space="0" w:color="auto"/>
            <w:left w:val="none" w:sz="0" w:space="0" w:color="auto"/>
            <w:bottom w:val="none" w:sz="0" w:space="0" w:color="auto"/>
            <w:right w:val="none" w:sz="0" w:space="0" w:color="auto"/>
          </w:divBdr>
        </w:div>
        <w:div w:id="387844968">
          <w:marLeft w:val="0"/>
          <w:marRight w:val="0"/>
          <w:marTop w:val="0"/>
          <w:marBottom w:val="0"/>
          <w:divBdr>
            <w:top w:val="none" w:sz="0" w:space="0" w:color="auto"/>
            <w:left w:val="none" w:sz="0" w:space="0" w:color="auto"/>
            <w:bottom w:val="none" w:sz="0" w:space="0" w:color="auto"/>
            <w:right w:val="none" w:sz="0" w:space="0" w:color="auto"/>
          </w:divBdr>
        </w:div>
        <w:div w:id="388652422">
          <w:marLeft w:val="0"/>
          <w:marRight w:val="0"/>
          <w:marTop w:val="0"/>
          <w:marBottom w:val="0"/>
          <w:divBdr>
            <w:top w:val="none" w:sz="0" w:space="0" w:color="auto"/>
            <w:left w:val="none" w:sz="0" w:space="0" w:color="auto"/>
            <w:bottom w:val="none" w:sz="0" w:space="0" w:color="auto"/>
            <w:right w:val="none" w:sz="0" w:space="0" w:color="auto"/>
          </w:divBdr>
        </w:div>
        <w:div w:id="391124134">
          <w:marLeft w:val="0"/>
          <w:marRight w:val="0"/>
          <w:marTop w:val="0"/>
          <w:marBottom w:val="0"/>
          <w:divBdr>
            <w:top w:val="none" w:sz="0" w:space="0" w:color="auto"/>
            <w:left w:val="none" w:sz="0" w:space="0" w:color="auto"/>
            <w:bottom w:val="none" w:sz="0" w:space="0" w:color="auto"/>
            <w:right w:val="none" w:sz="0" w:space="0" w:color="auto"/>
          </w:divBdr>
        </w:div>
        <w:div w:id="425344521">
          <w:marLeft w:val="0"/>
          <w:marRight w:val="0"/>
          <w:marTop w:val="0"/>
          <w:marBottom w:val="0"/>
          <w:divBdr>
            <w:top w:val="none" w:sz="0" w:space="0" w:color="auto"/>
            <w:left w:val="none" w:sz="0" w:space="0" w:color="auto"/>
            <w:bottom w:val="none" w:sz="0" w:space="0" w:color="auto"/>
            <w:right w:val="none" w:sz="0" w:space="0" w:color="auto"/>
          </w:divBdr>
        </w:div>
        <w:div w:id="427894565">
          <w:marLeft w:val="0"/>
          <w:marRight w:val="0"/>
          <w:marTop w:val="0"/>
          <w:marBottom w:val="0"/>
          <w:divBdr>
            <w:top w:val="none" w:sz="0" w:space="0" w:color="auto"/>
            <w:left w:val="none" w:sz="0" w:space="0" w:color="auto"/>
            <w:bottom w:val="none" w:sz="0" w:space="0" w:color="auto"/>
            <w:right w:val="none" w:sz="0" w:space="0" w:color="auto"/>
          </w:divBdr>
        </w:div>
        <w:div w:id="441730872">
          <w:marLeft w:val="0"/>
          <w:marRight w:val="0"/>
          <w:marTop w:val="0"/>
          <w:marBottom w:val="0"/>
          <w:divBdr>
            <w:top w:val="none" w:sz="0" w:space="0" w:color="auto"/>
            <w:left w:val="none" w:sz="0" w:space="0" w:color="auto"/>
            <w:bottom w:val="none" w:sz="0" w:space="0" w:color="auto"/>
            <w:right w:val="none" w:sz="0" w:space="0" w:color="auto"/>
          </w:divBdr>
        </w:div>
        <w:div w:id="445077461">
          <w:marLeft w:val="0"/>
          <w:marRight w:val="0"/>
          <w:marTop w:val="0"/>
          <w:marBottom w:val="0"/>
          <w:divBdr>
            <w:top w:val="none" w:sz="0" w:space="0" w:color="auto"/>
            <w:left w:val="none" w:sz="0" w:space="0" w:color="auto"/>
            <w:bottom w:val="none" w:sz="0" w:space="0" w:color="auto"/>
            <w:right w:val="none" w:sz="0" w:space="0" w:color="auto"/>
          </w:divBdr>
        </w:div>
        <w:div w:id="455300718">
          <w:marLeft w:val="0"/>
          <w:marRight w:val="0"/>
          <w:marTop w:val="0"/>
          <w:marBottom w:val="0"/>
          <w:divBdr>
            <w:top w:val="none" w:sz="0" w:space="0" w:color="auto"/>
            <w:left w:val="none" w:sz="0" w:space="0" w:color="auto"/>
            <w:bottom w:val="none" w:sz="0" w:space="0" w:color="auto"/>
            <w:right w:val="none" w:sz="0" w:space="0" w:color="auto"/>
          </w:divBdr>
        </w:div>
        <w:div w:id="479855456">
          <w:marLeft w:val="0"/>
          <w:marRight w:val="0"/>
          <w:marTop w:val="0"/>
          <w:marBottom w:val="0"/>
          <w:divBdr>
            <w:top w:val="none" w:sz="0" w:space="0" w:color="auto"/>
            <w:left w:val="none" w:sz="0" w:space="0" w:color="auto"/>
            <w:bottom w:val="none" w:sz="0" w:space="0" w:color="auto"/>
            <w:right w:val="none" w:sz="0" w:space="0" w:color="auto"/>
          </w:divBdr>
        </w:div>
        <w:div w:id="484973970">
          <w:marLeft w:val="0"/>
          <w:marRight w:val="0"/>
          <w:marTop w:val="0"/>
          <w:marBottom w:val="0"/>
          <w:divBdr>
            <w:top w:val="none" w:sz="0" w:space="0" w:color="auto"/>
            <w:left w:val="none" w:sz="0" w:space="0" w:color="auto"/>
            <w:bottom w:val="none" w:sz="0" w:space="0" w:color="auto"/>
            <w:right w:val="none" w:sz="0" w:space="0" w:color="auto"/>
          </w:divBdr>
        </w:div>
        <w:div w:id="486240219">
          <w:marLeft w:val="0"/>
          <w:marRight w:val="0"/>
          <w:marTop w:val="0"/>
          <w:marBottom w:val="0"/>
          <w:divBdr>
            <w:top w:val="none" w:sz="0" w:space="0" w:color="auto"/>
            <w:left w:val="none" w:sz="0" w:space="0" w:color="auto"/>
            <w:bottom w:val="none" w:sz="0" w:space="0" w:color="auto"/>
            <w:right w:val="none" w:sz="0" w:space="0" w:color="auto"/>
          </w:divBdr>
        </w:div>
        <w:div w:id="489642419">
          <w:marLeft w:val="0"/>
          <w:marRight w:val="0"/>
          <w:marTop w:val="0"/>
          <w:marBottom w:val="0"/>
          <w:divBdr>
            <w:top w:val="none" w:sz="0" w:space="0" w:color="auto"/>
            <w:left w:val="none" w:sz="0" w:space="0" w:color="auto"/>
            <w:bottom w:val="none" w:sz="0" w:space="0" w:color="auto"/>
            <w:right w:val="none" w:sz="0" w:space="0" w:color="auto"/>
          </w:divBdr>
        </w:div>
        <w:div w:id="490027569">
          <w:marLeft w:val="0"/>
          <w:marRight w:val="0"/>
          <w:marTop w:val="0"/>
          <w:marBottom w:val="0"/>
          <w:divBdr>
            <w:top w:val="none" w:sz="0" w:space="0" w:color="auto"/>
            <w:left w:val="none" w:sz="0" w:space="0" w:color="auto"/>
            <w:bottom w:val="none" w:sz="0" w:space="0" w:color="auto"/>
            <w:right w:val="none" w:sz="0" w:space="0" w:color="auto"/>
          </w:divBdr>
        </w:div>
        <w:div w:id="495346538">
          <w:marLeft w:val="0"/>
          <w:marRight w:val="0"/>
          <w:marTop w:val="0"/>
          <w:marBottom w:val="0"/>
          <w:divBdr>
            <w:top w:val="none" w:sz="0" w:space="0" w:color="auto"/>
            <w:left w:val="none" w:sz="0" w:space="0" w:color="auto"/>
            <w:bottom w:val="none" w:sz="0" w:space="0" w:color="auto"/>
            <w:right w:val="none" w:sz="0" w:space="0" w:color="auto"/>
          </w:divBdr>
        </w:div>
        <w:div w:id="512958176">
          <w:marLeft w:val="0"/>
          <w:marRight w:val="0"/>
          <w:marTop w:val="0"/>
          <w:marBottom w:val="0"/>
          <w:divBdr>
            <w:top w:val="none" w:sz="0" w:space="0" w:color="auto"/>
            <w:left w:val="none" w:sz="0" w:space="0" w:color="auto"/>
            <w:bottom w:val="none" w:sz="0" w:space="0" w:color="auto"/>
            <w:right w:val="none" w:sz="0" w:space="0" w:color="auto"/>
          </w:divBdr>
        </w:div>
        <w:div w:id="526605234">
          <w:marLeft w:val="0"/>
          <w:marRight w:val="0"/>
          <w:marTop w:val="0"/>
          <w:marBottom w:val="0"/>
          <w:divBdr>
            <w:top w:val="none" w:sz="0" w:space="0" w:color="auto"/>
            <w:left w:val="none" w:sz="0" w:space="0" w:color="auto"/>
            <w:bottom w:val="none" w:sz="0" w:space="0" w:color="auto"/>
            <w:right w:val="none" w:sz="0" w:space="0" w:color="auto"/>
          </w:divBdr>
        </w:div>
        <w:div w:id="529223489">
          <w:marLeft w:val="0"/>
          <w:marRight w:val="0"/>
          <w:marTop w:val="0"/>
          <w:marBottom w:val="0"/>
          <w:divBdr>
            <w:top w:val="none" w:sz="0" w:space="0" w:color="auto"/>
            <w:left w:val="none" w:sz="0" w:space="0" w:color="auto"/>
            <w:bottom w:val="none" w:sz="0" w:space="0" w:color="auto"/>
            <w:right w:val="none" w:sz="0" w:space="0" w:color="auto"/>
          </w:divBdr>
        </w:div>
        <w:div w:id="552544669">
          <w:marLeft w:val="0"/>
          <w:marRight w:val="0"/>
          <w:marTop w:val="0"/>
          <w:marBottom w:val="0"/>
          <w:divBdr>
            <w:top w:val="none" w:sz="0" w:space="0" w:color="auto"/>
            <w:left w:val="none" w:sz="0" w:space="0" w:color="auto"/>
            <w:bottom w:val="none" w:sz="0" w:space="0" w:color="auto"/>
            <w:right w:val="none" w:sz="0" w:space="0" w:color="auto"/>
          </w:divBdr>
        </w:div>
        <w:div w:id="567690942">
          <w:marLeft w:val="0"/>
          <w:marRight w:val="0"/>
          <w:marTop w:val="0"/>
          <w:marBottom w:val="0"/>
          <w:divBdr>
            <w:top w:val="none" w:sz="0" w:space="0" w:color="auto"/>
            <w:left w:val="none" w:sz="0" w:space="0" w:color="auto"/>
            <w:bottom w:val="none" w:sz="0" w:space="0" w:color="auto"/>
            <w:right w:val="none" w:sz="0" w:space="0" w:color="auto"/>
          </w:divBdr>
        </w:div>
        <w:div w:id="581530665">
          <w:marLeft w:val="0"/>
          <w:marRight w:val="0"/>
          <w:marTop w:val="0"/>
          <w:marBottom w:val="0"/>
          <w:divBdr>
            <w:top w:val="none" w:sz="0" w:space="0" w:color="auto"/>
            <w:left w:val="none" w:sz="0" w:space="0" w:color="auto"/>
            <w:bottom w:val="none" w:sz="0" w:space="0" w:color="auto"/>
            <w:right w:val="none" w:sz="0" w:space="0" w:color="auto"/>
          </w:divBdr>
        </w:div>
        <w:div w:id="588004449">
          <w:marLeft w:val="0"/>
          <w:marRight w:val="0"/>
          <w:marTop w:val="0"/>
          <w:marBottom w:val="0"/>
          <w:divBdr>
            <w:top w:val="none" w:sz="0" w:space="0" w:color="auto"/>
            <w:left w:val="none" w:sz="0" w:space="0" w:color="auto"/>
            <w:bottom w:val="none" w:sz="0" w:space="0" w:color="auto"/>
            <w:right w:val="none" w:sz="0" w:space="0" w:color="auto"/>
          </w:divBdr>
        </w:div>
        <w:div w:id="594023040">
          <w:marLeft w:val="0"/>
          <w:marRight w:val="0"/>
          <w:marTop w:val="0"/>
          <w:marBottom w:val="0"/>
          <w:divBdr>
            <w:top w:val="none" w:sz="0" w:space="0" w:color="auto"/>
            <w:left w:val="none" w:sz="0" w:space="0" w:color="auto"/>
            <w:bottom w:val="none" w:sz="0" w:space="0" w:color="auto"/>
            <w:right w:val="none" w:sz="0" w:space="0" w:color="auto"/>
          </w:divBdr>
        </w:div>
        <w:div w:id="623117356">
          <w:marLeft w:val="0"/>
          <w:marRight w:val="0"/>
          <w:marTop w:val="0"/>
          <w:marBottom w:val="0"/>
          <w:divBdr>
            <w:top w:val="none" w:sz="0" w:space="0" w:color="auto"/>
            <w:left w:val="none" w:sz="0" w:space="0" w:color="auto"/>
            <w:bottom w:val="none" w:sz="0" w:space="0" w:color="auto"/>
            <w:right w:val="none" w:sz="0" w:space="0" w:color="auto"/>
          </w:divBdr>
        </w:div>
        <w:div w:id="624118383">
          <w:marLeft w:val="0"/>
          <w:marRight w:val="0"/>
          <w:marTop w:val="0"/>
          <w:marBottom w:val="0"/>
          <w:divBdr>
            <w:top w:val="none" w:sz="0" w:space="0" w:color="auto"/>
            <w:left w:val="none" w:sz="0" w:space="0" w:color="auto"/>
            <w:bottom w:val="none" w:sz="0" w:space="0" w:color="auto"/>
            <w:right w:val="none" w:sz="0" w:space="0" w:color="auto"/>
          </w:divBdr>
        </w:div>
        <w:div w:id="637104690">
          <w:marLeft w:val="0"/>
          <w:marRight w:val="0"/>
          <w:marTop w:val="0"/>
          <w:marBottom w:val="0"/>
          <w:divBdr>
            <w:top w:val="none" w:sz="0" w:space="0" w:color="auto"/>
            <w:left w:val="none" w:sz="0" w:space="0" w:color="auto"/>
            <w:bottom w:val="none" w:sz="0" w:space="0" w:color="auto"/>
            <w:right w:val="none" w:sz="0" w:space="0" w:color="auto"/>
          </w:divBdr>
        </w:div>
        <w:div w:id="640111719">
          <w:marLeft w:val="0"/>
          <w:marRight w:val="0"/>
          <w:marTop w:val="0"/>
          <w:marBottom w:val="0"/>
          <w:divBdr>
            <w:top w:val="none" w:sz="0" w:space="0" w:color="auto"/>
            <w:left w:val="none" w:sz="0" w:space="0" w:color="auto"/>
            <w:bottom w:val="none" w:sz="0" w:space="0" w:color="auto"/>
            <w:right w:val="none" w:sz="0" w:space="0" w:color="auto"/>
          </w:divBdr>
        </w:div>
        <w:div w:id="648558547">
          <w:marLeft w:val="0"/>
          <w:marRight w:val="0"/>
          <w:marTop w:val="0"/>
          <w:marBottom w:val="0"/>
          <w:divBdr>
            <w:top w:val="none" w:sz="0" w:space="0" w:color="auto"/>
            <w:left w:val="none" w:sz="0" w:space="0" w:color="auto"/>
            <w:bottom w:val="none" w:sz="0" w:space="0" w:color="auto"/>
            <w:right w:val="none" w:sz="0" w:space="0" w:color="auto"/>
          </w:divBdr>
        </w:div>
        <w:div w:id="684327752">
          <w:marLeft w:val="0"/>
          <w:marRight w:val="0"/>
          <w:marTop w:val="0"/>
          <w:marBottom w:val="0"/>
          <w:divBdr>
            <w:top w:val="none" w:sz="0" w:space="0" w:color="auto"/>
            <w:left w:val="none" w:sz="0" w:space="0" w:color="auto"/>
            <w:bottom w:val="none" w:sz="0" w:space="0" w:color="auto"/>
            <w:right w:val="none" w:sz="0" w:space="0" w:color="auto"/>
          </w:divBdr>
        </w:div>
        <w:div w:id="684405347">
          <w:marLeft w:val="0"/>
          <w:marRight w:val="0"/>
          <w:marTop w:val="0"/>
          <w:marBottom w:val="0"/>
          <w:divBdr>
            <w:top w:val="none" w:sz="0" w:space="0" w:color="auto"/>
            <w:left w:val="none" w:sz="0" w:space="0" w:color="auto"/>
            <w:bottom w:val="none" w:sz="0" w:space="0" w:color="auto"/>
            <w:right w:val="none" w:sz="0" w:space="0" w:color="auto"/>
          </w:divBdr>
        </w:div>
        <w:div w:id="690188635">
          <w:marLeft w:val="0"/>
          <w:marRight w:val="0"/>
          <w:marTop w:val="0"/>
          <w:marBottom w:val="0"/>
          <w:divBdr>
            <w:top w:val="none" w:sz="0" w:space="0" w:color="auto"/>
            <w:left w:val="none" w:sz="0" w:space="0" w:color="auto"/>
            <w:bottom w:val="none" w:sz="0" w:space="0" w:color="auto"/>
            <w:right w:val="none" w:sz="0" w:space="0" w:color="auto"/>
          </w:divBdr>
        </w:div>
        <w:div w:id="693384448">
          <w:marLeft w:val="0"/>
          <w:marRight w:val="0"/>
          <w:marTop w:val="0"/>
          <w:marBottom w:val="0"/>
          <w:divBdr>
            <w:top w:val="none" w:sz="0" w:space="0" w:color="auto"/>
            <w:left w:val="none" w:sz="0" w:space="0" w:color="auto"/>
            <w:bottom w:val="none" w:sz="0" w:space="0" w:color="auto"/>
            <w:right w:val="none" w:sz="0" w:space="0" w:color="auto"/>
          </w:divBdr>
        </w:div>
        <w:div w:id="693845556">
          <w:marLeft w:val="0"/>
          <w:marRight w:val="0"/>
          <w:marTop w:val="0"/>
          <w:marBottom w:val="0"/>
          <w:divBdr>
            <w:top w:val="none" w:sz="0" w:space="0" w:color="auto"/>
            <w:left w:val="none" w:sz="0" w:space="0" w:color="auto"/>
            <w:bottom w:val="none" w:sz="0" w:space="0" w:color="auto"/>
            <w:right w:val="none" w:sz="0" w:space="0" w:color="auto"/>
          </w:divBdr>
        </w:div>
        <w:div w:id="695737923">
          <w:marLeft w:val="0"/>
          <w:marRight w:val="0"/>
          <w:marTop w:val="0"/>
          <w:marBottom w:val="0"/>
          <w:divBdr>
            <w:top w:val="none" w:sz="0" w:space="0" w:color="auto"/>
            <w:left w:val="none" w:sz="0" w:space="0" w:color="auto"/>
            <w:bottom w:val="none" w:sz="0" w:space="0" w:color="auto"/>
            <w:right w:val="none" w:sz="0" w:space="0" w:color="auto"/>
          </w:divBdr>
        </w:div>
        <w:div w:id="700012445">
          <w:marLeft w:val="0"/>
          <w:marRight w:val="0"/>
          <w:marTop w:val="0"/>
          <w:marBottom w:val="0"/>
          <w:divBdr>
            <w:top w:val="none" w:sz="0" w:space="0" w:color="auto"/>
            <w:left w:val="none" w:sz="0" w:space="0" w:color="auto"/>
            <w:bottom w:val="none" w:sz="0" w:space="0" w:color="auto"/>
            <w:right w:val="none" w:sz="0" w:space="0" w:color="auto"/>
          </w:divBdr>
        </w:div>
        <w:div w:id="700201594">
          <w:marLeft w:val="0"/>
          <w:marRight w:val="0"/>
          <w:marTop w:val="0"/>
          <w:marBottom w:val="0"/>
          <w:divBdr>
            <w:top w:val="none" w:sz="0" w:space="0" w:color="auto"/>
            <w:left w:val="none" w:sz="0" w:space="0" w:color="auto"/>
            <w:bottom w:val="none" w:sz="0" w:space="0" w:color="auto"/>
            <w:right w:val="none" w:sz="0" w:space="0" w:color="auto"/>
          </w:divBdr>
        </w:div>
        <w:div w:id="701438002">
          <w:marLeft w:val="0"/>
          <w:marRight w:val="0"/>
          <w:marTop w:val="0"/>
          <w:marBottom w:val="0"/>
          <w:divBdr>
            <w:top w:val="none" w:sz="0" w:space="0" w:color="auto"/>
            <w:left w:val="none" w:sz="0" w:space="0" w:color="auto"/>
            <w:bottom w:val="none" w:sz="0" w:space="0" w:color="auto"/>
            <w:right w:val="none" w:sz="0" w:space="0" w:color="auto"/>
          </w:divBdr>
        </w:div>
        <w:div w:id="711610014">
          <w:marLeft w:val="0"/>
          <w:marRight w:val="0"/>
          <w:marTop w:val="0"/>
          <w:marBottom w:val="0"/>
          <w:divBdr>
            <w:top w:val="none" w:sz="0" w:space="0" w:color="auto"/>
            <w:left w:val="none" w:sz="0" w:space="0" w:color="auto"/>
            <w:bottom w:val="none" w:sz="0" w:space="0" w:color="auto"/>
            <w:right w:val="none" w:sz="0" w:space="0" w:color="auto"/>
          </w:divBdr>
        </w:div>
        <w:div w:id="713889893">
          <w:marLeft w:val="0"/>
          <w:marRight w:val="0"/>
          <w:marTop w:val="0"/>
          <w:marBottom w:val="0"/>
          <w:divBdr>
            <w:top w:val="none" w:sz="0" w:space="0" w:color="auto"/>
            <w:left w:val="none" w:sz="0" w:space="0" w:color="auto"/>
            <w:bottom w:val="none" w:sz="0" w:space="0" w:color="auto"/>
            <w:right w:val="none" w:sz="0" w:space="0" w:color="auto"/>
          </w:divBdr>
        </w:div>
        <w:div w:id="714044814">
          <w:marLeft w:val="0"/>
          <w:marRight w:val="0"/>
          <w:marTop w:val="0"/>
          <w:marBottom w:val="0"/>
          <w:divBdr>
            <w:top w:val="none" w:sz="0" w:space="0" w:color="auto"/>
            <w:left w:val="none" w:sz="0" w:space="0" w:color="auto"/>
            <w:bottom w:val="none" w:sz="0" w:space="0" w:color="auto"/>
            <w:right w:val="none" w:sz="0" w:space="0" w:color="auto"/>
          </w:divBdr>
        </w:div>
        <w:div w:id="715861602">
          <w:marLeft w:val="0"/>
          <w:marRight w:val="0"/>
          <w:marTop w:val="0"/>
          <w:marBottom w:val="0"/>
          <w:divBdr>
            <w:top w:val="none" w:sz="0" w:space="0" w:color="auto"/>
            <w:left w:val="none" w:sz="0" w:space="0" w:color="auto"/>
            <w:bottom w:val="none" w:sz="0" w:space="0" w:color="auto"/>
            <w:right w:val="none" w:sz="0" w:space="0" w:color="auto"/>
          </w:divBdr>
        </w:div>
        <w:div w:id="726992491">
          <w:marLeft w:val="0"/>
          <w:marRight w:val="0"/>
          <w:marTop w:val="0"/>
          <w:marBottom w:val="0"/>
          <w:divBdr>
            <w:top w:val="none" w:sz="0" w:space="0" w:color="auto"/>
            <w:left w:val="none" w:sz="0" w:space="0" w:color="auto"/>
            <w:bottom w:val="none" w:sz="0" w:space="0" w:color="auto"/>
            <w:right w:val="none" w:sz="0" w:space="0" w:color="auto"/>
          </w:divBdr>
        </w:div>
        <w:div w:id="727343909">
          <w:marLeft w:val="0"/>
          <w:marRight w:val="0"/>
          <w:marTop w:val="0"/>
          <w:marBottom w:val="0"/>
          <w:divBdr>
            <w:top w:val="none" w:sz="0" w:space="0" w:color="auto"/>
            <w:left w:val="none" w:sz="0" w:space="0" w:color="auto"/>
            <w:bottom w:val="none" w:sz="0" w:space="0" w:color="auto"/>
            <w:right w:val="none" w:sz="0" w:space="0" w:color="auto"/>
          </w:divBdr>
        </w:div>
        <w:div w:id="728041337">
          <w:marLeft w:val="0"/>
          <w:marRight w:val="0"/>
          <w:marTop w:val="0"/>
          <w:marBottom w:val="0"/>
          <w:divBdr>
            <w:top w:val="none" w:sz="0" w:space="0" w:color="auto"/>
            <w:left w:val="none" w:sz="0" w:space="0" w:color="auto"/>
            <w:bottom w:val="none" w:sz="0" w:space="0" w:color="auto"/>
            <w:right w:val="none" w:sz="0" w:space="0" w:color="auto"/>
          </w:divBdr>
        </w:div>
        <w:div w:id="736628990">
          <w:marLeft w:val="0"/>
          <w:marRight w:val="0"/>
          <w:marTop w:val="0"/>
          <w:marBottom w:val="0"/>
          <w:divBdr>
            <w:top w:val="none" w:sz="0" w:space="0" w:color="auto"/>
            <w:left w:val="none" w:sz="0" w:space="0" w:color="auto"/>
            <w:bottom w:val="none" w:sz="0" w:space="0" w:color="auto"/>
            <w:right w:val="none" w:sz="0" w:space="0" w:color="auto"/>
          </w:divBdr>
        </w:div>
        <w:div w:id="739140163">
          <w:marLeft w:val="0"/>
          <w:marRight w:val="0"/>
          <w:marTop w:val="0"/>
          <w:marBottom w:val="0"/>
          <w:divBdr>
            <w:top w:val="none" w:sz="0" w:space="0" w:color="auto"/>
            <w:left w:val="none" w:sz="0" w:space="0" w:color="auto"/>
            <w:bottom w:val="none" w:sz="0" w:space="0" w:color="auto"/>
            <w:right w:val="none" w:sz="0" w:space="0" w:color="auto"/>
          </w:divBdr>
        </w:div>
        <w:div w:id="739209453">
          <w:marLeft w:val="0"/>
          <w:marRight w:val="0"/>
          <w:marTop w:val="0"/>
          <w:marBottom w:val="0"/>
          <w:divBdr>
            <w:top w:val="none" w:sz="0" w:space="0" w:color="auto"/>
            <w:left w:val="none" w:sz="0" w:space="0" w:color="auto"/>
            <w:bottom w:val="none" w:sz="0" w:space="0" w:color="auto"/>
            <w:right w:val="none" w:sz="0" w:space="0" w:color="auto"/>
          </w:divBdr>
        </w:div>
        <w:div w:id="759789744">
          <w:marLeft w:val="0"/>
          <w:marRight w:val="0"/>
          <w:marTop w:val="0"/>
          <w:marBottom w:val="0"/>
          <w:divBdr>
            <w:top w:val="none" w:sz="0" w:space="0" w:color="auto"/>
            <w:left w:val="none" w:sz="0" w:space="0" w:color="auto"/>
            <w:bottom w:val="none" w:sz="0" w:space="0" w:color="auto"/>
            <w:right w:val="none" w:sz="0" w:space="0" w:color="auto"/>
          </w:divBdr>
        </w:div>
        <w:div w:id="760372371">
          <w:marLeft w:val="0"/>
          <w:marRight w:val="0"/>
          <w:marTop w:val="0"/>
          <w:marBottom w:val="0"/>
          <w:divBdr>
            <w:top w:val="none" w:sz="0" w:space="0" w:color="auto"/>
            <w:left w:val="none" w:sz="0" w:space="0" w:color="auto"/>
            <w:bottom w:val="none" w:sz="0" w:space="0" w:color="auto"/>
            <w:right w:val="none" w:sz="0" w:space="0" w:color="auto"/>
          </w:divBdr>
        </w:div>
        <w:div w:id="760905361">
          <w:marLeft w:val="0"/>
          <w:marRight w:val="0"/>
          <w:marTop w:val="0"/>
          <w:marBottom w:val="0"/>
          <w:divBdr>
            <w:top w:val="none" w:sz="0" w:space="0" w:color="auto"/>
            <w:left w:val="none" w:sz="0" w:space="0" w:color="auto"/>
            <w:bottom w:val="none" w:sz="0" w:space="0" w:color="auto"/>
            <w:right w:val="none" w:sz="0" w:space="0" w:color="auto"/>
          </w:divBdr>
        </w:div>
        <w:div w:id="766269157">
          <w:marLeft w:val="0"/>
          <w:marRight w:val="0"/>
          <w:marTop w:val="0"/>
          <w:marBottom w:val="0"/>
          <w:divBdr>
            <w:top w:val="none" w:sz="0" w:space="0" w:color="auto"/>
            <w:left w:val="none" w:sz="0" w:space="0" w:color="auto"/>
            <w:bottom w:val="none" w:sz="0" w:space="0" w:color="auto"/>
            <w:right w:val="none" w:sz="0" w:space="0" w:color="auto"/>
          </w:divBdr>
        </w:div>
        <w:div w:id="770249308">
          <w:marLeft w:val="0"/>
          <w:marRight w:val="0"/>
          <w:marTop w:val="0"/>
          <w:marBottom w:val="0"/>
          <w:divBdr>
            <w:top w:val="none" w:sz="0" w:space="0" w:color="auto"/>
            <w:left w:val="none" w:sz="0" w:space="0" w:color="auto"/>
            <w:bottom w:val="none" w:sz="0" w:space="0" w:color="auto"/>
            <w:right w:val="none" w:sz="0" w:space="0" w:color="auto"/>
          </w:divBdr>
        </w:div>
        <w:div w:id="774448390">
          <w:marLeft w:val="0"/>
          <w:marRight w:val="0"/>
          <w:marTop w:val="0"/>
          <w:marBottom w:val="0"/>
          <w:divBdr>
            <w:top w:val="none" w:sz="0" w:space="0" w:color="auto"/>
            <w:left w:val="none" w:sz="0" w:space="0" w:color="auto"/>
            <w:bottom w:val="none" w:sz="0" w:space="0" w:color="auto"/>
            <w:right w:val="none" w:sz="0" w:space="0" w:color="auto"/>
          </w:divBdr>
        </w:div>
        <w:div w:id="791048335">
          <w:marLeft w:val="0"/>
          <w:marRight w:val="0"/>
          <w:marTop w:val="0"/>
          <w:marBottom w:val="0"/>
          <w:divBdr>
            <w:top w:val="none" w:sz="0" w:space="0" w:color="auto"/>
            <w:left w:val="none" w:sz="0" w:space="0" w:color="auto"/>
            <w:bottom w:val="none" w:sz="0" w:space="0" w:color="auto"/>
            <w:right w:val="none" w:sz="0" w:space="0" w:color="auto"/>
          </w:divBdr>
        </w:div>
        <w:div w:id="791092538">
          <w:marLeft w:val="0"/>
          <w:marRight w:val="0"/>
          <w:marTop w:val="0"/>
          <w:marBottom w:val="0"/>
          <w:divBdr>
            <w:top w:val="none" w:sz="0" w:space="0" w:color="auto"/>
            <w:left w:val="none" w:sz="0" w:space="0" w:color="auto"/>
            <w:bottom w:val="none" w:sz="0" w:space="0" w:color="auto"/>
            <w:right w:val="none" w:sz="0" w:space="0" w:color="auto"/>
          </w:divBdr>
        </w:div>
        <w:div w:id="794055644">
          <w:marLeft w:val="0"/>
          <w:marRight w:val="0"/>
          <w:marTop w:val="0"/>
          <w:marBottom w:val="0"/>
          <w:divBdr>
            <w:top w:val="none" w:sz="0" w:space="0" w:color="auto"/>
            <w:left w:val="none" w:sz="0" w:space="0" w:color="auto"/>
            <w:bottom w:val="none" w:sz="0" w:space="0" w:color="auto"/>
            <w:right w:val="none" w:sz="0" w:space="0" w:color="auto"/>
          </w:divBdr>
        </w:div>
        <w:div w:id="799497897">
          <w:marLeft w:val="0"/>
          <w:marRight w:val="0"/>
          <w:marTop w:val="0"/>
          <w:marBottom w:val="0"/>
          <w:divBdr>
            <w:top w:val="none" w:sz="0" w:space="0" w:color="auto"/>
            <w:left w:val="none" w:sz="0" w:space="0" w:color="auto"/>
            <w:bottom w:val="none" w:sz="0" w:space="0" w:color="auto"/>
            <w:right w:val="none" w:sz="0" w:space="0" w:color="auto"/>
          </w:divBdr>
        </w:div>
        <w:div w:id="802769986">
          <w:marLeft w:val="0"/>
          <w:marRight w:val="0"/>
          <w:marTop w:val="0"/>
          <w:marBottom w:val="0"/>
          <w:divBdr>
            <w:top w:val="none" w:sz="0" w:space="0" w:color="auto"/>
            <w:left w:val="none" w:sz="0" w:space="0" w:color="auto"/>
            <w:bottom w:val="none" w:sz="0" w:space="0" w:color="auto"/>
            <w:right w:val="none" w:sz="0" w:space="0" w:color="auto"/>
          </w:divBdr>
        </w:div>
        <w:div w:id="806436082">
          <w:marLeft w:val="0"/>
          <w:marRight w:val="0"/>
          <w:marTop w:val="0"/>
          <w:marBottom w:val="0"/>
          <w:divBdr>
            <w:top w:val="none" w:sz="0" w:space="0" w:color="auto"/>
            <w:left w:val="none" w:sz="0" w:space="0" w:color="auto"/>
            <w:bottom w:val="none" w:sz="0" w:space="0" w:color="auto"/>
            <w:right w:val="none" w:sz="0" w:space="0" w:color="auto"/>
          </w:divBdr>
        </w:div>
        <w:div w:id="807936310">
          <w:marLeft w:val="0"/>
          <w:marRight w:val="0"/>
          <w:marTop w:val="0"/>
          <w:marBottom w:val="0"/>
          <w:divBdr>
            <w:top w:val="none" w:sz="0" w:space="0" w:color="auto"/>
            <w:left w:val="none" w:sz="0" w:space="0" w:color="auto"/>
            <w:bottom w:val="none" w:sz="0" w:space="0" w:color="auto"/>
            <w:right w:val="none" w:sz="0" w:space="0" w:color="auto"/>
          </w:divBdr>
        </w:div>
        <w:div w:id="819730085">
          <w:marLeft w:val="0"/>
          <w:marRight w:val="0"/>
          <w:marTop w:val="0"/>
          <w:marBottom w:val="0"/>
          <w:divBdr>
            <w:top w:val="none" w:sz="0" w:space="0" w:color="auto"/>
            <w:left w:val="none" w:sz="0" w:space="0" w:color="auto"/>
            <w:bottom w:val="none" w:sz="0" w:space="0" w:color="auto"/>
            <w:right w:val="none" w:sz="0" w:space="0" w:color="auto"/>
          </w:divBdr>
        </w:div>
        <w:div w:id="821772550">
          <w:marLeft w:val="0"/>
          <w:marRight w:val="0"/>
          <w:marTop w:val="0"/>
          <w:marBottom w:val="0"/>
          <w:divBdr>
            <w:top w:val="none" w:sz="0" w:space="0" w:color="auto"/>
            <w:left w:val="none" w:sz="0" w:space="0" w:color="auto"/>
            <w:bottom w:val="none" w:sz="0" w:space="0" w:color="auto"/>
            <w:right w:val="none" w:sz="0" w:space="0" w:color="auto"/>
          </w:divBdr>
        </w:div>
        <w:div w:id="826627472">
          <w:marLeft w:val="0"/>
          <w:marRight w:val="0"/>
          <w:marTop w:val="0"/>
          <w:marBottom w:val="0"/>
          <w:divBdr>
            <w:top w:val="none" w:sz="0" w:space="0" w:color="auto"/>
            <w:left w:val="none" w:sz="0" w:space="0" w:color="auto"/>
            <w:bottom w:val="none" w:sz="0" w:space="0" w:color="auto"/>
            <w:right w:val="none" w:sz="0" w:space="0" w:color="auto"/>
          </w:divBdr>
        </w:div>
        <w:div w:id="829247406">
          <w:marLeft w:val="0"/>
          <w:marRight w:val="0"/>
          <w:marTop w:val="0"/>
          <w:marBottom w:val="0"/>
          <w:divBdr>
            <w:top w:val="none" w:sz="0" w:space="0" w:color="auto"/>
            <w:left w:val="none" w:sz="0" w:space="0" w:color="auto"/>
            <w:bottom w:val="none" w:sz="0" w:space="0" w:color="auto"/>
            <w:right w:val="none" w:sz="0" w:space="0" w:color="auto"/>
          </w:divBdr>
        </w:div>
        <w:div w:id="830751903">
          <w:marLeft w:val="0"/>
          <w:marRight w:val="0"/>
          <w:marTop w:val="0"/>
          <w:marBottom w:val="0"/>
          <w:divBdr>
            <w:top w:val="none" w:sz="0" w:space="0" w:color="auto"/>
            <w:left w:val="none" w:sz="0" w:space="0" w:color="auto"/>
            <w:bottom w:val="none" w:sz="0" w:space="0" w:color="auto"/>
            <w:right w:val="none" w:sz="0" w:space="0" w:color="auto"/>
          </w:divBdr>
        </w:div>
        <w:div w:id="853881082">
          <w:marLeft w:val="0"/>
          <w:marRight w:val="0"/>
          <w:marTop w:val="0"/>
          <w:marBottom w:val="0"/>
          <w:divBdr>
            <w:top w:val="none" w:sz="0" w:space="0" w:color="auto"/>
            <w:left w:val="none" w:sz="0" w:space="0" w:color="auto"/>
            <w:bottom w:val="none" w:sz="0" w:space="0" w:color="auto"/>
            <w:right w:val="none" w:sz="0" w:space="0" w:color="auto"/>
          </w:divBdr>
        </w:div>
        <w:div w:id="867720481">
          <w:marLeft w:val="0"/>
          <w:marRight w:val="0"/>
          <w:marTop w:val="0"/>
          <w:marBottom w:val="0"/>
          <w:divBdr>
            <w:top w:val="none" w:sz="0" w:space="0" w:color="auto"/>
            <w:left w:val="none" w:sz="0" w:space="0" w:color="auto"/>
            <w:bottom w:val="none" w:sz="0" w:space="0" w:color="auto"/>
            <w:right w:val="none" w:sz="0" w:space="0" w:color="auto"/>
          </w:divBdr>
        </w:div>
        <w:div w:id="868180120">
          <w:marLeft w:val="0"/>
          <w:marRight w:val="0"/>
          <w:marTop w:val="0"/>
          <w:marBottom w:val="0"/>
          <w:divBdr>
            <w:top w:val="none" w:sz="0" w:space="0" w:color="auto"/>
            <w:left w:val="none" w:sz="0" w:space="0" w:color="auto"/>
            <w:bottom w:val="none" w:sz="0" w:space="0" w:color="auto"/>
            <w:right w:val="none" w:sz="0" w:space="0" w:color="auto"/>
          </w:divBdr>
        </w:div>
        <w:div w:id="869537683">
          <w:marLeft w:val="0"/>
          <w:marRight w:val="0"/>
          <w:marTop w:val="0"/>
          <w:marBottom w:val="0"/>
          <w:divBdr>
            <w:top w:val="none" w:sz="0" w:space="0" w:color="auto"/>
            <w:left w:val="none" w:sz="0" w:space="0" w:color="auto"/>
            <w:bottom w:val="none" w:sz="0" w:space="0" w:color="auto"/>
            <w:right w:val="none" w:sz="0" w:space="0" w:color="auto"/>
          </w:divBdr>
        </w:div>
        <w:div w:id="879363202">
          <w:marLeft w:val="0"/>
          <w:marRight w:val="0"/>
          <w:marTop w:val="0"/>
          <w:marBottom w:val="0"/>
          <w:divBdr>
            <w:top w:val="none" w:sz="0" w:space="0" w:color="auto"/>
            <w:left w:val="none" w:sz="0" w:space="0" w:color="auto"/>
            <w:bottom w:val="none" w:sz="0" w:space="0" w:color="auto"/>
            <w:right w:val="none" w:sz="0" w:space="0" w:color="auto"/>
          </w:divBdr>
        </w:div>
        <w:div w:id="882526172">
          <w:marLeft w:val="0"/>
          <w:marRight w:val="0"/>
          <w:marTop w:val="0"/>
          <w:marBottom w:val="0"/>
          <w:divBdr>
            <w:top w:val="none" w:sz="0" w:space="0" w:color="auto"/>
            <w:left w:val="none" w:sz="0" w:space="0" w:color="auto"/>
            <w:bottom w:val="none" w:sz="0" w:space="0" w:color="auto"/>
            <w:right w:val="none" w:sz="0" w:space="0" w:color="auto"/>
          </w:divBdr>
        </w:div>
        <w:div w:id="902061094">
          <w:marLeft w:val="0"/>
          <w:marRight w:val="0"/>
          <w:marTop w:val="0"/>
          <w:marBottom w:val="0"/>
          <w:divBdr>
            <w:top w:val="none" w:sz="0" w:space="0" w:color="auto"/>
            <w:left w:val="none" w:sz="0" w:space="0" w:color="auto"/>
            <w:bottom w:val="none" w:sz="0" w:space="0" w:color="auto"/>
            <w:right w:val="none" w:sz="0" w:space="0" w:color="auto"/>
          </w:divBdr>
        </w:div>
        <w:div w:id="904921917">
          <w:marLeft w:val="0"/>
          <w:marRight w:val="0"/>
          <w:marTop w:val="0"/>
          <w:marBottom w:val="0"/>
          <w:divBdr>
            <w:top w:val="none" w:sz="0" w:space="0" w:color="auto"/>
            <w:left w:val="none" w:sz="0" w:space="0" w:color="auto"/>
            <w:bottom w:val="none" w:sz="0" w:space="0" w:color="auto"/>
            <w:right w:val="none" w:sz="0" w:space="0" w:color="auto"/>
          </w:divBdr>
        </w:div>
        <w:div w:id="908537545">
          <w:marLeft w:val="0"/>
          <w:marRight w:val="0"/>
          <w:marTop w:val="0"/>
          <w:marBottom w:val="0"/>
          <w:divBdr>
            <w:top w:val="none" w:sz="0" w:space="0" w:color="auto"/>
            <w:left w:val="none" w:sz="0" w:space="0" w:color="auto"/>
            <w:bottom w:val="none" w:sz="0" w:space="0" w:color="auto"/>
            <w:right w:val="none" w:sz="0" w:space="0" w:color="auto"/>
          </w:divBdr>
        </w:div>
        <w:div w:id="909001485">
          <w:marLeft w:val="0"/>
          <w:marRight w:val="0"/>
          <w:marTop w:val="0"/>
          <w:marBottom w:val="0"/>
          <w:divBdr>
            <w:top w:val="none" w:sz="0" w:space="0" w:color="auto"/>
            <w:left w:val="none" w:sz="0" w:space="0" w:color="auto"/>
            <w:bottom w:val="none" w:sz="0" w:space="0" w:color="auto"/>
            <w:right w:val="none" w:sz="0" w:space="0" w:color="auto"/>
          </w:divBdr>
        </w:div>
        <w:div w:id="910116611">
          <w:marLeft w:val="0"/>
          <w:marRight w:val="0"/>
          <w:marTop w:val="0"/>
          <w:marBottom w:val="0"/>
          <w:divBdr>
            <w:top w:val="none" w:sz="0" w:space="0" w:color="auto"/>
            <w:left w:val="none" w:sz="0" w:space="0" w:color="auto"/>
            <w:bottom w:val="none" w:sz="0" w:space="0" w:color="auto"/>
            <w:right w:val="none" w:sz="0" w:space="0" w:color="auto"/>
          </w:divBdr>
        </w:div>
        <w:div w:id="912591015">
          <w:marLeft w:val="0"/>
          <w:marRight w:val="0"/>
          <w:marTop w:val="0"/>
          <w:marBottom w:val="0"/>
          <w:divBdr>
            <w:top w:val="none" w:sz="0" w:space="0" w:color="auto"/>
            <w:left w:val="none" w:sz="0" w:space="0" w:color="auto"/>
            <w:bottom w:val="none" w:sz="0" w:space="0" w:color="auto"/>
            <w:right w:val="none" w:sz="0" w:space="0" w:color="auto"/>
          </w:divBdr>
        </w:div>
        <w:div w:id="924533289">
          <w:marLeft w:val="0"/>
          <w:marRight w:val="0"/>
          <w:marTop w:val="0"/>
          <w:marBottom w:val="0"/>
          <w:divBdr>
            <w:top w:val="none" w:sz="0" w:space="0" w:color="auto"/>
            <w:left w:val="none" w:sz="0" w:space="0" w:color="auto"/>
            <w:bottom w:val="none" w:sz="0" w:space="0" w:color="auto"/>
            <w:right w:val="none" w:sz="0" w:space="0" w:color="auto"/>
          </w:divBdr>
        </w:div>
        <w:div w:id="927036191">
          <w:marLeft w:val="0"/>
          <w:marRight w:val="0"/>
          <w:marTop w:val="0"/>
          <w:marBottom w:val="0"/>
          <w:divBdr>
            <w:top w:val="none" w:sz="0" w:space="0" w:color="auto"/>
            <w:left w:val="none" w:sz="0" w:space="0" w:color="auto"/>
            <w:bottom w:val="none" w:sz="0" w:space="0" w:color="auto"/>
            <w:right w:val="none" w:sz="0" w:space="0" w:color="auto"/>
          </w:divBdr>
        </w:div>
        <w:div w:id="932058122">
          <w:marLeft w:val="0"/>
          <w:marRight w:val="0"/>
          <w:marTop w:val="0"/>
          <w:marBottom w:val="0"/>
          <w:divBdr>
            <w:top w:val="none" w:sz="0" w:space="0" w:color="auto"/>
            <w:left w:val="none" w:sz="0" w:space="0" w:color="auto"/>
            <w:bottom w:val="none" w:sz="0" w:space="0" w:color="auto"/>
            <w:right w:val="none" w:sz="0" w:space="0" w:color="auto"/>
          </w:divBdr>
        </w:div>
        <w:div w:id="938567224">
          <w:marLeft w:val="0"/>
          <w:marRight w:val="0"/>
          <w:marTop w:val="0"/>
          <w:marBottom w:val="0"/>
          <w:divBdr>
            <w:top w:val="none" w:sz="0" w:space="0" w:color="auto"/>
            <w:left w:val="none" w:sz="0" w:space="0" w:color="auto"/>
            <w:bottom w:val="none" w:sz="0" w:space="0" w:color="auto"/>
            <w:right w:val="none" w:sz="0" w:space="0" w:color="auto"/>
          </w:divBdr>
        </w:div>
        <w:div w:id="941573536">
          <w:marLeft w:val="0"/>
          <w:marRight w:val="0"/>
          <w:marTop w:val="0"/>
          <w:marBottom w:val="0"/>
          <w:divBdr>
            <w:top w:val="none" w:sz="0" w:space="0" w:color="auto"/>
            <w:left w:val="none" w:sz="0" w:space="0" w:color="auto"/>
            <w:bottom w:val="none" w:sz="0" w:space="0" w:color="auto"/>
            <w:right w:val="none" w:sz="0" w:space="0" w:color="auto"/>
          </w:divBdr>
        </w:div>
        <w:div w:id="951010041">
          <w:marLeft w:val="0"/>
          <w:marRight w:val="0"/>
          <w:marTop w:val="0"/>
          <w:marBottom w:val="0"/>
          <w:divBdr>
            <w:top w:val="none" w:sz="0" w:space="0" w:color="auto"/>
            <w:left w:val="none" w:sz="0" w:space="0" w:color="auto"/>
            <w:bottom w:val="none" w:sz="0" w:space="0" w:color="auto"/>
            <w:right w:val="none" w:sz="0" w:space="0" w:color="auto"/>
          </w:divBdr>
        </w:div>
        <w:div w:id="990215410">
          <w:marLeft w:val="0"/>
          <w:marRight w:val="0"/>
          <w:marTop w:val="0"/>
          <w:marBottom w:val="0"/>
          <w:divBdr>
            <w:top w:val="none" w:sz="0" w:space="0" w:color="auto"/>
            <w:left w:val="none" w:sz="0" w:space="0" w:color="auto"/>
            <w:bottom w:val="none" w:sz="0" w:space="0" w:color="auto"/>
            <w:right w:val="none" w:sz="0" w:space="0" w:color="auto"/>
          </w:divBdr>
        </w:div>
        <w:div w:id="991565574">
          <w:marLeft w:val="0"/>
          <w:marRight w:val="0"/>
          <w:marTop w:val="0"/>
          <w:marBottom w:val="0"/>
          <w:divBdr>
            <w:top w:val="none" w:sz="0" w:space="0" w:color="auto"/>
            <w:left w:val="none" w:sz="0" w:space="0" w:color="auto"/>
            <w:bottom w:val="none" w:sz="0" w:space="0" w:color="auto"/>
            <w:right w:val="none" w:sz="0" w:space="0" w:color="auto"/>
          </w:divBdr>
        </w:div>
        <w:div w:id="1002701603">
          <w:marLeft w:val="0"/>
          <w:marRight w:val="0"/>
          <w:marTop w:val="0"/>
          <w:marBottom w:val="0"/>
          <w:divBdr>
            <w:top w:val="none" w:sz="0" w:space="0" w:color="auto"/>
            <w:left w:val="none" w:sz="0" w:space="0" w:color="auto"/>
            <w:bottom w:val="none" w:sz="0" w:space="0" w:color="auto"/>
            <w:right w:val="none" w:sz="0" w:space="0" w:color="auto"/>
          </w:divBdr>
        </w:div>
        <w:div w:id="1008022971">
          <w:marLeft w:val="0"/>
          <w:marRight w:val="0"/>
          <w:marTop w:val="0"/>
          <w:marBottom w:val="0"/>
          <w:divBdr>
            <w:top w:val="none" w:sz="0" w:space="0" w:color="auto"/>
            <w:left w:val="none" w:sz="0" w:space="0" w:color="auto"/>
            <w:bottom w:val="none" w:sz="0" w:space="0" w:color="auto"/>
            <w:right w:val="none" w:sz="0" w:space="0" w:color="auto"/>
          </w:divBdr>
        </w:div>
        <w:div w:id="1017467968">
          <w:marLeft w:val="0"/>
          <w:marRight w:val="0"/>
          <w:marTop w:val="0"/>
          <w:marBottom w:val="0"/>
          <w:divBdr>
            <w:top w:val="none" w:sz="0" w:space="0" w:color="auto"/>
            <w:left w:val="none" w:sz="0" w:space="0" w:color="auto"/>
            <w:bottom w:val="none" w:sz="0" w:space="0" w:color="auto"/>
            <w:right w:val="none" w:sz="0" w:space="0" w:color="auto"/>
          </w:divBdr>
        </w:div>
        <w:div w:id="1022895360">
          <w:marLeft w:val="0"/>
          <w:marRight w:val="0"/>
          <w:marTop w:val="0"/>
          <w:marBottom w:val="0"/>
          <w:divBdr>
            <w:top w:val="none" w:sz="0" w:space="0" w:color="auto"/>
            <w:left w:val="none" w:sz="0" w:space="0" w:color="auto"/>
            <w:bottom w:val="none" w:sz="0" w:space="0" w:color="auto"/>
            <w:right w:val="none" w:sz="0" w:space="0" w:color="auto"/>
          </w:divBdr>
        </w:div>
        <w:div w:id="1049375703">
          <w:marLeft w:val="0"/>
          <w:marRight w:val="0"/>
          <w:marTop w:val="0"/>
          <w:marBottom w:val="0"/>
          <w:divBdr>
            <w:top w:val="none" w:sz="0" w:space="0" w:color="auto"/>
            <w:left w:val="none" w:sz="0" w:space="0" w:color="auto"/>
            <w:bottom w:val="none" w:sz="0" w:space="0" w:color="auto"/>
            <w:right w:val="none" w:sz="0" w:space="0" w:color="auto"/>
          </w:divBdr>
        </w:div>
        <w:div w:id="1050111496">
          <w:marLeft w:val="0"/>
          <w:marRight w:val="0"/>
          <w:marTop w:val="0"/>
          <w:marBottom w:val="0"/>
          <w:divBdr>
            <w:top w:val="none" w:sz="0" w:space="0" w:color="auto"/>
            <w:left w:val="none" w:sz="0" w:space="0" w:color="auto"/>
            <w:bottom w:val="none" w:sz="0" w:space="0" w:color="auto"/>
            <w:right w:val="none" w:sz="0" w:space="0" w:color="auto"/>
          </w:divBdr>
        </w:div>
        <w:div w:id="1057127937">
          <w:marLeft w:val="0"/>
          <w:marRight w:val="0"/>
          <w:marTop w:val="0"/>
          <w:marBottom w:val="0"/>
          <w:divBdr>
            <w:top w:val="none" w:sz="0" w:space="0" w:color="auto"/>
            <w:left w:val="none" w:sz="0" w:space="0" w:color="auto"/>
            <w:bottom w:val="none" w:sz="0" w:space="0" w:color="auto"/>
            <w:right w:val="none" w:sz="0" w:space="0" w:color="auto"/>
          </w:divBdr>
        </w:div>
        <w:div w:id="1072122091">
          <w:marLeft w:val="0"/>
          <w:marRight w:val="0"/>
          <w:marTop w:val="0"/>
          <w:marBottom w:val="0"/>
          <w:divBdr>
            <w:top w:val="none" w:sz="0" w:space="0" w:color="auto"/>
            <w:left w:val="none" w:sz="0" w:space="0" w:color="auto"/>
            <w:bottom w:val="none" w:sz="0" w:space="0" w:color="auto"/>
            <w:right w:val="none" w:sz="0" w:space="0" w:color="auto"/>
          </w:divBdr>
        </w:div>
        <w:div w:id="1073626500">
          <w:marLeft w:val="0"/>
          <w:marRight w:val="0"/>
          <w:marTop w:val="0"/>
          <w:marBottom w:val="0"/>
          <w:divBdr>
            <w:top w:val="none" w:sz="0" w:space="0" w:color="auto"/>
            <w:left w:val="none" w:sz="0" w:space="0" w:color="auto"/>
            <w:bottom w:val="none" w:sz="0" w:space="0" w:color="auto"/>
            <w:right w:val="none" w:sz="0" w:space="0" w:color="auto"/>
          </w:divBdr>
        </w:div>
        <w:div w:id="1073702503">
          <w:marLeft w:val="0"/>
          <w:marRight w:val="0"/>
          <w:marTop w:val="0"/>
          <w:marBottom w:val="0"/>
          <w:divBdr>
            <w:top w:val="none" w:sz="0" w:space="0" w:color="auto"/>
            <w:left w:val="none" w:sz="0" w:space="0" w:color="auto"/>
            <w:bottom w:val="none" w:sz="0" w:space="0" w:color="auto"/>
            <w:right w:val="none" w:sz="0" w:space="0" w:color="auto"/>
          </w:divBdr>
        </w:div>
        <w:div w:id="1074934972">
          <w:marLeft w:val="0"/>
          <w:marRight w:val="0"/>
          <w:marTop w:val="0"/>
          <w:marBottom w:val="0"/>
          <w:divBdr>
            <w:top w:val="none" w:sz="0" w:space="0" w:color="auto"/>
            <w:left w:val="none" w:sz="0" w:space="0" w:color="auto"/>
            <w:bottom w:val="none" w:sz="0" w:space="0" w:color="auto"/>
            <w:right w:val="none" w:sz="0" w:space="0" w:color="auto"/>
          </w:divBdr>
        </w:div>
        <w:div w:id="1109204825">
          <w:marLeft w:val="0"/>
          <w:marRight w:val="0"/>
          <w:marTop w:val="0"/>
          <w:marBottom w:val="0"/>
          <w:divBdr>
            <w:top w:val="none" w:sz="0" w:space="0" w:color="auto"/>
            <w:left w:val="none" w:sz="0" w:space="0" w:color="auto"/>
            <w:bottom w:val="none" w:sz="0" w:space="0" w:color="auto"/>
            <w:right w:val="none" w:sz="0" w:space="0" w:color="auto"/>
          </w:divBdr>
        </w:div>
        <w:div w:id="1113213792">
          <w:marLeft w:val="0"/>
          <w:marRight w:val="0"/>
          <w:marTop w:val="0"/>
          <w:marBottom w:val="0"/>
          <w:divBdr>
            <w:top w:val="none" w:sz="0" w:space="0" w:color="auto"/>
            <w:left w:val="none" w:sz="0" w:space="0" w:color="auto"/>
            <w:bottom w:val="none" w:sz="0" w:space="0" w:color="auto"/>
            <w:right w:val="none" w:sz="0" w:space="0" w:color="auto"/>
          </w:divBdr>
        </w:div>
        <w:div w:id="1127047636">
          <w:marLeft w:val="0"/>
          <w:marRight w:val="0"/>
          <w:marTop w:val="0"/>
          <w:marBottom w:val="0"/>
          <w:divBdr>
            <w:top w:val="none" w:sz="0" w:space="0" w:color="auto"/>
            <w:left w:val="none" w:sz="0" w:space="0" w:color="auto"/>
            <w:bottom w:val="none" w:sz="0" w:space="0" w:color="auto"/>
            <w:right w:val="none" w:sz="0" w:space="0" w:color="auto"/>
          </w:divBdr>
        </w:div>
        <w:div w:id="1146775220">
          <w:marLeft w:val="0"/>
          <w:marRight w:val="0"/>
          <w:marTop w:val="0"/>
          <w:marBottom w:val="0"/>
          <w:divBdr>
            <w:top w:val="none" w:sz="0" w:space="0" w:color="auto"/>
            <w:left w:val="none" w:sz="0" w:space="0" w:color="auto"/>
            <w:bottom w:val="none" w:sz="0" w:space="0" w:color="auto"/>
            <w:right w:val="none" w:sz="0" w:space="0" w:color="auto"/>
          </w:divBdr>
        </w:div>
        <w:div w:id="1158618099">
          <w:marLeft w:val="0"/>
          <w:marRight w:val="0"/>
          <w:marTop w:val="0"/>
          <w:marBottom w:val="0"/>
          <w:divBdr>
            <w:top w:val="none" w:sz="0" w:space="0" w:color="auto"/>
            <w:left w:val="none" w:sz="0" w:space="0" w:color="auto"/>
            <w:bottom w:val="none" w:sz="0" w:space="0" w:color="auto"/>
            <w:right w:val="none" w:sz="0" w:space="0" w:color="auto"/>
          </w:divBdr>
        </w:div>
        <w:div w:id="1158885039">
          <w:marLeft w:val="0"/>
          <w:marRight w:val="0"/>
          <w:marTop w:val="0"/>
          <w:marBottom w:val="0"/>
          <w:divBdr>
            <w:top w:val="none" w:sz="0" w:space="0" w:color="auto"/>
            <w:left w:val="none" w:sz="0" w:space="0" w:color="auto"/>
            <w:bottom w:val="none" w:sz="0" w:space="0" w:color="auto"/>
            <w:right w:val="none" w:sz="0" w:space="0" w:color="auto"/>
          </w:divBdr>
        </w:div>
        <w:div w:id="1168062906">
          <w:marLeft w:val="0"/>
          <w:marRight w:val="0"/>
          <w:marTop w:val="0"/>
          <w:marBottom w:val="0"/>
          <w:divBdr>
            <w:top w:val="none" w:sz="0" w:space="0" w:color="auto"/>
            <w:left w:val="none" w:sz="0" w:space="0" w:color="auto"/>
            <w:bottom w:val="none" w:sz="0" w:space="0" w:color="auto"/>
            <w:right w:val="none" w:sz="0" w:space="0" w:color="auto"/>
          </w:divBdr>
        </w:div>
        <w:div w:id="1169519708">
          <w:marLeft w:val="0"/>
          <w:marRight w:val="0"/>
          <w:marTop w:val="0"/>
          <w:marBottom w:val="0"/>
          <w:divBdr>
            <w:top w:val="none" w:sz="0" w:space="0" w:color="auto"/>
            <w:left w:val="none" w:sz="0" w:space="0" w:color="auto"/>
            <w:bottom w:val="none" w:sz="0" w:space="0" w:color="auto"/>
            <w:right w:val="none" w:sz="0" w:space="0" w:color="auto"/>
          </w:divBdr>
        </w:div>
        <w:div w:id="1174418368">
          <w:marLeft w:val="0"/>
          <w:marRight w:val="0"/>
          <w:marTop w:val="0"/>
          <w:marBottom w:val="0"/>
          <w:divBdr>
            <w:top w:val="none" w:sz="0" w:space="0" w:color="auto"/>
            <w:left w:val="none" w:sz="0" w:space="0" w:color="auto"/>
            <w:bottom w:val="none" w:sz="0" w:space="0" w:color="auto"/>
            <w:right w:val="none" w:sz="0" w:space="0" w:color="auto"/>
          </w:divBdr>
        </w:div>
        <w:div w:id="1192380269">
          <w:marLeft w:val="0"/>
          <w:marRight w:val="0"/>
          <w:marTop w:val="0"/>
          <w:marBottom w:val="0"/>
          <w:divBdr>
            <w:top w:val="none" w:sz="0" w:space="0" w:color="auto"/>
            <w:left w:val="none" w:sz="0" w:space="0" w:color="auto"/>
            <w:bottom w:val="none" w:sz="0" w:space="0" w:color="auto"/>
            <w:right w:val="none" w:sz="0" w:space="0" w:color="auto"/>
          </w:divBdr>
        </w:div>
        <w:div w:id="1192567965">
          <w:marLeft w:val="0"/>
          <w:marRight w:val="0"/>
          <w:marTop w:val="0"/>
          <w:marBottom w:val="0"/>
          <w:divBdr>
            <w:top w:val="none" w:sz="0" w:space="0" w:color="auto"/>
            <w:left w:val="none" w:sz="0" w:space="0" w:color="auto"/>
            <w:bottom w:val="none" w:sz="0" w:space="0" w:color="auto"/>
            <w:right w:val="none" w:sz="0" w:space="0" w:color="auto"/>
          </w:divBdr>
        </w:div>
        <w:div w:id="1194734730">
          <w:marLeft w:val="0"/>
          <w:marRight w:val="0"/>
          <w:marTop w:val="0"/>
          <w:marBottom w:val="0"/>
          <w:divBdr>
            <w:top w:val="none" w:sz="0" w:space="0" w:color="auto"/>
            <w:left w:val="none" w:sz="0" w:space="0" w:color="auto"/>
            <w:bottom w:val="none" w:sz="0" w:space="0" w:color="auto"/>
            <w:right w:val="none" w:sz="0" w:space="0" w:color="auto"/>
          </w:divBdr>
        </w:div>
        <w:div w:id="1196503522">
          <w:marLeft w:val="0"/>
          <w:marRight w:val="0"/>
          <w:marTop w:val="0"/>
          <w:marBottom w:val="0"/>
          <w:divBdr>
            <w:top w:val="none" w:sz="0" w:space="0" w:color="auto"/>
            <w:left w:val="none" w:sz="0" w:space="0" w:color="auto"/>
            <w:bottom w:val="none" w:sz="0" w:space="0" w:color="auto"/>
            <w:right w:val="none" w:sz="0" w:space="0" w:color="auto"/>
          </w:divBdr>
        </w:div>
        <w:div w:id="1203131836">
          <w:marLeft w:val="0"/>
          <w:marRight w:val="0"/>
          <w:marTop w:val="0"/>
          <w:marBottom w:val="0"/>
          <w:divBdr>
            <w:top w:val="none" w:sz="0" w:space="0" w:color="auto"/>
            <w:left w:val="none" w:sz="0" w:space="0" w:color="auto"/>
            <w:bottom w:val="none" w:sz="0" w:space="0" w:color="auto"/>
            <w:right w:val="none" w:sz="0" w:space="0" w:color="auto"/>
          </w:divBdr>
        </w:div>
        <w:div w:id="1206521415">
          <w:marLeft w:val="0"/>
          <w:marRight w:val="0"/>
          <w:marTop w:val="0"/>
          <w:marBottom w:val="0"/>
          <w:divBdr>
            <w:top w:val="none" w:sz="0" w:space="0" w:color="auto"/>
            <w:left w:val="none" w:sz="0" w:space="0" w:color="auto"/>
            <w:bottom w:val="none" w:sz="0" w:space="0" w:color="auto"/>
            <w:right w:val="none" w:sz="0" w:space="0" w:color="auto"/>
          </w:divBdr>
        </w:div>
        <w:div w:id="1210067279">
          <w:marLeft w:val="0"/>
          <w:marRight w:val="0"/>
          <w:marTop w:val="0"/>
          <w:marBottom w:val="0"/>
          <w:divBdr>
            <w:top w:val="none" w:sz="0" w:space="0" w:color="auto"/>
            <w:left w:val="none" w:sz="0" w:space="0" w:color="auto"/>
            <w:bottom w:val="none" w:sz="0" w:space="0" w:color="auto"/>
            <w:right w:val="none" w:sz="0" w:space="0" w:color="auto"/>
          </w:divBdr>
        </w:div>
        <w:div w:id="1225020306">
          <w:marLeft w:val="0"/>
          <w:marRight w:val="0"/>
          <w:marTop w:val="0"/>
          <w:marBottom w:val="0"/>
          <w:divBdr>
            <w:top w:val="none" w:sz="0" w:space="0" w:color="auto"/>
            <w:left w:val="none" w:sz="0" w:space="0" w:color="auto"/>
            <w:bottom w:val="none" w:sz="0" w:space="0" w:color="auto"/>
            <w:right w:val="none" w:sz="0" w:space="0" w:color="auto"/>
          </w:divBdr>
        </w:div>
        <w:div w:id="1225144961">
          <w:marLeft w:val="0"/>
          <w:marRight w:val="0"/>
          <w:marTop w:val="0"/>
          <w:marBottom w:val="0"/>
          <w:divBdr>
            <w:top w:val="none" w:sz="0" w:space="0" w:color="auto"/>
            <w:left w:val="none" w:sz="0" w:space="0" w:color="auto"/>
            <w:bottom w:val="none" w:sz="0" w:space="0" w:color="auto"/>
            <w:right w:val="none" w:sz="0" w:space="0" w:color="auto"/>
          </w:divBdr>
        </w:div>
        <w:div w:id="1235358667">
          <w:marLeft w:val="0"/>
          <w:marRight w:val="0"/>
          <w:marTop w:val="0"/>
          <w:marBottom w:val="0"/>
          <w:divBdr>
            <w:top w:val="none" w:sz="0" w:space="0" w:color="auto"/>
            <w:left w:val="none" w:sz="0" w:space="0" w:color="auto"/>
            <w:bottom w:val="none" w:sz="0" w:space="0" w:color="auto"/>
            <w:right w:val="none" w:sz="0" w:space="0" w:color="auto"/>
          </w:divBdr>
        </w:div>
        <w:div w:id="1245607158">
          <w:marLeft w:val="0"/>
          <w:marRight w:val="0"/>
          <w:marTop w:val="0"/>
          <w:marBottom w:val="0"/>
          <w:divBdr>
            <w:top w:val="none" w:sz="0" w:space="0" w:color="auto"/>
            <w:left w:val="none" w:sz="0" w:space="0" w:color="auto"/>
            <w:bottom w:val="none" w:sz="0" w:space="0" w:color="auto"/>
            <w:right w:val="none" w:sz="0" w:space="0" w:color="auto"/>
          </w:divBdr>
        </w:div>
        <w:div w:id="1259874875">
          <w:marLeft w:val="0"/>
          <w:marRight w:val="0"/>
          <w:marTop w:val="0"/>
          <w:marBottom w:val="0"/>
          <w:divBdr>
            <w:top w:val="none" w:sz="0" w:space="0" w:color="auto"/>
            <w:left w:val="none" w:sz="0" w:space="0" w:color="auto"/>
            <w:bottom w:val="none" w:sz="0" w:space="0" w:color="auto"/>
            <w:right w:val="none" w:sz="0" w:space="0" w:color="auto"/>
          </w:divBdr>
        </w:div>
        <w:div w:id="1271209057">
          <w:marLeft w:val="0"/>
          <w:marRight w:val="0"/>
          <w:marTop w:val="0"/>
          <w:marBottom w:val="0"/>
          <w:divBdr>
            <w:top w:val="none" w:sz="0" w:space="0" w:color="auto"/>
            <w:left w:val="none" w:sz="0" w:space="0" w:color="auto"/>
            <w:bottom w:val="none" w:sz="0" w:space="0" w:color="auto"/>
            <w:right w:val="none" w:sz="0" w:space="0" w:color="auto"/>
          </w:divBdr>
        </w:div>
        <w:div w:id="1280844158">
          <w:marLeft w:val="0"/>
          <w:marRight w:val="0"/>
          <w:marTop w:val="0"/>
          <w:marBottom w:val="0"/>
          <w:divBdr>
            <w:top w:val="none" w:sz="0" w:space="0" w:color="auto"/>
            <w:left w:val="none" w:sz="0" w:space="0" w:color="auto"/>
            <w:bottom w:val="none" w:sz="0" w:space="0" w:color="auto"/>
            <w:right w:val="none" w:sz="0" w:space="0" w:color="auto"/>
          </w:divBdr>
        </w:div>
        <w:div w:id="1291010692">
          <w:marLeft w:val="0"/>
          <w:marRight w:val="0"/>
          <w:marTop w:val="0"/>
          <w:marBottom w:val="0"/>
          <w:divBdr>
            <w:top w:val="none" w:sz="0" w:space="0" w:color="auto"/>
            <w:left w:val="none" w:sz="0" w:space="0" w:color="auto"/>
            <w:bottom w:val="none" w:sz="0" w:space="0" w:color="auto"/>
            <w:right w:val="none" w:sz="0" w:space="0" w:color="auto"/>
          </w:divBdr>
        </w:div>
        <w:div w:id="1292052982">
          <w:marLeft w:val="0"/>
          <w:marRight w:val="0"/>
          <w:marTop w:val="0"/>
          <w:marBottom w:val="0"/>
          <w:divBdr>
            <w:top w:val="none" w:sz="0" w:space="0" w:color="auto"/>
            <w:left w:val="none" w:sz="0" w:space="0" w:color="auto"/>
            <w:bottom w:val="none" w:sz="0" w:space="0" w:color="auto"/>
            <w:right w:val="none" w:sz="0" w:space="0" w:color="auto"/>
          </w:divBdr>
        </w:div>
        <w:div w:id="1318849773">
          <w:marLeft w:val="0"/>
          <w:marRight w:val="0"/>
          <w:marTop w:val="0"/>
          <w:marBottom w:val="0"/>
          <w:divBdr>
            <w:top w:val="none" w:sz="0" w:space="0" w:color="auto"/>
            <w:left w:val="none" w:sz="0" w:space="0" w:color="auto"/>
            <w:bottom w:val="none" w:sz="0" w:space="0" w:color="auto"/>
            <w:right w:val="none" w:sz="0" w:space="0" w:color="auto"/>
          </w:divBdr>
        </w:div>
        <w:div w:id="1319651710">
          <w:marLeft w:val="0"/>
          <w:marRight w:val="0"/>
          <w:marTop w:val="0"/>
          <w:marBottom w:val="0"/>
          <w:divBdr>
            <w:top w:val="none" w:sz="0" w:space="0" w:color="auto"/>
            <w:left w:val="none" w:sz="0" w:space="0" w:color="auto"/>
            <w:bottom w:val="none" w:sz="0" w:space="0" w:color="auto"/>
            <w:right w:val="none" w:sz="0" w:space="0" w:color="auto"/>
          </w:divBdr>
        </w:div>
        <w:div w:id="1320499499">
          <w:marLeft w:val="0"/>
          <w:marRight w:val="0"/>
          <w:marTop w:val="0"/>
          <w:marBottom w:val="0"/>
          <w:divBdr>
            <w:top w:val="none" w:sz="0" w:space="0" w:color="auto"/>
            <w:left w:val="none" w:sz="0" w:space="0" w:color="auto"/>
            <w:bottom w:val="none" w:sz="0" w:space="0" w:color="auto"/>
            <w:right w:val="none" w:sz="0" w:space="0" w:color="auto"/>
          </w:divBdr>
        </w:div>
        <w:div w:id="1325277967">
          <w:marLeft w:val="0"/>
          <w:marRight w:val="0"/>
          <w:marTop w:val="0"/>
          <w:marBottom w:val="0"/>
          <w:divBdr>
            <w:top w:val="none" w:sz="0" w:space="0" w:color="auto"/>
            <w:left w:val="none" w:sz="0" w:space="0" w:color="auto"/>
            <w:bottom w:val="none" w:sz="0" w:space="0" w:color="auto"/>
            <w:right w:val="none" w:sz="0" w:space="0" w:color="auto"/>
          </w:divBdr>
        </w:div>
        <w:div w:id="1331442416">
          <w:marLeft w:val="0"/>
          <w:marRight w:val="0"/>
          <w:marTop w:val="0"/>
          <w:marBottom w:val="0"/>
          <w:divBdr>
            <w:top w:val="none" w:sz="0" w:space="0" w:color="auto"/>
            <w:left w:val="none" w:sz="0" w:space="0" w:color="auto"/>
            <w:bottom w:val="none" w:sz="0" w:space="0" w:color="auto"/>
            <w:right w:val="none" w:sz="0" w:space="0" w:color="auto"/>
          </w:divBdr>
        </w:div>
        <w:div w:id="1349865082">
          <w:marLeft w:val="0"/>
          <w:marRight w:val="0"/>
          <w:marTop w:val="0"/>
          <w:marBottom w:val="0"/>
          <w:divBdr>
            <w:top w:val="none" w:sz="0" w:space="0" w:color="auto"/>
            <w:left w:val="none" w:sz="0" w:space="0" w:color="auto"/>
            <w:bottom w:val="none" w:sz="0" w:space="0" w:color="auto"/>
            <w:right w:val="none" w:sz="0" w:space="0" w:color="auto"/>
          </w:divBdr>
        </w:div>
        <w:div w:id="1364672201">
          <w:marLeft w:val="0"/>
          <w:marRight w:val="0"/>
          <w:marTop w:val="0"/>
          <w:marBottom w:val="0"/>
          <w:divBdr>
            <w:top w:val="none" w:sz="0" w:space="0" w:color="auto"/>
            <w:left w:val="none" w:sz="0" w:space="0" w:color="auto"/>
            <w:bottom w:val="none" w:sz="0" w:space="0" w:color="auto"/>
            <w:right w:val="none" w:sz="0" w:space="0" w:color="auto"/>
          </w:divBdr>
        </w:div>
        <w:div w:id="1371762772">
          <w:marLeft w:val="0"/>
          <w:marRight w:val="0"/>
          <w:marTop w:val="0"/>
          <w:marBottom w:val="0"/>
          <w:divBdr>
            <w:top w:val="none" w:sz="0" w:space="0" w:color="auto"/>
            <w:left w:val="none" w:sz="0" w:space="0" w:color="auto"/>
            <w:bottom w:val="none" w:sz="0" w:space="0" w:color="auto"/>
            <w:right w:val="none" w:sz="0" w:space="0" w:color="auto"/>
          </w:divBdr>
        </w:div>
        <w:div w:id="1372342042">
          <w:marLeft w:val="0"/>
          <w:marRight w:val="0"/>
          <w:marTop w:val="0"/>
          <w:marBottom w:val="0"/>
          <w:divBdr>
            <w:top w:val="none" w:sz="0" w:space="0" w:color="auto"/>
            <w:left w:val="none" w:sz="0" w:space="0" w:color="auto"/>
            <w:bottom w:val="none" w:sz="0" w:space="0" w:color="auto"/>
            <w:right w:val="none" w:sz="0" w:space="0" w:color="auto"/>
          </w:divBdr>
        </w:div>
        <w:div w:id="1376735040">
          <w:marLeft w:val="0"/>
          <w:marRight w:val="0"/>
          <w:marTop w:val="0"/>
          <w:marBottom w:val="0"/>
          <w:divBdr>
            <w:top w:val="none" w:sz="0" w:space="0" w:color="auto"/>
            <w:left w:val="none" w:sz="0" w:space="0" w:color="auto"/>
            <w:bottom w:val="none" w:sz="0" w:space="0" w:color="auto"/>
            <w:right w:val="none" w:sz="0" w:space="0" w:color="auto"/>
          </w:divBdr>
        </w:div>
        <w:div w:id="1389499615">
          <w:marLeft w:val="0"/>
          <w:marRight w:val="0"/>
          <w:marTop w:val="0"/>
          <w:marBottom w:val="0"/>
          <w:divBdr>
            <w:top w:val="none" w:sz="0" w:space="0" w:color="auto"/>
            <w:left w:val="none" w:sz="0" w:space="0" w:color="auto"/>
            <w:bottom w:val="none" w:sz="0" w:space="0" w:color="auto"/>
            <w:right w:val="none" w:sz="0" w:space="0" w:color="auto"/>
          </w:divBdr>
        </w:div>
        <w:div w:id="1395934115">
          <w:marLeft w:val="0"/>
          <w:marRight w:val="0"/>
          <w:marTop w:val="0"/>
          <w:marBottom w:val="0"/>
          <w:divBdr>
            <w:top w:val="none" w:sz="0" w:space="0" w:color="auto"/>
            <w:left w:val="none" w:sz="0" w:space="0" w:color="auto"/>
            <w:bottom w:val="none" w:sz="0" w:space="0" w:color="auto"/>
            <w:right w:val="none" w:sz="0" w:space="0" w:color="auto"/>
          </w:divBdr>
        </w:div>
        <w:div w:id="1396051399">
          <w:marLeft w:val="0"/>
          <w:marRight w:val="0"/>
          <w:marTop w:val="0"/>
          <w:marBottom w:val="0"/>
          <w:divBdr>
            <w:top w:val="none" w:sz="0" w:space="0" w:color="auto"/>
            <w:left w:val="none" w:sz="0" w:space="0" w:color="auto"/>
            <w:bottom w:val="none" w:sz="0" w:space="0" w:color="auto"/>
            <w:right w:val="none" w:sz="0" w:space="0" w:color="auto"/>
          </w:divBdr>
        </w:div>
        <w:div w:id="1401950198">
          <w:marLeft w:val="0"/>
          <w:marRight w:val="0"/>
          <w:marTop w:val="0"/>
          <w:marBottom w:val="0"/>
          <w:divBdr>
            <w:top w:val="none" w:sz="0" w:space="0" w:color="auto"/>
            <w:left w:val="none" w:sz="0" w:space="0" w:color="auto"/>
            <w:bottom w:val="none" w:sz="0" w:space="0" w:color="auto"/>
            <w:right w:val="none" w:sz="0" w:space="0" w:color="auto"/>
          </w:divBdr>
        </w:div>
        <w:div w:id="1416434502">
          <w:marLeft w:val="0"/>
          <w:marRight w:val="0"/>
          <w:marTop w:val="0"/>
          <w:marBottom w:val="0"/>
          <w:divBdr>
            <w:top w:val="none" w:sz="0" w:space="0" w:color="auto"/>
            <w:left w:val="none" w:sz="0" w:space="0" w:color="auto"/>
            <w:bottom w:val="none" w:sz="0" w:space="0" w:color="auto"/>
            <w:right w:val="none" w:sz="0" w:space="0" w:color="auto"/>
          </w:divBdr>
        </w:div>
        <w:div w:id="1421486604">
          <w:marLeft w:val="0"/>
          <w:marRight w:val="0"/>
          <w:marTop w:val="0"/>
          <w:marBottom w:val="0"/>
          <w:divBdr>
            <w:top w:val="none" w:sz="0" w:space="0" w:color="auto"/>
            <w:left w:val="none" w:sz="0" w:space="0" w:color="auto"/>
            <w:bottom w:val="none" w:sz="0" w:space="0" w:color="auto"/>
            <w:right w:val="none" w:sz="0" w:space="0" w:color="auto"/>
          </w:divBdr>
        </w:div>
        <w:div w:id="1423146249">
          <w:marLeft w:val="0"/>
          <w:marRight w:val="0"/>
          <w:marTop w:val="0"/>
          <w:marBottom w:val="0"/>
          <w:divBdr>
            <w:top w:val="none" w:sz="0" w:space="0" w:color="auto"/>
            <w:left w:val="none" w:sz="0" w:space="0" w:color="auto"/>
            <w:bottom w:val="none" w:sz="0" w:space="0" w:color="auto"/>
            <w:right w:val="none" w:sz="0" w:space="0" w:color="auto"/>
          </w:divBdr>
        </w:div>
        <w:div w:id="1430850652">
          <w:marLeft w:val="0"/>
          <w:marRight w:val="0"/>
          <w:marTop w:val="0"/>
          <w:marBottom w:val="0"/>
          <w:divBdr>
            <w:top w:val="none" w:sz="0" w:space="0" w:color="auto"/>
            <w:left w:val="none" w:sz="0" w:space="0" w:color="auto"/>
            <w:bottom w:val="none" w:sz="0" w:space="0" w:color="auto"/>
            <w:right w:val="none" w:sz="0" w:space="0" w:color="auto"/>
          </w:divBdr>
        </w:div>
        <w:div w:id="1432821151">
          <w:marLeft w:val="0"/>
          <w:marRight w:val="0"/>
          <w:marTop w:val="0"/>
          <w:marBottom w:val="0"/>
          <w:divBdr>
            <w:top w:val="none" w:sz="0" w:space="0" w:color="auto"/>
            <w:left w:val="none" w:sz="0" w:space="0" w:color="auto"/>
            <w:bottom w:val="none" w:sz="0" w:space="0" w:color="auto"/>
            <w:right w:val="none" w:sz="0" w:space="0" w:color="auto"/>
          </w:divBdr>
        </w:div>
        <w:div w:id="1433894050">
          <w:marLeft w:val="0"/>
          <w:marRight w:val="0"/>
          <w:marTop w:val="0"/>
          <w:marBottom w:val="0"/>
          <w:divBdr>
            <w:top w:val="none" w:sz="0" w:space="0" w:color="auto"/>
            <w:left w:val="none" w:sz="0" w:space="0" w:color="auto"/>
            <w:bottom w:val="none" w:sz="0" w:space="0" w:color="auto"/>
            <w:right w:val="none" w:sz="0" w:space="0" w:color="auto"/>
          </w:divBdr>
        </w:div>
        <w:div w:id="1436292556">
          <w:marLeft w:val="0"/>
          <w:marRight w:val="0"/>
          <w:marTop w:val="0"/>
          <w:marBottom w:val="0"/>
          <w:divBdr>
            <w:top w:val="none" w:sz="0" w:space="0" w:color="auto"/>
            <w:left w:val="none" w:sz="0" w:space="0" w:color="auto"/>
            <w:bottom w:val="none" w:sz="0" w:space="0" w:color="auto"/>
            <w:right w:val="none" w:sz="0" w:space="0" w:color="auto"/>
          </w:divBdr>
        </w:div>
        <w:div w:id="1447433037">
          <w:marLeft w:val="0"/>
          <w:marRight w:val="0"/>
          <w:marTop w:val="0"/>
          <w:marBottom w:val="0"/>
          <w:divBdr>
            <w:top w:val="none" w:sz="0" w:space="0" w:color="auto"/>
            <w:left w:val="none" w:sz="0" w:space="0" w:color="auto"/>
            <w:bottom w:val="none" w:sz="0" w:space="0" w:color="auto"/>
            <w:right w:val="none" w:sz="0" w:space="0" w:color="auto"/>
          </w:divBdr>
        </w:div>
        <w:div w:id="1451511452">
          <w:marLeft w:val="0"/>
          <w:marRight w:val="0"/>
          <w:marTop w:val="0"/>
          <w:marBottom w:val="0"/>
          <w:divBdr>
            <w:top w:val="none" w:sz="0" w:space="0" w:color="auto"/>
            <w:left w:val="none" w:sz="0" w:space="0" w:color="auto"/>
            <w:bottom w:val="none" w:sz="0" w:space="0" w:color="auto"/>
            <w:right w:val="none" w:sz="0" w:space="0" w:color="auto"/>
          </w:divBdr>
        </w:div>
        <w:div w:id="1454709625">
          <w:marLeft w:val="0"/>
          <w:marRight w:val="0"/>
          <w:marTop w:val="0"/>
          <w:marBottom w:val="0"/>
          <w:divBdr>
            <w:top w:val="none" w:sz="0" w:space="0" w:color="auto"/>
            <w:left w:val="none" w:sz="0" w:space="0" w:color="auto"/>
            <w:bottom w:val="none" w:sz="0" w:space="0" w:color="auto"/>
            <w:right w:val="none" w:sz="0" w:space="0" w:color="auto"/>
          </w:divBdr>
        </w:div>
        <w:div w:id="1482192018">
          <w:marLeft w:val="0"/>
          <w:marRight w:val="0"/>
          <w:marTop w:val="0"/>
          <w:marBottom w:val="0"/>
          <w:divBdr>
            <w:top w:val="none" w:sz="0" w:space="0" w:color="auto"/>
            <w:left w:val="none" w:sz="0" w:space="0" w:color="auto"/>
            <w:bottom w:val="none" w:sz="0" w:space="0" w:color="auto"/>
            <w:right w:val="none" w:sz="0" w:space="0" w:color="auto"/>
          </w:divBdr>
        </w:div>
        <w:div w:id="1490096092">
          <w:marLeft w:val="0"/>
          <w:marRight w:val="0"/>
          <w:marTop w:val="0"/>
          <w:marBottom w:val="0"/>
          <w:divBdr>
            <w:top w:val="none" w:sz="0" w:space="0" w:color="auto"/>
            <w:left w:val="none" w:sz="0" w:space="0" w:color="auto"/>
            <w:bottom w:val="none" w:sz="0" w:space="0" w:color="auto"/>
            <w:right w:val="none" w:sz="0" w:space="0" w:color="auto"/>
          </w:divBdr>
        </w:div>
        <w:div w:id="1497725772">
          <w:marLeft w:val="0"/>
          <w:marRight w:val="0"/>
          <w:marTop w:val="0"/>
          <w:marBottom w:val="0"/>
          <w:divBdr>
            <w:top w:val="none" w:sz="0" w:space="0" w:color="auto"/>
            <w:left w:val="none" w:sz="0" w:space="0" w:color="auto"/>
            <w:bottom w:val="none" w:sz="0" w:space="0" w:color="auto"/>
            <w:right w:val="none" w:sz="0" w:space="0" w:color="auto"/>
          </w:divBdr>
        </w:div>
        <w:div w:id="1506355867">
          <w:marLeft w:val="0"/>
          <w:marRight w:val="0"/>
          <w:marTop w:val="0"/>
          <w:marBottom w:val="0"/>
          <w:divBdr>
            <w:top w:val="none" w:sz="0" w:space="0" w:color="auto"/>
            <w:left w:val="none" w:sz="0" w:space="0" w:color="auto"/>
            <w:bottom w:val="none" w:sz="0" w:space="0" w:color="auto"/>
            <w:right w:val="none" w:sz="0" w:space="0" w:color="auto"/>
          </w:divBdr>
        </w:div>
        <w:div w:id="1517887780">
          <w:marLeft w:val="0"/>
          <w:marRight w:val="0"/>
          <w:marTop w:val="0"/>
          <w:marBottom w:val="0"/>
          <w:divBdr>
            <w:top w:val="none" w:sz="0" w:space="0" w:color="auto"/>
            <w:left w:val="none" w:sz="0" w:space="0" w:color="auto"/>
            <w:bottom w:val="none" w:sz="0" w:space="0" w:color="auto"/>
            <w:right w:val="none" w:sz="0" w:space="0" w:color="auto"/>
          </w:divBdr>
        </w:div>
        <w:div w:id="1519851464">
          <w:marLeft w:val="0"/>
          <w:marRight w:val="0"/>
          <w:marTop w:val="0"/>
          <w:marBottom w:val="0"/>
          <w:divBdr>
            <w:top w:val="none" w:sz="0" w:space="0" w:color="auto"/>
            <w:left w:val="none" w:sz="0" w:space="0" w:color="auto"/>
            <w:bottom w:val="none" w:sz="0" w:space="0" w:color="auto"/>
            <w:right w:val="none" w:sz="0" w:space="0" w:color="auto"/>
          </w:divBdr>
        </w:div>
        <w:div w:id="1529835502">
          <w:marLeft w:val="0"/>
          <w:marRight w:val="0"/>
          <w:marTop w:val="0"/>
          <w:marBottom w:val="0"/>
          <w:divBdr>
            <w:top w:val="none" w:sz="0" w:space="0" w:color="auto"/>
            <w:left w:val="none" w:sz="0" w:space="0" w:color="auto"/>
            <w:bottom w:val="none" w:sz="0" w:space="0" w:color="auto"/>
            <w:right w:val="none" w:sz="0" w:space="0" w:color="auto"/>
          </w:divBdr>
        </w:div>
        <w:div w:id="1533494690">
          <w:marLeft w:val="0"/>
          <w:marRight w:val="0"/>
          <w:marTop w:val="0"/>
          <w:marBottom w:val="0"/>
          <w:divBdr>
            <w:top w:val="none" w:sz="0" w:space="0" w:color="auto"/>
            <w:left w:val="none" w:sz="0" w:space="0" w:color="auto"/>
            <w:bottom w:val="none" w:sz="0" w:space="0" w:color="auto"/>
            <w:right w:val="none" w:sz="0" w:space="0" w:color="auto"/>
          </w:divBdr>
        </w:div>
        <w:div w:id="1533837272">
          <w:marLeft w:val="0"/>
          <w:marRight w:val="0"/>
          <w:marTop w:val="0"/>
          <w:marBottom w:val="0"/>
          <w:divBdr>
            <w:top w:val="none" w:sz="0" w:space="0" w:color="auto"/>
            <w:left w:val="none" w:sz="0" w:space="0" w:color="auto"/>
            <w:bottom w:val="none" w:sz="0" w:space="0" w:color="auto"/>
            <w:right w:val="none" w:sz="0" w:space="0" w:color="auto"/>
          </w:divBdr>
        </w:div>
        <w:div w:id="1538468601">
          <w:marLeft w:val="0"/>
          <w:marRight w:val="0"/>
          <w:marTop w:val="0"/>
          <w:marBottom w:val="0"/>
          <w:divBdr>
            <w:top w:val="none" w:sz="0" w:space="0" w:color="auto"/>
            <w:left w:val="none" w:sz="0" w:space="0" w:color="auto"/>
            <w:bottom w:val="none" w:sz="0" w:space="0" w:color="auto"/>
            <w:right w:val="none" w:sz="0" w:space="0" w:color="auto"/>
          </w:divBdr>
        </w:div>
        <w:div w:id="1543324178">
          <w:marLeft w:val="0"/>
          <w:marRight w:val="0"/>
          <w:marTop w:val="0"/>
          <w:marBottom w:val="0"/>
          <w:divBdr>
            <w:top w:val="none" w:sz="0" w:space="0" w:color="auto"/>
            <w:left w:val="none" w:sz="0" w:space="0" w:color="auto"/>
            <w:bottom w:val="none" w:sz="0" w:space="0" w:color="auto"/>
            <w:right w:val="none" w:sz="0" w:space="0" w:color="auto"/>
          </w:divBdr>
        </w:div>
        <w:div w:id="1544630440">
          <w:marLeft w:val="0"/>
          <w:marRight w:val="0"/>
          <w:marTop w:val="0"/>
          <w:marBottom w:val="0"/>
          <w:divBdr>
            <w:top w:val="none" w:sz="0" w:space="0" w:color="auto"/>
            <w:left w:val="none" w:sz="0" w:space="0" w:color="auto"/>
            <w:bottom w:val="none" w:sz="0" w:space="0" w:color="auto"/>
            <w:right w:val="none" w:sz="0" w:space="0" w:color="auto"/>
          </w:divBdr>
        </w:div>
        <w:div w:id="1555463547">
          <w:marLeft w:val="0"/>
          <w:marRight w:val="0"/>
          <w:marTop w:val="0"/>
          <w:marBottom w:val="0"/>
          <w:divBdr>
            <w:top w:val="none" w:sz="0" w:space="0" w:color="auto"/>
            <w:left w:val="none" w:sz="0" w:space="0" w:color="auto"/>
            <w:bottom w:val="none" w:sz="0" w:space="0" w:color="auto"/>
            <w:right w:val="none" w:sz="0" w:space="0" w:color="auto"/>
          </w:divBdr>
        </w:div>
        <w:div w:id="1562055771">
          <w:marLeft w:val="0"/>
          <w:marRight w:val="0"/>
          <w:marTop w:val="0"/>
          <w:marBottom w:val="0"/>
          <w:divBdr>
            <w:top w:val="none" w:sz="0" w:space="0" w:color="auto"/>
            <w:left w:val="none" w:sz="0" w:space="0" w:color="auto"/>
            <w:bottom w:val="none" w:sz="0" w:space="0" w:color="auto"/>
            <w:right w:val="none" w:sz="0" w:space="0" w:color="auto"/>
          </w:divBdr>
        </w:div>
        <w:div w:id="1562910216">
          <w:marLeft w:val="0"/>
          <w:marRight w:val="0"/>
          <w:marTop w:val="0"/>
          <w:marBottom w:val="0"/>
          <w:divBdr>
            <w:top w:val="none" w:sz="0" w:space="0" w:color="auto"/>
            <w:left w:val="none" w:sz="0" w:space="0" w:color="auto"/>
            <w:bottom w:val="none" w:sz="0" w:space="0" w:color="auto"/>
            <w:right w:val="none" w:sz="0" w:space="0" w:color="auto"/>
          </w:divBdr>
        </w:div>
        <w:div w:id="1599095283">
          <w:marLeft w:val="0"/>
          <w:marRight w:val="0"/>
          <w:marTop w:val="0"/>
          <w:marBottom w:val="0"/>
          <w:divBdr>
            <w:top w:val="none" w:sz="0" w:space="0" w:color="auto"/>
            <w:left w:val="none" w:sz="0" w:space="0" w:color="auto"/>
            <w:bottom w:val="none" w:sz="0" w:space="0" w:color="auto"/>
            <w:right w:val="none" w:sz="0" w:space="0" w:color="auto"/>
          </w:divBdr>
        </w:div>
        <w:div w:id="1601723336">
          <w:marLeft w:val="0"/>
          <w:marRight w:val="0"/>
          <w:marTop w:val="0"/>
          <w:marBottom w:val="0"/>
          <w:divBdr>
            <w:top w:val="none" w:sz="0" w:space="0" w:color="auto"/>
            <w:left w:val="none" w:sz="0" w:space="0" w:color="auto"/>
            <w:bottom w:val="none" w:sz="0" w:space="0" w:color="auto"/>
            <w:right w:val="none" w:sz="0" w:space="0" w:color="auto"/>
          </w:divBdr>
        </w:div>
        <w:div w:id="1608542850">
          <w:marLeft w:val="0"/>
          <w:marRight w:val="0"/>
          <w:marTop w:val="0"/>
          <w:marBottom w:val="0"/>
          <w:divBdr>
            <w:top w:val="none" w:sz="0" w:space="0" w:color="auto"/>
            <w:left w:val="none" w:sz="0" w:space="0" w:color="auto"/>
            <w:bottom w:val="none" w:sz="0" w:space="0" w:color="auto"/>
            <w:right w:val="none" w:sz="0" w:space="0" w:color="auto"/>
          </w:divBdr>
        </w:div>
        <w:div w:id="1628008459">
          <w:marLeft w:val="0"/>
          <w:marRight w:val="0"/>
          <w:marTop w:val="0"/>
          <w:marBottom w:val="0"/>
          <w:divBdr>
            <w:top w:val="none" w:sz="0" w:space="0" w:color="auto"/>
            <w:left w:val="none" w:sz="0" w:space="0" w:color="auto"/>
            <w:bottom w:val="none" w:sz="0" w:space="0" w:color="auto"/>
            <w:right w:val="none" w:sz="0" w:space="0" w:color="auto"/>
          </w:divBdr>
        </w:div>
        <w:div w:id="1629121994">
          <w:marLeft w:val="0"/>
          <w:marRight w:val="0"/>
          <w:marTop w:val="0"/>
          <w:marBottom w:val="0"/>
          <w:divBdr>
            <w:top w:val="none" w:sz="0" w:space="0" w:color="auto"/>
            <w:left w:val="none" w:sz="0" w:space="0" w:color="auto"/>
            <w:bottom w:val="none" w:sz="0" w:space="0" w:color="auto"/>
            <w:right w:val="none" w:sz="0" w:space="0" w:color="auto"/>
          </w:divBdr>
        </w:div>
        <w:div w:id="1636056951">
          <w:marLeft w:val="0"/>
          <w:marRight w:val="0"/>
          <w:marTop w:val="0"/>
          <w:marBottom w:val="0"/>
          <w:divBdr>
            <w:top w:val="none" w:sz="0" w:space="0" w:color="auto"/>
            <w:left w:val="none" w:sz="0" w:space="0" w:color="auto"/>
            <w:bottom w:val="none" w:sz="0" w:space="0" w:color="auto"/>
            <w:right w:val="none" w:sz="0" w:space="0" w:color="auto"/>
          </w:divBdr>
        </w:div>
        <w:div w:id="1645694802">
          <w:marLeft w:val="0"/>
          <w:marRight w:val="0"/>
          <w:marTop w:val="0"/>
          <w:marBottom w:val="0"/>
          <w:divBdr>
            <w:top w:val="none" w:sz="0" w:space="0" w:color="auto"/>
            <w:left w:val="none" w:sz="0" w:space="0" w:color="auto"/>
            <w:bottom w:val="none" w:sz="0" w:space="0" w:color="auto"/>
            <w:right w:val="none" w:sz="0" w:space="0" w:color="auto"/>
          </w:divBdr>
        </w:div>
        <w:div w:id="1649357920">
          <w:marLeft w:val="0"/>
          <w:marRight w:val="0"/>
          <w:marTop w:val="0"/>
          <w:marBottom w:val="0"/>
          <w:divBdr>
            <w:top w:val="none" w:sz="0" w:space="0" w:color="auto"/>
            <w:left w:val="none" w:sz="0" w:space="0" w:color="auto"/>
            <w:bottom w:val="none" w:sz="0" w:space="0" w:color="auto"/>
            <w:right w:val="none" w:sz="0" w:space="0" w:color="auto"/>
          </w:divBdr>
        </w:div>
        <w:div w:id="1659262037">
          <w:marLeft w:val="0"/>
          <w:marRight w:val="0"/>
          <w:marTop w:val="0"/>
          <w:marBottom w:val="0"/>
          <w:divBdr>
            <w:top w:val="none" w:sz="0" w:space="0" w:color="auto"/>
            <w:left w:val="none" w:sz="0" w:space="0" w:color="auto"/>
            <w:bottom w:val="none" w:sz="0" w:space="0" w:color="auto"/>
            <w:right w:val="none" w:sz="0" w:space="0" w:color="auto"/>
          </w:divBdr>
        </w:div>
        <w:div w:id="1660160409">
          <w:marLeft w:val="0"/>
          <w:marRight w:val="0"/>
          <w:marTop w:val="0"/>
          <w:marBottom w:val="0"/>
          <w:divBdr>
            <w:top w:val="none" w:sz="0" w:space="0" w:color="auto"/>
            <w:left w:val="none" w:sz="0" w:space="0" w:color="auto"/>
            <w:bottom w:val="none" w:sz="0" w:space="0" w:color="auto"/>
            <w:right w:val="none" w:sz="0" w:space="0" w:color="auto"/>
          </w:divBdr>
        </w:div>
        <w:div w:id="1662342748">
          <w:marLeft w:val="0"/>
          <w:marRight w:val="0"/>
          <w:marTop w:val="0"/>
          <w:marBottom w:val="0"/>
          <w:divBdr>
            <w:top w:val="none" w:sz="0" w:space="0" w:color="auto"/>
            <w:left w:val="none" w:sz="0" w:space="0" w:color="auto"/>
            <w:bottom w:val="none" w:sz="0" w:space="0" w:color="auto"/>
            <w:right w:val="none" w:sz="0" w:space="0" w:color="auto"/>
          </w:divBdr>
        </w:div>
        <w:div w:id="1662729405">
          <w:marLeft w:val="0"/>
          <w:marRight w:val="0"/>
          <w:marTop w:val="0"/>
          <w:marBottom w:val="0"/>
          <w:divBdr>
            <w:top w:val="none" w:sz="0" w:space="0" w:color="auto"/>
            <w:left w:val="none" w:sz="0" w:space="0" w:color="auto"/>
            <w:bottom w:val="none" w:sz="0" w:space="0" w:color="auto"/>
            <w:right w:val="none" w:sz="0" w:space="0" w:color="auto"/>
          </w:divBdr>
        </w:div>
        <w:div w:id="1663771307">
          <w:marLeft w:val="0"/>
          <w:marRight w:val="0"/>
          <w:marTop w:val="0"/>
          <w:marBottom w:val="0"/>
          <w:divBdr>
            <w:top w:val="none" w:sz="0" w:space="0" w:color="auto"/>
            <w:left w:val="none" w:sz="0" w:space="0" w:color="auto"/>
            <w:bottom w:val="none" w:sz="0" w:space="0" w:color="auto"/>
            <w:right w:val="none" w:sz="0" w:space="0" w:color="auto"/>
          </w:divBdr>
        </w:div>
        <w:div w:id="1666131208">
          <w:marLeft w:val="0"/>
          <w:marRight w:val="0"/>
          <w:marTop w:val="0"/>
          <w:marBottom w:val="0"/>
          <w:divBdr>
            <w:top w:val="none" w:sz="0" w:space="0" w:color="auto"/>
            <w:left w:val="none" w:sz="0" w:space="0" w:color="auto"/>
            <w:bottom w:val="none" w:sz="0" w:space="0" w:color="auto"/>
            <w:right w:val="none" w:sz="0" w:space="0" w:color="auto"/>
          </w:divBdr>
        </w:div>
        <w:div w:id="1687751806">
          <w:marLeft w:val="0"/>
          <w:marRight w:val="0"/>
          <w:marTop w:val="0"/>
          <w:marBottom w:val="0"/>
          <w:divBdr>
            <w:top w:val="none" w:sz="0" w:space="0" w:color="auto"/>
            <w:left w:val="none" w:sz="0" w:space="0" w:color="auto"/>
            <w:bottom w:val="none" w:sz="0" w:space="0" w:color="auto"/>
            <w:right w:val="none" w:sz="0" w:space="0" w:color="auto"/>
          </w:divBdr>
        </w:div>
        <w:div w:id="1692104615">
          <w:marLeft w:val="0"/>
          <w:marRight w:val="0"/>
          <w:marTop w:val="0"/>
          <w:marBottom w:val="0"/>
          <w:divBdr>
            <w:top w:val="none" w:sz="0" w:space="0" w:color="auto"/>
            <w:left w:val="none" w:sz="0" w:space="0" w:color="auto"/>
            <w:bottom w:val="none" w:sz="0" w:space="0" w:color="auto"/>
            <w:right w:val="none" w:sz="0" w:space="0" w:color="auto"/>
          </w:divBdr>
        </w:div>
        <w:div w:id="1701978074">
          <w:marLeft w:val="0"/>
          <w:marRight w:val="0"/>
          <w:marTop w:val="0"/>
          <w:marBottom w:val="0"/>
          <w:divBdr>
            <w:top w:val="none" w:sz="0" w:space="0" w:color="auto"/>
            <w:left w:val="none" w:sz="0" w:space="0" w:color="auto"/>
            <w:bottom w:val="none" w:sz="0" w:space="0" w:color="auto"/>
            <w:right w:val="none" w:sz="0" w:space="0" w:color="auto"/>
          </w:divBdr>
        </w:div>
        <w:div w:id="1710256876">
          <w:marLeft w:val="0"/>
          <w:marRight w:val="0"/>
          <w:marTop w:val="0"/>
          <w:marBottom w:val="0"/>
          <w:divBdr>
            <w:top w:val="none" w:sz="0" w:space="0" w:color="auto"/>
            <w:left w:val="none" w:sz="0" w:space="0" w:color="auto"/>
            <w:bottom w:val="none" w:sz="0" w:space="0" w:color="auto"/>
            <w:right w:val="none" w:sz="0" w:space="0" w:color="auto"/>
          </w:divBdr>
        </w:div>
        <w:div w:id="1710379384">
          <w:marLeft w:val="0"/>
          <w:marRight w:val="0"/>
          <w:marTop w:val="0"/>
          <w:marBottom w:val="0"/>
          <w:divBdr>
            <w:top w:val="none" w:sz="0" w:space="0" w:color="auto"/>
            <w:left w:val="none" w:sz="0" w:space="0" w:color="auto"/>
            <w:bottom w:val="none" w:sz="0" w:space="0" w:color="auto"/>
            <w:right w:val="none" w:sz="0" w:space="0" w:color="auto"/>
          </w:divBdr>
        </w:div>
        <w:div w:id="1710908254">
          <w:marLeft w:val="0"/>
          <w:marRight w:val="0"/>
          <w:marTop w:val="0"/>
          <w:marBottom w:val="0"/>
          <w:divBdr>
            <w:top w:val="none" w:sz="0" w:space="0" w:color="auto"/>
            <w:left w:val="none" w:sz="0" w:space="0" w:color="auto"/>
            <w:bottom w:val="none" w:sz="0" w:space="0" w:color="auto"/>
            <w:right w:val="none" w:sz="0" w:space="0" w:color="auto"/>
          </w:divBdr>
        </w:div>
        <w:div w:id="1725061020">
          <w:marLeft w:val="0"/>
          <w:marRight w:val="0"/>
          <w:marTop w:val="0"/>
          <w:marBottom w:val="0"/>
          <w:divBdr>
            <w:top w:val="none" w:sz="0" w:space="0" w:color="auto"/>
            <w:left w:val="none" w:sz="0" w:space="0" w:color="auto"/>
            <w:bottom w:val="none" w:sz="0" w:space="0" w:color="auto"/>
            <w:right w:val="none" w:sz="0" w:space="0" w:color="auto"/>
          </w:divBdr>
        </w:div>
        <w:div w:id="1728341010">
          <w:marLeft w:val="0"/>
          <w:marRight w:val="0"/>
          <w:marTop w:val="0"/>
          <w:marBottom w:val="0"/>
          <w:divBdr>
            <w:top w:val="none" w:sz="0" w:space="0" w:color="auto"/>
            <w:left w:val="none" w:sz="0" w:space="0" w:color="auto"/>
            <w:bottom w:val="none" w:sz="0" w:space="0" w:color="auto"/>
            <w:right w:val="none" w:sz="0" w:space="0" w:color="auto"/>
          </w:divBdr>
        </w:div>
        <w:div w:id="1729912238">
          <w:marLeft w:val="0"/>
          <w:marRight w:val="0"/>
          <w:marTop w:val="0"/>
          <w:marBottom w:val="0"/>
          <w:divBdr>
            <w:top w:val="none" w:sz="0" w:space="0" w:color="auto"/>
            <w:left w:val="none" w:sz="0" w:space="0" w:color="auto"/>
            <w:bottom w:val="none" w:sz="0" w:space="0" w:color="auto"/>
            <w:right w:val="none" w:sz="0" w:space="0" w:color="auto"/>
          </w:divBdr>
        </w:div>
        <w:div w:id="1730422697">
          <w:marLeft w:val="0"/>
          <w:marRight w:val="0"/>
          <w:marTop w:val="0"/>
          <w:marBottom w:val="0"/>
          <w:divBdr>
            <w:top w:val="none" w:sz="0" w:space="0" w:color="auto"/>
            <w:left w:val="none" w:sz="0" w:space="0" w:color="auto"/>
            <w:bottom w:val="none" w:sz="0" w:space="0" w:color="auto"/>
            <w:right w:val="none" w:sz="0" w:space="0" w:color="auto"/>
          </w:divBdr>
        </w:div>
        <w:div w:id="1745565697">
          <w:marLeft w:val="0"/>
          <w:marRight w:val="0"/>
          <w:marTop w:val="0"/>
          <w:marBottom w:val="0"/>
          <w:divBdr>
            <w:top w:val="none" w:sz="0" w:space="0" w:color="auto"/>
            <w:left w:val="none" w:sz="0" w:space="0" w:color="auto"/>
            <w:bottom w:val="none" w:sz="0" w:space="0" w:color="auto"/>
            <w:right w:val="none" w:sz="0" w:space="0" w:color="auto"/>
          </w:divBdr>
        </w:div>
        <w:div w:id="1769303832">
          <w:marLeft w:val="0"/>
          <w:marRight w:val="0"/>
          <w:marTop w:val="0"/>
          <w:marBottom w:val="0"/>
          <w:divBdr>
            <w:top w:val="none" w:sz="0" w:space="0" w:color="auto"/>
            <w:left w:val="none" w:sz="0" w:space="0" w:color="auto"/>
            <w:bottom w:val="none" w:sz="0" w:space="0" w:color="auto"/>
            <w:right w:val="none" w:sz="0" w:space="0" w:color="auto"/>
          </w:divBdr>
        </w:div>
        <w:div w:id="1771126937">
          <w:marLeft w:val="0"/>
          <w:marRight w:val="0"/>
          <w:marTop w:val="0"/>
          <w:marBottom w:val="0"/>
          <w:divBdr>
            <w:top w:val="none" w:sz="0" w:space="0" w:color="auto"/>
            <w:left w:val="none" w:sz="0" w:space="0" w:color="auto"/>
            <w:bottom w:val="none" w:sz="0" w:space="0" w:color="auto"/>
            <w:right w:val="none" w:sz="0" w:space="0" w:color="auto"/>
          </w:divBdr>
        </w:div>
        <w:div w:id="1778259450">
          <w:marLeft w:val="0"/>
          <w:marRight w:val="0"/>
          <w:marTop w:val="0"/>
          <w:marBottom w:val="0"/>
          <w:divBdr>
            <w:top w:val="none" w:sz="0" w:space="0" w:color="auto"/>
            <w:left w:val="none" w:sz="0" w:space="0" w:color="auto"/>
            <w:bottom w:val="none" w:sz="0" w:space="0" w:color="auto"/>
            <w:right w:val="none" w:sz="0" w:space="0" w:color="auto"/>
          </w:divBdr>
        </w:div>
        <w:div w:id="1779136642">
          <w:marLeft w:val="0"/>
          <w:marRight w:val="0"/>
          <w:marTop w:val="0"/>
          <w:marBottom w:val="0"/>
          <w:divBdr>
            <w:top w:val="none" w:sz="0" w:space="0" w:color="auto"/>
            <w:left w:val="none" w:sz="0" w:space="0" w:color="auto"/>
            <w:bottom w:val="none" w:sz="0" w:space="0" w:color="auto"/>
            <w:right w:val="none" w:sz="0" w:space="0" w:color="auto"/>
          </w:divBdr>
        </w:div>
        <w:div w:id="1781878561">
          <w:marLeft w:val="0"/>
          <w:marRight w:val="0"/>
          <w:marTop w:val="0"/>
          <w:marBottom w:val="0"/>
          <w:divBdr>
            <w:top w:val="none" w:sz="0" w:space="0" w:color="auto"/>
            <w:left w:val="none" w:sz="0" w:space="0" w:color="auto"/>
            <w:bottom w:val="none" w:sz="0" w:space="0" w:color="auto"/>
            <w:right w:val="none" w:sz="0" w:space="0" w:color="auto"/>
          </w:divBdr>
        </w:div>
        <w:div w:id="1783066142">
          <w:marLeft w:val="0"/>
          <w:marRight w:val="0"/>
          <w:marTop w:val="0"/>
          <w:marBottom w:val="0"/>
          <w:divBdr>
            <w:top w:val="none" w:sz="0" w:space="0" w:color="auto"/>
            <w:left w:val="none" w:sz="0" w:space="0" w:color="auto"/>
            <w:bottom w:val="none" w:sz="0" w:space="0" w:color="auto"/>
            <w:right w:val="none" w:sz="0" w:space="0" w:color="auto"/>
          </w:divBdr>
        </w:div>
        <w:div w:id="1784574550">
          <w:marLeft w:val="0"/>
          <w:marRight w:val="0"/>
          <w:marTop w:val="0"/>
          <w:marBottom w:val="0"/>
          <w:divBdr>
            <w:top w:val="none" w:sz="0" w:space="0" w:color="auto"/>
            <w:left w:val="none" w:sz="0" w:space="0" w:color="auto"/>
            <w:bottom w:val="none" w:sz="0" w:space="0" w:color="auto"/>
            <w:right w:val="none" w:sz="0" w:space="0" w:color="auto"/>
          </w:divBdr>
        </w:div>
        <w:div w:id="1788086138">
          <w:marLeft w:val="0"/>
          <w:marRight w:val="0"/>
          <w:marTop w:val="0"/>
          <w:marBottom w:val="0"/>
          <w:divBdr>
            <w:top w:val="none" w:sz="0" w:space="0" w:color="auto"/>
            <w:left w:val="none" w:sz="0" w:space="0" w:color="auto"/>
            <w:bottom w:val="none" w:sz="0" w:space="0" w:color="auto"/>
            <w:right w:val="none" w:sz="0" w:space="0" w:color="auto"/>
          </w:divBdr>
        </w:div>
        <w:div w:id="1798253267">
          <w:marLeft w:val="0"/>
          <w:marRight w:val="0"/>
          <w:marTop w:val="0"/>
          <w:marBottom w:val="0"/>
          <w:divBdr>
            <w:top w:val="none" w:sz="0" w:space="0" w:color="auto"/>
            <w:left w:val="none" w:sz="0" w:space="0" w:color="auto"/>
            <w:bottom w:val="none" w:sz="0" w:space="0" w:color="auto"/>
            <w:right w:val="none" w:sz="0" w:space="0" w:color="auto"/>
          </w:divBdr>
        </w:div>
        <w:div w:id="1803814297">
          <w:marLeft w:val="0"/>
          <w:marRight w:val="0"/>
          <w:marTop w:val="0"/>
          <w:marBottom w:val="0"/>
          <w:divBdr>
            <w:top w:val="none" w:sz="0" w:space="0" w:color="auto"/>
            <w:left w:val="none" w:sz="0" w:space="0" w:color="auto"/>
            <w:bottom w:val="none" w:sz="0" w:space="0" w:color="auto"/>
            <w:right w:val="none" w:sz="0" w:space="0" w:color="auto"/>
          </w:divBdr>
        </w:div>
        <w:div w:id="1826044196">
          <w:marLeft w:val="0"/>
          <w:marRight w:val="0"/>
          <w:marTop w:val="0"/>
          <w:marBottom w:val="0"/>
          <w:divBdr>
            <w:top w:val="none" w:sz="0" w:space="0" w:color="auto"/>
            <w:left w:val="none" w:sz="0" w:space="0" w:color="auto"/>
            <w:bottom w:val="none" w:sz="0" w:space="0" w:color="auto"/>
            <w:right w:val="none" w:sz="0" w:space="0" w:color="auto"/>
          </w:divBdr>
        </w:div>
        <w:div w:id="182828061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836990726">
          <w:marLeft w:val="0"/>
          <w:marRight w:val="0"/>
          <w:marTop w:val="0"/>
          <w:marBottom w:val="0"/>
          <w:divBdr>
            <w:top w:val="none" w:sz="0" w:space="0" w:color="auto"/>
            <w:left w:val="none" w:sz="0" w:space="0" w:color="auto"/>
            <w:bottom w:val="none" w:sz="0" w:space="0" w:color="auto"/>
            <w:right w:val="none" w:sz="0" w:space="0" w:color="auto"/>
          </w:divBdr>
        </w:div>
        <w:div w:id="1840651888">
          <w:marLeft w:val="0"/>
          <w:marRight w:val="0"/>
          <w:marTop w:val="0"/>
          <w:marBottom w:val="0"/>
          <w:divBdr>
            <w:top w:val="none" w:sz="0" w:space="0" w:color="auto"/>
            <w:left w:val="none" w:sz="0" w:space="0" w:color="auto"/>
            <w:bottom w:val="none" w:sz="0" w:space="0" w:color="auto"/>
            <w:right w:val="none" w:sz="0" w:space="0" w:color="auto"/>
          </w:divBdr>
        </w:div>
        <w:div w:id="1841579357">
          <w:marLeft w:val="0"/>
          <w:marRight w:val="0"/>
          <w:marTop w:val="0"/>
          <w:marBottom w:val="0"/>
          <w:divBdr>
            <w:top w:val="none" w:sz="0" w:space="0" w:color="auto"/>
            <w:left w:val="none" w:sz="0" w:space="0" w:color="auto"/>
            <w:bottom w:val="none" w:sz="0" w:space="0" w:color="auto"/>
            <w:right w:val="none" w:sz="0" w:space="0" w:color="auto"/>
          </w:divBdr>
        </w:div>
        <w:div w:id="1844541170">
          <w:marLeft w:val="0"/>
          <w:marRight w:val="0"/>
          <w:marTop w:val="0"/>
          <w:marBottom w:val="0"/>
          <w:divBdr>
            <w:top w:val="none" w:sz="0" w:space="0" w:color="auto"/>
            <w:left w:val="none" w:sz="0" w:space="0" w:color="auto"/>
            <w:bottom w:val="none" w:sz="0" w:space="0" w:color="auto"/>
            <w:right w:val="none" w:sz="0" w:space="0" w:color="auto"/>
          </w:divBdr>
        </w:div>
        <w:div w:id="1847939485">
          <w:marLeft w:val="0"/>
          <w:marRight w:val="0"/>
          <w:marTop w:val="0"/>
          <w:marBottom w:val="0"/>
          <w:divBdr>
            <w:top w:val="none" w:sz="0" w:space="0" w:color="auto"/>
            <w:left w:val="none" w:sz="0" w:space="0" w:color="auto"/>
            <w:bottom w:val="none" w:sz="0" w:space="0" w:color="auto"/>
            <w:right w:val="none" w:sz="0" w:space="0" w:color="auto"/>
          </w:divBdr>
        </w:div>
        <w:div w:id="1849518479">
          <w:marLeft w:val="0"/>
          <w:marRight w:val="0"/>
          <w:marTop w:val="0"/>
          <w:marBottom w:val="0"/>
          <w:divBdr>
            <w:top w:val="none" w:sz="0" w:space="0" w:color="auto"/>
            <w:left w:val="none" w:sz="0" w:space="0" w:color="auto"/>
            <w:bottom w:val="none" w:sz="0" w:space="0" w:color="auto"/>
            <w:right w:val="none" w:sz="0" w:space="0" w:color="auto"/>
          </w:divBdr>
        </w:div>
        <w:div w:id="1857423626">
          <w:marLeft w:val="0"/>
          <w:marRight w:val="0"/>
          <w:marTop w:val="0"/>
          <w:marBottom w:val="0"/>
          <w:divBdr>
            <w:top w:val="none" w:sz="0" w:space="0" w:color="auto"/>
            <w:left w:val="none" w:sz="0" w:space="0" w:color="auto"/>
            <w:bottom w:val="none" w:sz="0" w:space="0" w:color="auto"/>
            <w:right w:val="none" w:sz="0" w:space="0" w:color="auto"/>
          </w:divBdr>
        </w:div>
        <w:div w:id="1866093120">
          <w:marLeft w:val="0"/>
          <w:marRight w:val="0"/>
          <w:marTop w:val="0"/>
          <w:marBottom w:val="0"/>
          <w:divBdr>
            <w:top w:val="none" w:sz="0" w:space="0" w:color="auto"/>
            <w:left w:val="none" w:sz="0" w:space="0" w:color="auto"/>
            <w:bottom w:val="none" w:sz="0" w:space="0" w:color="auto"/>
            <w:right w:val="none" w:sz="0" w:space="0" w:color="auto"/>
          </w:divBdr>
        </w:div>
        <w:div w:id="1868248034">
          <w:marLeft w:val="0"/>
          <w:marRight w:val="0"/>
          <w:marTop w:val="0"/>
          <w:marBottom w:val="0"/>
          <w:divBdr>
            <w:top w:val="none" w:sz="0" w:space="0" w:color="auto"/>
            <w:left w:val="none" w:sz="0" w:space="0" w:color="auto"/>
            <w:bottom w:val="none" w:sz="0" w:space="0" w:color="auto"/>
            <w:right w:val="none" w:sz="0" w:space="0" w:color="auto"/>
          </w:divBdr>
        </w:div>
        <w:div w:id="1868563505">
          <w:marLeft w:val="0"/>
          <w:marRight w:val="0"/>
          <w:marTop w:val="0"/>
          <w:marBottom w:val="0"/>
          <w:divBdr>
            <w:top w:val="none" w:sz="0" w:space="0" w:color="auto"/>
            <w:left w:val="none" w:sz="0" w:space="0" w:color="auto"/>
            <w:bottom w:val="none" w:sz="0" w:space="0" w:color="auto"/>
            <w:right w:val="none" w:sz="0" w:space="0" w:color="auto"/>
          </w:divBdr>
        </w:div>
        <w:div w:id="1871718754">
          <w:marLeft w:val="0"/>
          <w:marRight w:val="0"/>
          <w:marTop w:val="0"/>
          <w:marBottom w:val="0"/>
          <w:divBdr>
            <w:top w:val="none" w:sz="0" w:space="0" w:color="auto"/>
            <w:left w:val="none" w:sz="0" w:space="0" w:color="auto"/>
            <w:bottom w:val="none" w:sz="0" w:space="0" w:color="auto"/>
            <w:right w:val="none" w:sz="0" w:space="0" w:color="auto"/>
          </w:divBdr>
        </w:div>
        <w:div w:id="1872375318">
          <w:marLeft w:val="0"/>
          <w:marRight w:val="0"/>
          <w:marTop w:val="0"/>
          <w:marBottom w:val="0"/>
          <w:divBdr>
            <w:top w:val="none" w:sz="0" w:space="0" w:color="auto"/>
            <w:left w:val="none" w:sz="0" w:space="0" w:color="auto"/>
            <w:bottom w:val="none" w:sz="0" w:space="0" w:color="auto"/>
            <w:right w:val="none" w:sz="0" w:space="0" w:color="auto"/>
          </w:divBdr>
        </w:div>
        <w:div w:id="1873493971">
          <w:marLeft w:val="0"/>
          <w:marRight w:val="0"/>
          <w:marTop w:val="0"/>
          <w:marBottom w:val="0"/>
          <w:divBdr>
            <w:top w:val="none" w:sz="0" w:space="0" w:color="auto"/>
            <w:left w:val="none" w:sz="0" w:space="0" w:color="auto"/>
            <w:bottom w:val="none" w:sz="0" w:space="0" w:color="auto"/>
            <w:right w:val="none" w:sz="0" w:space="0" w:color="auto"/>
          </w:divBdr>
        </w:div>
        <w:div w:id="1875917847">
          <w:marLeft w:val="0"/>
          <w:marRight w:val="0"/>
          <w:marTop w:val="0"/>
          <w:marBottom w:val="0"/>
          <w:divBdr>
            <w:top w:val="none" w:sz="0" w:space="0" w:color="auto"/>
            <w:left w:val="none" w:sz="0" w:space="0" w:color="auto"/>
            <w:bottom w:val="none" w:sz="0" w:space="0" w:color="auto"/>
            <w:right w:val="none" w:sz="0" w:space="0" w:color="auto"/>
          </w:divBdr>
        </w:div>
        <w:div w:id="1889029433">
          <w:marLeft w:val="0"/>
          <w:marRight w:val="0"/>
          <w:marTop w:val="0"/>
          <w:marBottom w:val="0"/>
          <w:divBdr>
            <w:top w:val="none" w:sz="0" w:space="0" w:color="auto"/>
            <w:left w:val="none" w:sz="0" w:space="0" w:color="auto"/>
            <w:bottom w:val="none" w:sz="0" w:space="0" w:color="auto"/>
            <w:right w:val="none" w:sz="0" w:space="0" w:color="auto"/>
          </w:divBdr>
        </w:div>
        <w:div w:id="1891381538">
          <w:marLeft w:val="0"/>
          <w:marRight w:val="0"/>
          <w:marTop w:val="0"/>
          <w:marBottom w:val="0"/>
          <w:divBdr>
            <w:top w:val="none" w:sz="0" w:space="0" w:color="auto"/>
            <w:left w:val="none" w:sz="0" w:space="0" w:color="auto"/>
            <w:bottom w:val="none" w:sz="0" w:space="0" w:color="auto"/>
            <w:right w:val="none" w:sz="0" w:space="0" w:color="auto"/>
          </w:divBdr>
        </w:div>
        <w:div w:id="1912812445">
          <w:marLeft w:val="0"/>
          <w:marRight w:val="0"/>
          <w:marTop w:val="0"/>
          <w:marBottom w:val="0"/>
          <w:divBdr>
            <w:top w:val="none" w:sz="0" w:space="0" w:color="auto"/>
            <w:left w:val="none" w:sz="0" w:space="0" w:color="auto"/>
            <w:bottom w:val="none" w:sz="0" w:space="0" w:color="auto"/>
            <w:right w:val="none" w:sz="0" w:space="0" w:color="auto"/>
          </w:divBdr>
        </w:div>
        <w:div w:id="1925917003">
          <w:marLeft w:val="0"/>
          <w:marRight w:val="0"/>
          <w:marTop w:val="0"/>
          <w:marBottom w:val="0"/>
          <w:divBdr>
            <w:top w:val="none" w:sz="0" w:space="0" w:color="auto"/>
            <w:left w:val="none" w:sz="0" w:space="0" w:color="auto"/>
            <w:bottom w:val="none" w:sz="0" w:space="0" w:color="auto"/>
            <w:right w:val="none" w:sz="0" w:space="0" w:color="auto"/>
          </w:divBdr>
        </w:div>
        <w:div w:id="1928607896">
          <w:marLeft w:val="0"/>
          <w:marRight w:val="0"/>
          <w:marTop w:val="0"/>
          <w:marBottom w:val="0"/>
          <w:divBdr>
            <w:top w:val="none" w:sz="0" w:space="0" w:color="auto"/>
            <w:left w:val="none" w:sz="0" w:space="0" w:color="auto"/>
            <w:bottom w:val="none" w:sz="0" w:space="0" w:color="auto"/>
            <w:right w:val="none" w:sz="0" w:space="0" w:color="auto"/>
          </w:divBdr>
        </w:div>
        <w:div w:id="1932617484">
          <w:marLeft w:val="0"/>
          <w:marRight w:val="0"/>
          <w:marTop w:val="0"/>
          <w:marBottom w:val="0"/>
          <w:divBdr>
            <w:top w:val="none" w:sz="0" w:space="0" w:color="auto"/>
            <w:left w:val="none" w:sz="0" w:space="0" w:color="auto"/>
            <w:bottom w:val="none" w:sz="0" w:space="0" w:color="auto"/>
            <w:right w:val="none" w:sz="0" w:space="0" w:color="auto"/>
          </w:divBdr>
        </w:div>
        <w:div w:id="1943224345">
          <w:marLeft w:val="0"/>
          <w:marRight w:val="0"/>
          <w:marTop w:val="0"/>
          <w:marBottom w:val="0"/>
          <w:divBdr>
            <w:top w:val="none" w:sz="0" w:space="0" w:color="auto"/>
            <w:left w:val="none" w:sz="0" w:space="0" w:color="auto"/>
            <w:bottom w:val="none" w:sz="0" w:space="0" w:color="auto"/>
            <w:right w:val="none" w:sz="0" w:space="0" w:color="auto"/>
          </w:divBdr>
        </w:div>
        <w:div w:id="1949387781">
          <w:marLeft w:val="0"/>
          <w:marRight w:val="0"/>
          <w:marTop w:val="0"/>
          <w:marBottom w:val="0"/>
          <w:divBdr>
            <w:top w:val="none" w:sz="0" w:space="0" w:color="auto"/>
            <w:left w:val="none" w:sz="0" w:space="0" w:color="auto"/>
            <w:bottom w:val="none" w:sz="0" w:space="0" w:color="auto"/>
            <w:right w:val="none" w:sz="0" w:space="0" w:color="auto"/>
          </w:divBdr>
        </w:div>
        <w:div w:id="1975868132">
          <w:marLeft w:val="0"/>
          <w:marRight w:val="0"/>
          <w:marTop w:val="0"/>
          <w:marBottom w:val="0"/>
          <w:divBdr>
            <w:top w:val="none" w:sz="0" w:space="0" w:color="auto"/>
            <w:left w:val="none" w:sz="0" w:space="0" w:color="auto"/>
            <w:bottom w:val="none" w:sz="0" w:space="0" w:color="auto"/>
            <w:right w:val="none" w:sz="0" w:space="0" w:color="auto"/>
          </w:divBdr>
        </w:div>
        <w:div w:id="1978755936">
          <w:marLeft w:val="0"/>
          <w:marRight w:val="0"/>
          <w:marTop w:val="0"/>
          <w:marBottom w:val="0"/>
          <w:divBdr>
            <w:top w:val="none" w:sz="0" w:space="0" w:color="auto"/>
            <w:left w:val="none" w:sz="0" w:space="0" w:color="auto"/>
            <w:bottom w:val="none" w:sz="0" w:space="0" w:color="auto"/>
            <w:right w:val="none" w:sz="0" w:space="0" w:color="auto"/>
          </w:divBdr>
        </w:div>
        <w:div w:id="1982071916">
          <w:marLeft w:val="0"/>
          <w:marRight w:val="0"/>
          <w:marTop w:val="0"/>
          <w:marBottom w:val="0"/>
          <w:divBdr>
            <w:top w:val="none" w:sz="0" w:space="0" w:color="auto"/>
            <w:left w:val="none" w:sz="0" w:space="0" w:color="auto"/>
            <w:bottom w:val="none" w:sz="0" w:space="0" w:color="auto"/>
            <w:right w:val="none" w:sz="0" w:space="0" w:color="auto"/>
          </w:divBdr>
        </w:div>
        <w:div w:id="1982417751">
          <w:marLeft w:val="0"/>
          <w:marRight w:val="0"/>
          <w:marTop w:val="0"/>
          <w:marBottom w:val="0"/>
          <w:divBdr>
            <w:top w:val="none" w:sz="0" w:space="0" w:color="auto"/>
            <w:left w:val="none" w:sz="0" w:space="0" w:color="auto"/>
            <w:bottom w:val="none" w:sz="0" w:space="0" w:color="auto"/>
            <w:right w:val="none" w:sz="0" w:space="0" w:color="auto"/>
          </w:divBdr>
        </w:div>
        <w:div w:id="1990819715">
          <w:marLeft w:val="0"/>
          <w:marRight w:val="0"/>
          <w:marTop w:val="0"/>
          <w:marBottom w:val="0"/>
          <w:divBdr>
            <w:top w:val="none" w:sz="0" w:space="0" w:color="auto"/>
            <w:left w:val="none" w:sz="0" w:space="0" w:color="auto"/>
            <w:bottom w:val="none" w:sz="0" w:space="0" w:color="auto"/>
            <w:right w:val="none" w:sz="0" w:space="0" w:color="auto"/>
          </w:divBdr>
        </w:div>
        <w:div w:id="1996299323">
          <w:marLeft w:val="0"/>
          <w:marRight w:val="0"/>
          <w:marTop w:val="0"/>
          <w:marBottom w:val="0"/>
          <w:divBdr>
            <w:top w:val="none" w:sz="0" w:space="0" w:color="auto"/>
            <w:left w:val="none" w:sz="0" w:space="0" w:color="auto"/>
            <w:bottom w:val="none" w:sz="0" w:space="0" w:color="auto"/>
            <w:right w:val="none" w:sz="0" w:space="0" w:color="auto"/>
          </w:divBdr>
        </w:div>
        <w:div w:id="2014795451">
          <w:marLeft w:val="0"/>
          <w:marRight w:val="0"/>
          <w:marTop w:val="0"/>
          <w:marBottom w:val="0"/>
          <w:divBdr>
            <w:top w:val="none" w:sz="0" w:space="0" w:color="auto"/>
            <w:left w:val="none" w:sz="0" w:space="0" w:color="auto"/>
            <w:bottom w:val="none" w:sz="0" w:space="0" w:color="auto"/>
            <w:right w:val="none" w:sz="0" w:space="0" w:color="auto"/>
          </w:divBdr>
        </w:div>
        <w:div w:id="2015111189">
          <w:marLeft w:val="0"/>
          <w:marRight w:val="0"/>
          <w:marTop w:val="0"/>
          <w:marBottom w:val="0"/>
          <w:divBdr>
            <w:top w:val="none" w:sz="0" w:space="0" w:color="auto"/>
            <w:left w:val="none" w:sz="0" w:space="0" w:color="auto"/>
            <w:bottom w:val="none" w:sz="0" w:space="0" w:color="auto"/>
            <w:right w:val="none" w:sz="0" w:space="0" w:color="auto"/>
          </w:divBdr>
        </w:div>
        <w:div w:id="2018656030">
          <w:marLeft w:val="0"/>
          <w:marRight w:val="0"/>
          <w:marTop w:val="0"/>
          <w:marBottom w:val="0"/>
          <w:divBdr>
            <w:top w:val="none" w:sz="0" w:space="0" w:color="auto"/>
            <w:left w:val="none" w:sz="0" w:space="0" w:color="auto"/>
            <w:bottom w:val="none" w:sz="0" w:space="0" w:color="auto"/>
            <w:right w:val="none" w:sz="0" w:space="0" w:color="auto"/>
          </w:divBdr>
        </w:div>
        <w:div w:id="2035424024">
          <w:marLeft w:val="0"/>
          <w:marRight w:val="0"/>
          <w:marTop w:val="0"/>
          <w:marBottom w:val="0"/>
          <w:divBdr>
            <w:top w:val="none" w:sz="0" w:space="0" w:color="auto"/>
            <w:left w:val="none" w:sz="0" w:space="0" w:color="auto"/>
            <w:bottom w:val="none" w:sz="0" w:space="0" w:color="auto"/>
            <w:right w:val="none" w:sz="0" w:space="0" w:color="auto"/>
          </w:divBdr>
        </w:div>
        <w:div w:id="2037151051">
          <w:marLeft w:val="0"/>
          <w:marRight w:val="0"/>
          <w:marTop w:val="0"/>
          <w:marBottom w:val="0"/>
          <w:divBdr>
            <w:top w:val="none" w:sz="0" w:space="0" w:color="auto"/>
            <w:left w:val="none" w:sz="0" w:space="0" w:color="auto"/>
            <w:bottom w:val="none" w:sz="0" w:space="0" w:color="auto"/>
            <w:right w:val="none" w:sz="0" w:space="0" w:color="auto"/>
          </w:divBdr>
        </w:div>
        <w:div w:id="2044743513">
          <w:marLeft w:val="0"/>
          <w:marRight w:val="0"/>
          <w:marTop w:val="0"/>
          <w:marBottom w:val="0"/>
          <w:divBdr>
            <w:top w:val="none" w:sz="0" w:space="0" w:color="auto"/>
            <w:left w:val="none" w:sz="0" w:space="0" w:color="auto"/>
            <w:bottom w:val="none" w:sz="0" w:space="0" w:color="auto"/>
            <w:right w:val="none" w:sz="0" w:space="0" w:color="auto"/>
          </w:divBdr>
        </w:div>
        <w:div w:id="2052266903">
          <w:marLeft w:val="0"/>
          <w:marRight w:val="0"/>
          <w:marTop w:val="0"/>
          <w:marBottom w:val="0"/>
          <w:divBdr>
            <w:top w:val="none" w:sz="0" w:space="0" w:color="auto"/>
            <w:left w:val="none" w:sz="0" w:space="0" w:color="auto"/>
            <w:bottom w:val="none" w:sz="0" w:space="0" w:color="auto"/>
            <w:right w:val="none" w:sz="0" w:space="0" w:color="auto"/>
          </w:divBdr>
        </w:div>
        <w:div w:id="2059159593">
          <w:marLeft w:val="0"/>
          <w:marRight w:val="0"/>
          <w:marTop w:val="0"/>
          <w:marBottom w:val="0"/>
          <w:divBdr>
            <w:top w:val="none" w:sz="0" w:space="0" w:color="auto"/>
            <w:left w:val="none" w:sz="0" w:space="0" w:color="auto"/>
            <w:bottom w:val="none" w:sz="0" w:space="0" w:color="auto"/>
            <w:right w:val="none" w:sz="0" w:space="0" w:color="auto"/>
          </w:divBdr>
        </w:div>
        <w:div w:id="2060978746">
          <w:marLeft w:val="0"/>
          <w:marRight w:val="0"/>
          <w:marTop w:val="0"/>
          <w:marBottom w:val="0"/>
          <w:divBdr>
            <w:top w:val="none" w:sz="0" w:space="0" w:color="auto"/>
            <w:left w:val="none" w:sz="0" w:space="0" w:color="auto"/>
            <w:bottom w:val="none" w:sz="0" w:space="0" w:color="auto"/>
            <w:right w:val="none" w:sz="0" w:space="0" w:color="auto"/>
          </w:divBdr>
        </w:div>
        <w:div w:id="2088262410">
          <w:marLeft w:val="0"/>
          <w:marRight w:val="0"/>
          <w:marTop w:val="0"/>
          <w:marBottom w:val="0"/>
          <w:divBdr>
            <w:top w:val="none" w:sz="0" w:space="0" w:color="auto"/>
            <w:left w:val="none" w:sz="0" w:space="0" w:color="auto"/>
            <w:bottom w:val="none" w:sz="0" w:space="0" w:color="auto"/>
            <w:right w:val="none" w:sz="0" w:space="0" w:color="auto"/>
          </w:divBdr>
        </w:div>
        <w:div w:id="2093047204">
          <w:marLeft w:val="0"/>
          <w:marRight w:val="0"/>
          <w:marTop w:val="0"/>
          <w:marBottom w:val="0"/>
          <w:divBdr>
            <w:top w:val="none" w:sz="0" w:space="0" w:color="auto"/>
            <w:left w:val="none" w:sz="0" w:space="0" w:color="auto"/>
            <w:bottom w:val="none" w:sz="0" w:space="0" w:color="auto"/>
            <w:right w:val="none" w:sz="0" w:space="0" w:color="auto"/>
          </w:divBdr>
        </w:div>
        <w:div w:id="2097750044">
          <w:marLeft w:val="0"/>
          <w:marRight w:val="0"/>
          <w:marTop w:val="0"/>
          <w:marBottom w:val="0"/>
          <w:divBdr>
            <w:top w:val="none" w:sz="0" w:space="0" w:color="auto"/>
            <w:left w:val="none" w:sz="0" w:space="0" w:color="auto"/>
            <w:bottom w:val="none" w:sz="0" w:space="0" w:color="auto"/>
            <w:right w:val="none" w:sz="0" w:space="0" w:color="auto"/>
          </w:divBdr>
        </w:div>
        <w:div w:id="2098359855">
          <w:marLeft w:val="0"/>
          <w:marRight w:val="0"/>
          <w:marTop w:val="0"/>
          <w:marBottom w:val="0"/>
          <w:divBdr>
            <w:top w:val="none" w:sz="0" w:space="0" w:color="auto"/>
            <w:left w:val="none" w:sz="0" w:space="0" w:color="auto"/>
            <w:bottom w:val="none" w:sz="0" w:space="0" w:color="auto"/>
            <w:right w:val="none" w:sz="0" w:space="0" w:color="auto"/>
          </w:divBdr>
        </w:div>
        <w:div w:id="2122995611">
          <w:marLeft w:val="0"/>
          <w:marRight w:val="0"/>
          <w:marTop w:val="0"/>
          <w:marBottom w:val="0"/>
          <w:divBdr>
            <w:top w:val="none" w:sz="0" w:space="0" w:color="auto"/>
            <w:left w:val="none" w:sz="0" w:space="0" w:color="auto"/>
            <w:bottom w:val="none" w:sz="0" w:space="0" w:color="auto"/>
            <w:right w:val="none" w:sz="0" w:space="0" w:color="auto"/>
          </w:divBdr>
        </w:div>
        <w:div w:id="2123527134">
          <w:marLeft w:val="0"/>
          <w:marRight w:val="0"/>
          <w:marTop w:val="0"/>
          <w:marBottom w:val="0"/>
          <w:divBdr>
            <w:top w:val="none" w:sz="0" w:space="0" w:color="auto"/>
            <w:left w:val="none" w:sz="0" w:space="0" w:color="auto"/>
            <w:bottom w:val="none" w:sz="0" w:space="0" w:color="auto"/>
            <w:right w:val="none" w:sz="0" w:space="0" w:color="auto"/>
          </w:divBdr>
        </w:div>
        <w:div w:id="2131316677">
          <w:marLeft w:val="0"/>
          <w:marRight w:val="0"/>
          <w:marTop w:val="0"/>
          <w:marBottom w:val="0"/>
          <w:divBdr>
            <w:top w:val="none" w:sz="0" w:space="0" w:color="auto"/>
            <w:left w:val="none" w:sz="0" w:space="0" w:color="auto"/>
            <w:bottom w:val="none" w:sz="0" w:space="0" w:color="auto"/>
            <w:right w:val="none" w:sz="0" w:space="0" w:color="auto"/>
          </w:divBdr>
        </w:div>
        <w:div w:id="2144541966">
          <w:marLeft w:val="0"/>
          <w:marRight w:val="0"/>
          <w:marTop w:val="0"/>
          <w:marBottom w:val="0"/>
          <w:divBdr>
            <w:top w:val="none" w:sz="0" w:space="0" w:color="auto"/>
            <w:left w:val="none" w:sz="0" w:space="0" w:color="auto"/>
            <w:bottom w:val="none" w:sz="0" w:space="0" w:color="auto"/>
            <w:right w:val="none" w:sz="0" w:space="0" w:color="auto"/>
          </w:divBdr>
        </w:div>
      </w:divsChild>
    </w:div>
    <w:div w:id="60059016">
      <w:bodyDiv w:val="1"/>
      <w:marLeft w:val="0"/>
      <w:marRight w:val="0"/>
      <w:marTop w:val="0"/>
      <w:marBottom w:val="0"/>
      <w:divBdr>
        <w:top w:val="none" w:sz="0" w:space="0" w:color="auto"/>
        <w:left w:val="none" w:sz="0" w:space="0" w:color="auto"/>
        <w:bottom w:val="none" w:sz="0" w:space="0" w:color="auto"/>
        <w:right w:val="none" w:sz="0" w:space="0" w:color="auto"/>
      </w:divBdr>
    </w:div>
    <w:div w:id="63645063">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1117593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47651222">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44186688">
      <w:bodyDiv w:val="1"/>
      <w:marLeft w:val="0"/>
      <w:marRight w:val="0"/>
      <w:marTop w:val="0"/>
      <w:marBottom w:val="0"/>
      <w:divBdr>
        <w:top w:val="none" w:sz="0" w:space="0" w:color="auto"/>
        <w:left w:val="none" w:sz="0" w:space="0" w:color="auto"/>
        <w:bottom w:val="none" w:sz="0" w:space="0" w:color="auto"/>
        <w:right w:val="none" w:sz="0" w:space="0" w:color="auto"/>
      </w:divBdr>
    </w:div>
    <w:div w:id="886070546">
      <w:bodyDiv w:val="1"/>
      <w:marLeft w:val="0"/>
      <w:marRight w:val="0"/>
      <w:marTop w:val="0"/>
      <w:marBottom w:val="0"/>
      <w:divBdr>
        <w:top w:val="none" w:sz="0" w:space="0" w:color="auto"/>
        <w:left w:val="none" w:sz="0" w:space="0" w:color="auto"/>
        <w:bottom w:val="none" w:sz="0" w:space="0" w:color="auto"/>
        <w:right w:val="none" w:sz="0" w:space="0" w:color="auto"/>
      </w:divBdr>
    </w:div>
    <w:div w:id="943390952">
      <w:bodyDiv w:val="1"/>
      <w:marLeft w:val="0"/>
      <w:marRight w:val="0"/>
      <w:marTop w:val="0"/>
      <w:marBottom w:val="0"/>
      <w:divBdr>
        <w:top w:val="none" w:sz="0" w:space="0" w:color="auto"/>
        <w:left w:val="none" w:sz="0" w:space="0" w:color="auto"/>
        <w:bottom w:val="none" w:sz="0" w:space="0" w:color="auto"/>
        <w:right w:val="none" w:sz="0" w:space="0" w:color="auto"/>
      </w:divBdr>
    </w:div>
    <w:div w:id="949748763">
      <w:bodyDiv w:val="1"/>
      <w:marLeft w:val="0"/>
      <w:marRight w:val="0"/>
      <w:marTop w:val="0"/>
      <w:marBottom w:val="0"/>
      <w:divBdr>
        <w:top w:val="none" w:sz="0" w:space="0" w:color="auto"/>
        <w:left w:val="none" w:sz="0" w:space="0" w:color="auto"/>
        <w:bottom w:val="none" w:sz="0" w:space="0" w:color="auto"/>
        <w:right w:val="none" w:sz="0" w:space="0" w:color="auto"/>
      </w:divBdr>
    </w:div>
    <w:div w:id="1200974398">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40554023">
      <w:bodyDiv w:val="1"/>
      <w:marLeft w:val="0"/>
      <w:marRight w:val="0"/>
      <w:marTop w:val="0"/>
      <w:marBottom w:val="0"/>
      <w:divBdr>
        <w:top w:val="none" w:sz="0" w:space="0" w:color="auto"/>
        <w:left w:val="none" w:sz="0" w:space="0" w:color="auto"/>
        <w:bottom w:val="none" w:sz="0" w:space="0" w:color="auto"/>
        <w:right w:val="none" w:sz="0" w:space="0" w:color="auto"/>
      </w:divBdr>
    </w:div>
    <w:div w:id="1319074497">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86711950">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898858980">
      <w:bodyDiv w:val="1"/>
      <w:marLeft w:val="0"/>
      <w:marRight w:val="0"/>
      <w:marTop w:val="0"/>
      <w:marBottom w:val="0"/>
      <w:divBdr>
        <w:top w:val="none" w:sz="0" w:space="0" w:color="auto"/>
        <w:left w:val="none" w:sz="0" w:space="0" w:color="auto"/>
        <w:bottom w:val="none" w:sz="0" w:space="0" w:color="auto"/>
        <w:right w:val="none" w:sz="0" w:space="0" w:color="auto"/>
      </w:divBdr>
    </w:div>
    <w:div w:id="2048021103">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zso.cz/csu/czso/vzdelavani-dospelych-v-ceske-republice-v-evropskem-kontextu-specificke-vystupy-z-setreni-aes-2011-17o82k8f1s" TargetMode="External"/><Relationship Id="rId117" Type="http://schemas.openxmlformats.org/officeDocument/2006/relationships/header" Target="header5.xml"/><Relationship Id="rId21" Type="http://schemas.openxmlformats.org/officeDocument/2006/relationships/hyperlink" Target="http://ec.europa.eu/eurostat/statistics-explained/index.php/EU_labour_force_survey_%E2%80%93_data_and_publication" TargetMode="External"/><Relationship Id="rId42" Type="http://schemas.openxmlformats.org/officeDocument/2006/relationships/chart" Target="charts/chart8.xml"/><Relationship Id="rId47" Type="http://schemas.openxmlformats.org/officeDocument/2006/relationships/chart" Target="charts/chart12.xml"/><Relationship Id="rId63" Type="http://schemas.openxmlformats.org/officeDocument/2006/relationships/chart" Target="charts/chart27.xml"/><Relationship Id="rId68" Type="http://schemas.openxmlformats.org/officeDocument/2006/relationships/chart" Target="charts/chart29.xml"/><Relationship Id="rId84" Type="http://schemas.openxmlformats.org/officeDocument/2006/relationships/image" Target="media/image13.emf"/><Relationship Id="rId89" Type="http://schemas.openxmlformats.org/officeDocument/2006/relationships/image" Target="media/image18.emf"/><Relationship Id="rId112" Type="http://schemas.openxmlformats.org/officeDocument/2006/relationships/image" Target="media/image41.emf"/><Relationship Id="rId16" Type="http://schemas.openxmlformats.org/officeDocument/2006/relationships/hyperlink" Target="http://ec.europa.eu/eurostat/statistics-explained/index.php?title=Adult_Education_Survey_(AES)_methodology&amp;oldid=277214" TargetMode="External"/><Relationship Id="rId107" Type="http://schemas.openxmlformats.org/officeDocument/2006/relationships/image" Target="media/image36.emf"/><Relationship Id="rId11" Type="http://schemas.openxmlformats.org/officeDocument/2006/relationships/footer" Target="footer1.xml"/><Relationship Id="rId32" Type="http://schemas.openxmlformats.org/officeDocument/2006/relationships/hyperlink" Target="http://ec.europa.eu/eurostat/web/microdata/adult-education-survey" TargetMode="External"/><Relationship Id="rId37" Type="http://schemas.openxmlformats.org/officeDocument/2006/relationships/chart" Target="charts/chart3.xml"/><Relationship Id="rId53" Type="http://schemas.openxmlformats.org/officeDocument/2006/relationships/chart" Target="charts/chart18.xml"/><Relationship Id="rId58" Type="http://schemas.openxmlformats.org/officeDocument/2006/relationships/chart" Target="charts/chart23.xml"/><Relationship Id="rId74" Type="http://schemas.openxmlformats.org/officeDocument/2006/relationships/image" Target="media/image3.emf"/><Relationship Id="rId79" Type="http://schemas.openxmlformats.org/officeDocument/2006/relationships/image" Target="media/image8.emf"/><Relationship Id="rId102" Type="http://schemas.openxmlformats.org/officeDocument/2006/relationships/image" Target="media/image31.emf"/><Relationship Id="rId5" Type="http://schemas.openxmlformats.org/officeDocument/2006/relationships/settings" Target="settings.xml"/><Relationship Id="rId90" Type="http://schemas.openxmlformats.org/officeDocument/2006/relationships/image" Target="media/image19.emf"/><Relationship Id="rId95" Type="http://schemas.openxmlformats.org/officeDocument/2006/relationships/image" Target="media/image24.emf"/><Relationship Id="rId22" Type="http://schemas.openxmlformats.org/officeDocument/2006/relationships/hyperlink" Target="https://www.czso.cz/csu/vykazy/vyberove_setreni_pracovnich_sil" TargetMode="External"/><Relationship Id="rId27" Type="http://schemas.openxmlformats.org/officeDocument/2006/relationships/hyperlink" Target="http://eur-lex.europa.eu/legal-content/CS/TXT/PDF/?uri=CELEX:32014R1175&amp;from=CS" TargetMode="External"/><Relationship Id="rId43" Type="http://schemas.openxmlformats.org/officeDocument/2006/relationships/image" Target="media/image2.png"/><Relationship Id="rId48" Type="http://schemas.openxmlformats.org/officeDocument/2006/relationships/chart" Target="charts/chart13.xml"/><Relationship Id="rId64" Type="http://schemas.openxmlformats.org/officeDocument/2006/relationships/hyperlink" Target="https://www.czso.cz/csu/czso/klasifikace_zamestnani_-cz_isco-" TargetMode="External"/><Relationship Id="rId69" Type="http://schemas.openxmlformats.org/officeDocument/2006/relationships/chart" Target="charts/chart30.xml"/><Relationship Id="rId113" Type="http://schemas.openxmlformats.org/officeDocument/2006/relationships/image" Target="media/image42.emf"/><Relationship Id="rId118" Type="http://schemas.openxmlformats.org/officeDocument/2006/relationships/footer" Target="footer4.xml"/><Relationship Id="rId80" Type="http://schemas.openxmlformats.org/officeDocument/2006/relationships/image" Target="media/image9.emf"/><Relationship Id="rId85" Type="http://schemas.openxmlformats.org/officeDocument/2006/relationships/image" Target="media/image14.emf"/><Relationship Id="rId12" Type="http://schemas.openxmlformats.org/officeDocument/2006/relationships/footer" Target="footer2.xml"/><Relationship Id="rId17" Type="http://schemas.openxmlformats.org/officeDocument/2006/relationships/hyperlink" Target="https://www.czso.cz/csu/vykazy/setreni_o_vzdelavani_dospelych" TargetMode="External"/><Relationship Id="rId33" Type="http://schemas.openxmlformats.org/officeDocument/2006/relationships/hyperlink" Target="https://www.czso.cz/csu/czso/informacni_sluzby_ustredi" TargetMode="External"/><Relationship Id="rId38" Type="http://schemas.openxmlformats.org/officeDocument/2006/relationships/chart" Target="charts/chart4.xml"/><Relationship Id="rId59" Type="http://schemas.openxmlformats.org/officeDocument/2006/relationships/hyperlink" Target="https://www.czso.cz/csu/czso/klasifikace-oboru-vzdelani-cz-isced-f-2013" TargetMode="External"/><Relationship Id="rId103" Type="http://schemas.openxmlformats.org/officeDocument/2006/relationships/image" Target="media/image32.emf"/><Relationship Id="rId108" Type="http://schemas.openxmlformats.org/officeDocument/2006/relationships/image" Target="media/image37.emf"/><Relationship Id="rId54" Type="http://schemas.openxmlformats.org/officeDocument/2006/relationships/chart" Target="charts/chart19.xml"/><Relationship Id="rId70" Type="http://schemas.openxmlformats.org/officeDocument/2006/relationships/chart" Target="charts/chart31.xml"/><Relationship Id="rId75" Type="http://schemas.openxmlformats.org/officeDocument/2006/relationships/image" Target="media/image4.emf"/><Relationship Id="rId91" Type="http://schemas.openxmlformats.org/officeDocument/2006/relationships/image" Target="media/image20.emf"/><Relationship Id="rId96"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eur-lex.europa.eu/legal-content/CS/TXT/PDF/?uri=CELEX:32008R0452&amp;from=CS" TargetMode="External"/><Relationship Id="rId28" Type="http://schemas.openxmlformats.org/officeDocument/2006/relationships/hyperlink" Target="http://ec.europa.eu/eurostat/statistics-explained/index.php?title=Adult_Education_Survey_(AES)_methodology&amp;oldid=277214" TargetMode="External"/><Relationship Id="rId49" Type="http://schemas.openxmlformats.org/officeDocument/2006/relationships/chart" Target="charts/chart14.xml"/><Relationship Id="rId114" Type="http://schemas.openxmlformats.org/officeDocument/2006/relationships/image" Target="media/image43.emf"/><Relationship Id="rId119" Type="http://schemas.openxmlformats.org/officeDocument/2006/relationships/footer" Target="footer5.xml"/><Relationship Id="rId44" Type="http://schemas.openxmlformats.org/officeDocument/2006/relationships/chart" Target="charts/chart9.xml"/><Relationship Id="rId60" Type="http://schemas.openxmlformats.org/officeDocument/2006/relationships/chart" Target="charts/chart24.xml"/><Relationship Id="rId65" Type="http://schemas.openxmlformats.org/officeDocument/2006/relationships/hyperlink" Target="https://www.czso.cz/csu/czso/klasifikace_ekonomickych_cinnosti_cz_nace" TargetMode="External"/><Relationship Id="rId81" Type="http://schemas.openxmlformats.org/officeDocument/2006/relationships/image" Target="media/image10.emf"/><Relationship Id="rId86" Type="http://schemas.openxmlformats.org/officeDocument/2006/relationships/image" Target="media/image15.emf"/><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ec.europa.eu/eurostat/statistics-explained/index.php/Continuing_Vocational_Training_Survey_(CVTS)_methodology" TargetMode="External"/><Relationship Id="rId39" Type="http://schemas.openxmlformats.org/officeDocument/2006/relationships/chart" Target="charts/chart5.xml"/><Relationship Id="rId109" Type="http://schemas.openxmlformats.org/officeDocument/2006/relationships/image" Target="media/image38.emf"/><Relationship Id="rId34" Type="http://schemas.openxmlformats.org/officeDocument/2006/relationships/hyperlink" Target="http://ec.europa.eu/eurostat/data/database" TargetMode="External"/><Relationship Id="rId50" Type="http://schemas.openxmlformats.org/officeDocument/2006/relationships/chart" Target="charts/chart15.xml"/><Relationship Id="rId55" Type="http://schemas.openxmlformats.org/officeDocument/2006/relationships/chart" Target="charts/chart20.xml"/><Relationship Id="rId76" Type="http://schemas.openxmlformats.org/officeDocument/2006/relationships/image" Target="media/image5.emf"/><Relationship Id="rId97" Type="http://schemas.openxmlformats.org/officeDocument/2006/relationships/image" Target="media/image26.emf"/><Relationship Id="rId104" Type="http://schemas.openxmlformats.org/officeDocument/2006/relationships/image" Target="media/image33.emf"/><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chart" Target="charts/chart32.xml"/><Relationship Id="rId92" Type="http://schemas.openxmlformats.org/officeDocument/2006/relationships/image" Target="media/image21.emf"/><Relationship Id="rId2" Type="http://schemas.openxmlformats.org/officeDocument/2006/relationships/numbering" Target="numbering.xml"/><Relationship Id="rId29" Type="http://schemas.openxmlformats.org/officeDocument/2006/relationships/hyperlink" Target="http://ec.europa.eu/eurostat/data/database" TargetMode="External"/><Relationship Id="rId24" Type="http://schemas.openxmlformats.org/officeDocument/2006/relationships/hyperlink" Target="http://eur-lex.europa.eu/legal-content/CS/TXT/PDF/?uri=CELEX:32010R0823&amp;from=EN" TargetMode="External"/><Relationship Id="rId40" Type="http://schemas.openxmlformats.org/officeDocument/2006/relationships/chart" Target="charts/chart6.xml"/><Relationship Id="rId45" Type="http://schemas.openxmlformats.org/officeDocument/2006/relationships/chart" Target="charts/chart10.xml"/><Relationship Id="rId66" Type="http://schemas.openxmlformats.org/officeDocument/2006/relationships/chart" Target="charts/chart28.xml"/><Relationship Id="rId87" Type="http://schemas.openxmlformats.org/officeDocument/2006/relationships/image" Target="media/image16.emf"/><Relationship Id="rId110" Type="http://schemas.openxmlformats.org/officeDocument/2006/relationships/image" Target="media/image39.emf"/><Relationship Id="rId115" Type="http://schemas.openxmlformats.org/officeDocument/2006/relationships/image" Target="media/image44.emf"/><Relationship Id="rId61" Type="http://schemas.openxmlformats.org/officeDocument/2006/relationships/chart" Target="charts/chart25.xml"/><Relationship Id="rId82" Type="http://schemas.openxmlformats.org/officeDocument/2006/relationships/image" Target="media/image11.emf"/><Relationship Id="rId19" Type="http://schemas.openxmlformats.org/officeDocument/2006/relationships/hyperlink" Target="https://www.czso.cz/csu/czso/vzdelavani-zamestnanych-osob-2015" TargetMode="External"/><Relationship Id="rId14" Type="http://schemas.openxmlformats.org/officeDocument/2006/relationships/footer" Target="footer3.xml"/><Relationship Id="rId30" Type="http://schemas.openxmlformats.org/officeDocument/2006/relationships/hyperlink" Target="http://ec.europa.eu/eurostat/web/education-and-training/data/database" TargetMode="External"/><Relationship Id="rId35" Type="http://schemas.openxmlformats.org/officeDocument/2006/relationships/chart" Target="charts/chart1.xml"/><Relationship Id="rId56" Type="http://schemas.openxmlformats.org/officeDocument/2006/relationships/chart" Target="charts/chart21.xml"/><Relationship Id="rId77" Type="http://schemas.openxmlformats.org/officeDocument/2006/relationships/image" Target="media/image6.emf"/><Relationship Id="rId100" Type="http://schemas.openxmlformats.org/officeDocument/2006/relationships/image" Target="media/image29.emf"/><Relationship Id="rId105" Type="http://schemas.openxmlformats.org/officeDocument/2006/relationships/image" Target="media/image34.emf"/><Relationship Id="rId8" Type="http://schemas.openxmlformats.org/officeDocument/2006/relationships/endnotes" Target="endnotes.xml"/><Relationship Id="rId51" Type="http://schemas.openxmlformats.org/officeDocument/2006/relationships/chart" Target="charts/chart16.xml"/><Relationship Id="rId72" Type="http://schemas.openxmlformats.org/officeDocument/2006/relationships/chart" Target="charts/chart33.xml"/><Relationship Id="rId93" Type="http://schemas.openxmlformats.org/officeDocument/2006/relationships/image" Target="media/image22.emf"/><Relationship Id="rId98" Type="http://schemas.openxmlformats.org/officeDocument/2006/relationships/image" Target="media/image27.emf"/><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czso.cz/csu/czso/vzdelavani-dospelych-specificke-vystupy-z-setreni-adult-education-survey-n-8d6jxtzxhj" TargetMode="External"/><Relationship Id="rId46" Type="http://schemas.openxmlformats.org/officeDocument/2006/relationships/chart" Target="charts/chart11.xml"/><Relationship Id="rId67" Type="http://schemas.openxmlformats.org/officeDocument/2006/relationships/hyperlink" Target="https://www.czso.cz/csu/czso/vzdelavani-zamestnanych-osob-2015" TargetMode="External"/><Relationship Id="rId116" Type="http://schemas.openxmlformats.org/officeDocument/2006/relationships/header" Target="header4.xml"/><Relationship Id="rId20" Type="http://schemas.openxmlformats.org/officeDocument/2006/relationships/hyperlink" Target="https://www.czso.cz/csu/czso/vzdelavani-zamestnanych-osob-2015" TargetMode="External"/><Relationship Id="rId41" Type="http://schemas.openxmlformats.org/officeDocument/2006/relationships/chart" Target="charts/chart7.xml"/><Relationship Id="rId62" Type="http://schemas.openxmlformats.org/officeDocument/2006/relationships/chart" Target="charts/chart26.xml"/><Relationship Id="rId83" Type="http://schemas.openxmlformats.org/officeDocument/2006/relationships/image" Target="media/image12.emf"/><Relationship Id="rId88" Type="http://schemas.openxmlformats.org/officeDocument/2006/relationships/image" Target="media/image17.emf"/><Relationship Id="rId111" Type="http://schemas.openxmlformats.org/officeDocument/2006/relationships/image" Target="media/image40.emf"/><Relationship Id="rId15" Type="http://schemas.openxmlformats.org/officeDocument/2006/relationships/hyperlink" Target="http://ec.europa.eu/eurostat/statistics-explained/index.php?title=Adult_Education_Survey_(AES)_methodology&amp;oldid=277214" TargetMode="External"/><Relationship Id="rId36" Type="http://schemas.openxmlformats.org/officeDocument/2006/relationships/chart" Target="charts/chart2.xml"/><Relationship Id="rId57" Type="http://schemas.openxmlformats.org/officeDocument/2006/relationships/chart" Target="charts/chart22.xml"/><Relationship Id="rId106" Type="http://schemas.openxmlformats.org/officeDocument/2006/relationships/image" Target="media/image35.emf"/><Relationship Id="rId10" Type="http://schemas.openxmlformats.org/officeDocument/2006/relationships/header" Target="header2.xml"/><Relationship Id="rId31" Type="http://schemas.openxmlformats.org/officeDocument/2006/relationships/hyperlink" Target="https://www.czso.cz/csu/czso/informacni_sluzby_ustredi" TargetMode="External"/><Relationship Id="rId52" Type="http://schemas.openxmlformats.org/officeDocument/2006/relationships/chart" Target="charts/chart17.xml"/><Relationship Id="rId73" Type="http://schemas.openxmlformats.org/officeDocument/2006/relationships/chart" Target="charts/chart34.xml"/><Relationship Id="rId78" Type="http://schemas.openxmlformats.org/officeDocument/2006/relationships/image" Target="media/image7.emf"/><Relationship Id="rId94" Type="http://schemas.openxmlformats.org/officeDocument/2006/relationships/image" Target="media/image23.emf"/><Relationship Id="rId99" Type="http://schemas.openxmlformats.org/officeDocument/2006/relationships/image" Target="media/image28.emf"/><Relationship Id="rId101" Type="http://schemas.openxmlformats.org/officeDocument/2006/relationships/image" Target="media/image30.emf"/></Relationships>
</file>

<file path=word/_rels/footer4.xml.rels><?xml version="1.0" encoding="UTF-8" standalone="yes"?>
<Relationships xmlns="http://schemas.openxmlformats.org/package/2006/relationships"><Relationship Id="rId1" Type="http://schemas.openxmlformats.org/officeDocument/2006/relationships/image" Target="media/image45.png"/></Relationships>
</file>

<file path=word/_rels/footer5.xml.rels><?xml version="1.0" encoding="UTF-8" standalone="yes"?>
<Relationships xmlns="http://schemas.openxmlformats.org/package/2006/relationships"><Relationship Id="rId1" Type="http://schemas.openxmlformats.org/officeDocument/2006/relationships/image" Target="media/image46.png"/></Relationships>
</file>

<file path=word/_rels/footnotes.xml.rels><?xml version="1.0" encoding="UTF-8" standalone="yes"?>
<Relationships xmlns="http://schemas.openxmlformats.org/package/2006/relationships"><Relationship Id="rId3" Type="http://schemas.openxmlformats.org/officeDocument/2006/relationships/hyperlink" Target="https://www.czso.cz/csu/czso/klasifikace_vzdelani_cz_isced_2011" TargetMode="External"/><Relationship Id="rId2" Type="http://schemas.openxmlformats.org/officeDocument/2006/relationships/hyperlink" Target="http://www.statistikaamy.cz/2017/10/ctyri-z-peti-cechu-se-domluvi-cizi-reci/" TargetMode="External"/><Relationship Id="rId1" Type="http://schemas.openxmlformats.org/officeDocument/2006/relationships/hyperlink" Target="https://www.czso.cz/csu/czso/23-vzdelavani-v11rbqtuq6" TargetMode="External"/><Relationship Id="rId5" Type="http://schemas.openxmlformats.org/officeDocument/2006/relationships/hyperlink" Target="http://www.statistikaamy.cz/2017/10/ctyri-z-peti-cechu-se-domluvi-cizi-reci/" TargetMode="External"/><Relationship Id="rId4" Type="http://schemas.openxmlformats.org/officeDocument/2006/relationships/hyperlink" Target="https://www.czso.cz/csu/czso/klasifikace_vzdelani_cz_isced_201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ALO~1\AppData\Local\Temp\Publikace%20bar%20CZ_lide%20a%20spolecnost_2017-08-1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publikace_grafy_do_textu.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1"/>
          <c:tx>
            <c:strRef>
              <c:f>'G1'!$C$39</c:f>
              <c:strCache>
                <c:ptCount val="1"/>
                <c:pt idx="0">
                  <c:v> v OFV mladší 25 let</c:v>
                </c:pt>
              </c:strCache>
            </c:strRef>
          </c:tx>
          <c:spPr>
            <a:solidFill>
              <a:schemeClr val="accent3">
                <a:lumMod val="60000"/>
                <a:lumOff val="40000"/>
              </a:schemeClr>
            </a:solidFill>
            <a:ln>
              <a:solidFill>
                <a:schemeClr val="accent3">
                  <a:lumMod val="50000"/>
                </a:schemeClr>
              </a:solidFill>
            </a:ln>
          </c:spPr>
          <c:invertIfNegative val="0"/>
          <c:dLbls>
            <c:dLbl>
              <c:idx val="9"/>
              <c:layout>
                <c:manualLayout>
                  <c:x val="-1.0174470232617394E-16"/>
                  <c:y val="-2.174702374237605E-2"/>
                </c:manualLayout>
              </c:layout>
              <c:dLblPos val="ctr"/>
              <c:showLegendKey val="0"/>
              <c:showVal val="1"/>
              <c:showCatName val="0"/>
              <c:showSerName val="0"/>
              <c:showPercent val="0"/>
              <c:showBubbleSize val="0"/>
            </c:dLbl>
            <c:dLbl>
              <c:idx val="10"/>
              <c:layout>
                <c:manualLayout>
                  <c:x val="0"/>
                  <c:y val="-2.5971767855665816E-2"/>
                </c:manualLayout>
              </c:layout>
              <c:dLblPos val="ctr"/>
              <c:showLegendKey val="0"/>
              <c:showVal val="1"/>
              <c:showCatName val="0"/>
              <c:showSerName val="0"/>
              <c:showPercent val="0"/>
              <c:showBubbleSize val="0"/>
            </c:dLbl>
            <c:numFmt formatCode="#,##0" sourceLinked="0"/>
            <c:txPr>
              <a:bodyPr/>
              <a:lstStyle/>
              <a:p>
                <a:pPr>
                  <a:defRPr sz="700"/>
                </a:pPr>
                <a:endParaRPr lang="cs-CZ"/>
              </a:p>
            </c:txPr>
            <c:dLblPos val="inEnd"/>
            <c:showLegendKey val="0"/>
            <c:showVal val="1"/>
            <c:showCatName val="0"/>
            <c:showSerName val="0"/>
            <c:showPercent val="0"/>
            <c:showBubbleSize val="0"/>
            <c:showLeaderLines val="0"/>
          </c:dLbls>
          <c:cat>
            <c:strRef>
              <c:f>'G1'!$A$40:$A$50</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c:v>
                </c:pt>
              </c:strCache>
            </c:strRef>
          </c:cat>
          <c:val>
            <c:numRef>
              <c:f>'G1'!$C$40:$C$50</c:f>
              <c:numCache>
                <c:formatCode>General</c:formatCode>
                <c:ptCount val="11"/>
                <c:pt idx="0">
                  <c:v>10211</c:v>
                </c:pt>
                <c:pt idx="1">
                  <c:v>9707</c:v>
                </c:pt>
                <c:pt idx="2">
                  <c:v>9801</c:v>
                </c:pt>
                <c:pt idx="3">
                  <c:v>9528</c:v>
                </c:pt>
                <c:pt idx="4">
                  <c:v>8873</c:v>
                </c:pt>
                <c:pt idx="5">
                  <c:v>7440</c:v>
                </c:pt>
                <c:pt idx="6">
                  <c:v>6877</c:v>
                </c:pt>
                <c:pt idx="7">
                  <c:v>6607</c:v>
                </c:pt>
                <c:pt idx="8">
                  <c:v>5968</c:v>
                </c:pt>
                <c:pt idx="9">
                  <c:v>5675</c:v>
                </c:pt>
                <c:pt idx="10">
                  <c:v>5717</c:v>
                </c:pt>
              </c:numCache>
            </c:numRef>
          </c:val>
        </c:ser>
        <c:ser>
          <c:idx val="2"/>
          <c:order val="2"/>
          <c:tx>
            <c:strRef>
              <c:f>'G1'!$D$39</c:f>
              <c:strCache>
                <c:ptCount val="1"/>
                <c:pt idx="0">
                  <c:v> v OFV starší 25 let (včetně)</c:v>
                </c:pt>
              </c:strCache>
            </c:strRef>
          </c:tx>
          <c:spPr>
            <a:solidFill>
              <a:schemeClr val="accent6">
                <a:lumMod val="60000"/>
                <a:lumOff val="40000"/>
              </a:schemeClr>
            </a:solidFill>
            <a:ln>
              <a:solidFill>
                <a:schemeClr val="accent6">
                  <a:lumMod val="50000"/>
                </a:schemeClr>
              </a:solidFill>
            </a:ln>
          </c:spPr>
          <c:invertIfNegative val="0"/>
          <c:dLbls>
            <c:numFmt formatCode="#,##0" sourceLinked="0"/>
            <c:txPr>
              <a:bodyPr/>
              <a:lstStyle/>
              <a:p>
                <a:pPr>
                  <a:defRPr sz="700"/>
                </a:pPr>
                <a:endParaRPr lang="cs-CZ"/>
              </a:p>
            </c:txPr>
            <c:showLegendKey val="0"/>
            <c:showVal val="1"/>
            <c:showCatName val="0"/>
            <c:showSerName val="0"/>
            <c:showPercent val="0"/>
            <c:showBubbleSize val="0"/>
            <c:showLeaderLines val="0"/>
          </c:dLbls>
          <c:cat>
            <c:strRef>
              <c:f>'G1'!$A$40:$A$50</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c:v>
                </c:pt>
              </c:strCache>
            </c:strRef>
          </c:cat>
          <c:val>
            <c:numRef>
              <c:f>'G1'!$D$40:$D$50</c:f>
              <c:numCache>
                <c:formatCode>General</c:formatCode>
                <c:ptCount val="11"/>
                <c:pt idx="0">
                  <c:v>24604</c:v>
                </c:pt>
                <c:pt idx="1">
                  <c:v>25620</c:v>
                </c:pt>
                <c:pt idx="2">
                  <c:v>27480</c:v>
                </c:pt>
                <c:pt idx="3">
                  <c:v>27264</c:v>
                </c:pt>
                <c:pt idx="4">
                  <c:v>27079</c:v>
                </c:pt>
                <c:pt idx="5">
                  <c:v>23433</c:v>
                </c:pt>
                <c:pt idx="6">
                  <c:v>20156</c:v>
                </c:pt>
                <c:pt idx="7">
                  <c:v>18322</c:v>
                </c:pt>
                <c:pt idx="8">
                  <c:v>17042</c:v>
                </c:pt>
                <c:pt idx="9">
                  <c:v>15801</c:v>
                </c:pt>
                <c:pt idx="10">
                  <c:v>15041</c:v>
                </c:pt>
              </c:numCache>
            </c:numRef>
          </c:val>
        </c:ser>
        <c:dLbls>
          <c:showLegendKey val="0"/>
          <c:showVal val="0"/>
          <c:showCatName val="0"/>
          <c:showSerName val="0"/>
          <c:showPercent val="0"/>
          <c:showBubbleSize val="0"/>
        </c:dLbls>
        <c:gapWidth val="64"/>
        <c:overlap val="100"/>
        <c:axId val="160915968"/>
        <c:axId val="145109504"/>
      </c:barChart>
      <c:barChart>
        <c:barDir val="col"/>
        <c:grouping val="stacked"/>
        <c:varyColors val="0"/>
        <c:ser>
          <c:idx val="0"/>
          <c:order val="0"/>
          <c:tx>
            <c:strRef>
              <c:f>'G1'!$B$39</c:f>
              <c:strCache>
                <c:ptCount val="1"/>
                <c:pt idx="0">
                  <c:v> v denní formě starší 25 let (včetně)</c:v>
                </c:pt>
              </c:strCache>
            </c:strRef>
          </c:tx>
          <c:spPr>
            <a:solidFill>
              <a:schemeClr val="accent5">
                <a:lumMod val="60000"/>
                <a:lumOff val="40000"/>
              </a:schemeClr>
            </a:solidFill>
            <a:ln>
              <a:solidFill>
                <a:schemeClr val="accent5">
                  <a:lumMod val="50000"/>
                </a:schemeClr>
              </a:solidFill>
            </a:ln>
          </c:spPr>
          <c:invertIfNegative val="0"/>
          <c:dLbls>
            <c:numFmt formatCode="#,##0" sourceLinked="0"/>
            <c:txPr>
              <a:bodyPr/>
              <a:lstStyle/>
              <a:p>
                <a:pPr>
                  <a:defRPr sz="700"/>
                </a:pPr>
                <a:endParaRPr lang="cs-CZ"/>
              </a:p>
            </c:txPr>
            <c:showLegendKey val="0"/>
            <c:showVal val="1"/>
            <c:showCatName val="0"/>
            <c:showSerName val="0"/>
            <c:showPercent val="0"/>
            <c:showBubbleSize val="0"/>
            <c:showLeaderLines val="0"/>
          </c:dLbls>
          <c:cat>
            <c:strRef>
              <c:f>'G1'!$A$40:$A$50</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c:v>
                </c:pt>
              </c:strCache>
            </c:strRef>
          </c:cat>
          <c:val>
            <c:numRef>
              <c:f>'G1'!$B$40:$B$50</c:f>
              <c:numCache>
                <c:formatCode>General</c:formatCode>
                <c:ptCount val="11"/>
                <c:pt idx="0">
                  <c:v>803</c:v>
                </c:pt>
                <c:pt idx="1">
                  <c:v>1006</c:v>
                </c:pt>
                <c:pt idx="2">
                  <c:v>1288</c:v>
                </c:pt>
                <c:pt idx="3">
                  <c:v>1515</c:v>
                </c:pt>
                <c:pt idx="4">
                  <c:v>1627</c:v>
                </c:pt>
                <c:pt idx="5">
                  <c:v>1999</c:v>
                </c:pt>
                <c:pt idx="6">
                  <c:v>2310</c:v>
                </c:pt>
                <c:pt idx="7">
                  <c:v>2624</c:v>
                </c:pt>
                <c:pt idx="8">
                  <c:v>2807</c:v>
                </c:pt>
                <c:pt idx="9">
                  <c:v>3047</c:v>
                </c:pt>
                <c:pt idx="10">
                  <c:v>3127</c:v>
                </c:pt>
              </c:numCache>
            </c:numRef>
          </c:val>
        </c:ser>
        <c:dLbls>
          <c:showLegendKey val="0"/>
          <c:showVal val="0"/>
          <c:showCatName val="0"/>
          <c:showSerName val="0"/>
          <c:showPercent val="0"/>
          <c:showBubbleSize val="0"/>
        </c:dLbls>
        <c:gapWidth val="18"/>
        <c:overlap val="100"/>
        <c:axId val="160916480"/>
        <c:axId val="145108928"/>
      </c:barChart>
      <c:catAx>
        <c:axId val="160915968"/>
        <c:scaling>
          <c:orientation val="minMax"/>
        </c:scaling>
        <c:delete val="0"/>
        <c:axPos val="b"/>
        <c:majorTickMark val="none"/>
        <c:minorTickMark val="none"/>
        <c:tickLblPos val="nextTo"/>
        <c:crossAx val="145109504"/>
        <c:crosses val="autoZero"/>
        <c:auto val="1"/>
        <c:lblAlgn val="ctr"/>
        <c:lblOffset val="100"/>
        <c:noMultiLvlLbl val="0"/>
      </c:catAx>
      <c:valAx>
        <c:axId val="145109504"/>
        <c:scaling>
          <c:orientation val="minMax"/>
          <c:max val="40000"/>
        </c:scaling>
        <c:delete val="0"/>
        <c:axPos val="l"/>
        <c:majorGridlines>
          <c:spPr>
            <a:ln>
              <a:prstDash val="sysDot"/>
            </a:ln>
          </c:spPr>
        </c:majorGridlines>
        <c:numFmt formatCode="#,##0" sourceLinked="0"/>
        <c:majorTickMark val="out"/>
        <c:minorTickMark val="none"/>
        <c:tickLblPos val="nextTo"/>
        <c:spPr>
          <a:ln>
            <a:noFill/>
          </a:ln>
        </c:spPr>
        <c:crossAx val="160915968"/>
        <c:crosses val="autoZero"/>
        <c:crossBetween val="between"/>
      </c:valAx>
      <c:valAx>
        <c:axId val="145108928"/>
        <c:scaling>
          <c:orientation val="minMax"/>
          <c:max val="40500"/>
          <c:min val="0"/>
        </c:scaling>
        <c:delete val="1"/>
        <c:axPos val="r"/>
        <c:numFmt formatCode="General" sourceLinked="1"/>
        <c:majorTickMark val="out"/>
        <c:minorTickMark val="none"/>
        <c:tickLblPos val="none"/>
        <c:crossAx val="160916480"/>
        <c:crosses val="max"/>
        <c:crossBetween val="between"/>
      </c:valAx>
      <c:catAx>
        <c:axId val="160916480"/>
        <c:scaling>
          <c:orientation val="minMax"/>
        </c:scaling>
        <c:delete val="1"/>
        <c:axPos val="b"/>
        <c:majorTickMark val="out"/>
        <c:minorTickMark val="none"/>
        <c:tickLblPos val="none"/>
        <c:crossAx val="145108928"/>
        <c:crosses val="autoZero"/>
        <c:auto val="1"/>
        <c:lblAlgn val="ctr"/>
        <c:lblOffset val="100"/>
        <c:noMultiLvlLbl val="0"/>
      </c:catAx>
    </c:plotArea>
    <c:legend>
      <c:legendPos val="b"/>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'G7'!$A$3</c:f>
              <c:strCache>
                <c:ptCount val="1"/>
                <c:pt idx="0">
                  <c:v> 18–69 let</c:v>
                </c:pt>
              </c:strCache>
            </c:strRef>
          </c:tx>
          <c:spPr>
            <a:ln>
              <a:solidFill>
                <a:schemeClr val="tx2">
                  <a:lumMod val="75000"/>
                </a:schemeClr>
              </a:solidFill>
            </a:ln>
          </c:spPr>
          <c:marker>
            <c:symbol val="none"/>
          </c:marker>
          <c:dLbls>
            <c:numFmt formatCode="0%" sourceLinked="0"/>
            <c:dLblPos val="t"/>
            <c:showLegendKey val="0"/>
            <c:showVal val="1"/>
            <c:showCatName val="0"/>
            <c:showSerName val="0"/>
            <c:showPercent val="0"/>
            <c:showBubbleSize val="0"/>
            <c:showLeaderLines val="0"/>
          </c:dLbls>
          <c:cat>
            <c:numRef>
              <c:f>'G7'!$B$2:$D$2</c:f>
              <c:numCache>
                <c:formatCode>General</c:formatCode>
                <c:ptCount val="3"/>
                <c:pt idx="0">
                  <c:v>2007</c:v>
                </c:pt>
                <c:pt idx="1">
                  <c:v>2011</c:v>
                </c:pt>
                <c:pt idx="2">
                  <c:v>2016</c:v>
                </c:pt>
              </c:numCache>
            </c:numRef>
          </c:cat>
          <c:val>
            <c:numRef>
              <c:f>'G7'!$B$3:$D$3</c:f>
              <c:numCache>
                <c:formatCode>0%</c:formatCode>
                <c:ptCount val="3"/>
                <c:pt idx="1">
                  <c:v>0.10300000000000001</c:v>
                </c:pt>
                <c:pt idx="2">
                  <c:v>8.6999999999999994E-2</c:v>
                </c:pt>
              </c:numCache>
            </c:numRef>
          </c:val>
          <c:smooth val="0"/>
        </c:ser>
        <c:ser>
          <c:idx val="1"/>
          <c:order val="1"/>
          <c:tx>
            <c:strRef>
              <c:f>'G7'!$A$4</c:f>
              <c:strCache>
                <c:ptCount val="1"/>
                <c:pt idx="0">
                  <c:v> 25–64 let</c:v>
                </c:pt>
              </c:strCache>
            </c:strRef>
          </c:tx>
          <c:spPr>
            <a:ln>
              <a:solidFill>
                <a:schemeClr val="accent1"/>
              </a:solidFill>
            </a:ln>
          </c:spPr>
          <c:marker>
            <c:symbol val="none"/>
          </c:marker>
          <c:dLbls>
            <c:numFmt formatCode="0%" sourceLinked="0"/>
            <c:dLblPos val="t"/>
            <c:showLegendKey val="0"/>
            <c:showVal val="1"/>
            <c:showCatName val="0"/>
            <c:showSerName val="0"/>
            <c:showPercent val="0"/>
            <c:showBubbleSize val="0"/>
            <c:showLeaderLines val="0"/>
          </c:dLbls>
          <c:cat>
            <c:numRef>
              <c:f>'G7'!$B$2:$D$2</c:f>
              <c:numCache>
                <c:formatCode>General</c:formatCode>
                <c:ptCount val="3"/>
                <c:pt idx="0">
                  <c:v>2007</c:v>
                </c:pt>
                <c:pt idx="1">
                  <c:v>2011</c:v>
                </c:pt>
                <c:pt idx="2">
                  <c:v>2016</c:v>
                </c:pt>
              </c:numCache>
            </c:numRef>
          </c:cat>
          <c:val>
            <c:numRef>
              <c:f>'G7'!$B$4:$D$4</c:f>
              <c:numCache>
                <c:formatCode>0%</c:formatCode>
                <c:ptCount val="3"/>
                <c:pt idx="0">
                  <c:v>3.9E-2</c:v>
                </c:pt>
                <c:pt idx="1">
                  <c:v>3.7000000000000005E-2</c:v>
                </c:pt>
                <c:pt idx="2">
                  <c:v>2.5000000000000001E-2</c:v>
                </c:pt>
              </c:numCache>
            </c:numRef>
          </c:val>
          <c:smooth val="0"/>
        </c:ser>
        <c:dLbls>
          <c:showLegendKey val="0"/>
          <c:showVal val="0"/>
          <c:showCatName val="0"/>
          <c:showSerName val="0"/>
          <c:showPercent val="0"/>
          <c:showBubbleSize val="0"/>
        </c:dLbls>
        <c:marker val="1"/>
        <c:smooth val="0"/>
        <c:axId val="165564416"/>
        <c:axId val="163944640"/>
      </c:lineChart>
      <c:catAx>
        <c:axId val="165564416"/>
        <c:scaling>
          <c:orientation val="minMax"/>
        </c:scaling>
        <c:delete val="0"/>
        <c:axPos val="b"/>
        <c:numFmt formatCode="General" sourceLinked="1"/>
        <c:majorTickMark val="none"/>
        <c:minorTickMark val="none"/>
        <c:tickLblPos val="nextTo"/>
        <c:crossAx val="163944640"/>
        <c:crosses val="autoZero"/>
        <c:auto val="1"/>
        <c:lblAlgn val="ctr"/>
        <c:lblOffset val="100"/>
        <c:noMultiLvlLbl val="0"/>
      </c:catAx>
      <c:valAx>
        <c:axId val="163944640"/>
        <c:scaling>
          <c:orientation val="minMax"/>
          <c:max val="0.14000000000000001"/>
        </c:scaling>
        <c:delete val="0"/>
        <c:axPos val="l"/>
        <c:numFmt formatCode="0%" sourceLinked="0"/>
        <c:majorTickMark val="out"/>
        <c:minorTickMark val="none"/>
        <c:tickLblPos val="nextTo"/>
        <c:spPr>
          <a:ln>
            <a:solidFill>
              <a:sysClr val="windowText" lastClr="000000">
                <a:tint val="75000"/>
                <a:shade val="95000"/>
                <a:satMod val="105000"/>
              </a:sysClr>
            </a:solidFill>
            <a:prstDash val="sysDot"/>
          </a:ln>
        </c:spPr>
        <c:crossAx val="165564416"/>
        <c:crosses val="autoZero"/>
        <c:crossBetween val="between"/>
      </c:valAx>
    </c:plotArea>
    <c:legend>
      <c:legendPos val="r"/>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229624214162695E-2"/>
          <c:y val="4.2271663353270553E-2"/>
          <c:w val="0.83295402378341366"/>
          <c:h val="0.73834909569664053"/>
        </c:manualLayout>
      </c:layout>
      <c:barChart>
        <c:barDir val="col"/>
        <c:grouping val="clustered"/>
        <c:varyColors val="0"/>
        <c:ser>
          <c:idx val="1"/>
          <c:order val="1"/>
          <c:tx>
            <c:strRef>
              <c:f>'G8'!$S$68</c:f>
              <c:strCache>
                <c:ptCount val="1"/>
                <c:pt idx="0">
                  <c:v> celková účast</c:v>
                </c:pt>
              </c:strCache>
            </c:strRef>
          </c:tx>
          <c:spPr>
            <a:solidFill>
              <a:schemeClr val="accent3">
                <a:lumMod val="60000"/>
                <a:lumOff val="40000"/>
              </a:schemeClr>
            </a:solidFill>
            <a:ln>
              <a:solidFill>
                <a:schemeClr val="accent3">
                  <a:lumMod val="50000"/>
                </a:schemeClr>
              </a:solidFill>
            </a:ln>
          </c:spPr>
          <c:invertIfNegative val="0"/>
          <c:dPt>
            <c:idx val="21"/>
            <c:invertIfNegative val="0"/>
            <c:bubble3D val="0"/>
            <c:spPr>
              <a:solidFill>
                <a:schemeClr val="accent3">
                  <a:lumMod val="75000"/>
                </a:schemeClr>
              </a:solidFill>
              <a:ln w="9525">
                <a:solidFill>
                  <a:schemeClr val="accent3">
                    <a:lumMod val="50000"/>
                  </a:schemeClr>
                </a:solidFill>
              </a:ln>
            </c:spPr>
          </c:dPt>
          <c:cat>
            <c:strRef>
              <c:f>'\\ABFS2\DATA\DATA\ZPRAC\TECHNOL\oddeleni_6301\2_Vzdělávání\1_AES_Půbalová\AES 2016\Data a publikace\publikace\[tabulky_publikace_priloha_AK.xlsx]FV_PrůmPočHod_celkem'!$F$15:$F$39</c:f>
              <c:strCache>
                <c:ptCount val="25"/>
                <c:pt idx="0">
                  <c:v>Švédsko</c:v>
                </c:pt>
                <c:pt idx="1">
                  <c:v>Finsko</c:v>
                </c:pt>
                <c:pt idx="2">
                  <c:v>Norsko</c:v>
                </c:pt>
                <c:pt idx="3">
                  <c:v>Spojené království</c:v>
                </c:pt>
                <c:pt idx="4">
                  <c:v>Španělsko</c:v>
                </c:pt>
                <c:pt idx="5">
                  <c:v>Nizozemí</c:v>
                </c:pt>
                <c:pt idx="6">
                  <c:v>Lucembursko</c:v>
                </c:pt>
                <c:pt idx="7">
                  <c:v>Švýcarsko</c:v>
                </c:pt>
                <c:pt idx="8">
                  <c:v>Malta</c:v>
                </c:pt>
                <c:pt idx="9">
                  <c:v>Rakousko</c:v>
                </c:pt>
                <c:pt idx="10">
                  <c:v>Slovinsko</c:v>
                </c:pt>
                <c:pt idx="11">
                  <c:v>Lotyšsko</c:v>
                </c:pt>
                <c:pt idx="12">
                  <c:v>Polsko</c:v>
                </c:pt>
                <c:pt idx="13">
                  <c:v>Chorvatsko</c:v>
                </c:pt>
                <c:pt idx="14">
                  <c:v>Portugalsko</c:v>
                </c:pt>
                <c:pt idx="15">
                  <c:v>Makedonie</c:v>
                </c:pt>
                <c:pt idx="16">
                  <c:v>Řecko</c:v>
                </c:pt>
                <c:pt idx="17">
                  <c:v>Německo</c:v>
                </c:pt>
                <c:pt idx="18">
                  <c:v>Kypr</c:v>
                </c:pt>
                <c:pt idx="19">
                  <c:v>Srbsko</c:v>
                </c:pt>
                <c:pt idx="20">
                  <c:v>Bulharsko</c:v>
                </c:pt>
                <c:pt idx="21">
                  <c:v>Česká republika</c:v>
                </c:pt>
                <c:pt idx="22">
                  <c:v>Litva</c:v>
                </c:pt>
                <c:pt idx="23">
                  <c:v>Rumunsko</c:v>
                </c:pt>
                <c:pt idx="24">
                  <c:v>Slovensko</c:v>
                </c:pt>
              </c:strCache>
            </c:strRef>
          </c:cat>
          <c:val>
            <c:numRef>
              <c:f>'G8'!$S$69:$S$93</c:f>
              <c:numCache>
                <c:formatCode>0</c:formatCode>
                <c:ptCount val="25"/>
                <c:pt idx="0">
                  <c:v>0.13800000000000001</c:v>
                </c:pt>
                <c:pt idx="1">
                  <c:v>0.13699999999999998</c:v>
                </c:pt>
                <c:pt idx="2">
                  <c:v>0.121</c:v>
                </c:pt>
                <c:pt idx="3">
                  <c:v>0.11900000000000001</c:v>
                </c:pt>
                <c:pt idx="4">
                  <c:v>9.8000000000000004E-2</c:v>
                </c:pt>
                <c:pt idx="5">
                  <c:v>0.09</c:v>
                </c:pt>
                <c:pt idx="6">
                  <c:v>8.5999999999999993E-2</c:v>
                </c:pt>
                <c:pt idx="7">
                  <c:v>8.5000000000000006E-2</c:v>
                </c:pt>
                <c:pt idx="8">
                  <c:v>7.2000000000000008E-2</c:v>
                </c:pt>
                <c:pt idx="9">
                  <c:v>6.2E-2</c:v>
                </c:pt>
                <c:pt idx="10">
                  <c:v>0.06</c:v>
                </c:pt>
                <c:pt idx="11">
                  <c:v>4.4000000000000004E-2</c:v>
                </c:pt>
                <c:pt idx="12">
                  <c:v>4.2000000000000003E-2</c:v>
                </c:pt>
                <c:pt idx="13">
                  <c:v>0.04</c:v>
                </c:pt>
                <c:pt idx="14">
                  <c:v>0.04</c:v>
                </c:pt>
                <c:pt idx="15">
                  <c:v>0.04</c:v>
                </c:pt>
                <c:pt idx="16">
                  <c:v>3.7000000000000005E-2</c:v>
                </c:pt>
                <c:pt idx="17">
                  <c:v>3.5000000000000003E-2</c:v>
                </c:pt>
                <c:pt idx="18">
                  <c:v>0.03</c:v>
                </c:pt>
                <c:pt idx="19">
                  <c:v>0.03</c:v>
                </c:pt>
                <c:pt idx="20">
                  <c:v>2.8999999999999998E-2</c:v>
                </c:pt>
                <c:pt idx="21">
                  <c:v>2.5000000000000001E-2</c:v>
                </c:pt>
                <c:pt idx="22">
                  <c:v>2.4E-2</c:v>
                </c:pt>
                <c:pt idx="23">
                  <c:v>1.7000000000000001E-2</c:v>
                </c:pt>
                <c:pt idx="24">
                  <c:v>1.4999999999999999E-2</c:v>
                </c:pt>
              </c:numCache>
            </c:numRef>
          </c:val>
        </c:ser>
        <c:dLbls>
          <c:showLegendKey val="0"/>
          <c:showVal val="0"/>
          <c:showCatName val="0"/>
          <c:showSerName val="0"/>
          <c:showPercent val="0"/>
          <c:showBubbleSize val="0"/>
        </c:dLbls>
        <c:gapWidth val="150"/>
        <c:axId val="165564928"/>
        <c:axId val="163889152"/>
      </c:barChart>
      <c:scatterChart>
        <c:scatterStyle val="lineMarker"/>
        <c:varyColors val="0"/>
        <c:ser>
          <c:idx val="0"/>
          <c:order val="0"/>
          <c:tx>
            <c:strRef>
              <c:f>'G8'!$R$68</c:f>
              <c:strCache>
                <c:ptCount val="1"/>
                <c:pt idx="0">
                  <c:v> průměrný počet hodin na účastníka měsíčně</c:v>
                </c:pt>
              </c:strCache>
            </c:strRef>
          </c:tx>
          <c:spPr>
            <a:ln w="28575">
              <a:noFill/>
            </a:ln>
            <a:effectLst/>
          </c:spPr>
          <c:marker>
            <c:symbol val="circle"/>
            <c:size val="7"/>
            <c:spPr>
              <a:solidFill>
                <a:schemeClr val="tx1"/>
              </a:solidFill>
              <a:ln>
                <a:solidFill>
                  <a:schemeClr val="tx1"/>
                </a:solidFill>
              </a:ln>
              <a:effectLst/>
            </c:spPr>
          </c:marker>
          <c:dPt>
            <c:idx val="21"/>
            <c:marker>
              <c:symbol val="circle"/>
              <c:size val="12"/>
              <c:spPr>
                <a:solidFill>
                  <a:schemeClr val="tx1"/>
                </a:solidFill>
                <a:ln w="63500">
                  <a:solidFill>
                    <a:srgbClr val="92D050"/>
                  </a:solidFill>
                </a:ln>
                <a:effectLst/>
              </c:spPr>
            </c:marker>
            <c:bubble3D val="0"/>
          </c:dPt>
          <c:xVal>
            <c:strRef>
              <c:f>'G8'!$Q$69:$Q$93</c:f>
              <c:strCache>
                <c:ptCount val="25"/>
                <c:pt idx="0">
                  <c:v>Švédsko</c:v>
                </c:pt>
                <c:pt idx="1">
                  <c:v>Finsko</c:v>
                </c:pt>
                <c:pt idx="2">
                  <c:v>Norsko</c:v>
                </c:pt>
                <c:pt idx="3">
                  <c:v>Spojené království</c:v>
                </c:pt>
                <c:pt idx="4">
                  <c:v>Španělsko</c:v>
                </c:pt>
                <c:pt idx="5">
                  <c:v>Nizozemí</c:v>
                </c:pt>
                <c:pt idx="6">
                  <c:v>Lucembursko</c:v>
                </c:pt>
                <c:pt idx="7">
                  <c:v>Švýcarsko</c:v>
                </c:pt>
                <c:pt idx="8">
                  <c:v>Malta</c:v>
                </c:pt>
                <c:pt idx="9">
                  <c:v>Rakousko</c:v>
                </c:pt>
                <c:pt idx="10">
                  <c:v>Slovinsko</c:v>
                </c:pt>
                <c:pt idx="11">
                  <c:v>Lotyšsko</c:v>
                </c:pt>
                <c:pt idx="12">
                  <c:v>Polsko</c:v>
                </c:pt>
                <c:pt idx="13">
                  <c:v>Chorvatsko</c:v>
                </c:pt>
                <c:pt idx="14">
                  <c:v>Portugalsko</c:v>
                </c:pt>
                <c:pt idx="15">
                  <c:v>Makedonie</c:v>
                </c:pt>
                <c:pt idx="16">
                  <c:v>Řecko</c:v>
                </c:pt>
                <c:pt idx="17">
                  <c:v>Německo</c:v>
                </c:pt>
                <c:pt idx="18">
                  <c:v>Kypr</c:v>
                </c:pt>
                <c:pt idx="19">
                  <c:v>Srbsko</c:v>
                </c:pt>
                <c:pt idx="20">
                  <c:v>Bulharsko</c:v>
                </c:pt>
                <c:pt idx="21">
                  <c:v>Česká republika</c:v>
                </c:pt>
                <c:pt idx="22">
                  <c:v>Litva</c:v>
                </c:pt>
                <c:pt idx="23">
                  <c:v>Rumunsko</c:v>
                </c:pt>
                <c:pt idx="24">
                  <c:v>Slovensko</c:v>
                </c:pt>
              </c:strCache>
            </c:strRef>
          </c:xVal>
          <c:yVal>
            <c:numRef>
              <c:f>'G8'!$R$69:$R$93</c:f>
              <c:numCache>
                <c:formatCode>0</c:formatCode>
                <c:ptCount val="25"/>
                <c:pt idx="0">
                  <c:v>38.5</c:v>
                </c:pt>
                <c:pt idx="1">
                  <c:v>28.7</c:v>
                </c:pt>
                <c:pt idx="2">
                  <c:v>18.7</c:v>
                </c:pt>
                <c:pt idx="3">
                  <c:v>14.1</c:v>
                </c:pt>
                <c:pt idx="4">
                  <c:v>23.7</c:v>
                </c:pt>
                <c:pt idx="5">
                  <c:v>27.3</c:v>
                </c:pt>
                <c:pt idx="6">
                  <c:v>24.8</c:v>
                </c:pt>
                <c:pt idx="7">
                  <c:v>44.3</c:v>
                </c:pt>
                <c:pt idx="8">
                  <c:v>20.399999999999999</c:v>
                </c:pt>
                <c:pt idx="9">
                  <c:v>38.1</c:v>
                </c:pt>
                <c:pt idx="10">
                  <c:v>31.3</c:v>
                </c:pt>
                <c:pt idx="11">
                  <c:v>31.3</c:v>
                </c:pt>
                <c:pt idx="12">
                  <c:v>38</c:v>
                </c:pt>
                <c:pt idx="13">
                  <c:v>36.799999999999997</c:v>
                </c:pt>
                <c:pt idx="14">
                  <c:v>54.4</c:v>
                </c:pt>
                <c:pt idx="15">
                  <c:v>2.1</c:v>
                </c:pt>
                <c:pt idx="16">
                  <c:v>39</c:v>
                </c:pt>
                <c:pt idx="17">
                  <c:v>72.7</c:v>
                </c:pt>
                <c:pt idx="18">
                  <c:v>20.6</c:v>
                </c:pt>
                <c:pt idx="19">
                  <c:v>31.8</c:v>
                </c:pt>
                <c:pt idx="20">
                  <c:v>37.4</c:v>
                </c:pt>
                <c:pt idx="21">
                  <c:v>28.2</c:v>
                </c:pt>
                <c:pt idx="22">
                  <c:v>34.5</c:v>
                </c:pt>
                <c:pt idx="23">
                  <c:v>38.1</c:v>
                </c:pt>
                <c:pt idx="24">
                  <c:v>41.6</c:v>
                </c:pt>
              </c:numCache>
            </c:numRef>
          </c:yVal>
          <c:smooth val="0"/>
        </c:ser>
        <c:dLbls>
          <c:showLegendKey val="0"/>
          <c:showVal val="0"/>
          <c:showCatName val="0"/>
          <c:showSerName val="0"/>
          <c:showPercent val="0"/>
          <c:showBubbleSize val="0"/>
        </c:dLbls>
        <c:axId val="163890304"/>
        <c:axId val="163889728"/>
      </c:scatterChart>
      <c:catAx>
        <c:axId val="165564928"/>
        <c:scaling>
          <c:orientation val="minMax"/>
        </c:scaling>
        <c:delete val="0"/>
        <c:axPos val="b"/>
        <c:majorTickMark val="none"/>
        <c:minorTickMark val="none"/>
        <c:tickLblPos val="nextTo"/>
        <c:crossAx val="163889152"/>
        <c:crosses val="autoZero"/>
        <c:auto val="1"/>
        <c:lblAlgn val="ctr"/>
        <c:lblOffset val="100"/>
        <c:noMultiLvlLbl val="0"/>
      </c:catAx>
      <c:valAx>
        <c:axId val="163889152"/>
        <c:scaling>
          <c:orientation val="minMax"/>
        </c:scaling>
        <c:delete val="0"/>
        <c:axPos val="l"/>
        <c:majorGridlines>
          <c:spPr>
            <a:ln>
              <a:prstDash val="sysDot"/>
            </a:ln>
          </c:spPr>
        </c:majorGridlines>
        <c:title>
          <c:tx>
            <c:rich>
              <a:bodyPr rot="-5400000" vert="horz"/>
              <a:lstStyle/>
              <a:p>
                <a:pPr>
                  <a:defRPr b="0"/>
                </a:pPr>
                <a:r>
                  <a:rPr lang="cs-CZ" b="0"/>
                  <a:t>ú</a:t>
                </a:r>
                <a:r>
                  <a:rPr lang="en-US" b="0"/>
                  <a:t>čast </a:t>
                </a:r>
              </a:p>
            </c:rich>
          </c:tx>
          <c:layout>
            <c:manualLayout>
              <c:xMode val="edge"/>
              <c:yMode val="edge"/>
              <c:x val="1.3916623031907712E-2"/>
              <c:y val="0.3861222751503261"/>
            </c:manualLayout>
          </c:layout>
          <c:overlay val="0"/>
        </c:title>
        <c:numFmt formatCode="0%" sourceLinked="0"/>
        <c:majorTickMark val="out"/>
        <c:minorTickMark val="none"/>
        <c:tickLblPos val="nextTo"/>
        <c:spPr>
          <a:noFill/>
          <a:ln>
            <a:noFill/>
          </a:ln>
        </c:spPr>
        <c:crossAx val="165564928"/>
        <c:crosses val="autoZero"/>
        <c:crossBetween val="between"/>
      </c:valAx>
      <c:valAx>
        <c:axId val="163889728"/>
        <c:scaling>
          <c:orientation val="minMax"/>
          <c:max val="80"/>
          <c:min val="0"/>
        </c:scaling>
        <c:delete val="0"/>
        <c:axPos val="r"/>
        <c:title>
          <c:tx>
            <c:rich>
              <a:bodyPr rot="-5400000" vert="horz"/>
              <a:lstStyle/>
              <a:p>
                <a:pPr>
                  <a:defRPr b="0"/>
                </a:pPr>
                <a:r>
                  <a:rPr lang="en-US" b="0"/>
                  <a:t>průměrný počet hodin</a:t>
                </a:r>
              </a:p>
            </c:rich>
          </c:tx>
          <c:layout>
            <c:manualLayout>
              <c:xMode val="edge"/>
              <c:yMode val="edge"/>
              <c:x val="0.96117935697184642"/>
              <c:y val="0.30809744382662885"/>
            </c:manualLayout>
          </c:layout>
          <c:overlay val="0"/>
        </c:title>
        <c:numFmt formatCode="#,##0" sourceLinked="0"/>
        <c:majorTickMark val="out"/>
        <c:minorTickMark val="none"/>
        <c:tickLblPos val="nextTo"/>
        <c:spPr>
          <a:ln>
            <a:noFill/>
          </a:ln>
        </c:spPr>
        <c:crossAx val="163890304"/>
        <c:crosses val="max"/>
        <c:crossBetween val="midCat"/>
      </c:valAx>
      <c:valAx>
        <c:axId val="163890304"/>
        <c:scaling>
          <c:orientation val="minMax"/>
        </c:scaling>
        <c:delete val="1"/>
        <c:axPos val="b"/>
        <c:majorTickMark val="out"/>
        <c:minorTickMark val="none"/>
        <c:tickLblPos val="none"/>
        <c:crossAx val="163889728"/>
        <c:crosses val="autoZero"/>
        <c:crossBetween val="midCat"/>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'G9'!$C$12</c:f>
              <c:strCache>
                <c:ptCount val="1"/>
                <c:pt idx="0">
                  <c:v> účastní se formálního vzdělávání</c:v>
                </c:pt>
              </c:strCache>
            </c:strRef>
          </c:tx>
          <c:spPr>
            <a:solidFill>
              <a:schemeClr val="accent3">
                <a:lumMod val="60000"/>
                <a:lumOff val="40000"/>
              </a:schemeClr>
            </a:solidFill>
            <a:ln>
              <a:solidFill>
                <a:schemeClr val="accent3">
                  <a:lumMod val="50000"/>
                </a:schemeClr>
              </a:solidFill>
            </a:ln>
          </c:spPr>
          <c:invertIfNegative val="0"/>
          <c:dLbls>
            <c:dLbl>
              <c:idx val="0"/>
              <c:tx>
                <c:rich>
                  <a:bodyPr/>
                  <a:lstStyle/>
                  <a:p>
                    <a:r>
                      <a:rPr lang="en-US" sz="900"/>
                      <a:t>&lt;</a:t>
                    </a:r>
                    <a:r>
                      <a:rPr lang="en-US"/>
                      <a:t>1</a:t>
                    </a:r>
                    <a:r>
                      <a:rPr lang="cs-CZ"/>
                      <a:t>%</a:t>
                    </a:r>
                    <a:endParaRPr lang="en-US"/>
                  </a:p>
                </c:rich>
              </c:tx>
              <c:dLblPos val="inBase"/>
              <c:showLegendKey val="0"/>
              <c:showVal val="1"/>
              <c:showCatName val="0"/>
              <c:showSerName val="0"/>
              <c:showPercent val="0"/>
              <c:showBubbleSize val="0"/>
            </c:dLbl>
            <c:dLbl>
              <c:idx val="1"/>
              <c:tx>
                <c:rich>
                  <a:bodyPr/>
                  <a:lstStyle/>
                  <a:p>
                    <a:r>
                      <a:rPr lang="en-US" sz="900" b="0" i="0" baseline="0"/>
                      <a:t>&lt;1</a:t>
                    </a:r>
                    <a:r>
                      <a:rPr lang="cs-CZ" sz="900" b="0" i="0" baseline="0"/>
                      <a:t>%</a:t>
                    </a:r>
                    <a:endParaRPr lang="cs-CZ"/>
                  </a:p>
                </c:rich>
              </c:tx>
              <c:dLblPos val="inBase"/>
              <c:showLegendKey val="0"/>
              <c:showVal val="1"/>
              <c:showCatName val="0"/>
              <c:showSerName val="0"/>
              <c:showPercent val="0"/>
              <c:showBubbleSize val="0"/>
            </c:dLbl>
            <c:dLbl>
              <c:idx val="2"/>
              <c:layout>
                <c:manualLayout>
                  <c:x val="2.8092398248041699E-2"/>
                  <c:y val="9.3183618319899364E-7"/>
                </c:manualLayout>
              </c:layout>
              <c:dLblPos val="ctr"/>
              <c:showLegendKey val="0"/>
              <c:showVal val="1"/>
              <c:showCatName val="0"/>
              <c:showSerName val="0"/>
              <c:showPercent val="0"/>
              <c:showBubbleSize val="0"/>
            </c:dLbl>
            <c:dLbl>
              <c:idx val="3"/>
              <c:layout>
                <c:manualLayout>
                  <c:x val="2.9278439728470954E-2"/>
                  <c:y val="6.2122412213266243E-7"/>
                </c:manualLayout>
              </c:layout>
              <c:dLblPos val="ctr"/>
              <c:showLegendKey val="0"/>
              <c:showVal val="1"/>
              <c:showCatName val="0"/>
              <c:showSerName val="0"/>
              <c:showPercent val="0"/>
              <c:showBubbleSize val="0"/>
            </c:dLbl>
            <c:dLbl>
              <c:idx val="6"/>
              <c:delete val="1"/>
            </c:dLbl>
            <c:numFmt formatCode="0%" sourceLinked="0"/>
            <c:dLblPos val="inBase"/>
            <c:showLegendKey val="0"/>
            <c:showVal val="1"/>
            <c:showCatName val="0"/>
            <c:showSerName val="0"/>
            <c:showPercent val="0"/>
            <c:showBubbleSize val="0"/>
            <c:showLeaderLines val="0"/>
          </c:dLbls>
          <c:cat>
            <c:strRef>
              <c:f>'G9'!$B$13:$B$20</c:f>
              <c:strCache>
                <c:ptCount val="8"/>
                <c:pt idx="0">
                  <c:v>60–69 let</c:v>
                </c:pt>
                <c:pt idx="1">
                  <c:v>50–59 let</c:v>
                </c:pt>
                <c:pt idx="2">
                  <c:v>40–49 let</c:v>
                </c:pt>
                <c:pt idx="3">
                  <c:v>30–39 let</c:v>
                </c:pt>
                <c:pt idx="4">
                  <c:v>25–29 let</c:v>
                </c:pt>
                <c:pt idx="5">
                  <c:v>18–24 let</c:v>
                </c:pt>
                <c:pt idx="7">
                  <c:v>18–69 let
celkem</c:v>
                </c:pt>
              </c:strCache>
            </c:strRef>
          </c:cat>
          <c:val>
            <c:numRef>
              <c:f>'G9'!$C$13:$C$20</c:f>
              <c:numCache>
                <c:formatCode>General</c:formatCode>
                <c:ptCount val="8"/>
                <c:pt idx="0">
                  <c:v>1E-3</c:v>
                </c:pt>
                <c:pt idx="1">
                  <c:v>4.0000000000000001E-3</c:v>
                </c:pt>
                <c:pt idx="2">
                  <c:v>1.3999999999999999E-2</c:v>
                </c:pt>
                <c:pt idx="3">
                  <c:v>1.6E-2</c:v>
                </c:pt>
                <c:pt idx="4">
                  <c:v>0.13200000000000001</c:v>
                </c:pt>
                <c:pt idx="5">
                  <c:v>0.65799999999999992</c:v>
                </c:pt>
                <c:pt idx="6">
                  <c:v>0</c:v>
                </c:pt>
                <c:pt idx="7">
                  <c:v>8.6999999999999994E-2</c:v>
                </c:pt>
              </c:numCache>
            </c:numRef>
          </c:val>
        </c:ser>
        <c:ser>
          <c:idx val="1"/>
          <c:order val="1"/>
          <c:tx>
            <c:strRef>
              <c:f>'G9'!$D$12</c:f>
              <c:strCache>
                <c:ptCount val="1"/>
                <c:pt idx="0">
                  <c:v> neúčastní se formálního vzdělávání</c:v>
                </c:pt>
              </c:strCache>
            </c:strRef>
          </c:tx>
          <c:spPr>
            <a:solidFill>
              <a:schemeClr val="bg1">
                <a:lumMod val="85000"/>
              </a:schemeClr>
            </a:solidFill>
            <a:ln>
              <a:solidFill>
                <a:schemeClr val="bg1">
                  <a:lumMod val="50000"/>
                </a:schemeClr>
              </a:solidFill>
            </a:ln>
          </c:spPr>
          <c:invertIfNegative val="0"/>
          <c:dLbls>
            <c:dLbl>
              <c:idx val="0"/>
              <c:tx>
                <c:rich>
                  <a:bodyPr/>
                  <a:lstStyle/>
                  <a:p>
                    <a:r>
                      <a:rPr lang="en-US"/>
                      <a:t>&gt;99</a:t>
                    </a:r>
                    <a:r>
                      <a:rPr lang="cs-CZ"/>
                      <a:t>%</a:t>
                    </a:r>
                    <a:endParaRPr lang="en-US"/>
                  </a:p>
                </c:rich>
              </c:tx>
              <c:dLblPos val="inEnd"/>
              <c:showLegendKey val="0"/>
              <c:showVal val="1"/>
              <c:showCatName val="0"/>
              <c:showSerName val="0"/>
              <c:showPercent val="0"/>
              <c:showBubbleSize val="0"/>
            </c:dLbl>
            <c:dLbl>
              <c:idx val="1"/>
              <c:tx>
                <c:rich>
                  <a:bodyPr/>
                  <a:lstStyle/>
                  <a:p>
                    <a:r>
                      <a:rPr lang="en-US"/>
                      <a:t>&gt;99</a:t>
                    </a:r>
                    <a:r>
                      <a:rPr lang="cs-CZ"/>
                      <a:t>%</a:t>
                    </a:r>
                    <a:endParaRPr lang="en-US"/>
                  </a:p>
                </c:rich>
              </c:tx>
              <c:dLblPos val="inEnd"/>
              <c:showLegendKey val="0"/>
              <c:showVal val="1"/>
              <c:showCatName val="0"/>
              <c:showSerName val="0"/>
              <c:showPercent val="0"/>
              <c:showBubbleSize val="0"/>
            </c:dLbl>
            <c:dLbl>
              <c:idx val="6"/>
              <c:delete val="1"/>
            </c:dLbl>
            <c:numFmt formatCode="0%" sourceLinked="0"/>
            <c:dLblPos val="inEnd"/>
            <c:showLegendKey val="0"/>
            <c:showVal val="1"/>
            <c:showCatName val="0"/>
            <c:showSerName val="0"/>
            <c:showPercent val="0"/>
            <c:showBubbleSize val="0"/>
            <c:showLeaderLines val="0"/>
          </c:dLbls>
          <c:cat>
            <c:strRef>
              <c:f>'G9'!$B$13:$B$20</c:f>
              <c:strCache>
                <c:ptCount val="8"/>
                <c:pt idx="0">
                  <c:v>60–69 let</c:v>
                </c:pt>
                <c:pt idx="1">
                  <c:v>50–59 let</c:v>
                </c:pt>
                <c:pt idx="2">
                  <c:v>40–49 let</c:v>
                </c:pt>
                <c:pt idx="3">
                  <c:v>30–39 let</c:v>
                </c:pt>
                <c:pt idx="4">
                  <c:v>25–29 let</c:v>
                </c:pt>
                <c:pt idx="5">
                  <c:v>18–24 let</c:v>
                </c:pt>
                <c:pt idx="7">
                  <c:v>18–69 let
celkem</c:v>
                </c:pt>
              </c:strCache>
            </c:strRef>
          </c:cat>
          <c:val>
            <c:numRef>
              <c:f>'G9'!$D$13:$D$20</c:f>
              <c:numCache>
                <c:formatCode>General</c:formatCode>
                <c:ptCount val="8"/>
                <c:pt idx="0">
                  <c:v>1</c:v>
                </c:pt>
                <c:pt idx="1">
                  <c:v>0.996</c:v>
                </c:pt>
                <c:pt idx="2">
                  <c:v>0.98599999999999999</c:v>
                </c:pt>
                <c:pt idx="3">
                  <c:v>0.9840000000000001</c:v>
                </c:pt>
                <c:pt idx="4">
                  <c:v>0.86799999999999999</c:v>
                </c:pt>
                <c:pt idx="5">
                  <c:v>0.34200000000000003</c:v>
                </c:pt>
                <c:pt idx="6">
                  <c:v>0</c:v>
                </c:pt>
                <c:pt idx="7">
                  <c:v>0.91299999999999992</c:v>
                </c:pt>
              </c:numCache>
            </c:numRef>
          </c:val>
        </c:ser>
        <c:dLbls>
          <c:showLegendKey val="0"/>
          <c:showVal val="0"/>
          <c:showCatName val="0"/>
          <c:showSerName val="0"/>
          <c:showPercent val="0"/>
          <c:showBubbleSize val="0"/>
        </c:dLbls>
        <c:gapWidth val="30"/>
        <c:overlap val="100"/>
        <c:axId val="165565440"/>
        <c:axId val="163892032"/>
      </c:barChart>
      <c:catAx>
        <c:axId val="165565440"/>
        <c:scaling>
          <c:orientation val="maxMin"/>
        </c:scaling>
        <c:delete val="0"/>
        <c:axPos val="l"/>
        <c:majorTickMark val="out"/>
        <c:minorTickMark val="none"/>
        <c:tickLblPos val="nextTo"/>
        <c:spPr>
          <a:ln>
            <a:noFill/>
          </a:ln>
        </c:spPr>
        <c:crossAx val="163892032"/>
        <c:crosses val="autoZero"/>
        <c:auto val="1"/>
        <c:lblAlgn val="ctr"/>
        <c:lblOffset val="100"/>
        <c:noMultiLvlLbl val="0"/>
      </c:catAx>
      <c:valAx>
        <c:axId val="163892032"/>
        <c:scaling>
          <c:orientation val="minMax"/>
        </c:scaling>
        <c:delete val="1"/>
        <c:axPos val="t"/>
        <c:numFmt formatCode="0%" sourceLinked="1"/>
        <c:majorTickMark val="out"/>
        <c:minorTickMark val="none"/>
        <c:tickLblPos val="none"/>
        <c:crossAx val="165565440"/>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'G10'!$C$3</c:f>
              <c:strCache>
                <c:ptCount val="1"/>
                <c:pt idx="0">
                  <c:v> studenti počátečního vzdělávání</c:v>
                </c:pt>
              </c:strCache>
            </c:strRef>
          </c:tx>
          <c:spPr>
            <a:solidFill>
              <a:schemeClr val="accent2">
                <a:lumMod val="40000"/>
                <a:lumOff val="60000"/>
              </a:schemeClr>
            </a:solidFill>
            <a:ln>
              <a:solidFill>
                <a:schemeClr val="accent2">
                  <a:lumMod val="75000"/>
                </a:schemeClr>
              </a:solidFill>
            </a:ln>
          </c:spPr>
          <c:invertIfNegative val="0"/>
          <c:dLbls>
            <c:dLbl>
              <c:idx val="0"/>
              <c:delete val="1"/>
            </c:dLbl>
            <c:dLbl>
              <c:idx val="1"/>
              <c:delete val="1"/>
            </c:dLbl>
            <c:dLbl>
              <c:idx val="2"/>
              <c:delete val="1"/>
            </c:dLbl>
            <c:dLbl>
              <c:idx val="3"/>
              <c:delete val="1"/>
            </c:dLbl>
            <c:dLbl>
              <c:idx val="6"/>
              <c:delete val="1"/>
            </c:dLbl>
            <c:dLblPos val="inBase"/>
            <c:showLegendKey val="0"/>
            <c:showVal val="1"/>
            <c:showCatName val="0"/>
            <c:showSerName val="0"/>
            <c:showPercent val="0"/>
            <c:showBubbleSize val="0"/>
            <c:showLeaderLines val="0"/>
          </c:dLbls>
          <c:cat>
            <c:strRef>
              <c:f>'G10'!$B$4:$B$11</c:f>
              <c:strCache>
                <c:ptCount val="8"/>
                <c:pt idx="0">
                  <c:v>60–69 let</c:v>
                </c:pt>
                <c:pt idx="1">
                  <c:v>50–59 let</c:v>
                </c:pt>
                <c:pt idx="2">
                  <c:v>40–49 let</c:v>
                </c:pt>
                <c:pt idx="3">
                  <c:v>30–39 let</c:v>
                </c:pt>
                <c:pt idx="4">
                  <c:v>25–29 let</c:v>
                </c:pt>
                <c:pt idx="5">
                  <c:v>18–24 let</c:v>
                </c:pt>
                <c:pt idx="7">
                  <c:v>18–69 let
celkem</c:v>
                </c:pt>
              </c:strCache>
            </c:strRef>
          </c:cat>
          <c:val>
            <c:numRef>
              <c:f>'G10'!$C$4:$C$11</c:f>
              <c:numCache>
                <c:formatCode>0%</c:formatCode>
                <c:ptCount val="8"/>
                <c:pt idx="0">
                  <c:v>0</c:v>
                </c:pt>
                <c:pt idx="1">
                  <c:v>0</c:v>
                </c:pt>
                <c:pt idx="2">
                  <c:v>0</c:v>
                </c:pt>
                <c:pt idx="3">
                  <c:v>0</c:v>
                </c:pt>
                <c:pt idx="4">
                  <c:v>8.3000000000000004E-2</c:v>
                </c:pt>
                <c:pt idx="5">
                  <c:v>0.64900000000000002</c:v>
                </c:pt>
                <c:pt idx="6">
                  <c:v>0</c:v>
                </c:pt>
                <c:pt idx="7">
                  <c:v>7.400000000000001E-2</c:v>
                </c:pt>
              </c:numCache>
            </c:numRef>
          </c:val>
        </c:ser>
        <c:ser>
          <c:idx val="1"/>
          <c:order val="1"/>
          <c:tx>
            <c:strRef>
              <c:f>'G10'!$D$3</c:f>
              <c:strCache>
                <c:ptCount val="1"/>
                <c:pt idx="0">
                  <c:v> studenti dalšího vzdělávání</c:v>
                </c:pt>
              </c:strCache>
            </c:strRef>
          </c:tx>
          <c:spPr>
            <a:solidFill>
              <a:schemeClr val="accent2">
                <a:lumMod val="75000"/>
              </a:schemeClr>
            </a:solidFill>
            <a:ln>
              <a:solidFill>
                <a:schemeClr val="accent2">
                  <a:lumMod val="50000"/>
                </a:schemeClr>
              </a:solidFill>
            </a:ln>
          </c:spPr>
          <c:invertIfNegative val="0"/>
          <c:dLbls>
            <c:dLbl>
              <c:idx val="0"/>
              <c:layout>
                <c:manualLayout>
                  <c:x val="1.72935581495893E-2"/>
                  <c:y val="2.5606555278151251E-7"/>
                </c:manualLayout>
              </c:layout>
              <c:tx>
                <c:rich>
                  <a:bodyPr/>
                  <a:lstStyle/>
                  <a:p>
                    <a:r>
                      <a:rPr lang="en-US"/>
                      <a:t>&lt;1</a:t>
                    </a:r>
                    <a:r>
                      <a:rPr lang="cs-CZ"/>
                      <a:t>%</a:t>
                    </a:r>
                    <a:endParaRPr lang="en-US"/>
                  </a:p>
                </c:rich>
              </c:tx>
              <c:showLegendKey val="0"/>
              <c:showVal val="1"/>
              <c:showCatName val="0"/>
              <c:showSerName val="0"/>
              <c:showPercent val="0"/>
              <c:showBubbleSize val="0"/>
            </c:dLbl>
            <c:dLbl>
              <c:idx val="1"/>
              <c:layout>
                <c:manualLayout>
                  <c:x val="3.8409497878185789E-2"/>
                  <c:y val="3.3866734400135467E-7"/>
                </c:manualLayout>
              </c:layout>
              <c:tx>
                <c:rich>
                  <a:bodyPr/>
                  <a:lstStyle/>
                  <a:p>
                    <a:r>
                      <a:rPr lang="en-US"/>
                      <a:t>&lt;1</a:t>
                    </a:r>
                    <a:r>
                      <a:rPr lang="cs-CZ"/>
                      <a:t>%</a:t>
                    </a:r>
                    <a:endParaRPr lang="en-US"/>
                  </a:p>
                </c:rich>
              </c:tx>
              <c:showLegendKey val="0"/>
              <c:showVal val="1"/>
              <c:showCatName val="0"/>
              <c:showSerName val="0"/>
              <c:showPercent val="0"/>
              <c:showBubbleSize val="0"/>
            </c:dLbl>
            <c:dLbl>
              <c:idx val="2"/>
              <c:layout>
                <c:manualLayout>
                  <c:x val="2.2481625594466103E-2"/>
                  <c:y val="0"/>
                </c:manualLayout>
              </c:layout>
              <c:showLegendKey val="0"/>
              <c:showVal val="1"/>
              <c:showCatName val="0"/>
              <c:showSerName val="0"/>
              <c:showPercent val="0"/>
              <c:showBubbleSize val="0"/>
            </c:dLbl>
            <c:dLbl>
              <c:idx val="3"/>
              <c:layout>
                <c:manualLayout>
                  <c:x val="2.2481625594466103E-2"/>
                  <c:y val="0"/>
                </c:manualLayout>
              </c:layout>
              <c:showLegendKey val="0"/>
              <c:showVal val="1"/>
              <c:showCatName val="0"/>
              <c:showSerName val="0"/>
              <c:showPercent val="0"/>
              <c:showBubbleSize val="0"/>
            </c:dLbl>
            <c:dLbl>
              <c:idx val="4"/>
              <c:spPr/>
              <c:txPr>
                <a:bodyPr/>
                <a:lstStyle/>
                <a:p>
                  <a:pPr>
                    <a:defRPr>
                      <a:solidFill>
                        <a:schemeClr val="bg1"/>
                      </a:solidFill>
                    </a:defRPr>
                  </a:pPr>
                  <a:endParaRPr lang="cs-CZ"/>
                </a:p>
              </c:txPr>
              <c:showLegendKey val="0"/>
              <c:showVal val="1"/>
              <c:showCatName val="0"/>
              <c:showSerName val="0"/>
              <c:showPercent val="0"/>
              <c:showBubbleSize val="0"/>
            </c:dLbl>
            <c:dLbl>
              <c:idx val="5"/>
              <c:layout>
                <c:manualLayout>
                  <c:x val="2.6593996324622102E-2"/>
                  <c:y val="1.0429159931167545E-6"/>
                </c:manualLayout>
              </c:layout>
              <c:showLegendKey val="0"/>
              <c:showVal val="1"/>
              <c:showCatName val="0"/>
              <c:showSerName val="0"/>
              <c:showPercent val="0"/>
              <c:showBubbleSize val="0"/>
            </c:dLbl>
            <c:dLbl>
              <c:idx val="6"/>
              <c:delete val="1"/>
            </c:dLbl>
            <c:dLbl>
              <c:idx val="7"/>
              <c:layout>
                <c:manualLayout>
                  <c:x val="2.0752269779507136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'G10'!$B$4:$B$11</c:f>
              <c:strCache>
                <c:ptCount val="8"/>
                <c:pt idx="0">
                  <c:v>60–69 let</c:v>
                </c:pt>
                <c:pt idx="1">
                  <c:v>50–59 let</c:v>
                </c:pt>
                <c:pt idx="2">
                  <c:v>40–49 let</c:v>
                </c:pt>
                <c:pt idx="3">
                  <c:v>30–39 let</c:v>
                </c:pt>
                <c:pt idx="4">
                  <c:v>25–29 let</c:v>
                </c:pt>
                <c:pt idx="5">
                  <c:v>18–24 let</c:v>
                </c:pt>
                <c:pt idx="7">
                  <c:v>18–69 let
celkem</c:v>
                </c:pt>
              </c:strCache>
            </c:strRef>
          </c:cat>
          <c:val>
            <c:numRef>
              <c:f>'G10'!$D$4:$D$11</c:f>
              <c:numCache>
                <c:formatCode>0%</c:formatCode>
                <c:ptCount val="8"/>
                <c:pt idx="0">
                  <c:v>1E-3</c:v>
                </c:pt>
                <c:pt idx="1">
                  <c:v>4.0000000000000001E-3</c:v>
                </c:pt>
                <c:pt idx="2">
                  <c:v>1.3999999999999999E-2</c:v>
                </c:pt>
                <c:pt idx="3">
                  <c:v>1.6E-2</c:v>
                </c:pt>
                <c:pt idx="4">
                  <c:v>4.9000000000000002E-2</c:v>
                </c:pt>
                <c:pt idx="5">
                  <c:v>9.0000000000000011E-3</c:v>
                </c:pt>
                <c:pt idx="6">
                  <c:v>0</c:v>
                </c:pt>
                <c:pt idx="7">
                  <c:v>1.3000000000000001E-2</c:v>
                </c:pt>
              </c:numCache>
            </c:numRef>
          </c:val>
        </c:ser>
        <c:ser>
          <c:idx val="2"/>
          <c:order val="2"/>
          <c:tx>
            <c:strRef>
              <c:f>'G10'!$E$3</c:f>
              <c:strCache>
                <c:ptCount val="1"/>
                <c:pt idx="0">
                  <c:v> neúčastní se formálního vzdělávání</c:v>
                </c:pt>
              </c:strCache>
            </c:strRef>
          </c:tx>
          <c:spPr>
            <a:solidFill>
              <a:schemeClr val="bg1">
                <a:lumMod val="85000"/>
              </a:schemeClr>
            </a:solidFill>
            <a:ln>
              <a:solidFill>
                <a:schemeClr val="bg1">
                  <a:lumMod val="50000"/>
                </a:schemeClr>
              </a:solidFill>
            </a:ln>
          </c:spPr>
          <c:invertIfNegative val="0"/>
          <c:dLbls>
            <c:dLbl>
              <c:idx val="0"/>
              <c:tx>
                <c:rich>
                  <a:bodyPr/>
                  <a:lstStyle/>
                  <a:p>
                    <a:r>
                      <a:rPr lang="en-US"/>
                      <a:t>&gt;99</a:t>
                    </a:r>
                    <a:r>
                      <a:rPr lang="cs-CZ"/>
                      <a:t>%</a:t>
                    </a:r>
                    <a:endParaRPr lang="en-US"/>
                  </a:p>
                </c:rich>
              </c:tx>
              <c:dLblPos val="inEnd"/>
              <c:showLegendKey val="0"/>
              <c:showVal val="1"/>
              <c:showCatName val="0"/>
              <c:showSerName val="0"/>
              <c:showPercent val="0"/>
              <c:showBubbleSize val="0"/>
            </c:dLbl>
            <c:dLbl>
              <c:idx val="1"/>
              <c:tx>
                <c:rich>
                  <a:bodyPr/>
                  <a:lstStyle/>
                  <a:p>
                    <a:r>
                      <a:rPr lang="en-US"/>
                      <a:t>&gt;99</a:t>
                    </a:r>
                    <a:r>
                      <a:rPr lang="cs-CZ"/>
                      <a:t>%</a:t>
                    </a:r>
                    <a:endParaRPr lang="en-US"/>
                  </a:p>
                </c:rich>
              </c:tx>
              <c:dLblPos val="inEnd"/>
              <c:showLegendKey val="0"/>
              <c:showVal val="1"/>
              <c:showCatName val="0"/>
              <c:showSerName val="0"/>
              <c:showPercent val="0"/>
              <c:showBubbleSize val="0"/>
            </c:dLbl>
            <c:dLbl>
              <c:idx val="6"/>
              <c:delete val="1"/>
            </c:dLbl>
            <c:dLblPos val="inEnd"/>
            <c:showLegendKey val="0"/>
            <c:showVal val="1"/>
            <c:showCatName val="0"/>
            <c:showSerName val="0"/>
            <c:showPercent val="0"/>
            <c:showBubbleSize val="0"/>
            <c:showLeaderLines val="0"/>
          </c:dLbls>
          <c:cat>
            <c:strRef>
              <c:f>'G10'!$B$4:$B$11</c:f>
              <c:strCache>
                <c:ptCount val="8"/>
                <c:pt idx="0">
                  <c:v>60–69 let</c:v>
                </c:pt>
                <c:pt idx="1">
                  <c:v>50–59 let</c:v>
                </c:pt>
                <c:pt idx="2">
                  <c:v>40–49 let</c:v>
                </c:pt>
                <c:pt idx="3">
                  <c:v>30–39 let</c:v>
                </c:pt>
                <c:pt idx="4">
                  <c:v>25–29 let</c:v>
                </c:pt>
                <c:pt idx="5">
                  <c:v>18–24 let</c:v>
                </c:pt>
                <c:pt idx="7">
                  <c:v>18–69 let
celkem</c:v>
                </c:pt>
              </c:strCache>
            </c:strRef>
          </c:cat>
          <c:val>
            <c:numRef>
              <c:f>'G10'!$E$4:$E$11</c:f>
              <c:numCache>
                <c:formatCode>0%</c:formatCode>
                <c:ptCount val="8"/>
                <c:pt idx="0">
                  <c:v>0.99900000000000011</c:v>
                </c:pt>
                <c:pt idx="1">
                  <c:v>0.996</c:v>
                </c:pt>
                <c:pt idx="2">
                  <c:v>0.98599999999999999</c:v>
                </c:pt>
                <c:pt idx="3">
                  <c:v>0.9840000000000001</c:v>
                </c:pt>
                <c:pt idx="4">
                  <c:v>0.86799999999999999</c:v>
                </c:pt>
                <c:pt idx="5">
                  <c:v>0.34200000000000003</c:v>
                </c:pt>
                <c:pt idx="6">
                  <c:v>0</c:v>
                </c:pt>
                <c:pt idx="7">
                  <c:v>0.91299999999999992</c:v>
                </c:pt>
              </c:numCache>
            </c:numRef>
          </c:val>
        </c:ser>
        <c:dLbls>
          <c:showLegendKey val="0"/>
          <c:showVal val="0"/>
          <c:showCatName val="0"/>
          <c:showSerName val="0"/>
          <c:showPercent val="0"/>
          <c:showBubbleSize val="0"/>
        </c:dLbls>
        <c:gapWidth val="33"/>
        <c:overlap val="100"/>
        <c:axId val="165566464"/>
        <c:axId val="163893760"/>
      </c:barChart>
      <c:catAx>
        <c:axId val="165566464"/>
        <c:scaling>
          <c:orientation val="maxMin"/>
        </c:scaling>
        <c:delete val="0"/>
        <c:axPos val="l"/>
        <c:numFmt formatCode="General" sourceLinked="1"/>
        <c:majorTickMark val="out"/>
        <c:minorTickMark val="none"/>
        <c:tickLblPos val="nextTo"/>
        <c:spPr>
          <a:ln>
            <a:noFill/>
          </a:ln>
        </c:spPr>
        <c:crossAx val="163893760"/>
        <c:crosses val="autoZero"/>
        <c:auto val="1"/>
        <c:lblAlgn val="ctr"/>
        <c:lblOffset val="100"/>
        <c:noMultiLvlLbl val="0"/>
      </c:catAx>
      <c:valAx>
        <c:axId val="163893760"/>
        <c:scaling>
          <c:orientation val="minMax"/>
        </c:scaling>
        <c:delete val="1"/>
        <c:axPos val="t"/>
        <c:numFmt formatCode="0%" sourceLinked="1"/>
        <c:majorTickMark val="out"/>
        <c:minorTickMark val="none"/>
        <c:tickLblPos val="none"/>
        <c:crossAx val="165566464"/>
        <c:crosses val="autoZero"/>
        <c:crossBetween val="between"/>
      </c:valAx>
    </c:plotArea>
    <c:legend>
      <c:legendPos val="b"/>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'G11'!$C$5</c:f>
              <c:strCache>
                <c:ptCount val="1"/>
                <c:pt idx="0">
                  <c:v> pracující</c:v>
                </c:pt>
              </c:strCache>
            </c:strRef>
          </c:tx>
          <c:spPr>
            <a:solidFill>
              <a:schemeClr val="accent6">
                <a:lumMod val="60000"/>
                <a:lumOff val="40000"/>
              </a:schemeClr>
            </a:solidFill>
            <a:ln>
              <a:solidFill>
                <a:schemeClr val="accent6">
                  <a:lumMod val="50000"/>
                </a:schemeClr>
              </a:solidFill>
            </a:ln>
          </c:spPr>
          <c:invertIfNegative val="0"/>
          <c:dLbls>
            <c:dLbl>
              <c:idx val="4"/>
              <c:delete val="1"/>
            </c:dLbl>
            <c:dLblPos val="inBase"/>
            <c:showLegendKey val="0"/>
            <c:showVal val="1"/>
            <c:showCatName val="0"/>
            <c:showSerName val="0"/>
            <c:showPercent val="0"/>
            <c:showBubbleSize val="0"/>
            <c:showLeaderLines val="0"/>
          </c:dLbls>
          <c:cat>
            <c:strRef>
              <c:f>'G11'!$B$6:$B$11</c:f>
              <c:strCache>
                <c:ptCount val="6"/>
                <c:pt idx="0">
                  <c:v>studenti
dalšího vzdělávání</c:v>
                </c:pt>
                <c:pt idx="1">
                  <c:v>studenti
počátečního vzdělávání</c:v>
                </c:pt>
                <c:pt idx="2">
                  <c:v>studenti 25–69 let</c:v>
                </c:pt>
                <c:pt idx="3">
                  <c:v>studenti 18–24 let</c:v>
                </c:pt>
                <c:pt idx="5">
                  <c:v>studenti 
18–69 let celkem</c:v>
                </c:pt>
              </c:strCache>
            </c:strRef>
          </c:cat>
          <c:val>
            <c:numRef>
              <c:f>'G11'!$C$6:$C$11</c:f>
              <c:numCache>
                <c:formatCode>0%</c:formatCode>
                <c:ptCount val="6"/>
                <c:pt idx="0">
                  <c:v>0.81700000000000006</c:v>
                </c:pt>
                <c:pt idx="1">
                  <c:v>9.7000000000000031E-2</c:v>
                </c:pt>
                <c:pt idx="2">
                  <c:v>0.628</c:v>
                </c:pt>
                <c:pt idx="3">
                  <c:v>7.8071320411130921E-2</c:v>
                </c:pt>
                <c:pt idx="5">
                  <c:v>0.20300000000000001</c:v>
                </c:pt>
              </c:numCache>
            </c:numRef>
          </c:val>
        </c:ser>
        <c:ser>
          <c:idx val="1"/>
          <c:order val="1"/>
          <c:tx>
            <c:strRef>
              <c:f>'G11'!$D$5</c:f>
              <c:strCache>
                <c:ptCount val="1"/>
                <c:pt idx="0">
                  <c:v> nepracující</c:v>
                </c:pt>
              </c:strCache>
            </c:strRef>
          </c:tx>
          <c:spPr>
            <a:solidFill>
              <a:schemeClr val="accent5">
                <a:lumMod val="40000"/>
                <a:lumOff val="60000"/>
              </a:schemeClr>
            </a:solidFill>
            <a:ln>
              <a:solidFill>
                <a:schemeClr val="accent5">
                  <a:lumMod val="75000"/>
                </a:schemeClr>
              </a:solidFill>
            </a:ln>
          </c:spPr>
          <c:invertIfNegative val="0"/>
          <c:dLbls>
            <c:dLbl>
              <c:idx val="4"/>
              <c:delete val="1"/>
            </c:dLbl>
            <c:dLblPos val="inEnd"/>
            <c:showLegendKey val="0"/>
            <c:showVal val="1"/>
            <c:showCatName val="0"/>
            <c:showSerName val="0"/>
            <c:showPercent val="0"/>
            <c:showBubbleSize val="0"/>
            <c:showLeaderLines val="0"/>
          </c:dLbls>
          <c:cat>
            <c:strRef>
              <c:f>'G11'!$B$6:$B$11</c:f>
              <c:strCache>
                <c:ptCount val="6"/>
                <c:pt idx="0">
                  <c:v>studenti
dalšího vzdělávání</c:v>
                </c:pt>
                <c:pt idx="1">
                  <c:v>studenti
počátečního vzdělávání</c:v>
                </c:pt>
                <c:pt idx="2">
                  <c:v>studenti 25–69 let</c:v>
                </c:pt>
                <c:pt idx="3">
                  <c:v>studenti 18–24 let</c:v>
                </c:pt>
                <c:pt idx="5">
                  <c:v>studenti 
18–69 let celkem</c:v>
                </c:pt>
              </c:strCache>
            </c:strRef>
          </c:cat>
          <c:val>
            <c:numRef>
              <c:f>'G11'!$D$6:$D$11</c:f>
              <c:numCache>
                <c:formatCode>0%</c:formatCode>
                <c:ptCount val="6"/>
                <c:pt idx="0">
                  <c:v>0.183</c:v>
                </c:pt>
                <c:pt idx="1">
                  <c:v>0.90300000000000002</c:v>
                </c:pt>
                <c:pt idx="2">
                  <c:v>0.37200000000000005</c:v>
                </c:pt>
                <c:pt idx="3">
                  <c:v>0.92192867958886904</c:v>
                </c:pt>
                <c:pt idx="5">
                  <c:v>0.79700000000000004</c:v>
                </c:pt>
              </c:numCache>
            </c:numRef>
          </c:val>
        </c:ser>
        <c:dLbls>
          <c:showLegendKey val="0"/>
          <c:showVal val="0"/>
          <c:showCatName val="0"/>
          <c:showSerName val="0"/>
          <c:showPercent val="0"/>
          <c:showBubbleSize val="0"/>
        </c:dLbls>
        <c:gapWidth val="44"/>
        <c:overlap val="100"/>
        <c:axId val="165566976"/>
        <c:axId val="163895488"/>
      </c:barChart>
      <c:catAx>
        <c:axId val="165566976"/>
        <c:scaling>
          <c:orientation val="maxMin"/>
        </c:scaling>
        <c:delete val="0"/>
        <c:axPos val="l"/>
        <c:majorTickMark val="out"/>
        <c:minorTickMark val="none"/>
        <c:tickLblPos val="nextTo"/>
        <c:spPr>
          <a:ln>
            <a:noFill/>
          </a:ln>
        </c:spPr>
        <c:crossAx val="163895488"/>
        <c:crosses val="autoZero"/>
        <c:auto val="1"/>
        <c:lblAlgn val="ctr"/>
        <c:lblOffset val="100"/>
        <c:noMultiLvlLbl val="0"/>
      </c:catAx>
      <c:valAx>
        <c:axId val="163895488"/>
        <c:scaling>
          <c:orientation val="minMax"/>
        </c:scaling>
        <c:delete val="1"/>
        <c:axPos val="t"/>
        <c:numFmt formatCode="0%" sourceLinked="1"/>
        <c:majorTickMark val="out"/>
        <c:minorTickMark val="none"/>
        <c:tickLblPos val="none"/>
        <c:crossAx val="165566976"/>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'G12'!$D$5</c:f>
              <c:strCache>
                <c:ptCount val="1"/>
                <c:pt idx="0">
                  <c:v> SŠ s výučním listem</c:v>
                </c:pt>
              </c:strCache>
            </c:strRef>
          </c:tx>
          <c:spPr>
            <a:solidFill>
              <a:schemeClr val="accent2"/>
            </a:solidFill>
            <a:ln>
              <a:solidFill>
                <a:schemeClr val="accent2">
                  <a:lumMod val="50000"/>
                </a:schemeClr>
              </a:solidFill>
            </a:ln>
          </c:spPr>
          <c:invertIfNegative val="0"/>
          <c:cat>
            <c:strRef>
              <c:f>'G12'!$C$6:$C$11</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'G12'!$D$6:$D$11</c:f>
              <c:numCache>
                <c:formatCode>General</c:formatCode>
                <c:ptCount val="6"/>
                <c:pt idx="0" formatCode="0.0">
                  <c:v>8.6</c:v>
                </c:pt>
                <c:pt idx="2" formatCode="0">
                  <c:v>10.6</c:v>
                </c:pt>
                <c:pt idx="3" formatCode="0">
                  <c:v>1.9</c:v>
                </c:pt>
                <c:pt idx="4" formatCode="0">
                  <c:v>9.3000000000000007</c:v>
                </c:pt>
                <c:pt idx="5" formatCode="0">
                  <c:v>4.4000000000000004</c:v>
                </c:pt>
              </c:numCache>
            </c:numRef>
          </c:val>
        </c:ser>
        <c:ser>
          <c:idx val="1"/>
          <c:order val="1"/>
          <c:tx>
            <c:strRef>
              <c:f>'G12'!$E$5</c:f>
              <c:strCache>
                <c:ptCount val="1"/>
                <c:pt idx="0">
                  <c:v> SŠ s maturitou,
pomaturitní studium</c:v>
                </c:pt>
              </c:strCache>
            </c:strRef>
          </c:tx>
          <c:spPr>
            <a:solidFill>
              <a:schemeClr val="accent2">
                <a:lumMod val="50000"/>
              </a:schemeClr>
            </a:solidFill>
            <a:ln>
              <a:solidFill>
                <a:schemeClr val="tx1">
                  <a:lumMod val="75000"/>
                  <a:lumOff val="25000"/>
                </a:schemeClr>
              </a:solidFill>
            </a:ln>
          </c:spPr>
          <c:invertIfNegative val="0"/>
          <c:cat>
            <c:strRef>
              <c:f>'G12'!$C$6:$C$11</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'G12'!$E$6:$E$11</c:f>
              <c:numCache>
                <c:formatCode>General</c:formatCode>
                <c:ptCount val="6"/>
                <c:pt idx="0" formatCode="0.0">
                  <c:v>30.5</c:v>
                </c:pt>
                <c:pt idx="2" formatCode="0">
                  <c:v>37</c:v>
                </c:pt>
                <c:pt idx="3" formatCode="0">
                  <c:v>8.4</c:v>
                </c:pt>
                <c:pt idx="4" formatCode="0">
                  <c:v>32.6</c:v>
                </c:pt>
                <c:pt idx="5" formatCode="0">
                  <c:v>18.3</c:v>
                </c:pt>
              </c:numCache>
            </c:numRef>
          </c:val>
        </c:ser>
        <c:ser>
          <c:idx val="2"/>
          <c:order val="2"/>
          <c:tx>
            <c:strRef>
              <c:f>'G12'!$F$5</c:f>
              <c:strCache>
                <c:ptCount val="1"/>
                <c:pt idx="0">
                  <c:v> VOŠ a konzervatoř</c:v>
                </c:pt>
              </c:strCache>
            </c:strRef>
          </c:tx>
          <c:spPr>
            <a:solidFill>
              <a:schemeClr val="accent5">
                <a:lumMod val="40000"/>
                <a:lumOff val="60000"/>
              </a:schemeClr>
            </a:solidFill>
            <a:ln>
              <a:solidFill>
                <a:schemeClr val="accent5">
                  <a:lumMod val="50000"/>
                </a:schemeClr>
              </a:solidFill>
            </a:ln>
          </c:spPr>
          <c:invertIfNegative val="0"/>
          <c:cat>
            <c:strRef>
              <c:f>'G12'!$C$6:$C$11</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'G12'!$F$6:$F$11</c:f>
              <c:numCache>
                <c:formatCode>General</c:formatCode>
                <c:ptCount val="6"/>
                <c:pt idx="0" formatCode="0.0">
                  <c:v>4</c:v>
                </c:pt>
                <c:pt idx="2" formatCode="0">
                  <c:v>3.6</c:v>
                </c:pt>
                <c:pt idx="3" formatCode="0">
                  <c:v>5</c:v>
                </c:pt>
                <c:pt idx="4" formatCode="0">
                  <c:v>3.4</c:v>
                </c:pt>
                <c:pt idx="5" formatCode="0">
                  <c:v>6.9</c:v>
                </c:pt>
              </c:numCache>
            </c:numRef>
          </c:val>
        </c:ser>
        <c:ser>
          <c:idx val="3"/>
          <c:order val="3"/>
          <c:tx>
            <c:strRef>
              <c:f>'G12'!$G$5</c:f>
              <c:strCache>
                <c:ptCount val="1"/>
                <c:pt idx="0">
                  <c:v> VŠ bakalářské</c:v>
                </c:pt>
              </c:strCache>
            </c:strRef>
          </c:tx>
          <c:spPr>
            <a:solidFill>
              <a:schemeClr val="accent5">
                <a:lumMod val="75000"/>
              </a:schemeClr>
            </a:solidFill>
            <a:ln>
              <a:solidFill>
                <a:schemeClr val="accent5">
                  <a:lumMod val="50000"/>
                </a:schemeClr>
              </a:solidFill>
            </a:ln>
          </c:spPr>
          <c:invertIfNegative val="0"/>
          <c:cat>
            <c:strRef>
              <c:f>'G12'!$C$6:$C$11</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'G12'!$G$6:$G$11</c:f>
              <c:numCache>
                <c:formatCode>General</c:formatCode>
                <c:ptCount val="6"/>
                <c:pt idx="0" formatCode="0.0">
                  <c:v>29.5</c:v>
                </c:pt>
                <c:pt idx="2" formatCode="0">
                  <c:v>30.4</c:v>
                </c:pt>
                <c:pt idx="3" formatCode="0">
                  <c:v>26.7</c:v>
                </c:pt>
                <c:pt idx="4" formatCode="0">
                  <c:v>29.3</c:v>
                </c:pt>
                <c:pt idx="5" formatCode="0">
                  <c:v>31.1</c:v>
                </c:pt>
              </c:numCache>
            </c:numRef>
          </c:val>
        </c:ser>
        <c:ser>
          <c:idx val="4"/>
          <c:order val="4"/>
          <c:tx>
            <c:strRef>
              <c:f>'G12'!$H$5</c:f>
              <c:strCache>
                <c:ptCount val="1"/>
                <c:pt idx="0">
                  <c:v> VŠ magisterské</c:v>
                </c:pt>
              </c:strCache>
            </c:strRef>
          </c:tx>
          <c:spPr>
            <a:solidFill>
              <a:schemeClr val="accent5">
                <a:lumMod val="50000"/>
              </a:schemeClr>
            </a:solidFill>
            <a:ln>
              <a:solidFill>
                <a:srgbClr val="002060"/>
              </a:solidFill>
            </a:ln>
          </c:spPr>
          <c:invertIfNegative val="0"/>
          <c:cat>
            <c:strRef>
              <c:f>'G12'!$C$6:$C$11</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'G12'!$H$6:$H$11</c:f>
              <c:numCache>
                <c:formatCode>General</c:formatCode>
                <c:ptCount val="6"/>
                <c:pt idx="0" formatCode="0.0">
                  <c:v>24.9</c:v>
                </c:pt>
                <c:pt idx="2" formatCode="0">
                  <c:v>18.2</c:v>
                </c:pt>
                <c:pt idx="3" formatCode="0">
                  <c:v>47.5</c:v>
                </c:pt>
                <c:pt idx="4" formatCode="0">
                  <c:v>25.3</c:v>
                </c:pt>
                <c:pt idx="5" formatCode="0">
                  <c:v>22.5</c:v>
                </c:pt>
              </c:numCache>
            </c:numRef>
          </c:val>
        </c:ser>
        <c:ser>
          <c:idx val="5"/>
          <c:order val="5"/>
          <c:tx>
            <c:strRef>
              <c:f>'G12'!$I$5</c:f>
              <c:strCache>
                <c:ptCount val="1"/>
                <c:pt idx="0">
                  <c:v> VŠ doktorské</c:v>
                </c:pt>
              </c:strCache>
            </c:strRef>
          </c:tx>
          <c:spPr>
            <a:solidFill>
              <a:schemeClr val="tx2">
                <a:lumMod val="50000"/>
              </a:schemeClr>
            </a:solidFill>
            <a:ln>
              <a:solidFill>
                <a:schemeClr val="tx1">
                  <a:lumMod val="95000"/>
                  <a:lumOff val="5000"/>
                </a:schemeClr>
              </a:solidFill>
            </a:ln>
          </c:spPr>
          <c:invertIfNegative val="0"/>
          <c:cat>
            <c:strRef>
              <c:f>'G12'!$C$6:$C$11</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'G12'!$I$6:$I$11</c:f>
              <c:numCache>
                <c:formatCode>General</c:formatCode>
                <c:ptCount val="6"/>
                <c:pt idx="0" formatCode="0.0">
                  <c:v>2.5</c:v>
                </c:pt>
                <c:pt idx="2" formatCode="0">
                  <c:v>0.1</c:v>
                </c:pt>
                <c:pt idx="3" formatCode="0">
                  <c:v>10.5</c:v>
                </c:pt>
                <c:pt idx="4" formatCode="0">
                  <c:v>0</c:v>
                </c:pt>
                <c:pt idx="5" formatCode="0">
                  <c:v>16.8</c:v>
                </c:pt>
              </c:numCache>
            </c:numRef>
          </c:val>
        </c:ser>
        <c:dLbls>
          <c:showLegendKey val="0"/>
          <c:showVal val="0"/>
          <c:showCatName val="0"/>
          <c:showSerName val="0"/>
          <c:showPercent val="0"/>
          <c:showBubbleSize val="0"/>
        </c:dLbls>
        <c:gapWidth val="77"/>
        <c:overlap val="100"/>
        <c:axId val="165568000"/>
        <c:axId val="165732352"/>
      </c:barChart>
      <c:catAx>
        <c:axId val="165568000"/>
        <c:scaling>
          <c:orientation val="minMax"/>
        </c:scaling>
        <c:delete val="0"/>
        <c:axPos val="b"/>
        <c:majorTickMark val="none"/>
        <c:minorTickMark val="none"/>
        <c:tickLblPos val="nextTo"/>
        <c:crossAx val="165732352"/>
        <c:crosses val="autoZero"/>
        <c:auto val="1"/>
        <c:lblAlgn val="ctr"/>
        <c:lblOffset val="100"/>
        <c:noMultiLvlLbl val="0"/>
      </c:catAx>
      <c:valAx>
        <c:axId val="165732352"/>
        <c:scaling>
          <c:orientation val="minMax"/>
        </c:scaling>
        <c:delete val="0"/>
        <c:axPos val="l"/>
        <c:majorGridlines>
          <c:spPr>
            <a:ln>
              <a:solidFill>
                <a:sysClr val="windowText" lastClr="000000">
                  <a:tint val="75000"/>
                  <a:shade val="95000"/>
                  <a:satMod val="105000"/>
                </a:sysClr>
              </a:solidFill>
              <a:prstDash val="sysDot"/>
            </a:ln>
          </c:spPr>
        </c:majorGridlines>
        <c:numFmt formatCode="0%" sourceLinked="1"/>
        <c:majorTickMark val="out"/>
        <c:minorTickMark val="none"/>
        <c:tickLblPos val="nextTo"/>
        <c:spPr>
          <a:ln>
            <a:noFill/>
          </a:ln>
        </c:spPr>
        <c:crossAx val="165568000"/>
        <c:crosses val="autoZero"/>
        <c:crossBetween val="between"/>
      </c:valAx>
    </c:plotArea>
    <c:legend>
      <c:legendPos val="r"/>
      <c:layout>
        <c:manualLayout>
          <c:xMode val="edge"/>
          <c:yMode val="edge"/>
          <c:x val="0.78672627644032522"/>
          <c:y val="3.3965011695713768E-2"/>
          <c:w val="0.18775538225185967"/>
          <c:h val="0.89301837270341222"/>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'G13'!$C$5</c:f>
              <c:strCache>
                <c:ptCount val="1"/>
                <c:pt idx="0">
                  <c:v> veřejná škola</c:v>
                </c:pt>
              </c:strCache>
            </c:strRef>
          </c:tx>
          <c:spPr>
            <a:solidFill>
              <a:schemeClr val="accent6">
                <a:lumMod val="60000"/>
                <a:lumOff val="40000"/>
              </a:schemeClr>
            </a:solidFill>
            <a:ln>
              <a:solidFill>
                <a:schemeClr val="accent6">
                  <a:lumMod val="50000"/>
                </a:schemeClr>
              </a:solidFill>
            </a:ln>
          </c:spPr>
          <c:invertIfNegative val="0"/>
          <c:dLbls>
            <c:dLbl>
              <c:idx val="1"/>
              <c:delete val="1"/>
            </c:dLbl>
            <c:dLblPos val="inBase"/>
            <c:showLegendKey val="0"/>
            <c:showVal val="1"/>
            <c:showCatName val="0"/>
            <c:showSerName val="0"/>
            <c:showPercent val="0"/>
            <c:showBubbleSize val="0"/>
            <c:showLeaderLines val="0"/>
          </c:dLbls>
          <c:cat>
            <c:strRef>
              <c:f>'G13'!$B$6:$B$11</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'G13'!$C$6:$C$11</c:f>
              <c:numCache>
                <c:formatCode>0%</c:formatCode>
                <c:ptCount val="6"/>
                <c:pt idx="0">
                  <c:v>0.93599999999999994</c:v>
                </c:pt>
                <c:pt idx="1">
                  <c:v>0</c:v>
                </c:pt>
                <c:pt idx="2">
                  <c:v>0.95299999999999996</c:v>
                </c:pt>
                <c:pt idx="3">
                  <c:v>0.87599999999999989</c:v>
                </c:pt>
                <c:pt idx="4">
                  <c:v>0.94299999999999995</c:v>
                </c:pt>
                <c:pt idx="5">
                  <c:v>0.89300000000000002</c:v>
                </c:pt>
              </c:numCache>
            </c:numRef>
          </c:val>
        </c:ser>
        <c:ser>
          <c:idx val="1"/>
          <c:order val="1"/>
          <c:tx>
            <c:strRef>
              <c:f>'G13'!$D$5</c:f>
              <c:strCache>
                <c:ptCount val="1"/>
                <c:pt idx="0">
                  <c:v> soukromá škola</c:v>
                </c:pt>
              </c:strCache>
            </c:strRef>
          </c:tx>
          <c:spPr>
            <a:solidFill>
              <a:schemeClr val="accent5">
                <a:lumMod val="40000"/>
                <a:lumOff val="60000"/>
              </a:schemeClr>
            </a:solidFill>
            <a:ln>
              <a:solidFill>
                <a:schemeClr val="accent5">
                  <a:lumMod val="75000"/>
                </a:schemeClr>
              </a:solidFill>
            </a:ln>
          </c:spPr>
          <c:invertIfNegative val="0"/>
          <c:dLbls>
            <c:dLbl>
              <c:idx val="1"/>
              <c:delete val="1"/>
            </c:dLbl>
            <c:dLbl>
              <c:idx val="2"/>
              <c:layout>
                <c:manualLayout>
                  <c:x val="3.6569591480490795E-3"/>
                  <c:y val="0"/>
                </c:manualLayout>
              </c:layout>
              <c:dLblPos val="ctr"/>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'G13'!$B$6:$B$11</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'G13'!$D$6:$D$11</c:f>
              <c:numCache>
                <c:formatCode>0%</c:formatCode>
                <c:ptCount val="6"/>
                <c:pt idx="0">
                  <c:v>6.4000000000000001E-2</c:v>
                </c:pt>
                <c:pt idx="1">
                  <c:v>0</c:v>
                </c:pt>
                <c:pt idx="2">
                  <c:v>4.7E-2</c:v>
                </c:pt>
                <c:pt idx="3">
                  <c:v>0.124</c:v>
                </c:pt>
                <c:pt idx="4">
                  <c:v>5.7000000000000002E-2</c:v>
                </c:pt>
                <c:pt idx="5">
                  <c:v>0.107</c:v>
                </c:pt>
              </c:numCache>
            </c:numRef>
          </c:val>
        </c:ser>
        <c:dLbls>
          <c:showLegendKey val="0"/>
          <c:showVal val="0"/>
          <c:showCatName val="0"/>
          <c:showSerName val="0"/>
          <c:showPercent val="0"/>
          <c:showBubbleSize val="0"/>
        </c:dLbls>
        <c:gapWidth val="30"/>
        <c:overlap val="100"/>
        <c:axId val="166023168"/>
        <c:axId val="165734080"/>
      </c:barChart>
      <c:catAx>
        <c:axId val="166023168"/>
        <c:scaling>
          <c:orientation val="minMax"/>
        </c:scaling>
        <c:delete val="0"/>
        <c:axPos val="l"/>
        <c:majorTickMark val="out"/>
        <c:minorTickMark val="none"/>
        <c:tickLblPos val="nextTo"/>
        <c:spPr>
          <a:ln>
            <a:noFill/>
          </a:ln>
        </c:spPr>
        <c:crossAx val="165734080"/>
        <c:crosses val="autoZero"/>
        <c:auto val="1"/>
        <c:lblAlgn val="ctr"/>
        <c:lblOffset val="100"/>
        <c:noMultiLvlLbl val="0"/>
      </c:catAx>
      <c:valAx>
        <c:axId val="165734080"/>
        <c:scaling>
          <c:orientation val="minMax"/>
          <c:max val="1"/>
          <c:min val="0"/>
        </c:scaling>
        <c:delete val="1"/>
        <c:axPos val="b"/>
        <c:numFmt formatCode="0%" sourceLinked="1"/>
        <c:majorTickMark val="out"/>
        <c:minorTickMark val="none"/>
        <c:tickLblPos val="none"/>
        <c:crossAx val="166023168"/>
        <c:crosses val="autoZero"/>
        <c:crossBetween val="between"/>
      </c:valAx>
    </c:plotArea>
    <c:legend>
      <c:legendPos val="b"/>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'G14'!$C$3</c:f>
              <c:strCache>
                <c:ptCount val="1"/>
                <c:pt idx="0">
                  <c:v> prezenční studium</c:v>
                </c:pt>
              </c:strCache>
            </c:strRef>
          </c:tx>
          <c:spPr>
            <a:solidFill>
              <a:schemeClr val="accent2">
                <a:lumMod val="75000"/>
              </a:schemeClr>
            </a:solidFill>
            <a:ln>
              <a:solidFill>
                <a:schemeClr val="accent2">
                  <a:lumMod val="50000"/>
                </a:schemeClr>
              </a:solidFill>
            </a:ln>
          </c:spPr>
          <c:invertIfNegative val="0"/>
          <c:dLbls>
            <c:dLbl>
              <c:idx val="1"/>
              <c:delete val="1"/>
            </c:dLbl>
            <c:txPr>
              <a:bodyPr/>
              <a:lstStyle/>
              <a:p>
                <a:pPr>
                  <a:defRPr>
                    <a:solidFill>
                      <a:schemeClr val="bg1"/>
                    </a:solidFill>
                  </a:defRPr>
                </a:pPr>
                <a:endParaRPr lang="cs-CZ"/>
              </a:p>
            </c:txPr>
            <c:dLblPos val="inBase"/>
            <c:showLegendKey val="0"/>
            <c:showVal val="1"/>
            <c:showCatName val="0"/>
            <c:showSerName val="0"/>
            <c:showPercent val="0"/>
            <c:showBubbleSize val="0"/>
            <c:showLeaderLines val="0"/>
          </c:dLbls>
          <c:cat>
            <c:strRef>
              <c:f>'G14'!$B$4:$B$9</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'G14'!$C$4:$C$9</c:f>
              <c:numCache>
                <c:formatCode>0%</c:formatCode>
                <c:ptCount val="6"/>
                <c:pt idx="0">
                  <c:v>0.83</c:v>
                </c:pt>
                <c:pt idx="1">
                  <c:v>0</c:v>
                </c:pt>
                <c:pt idx="2">
                  <c:v>0.95799999999999996</c:v>
                </c:pt>
                <c:pt idx="3">
                  <c:v>0.39799999999999996</c:v>
                </c:pt>
                <c:pt idx="4">
                  <c:v>0.94400000000000006</c:v>
                </c:pt>
                <c:pt idx="5">
                  <c:v>0.17499999999999999</c:v>
                </c:pt>
              </c:numCache>
            </c:numRef>
          </c:val>
        </c:ser>
        <c:ser>
          <c:idx val="1"/>
          <c:order val="1"/>
          <c:tx>
            <c:strRef>
              <c:f>'G14'!$D$3</c:f>
              <c:strCache>
                <c:ptCount val="1"/>
                <c:pt idx="0">
                  <c:v> jiná forma studia než prezenční</c:v>
                </c:pt>
              </c:strCache>
            </c:strRef>
          </c:tx>
          <c:spPr>
            <a:solidFill>
              <a:schemeClr val="accent1">
                <a:lumMod val="20000"/>
                <a:lumOff val="80000"/>
              </a:schemeClr>
            </a:solidFill>
            <a:ln>
              <a:solidFill>
                <a:schemeClr val="accent1">
                  <a:lumMod val="60000"/>
                  <a:lumOff val="40000"/>
                </a:schemeClr>
              </a:solidFill>
            </a:ln>
          </c:spPr>
          <c:invertIfNegative val="0"/>
          <c:dLbls>
            <c:dLbl>
              <c:idx val="1"/>
              <c:delete val="1"/>
            </c:dLbl>
            <c:dLbl>
              <c:idx val="2"/>
              <c:layout>
                <c:manualLayout>
                  <c:x val="5.4329536683738518E-4"/>
                  <c:y val="6.772486718710322E-17"/>
                </c:manualLayout>
              </c:layout>
              <c:dLblPos val="ctr"/>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'G14'!$B$4:$B$9</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'G14'!$D$4:$D$9</c:f>
              <c:numCache>
                <c:formatCode>0%</c:formatCode>
                <c:ptCount val="6"/>
                <c:pt idx="0">
                  <c:v>0.17</c:v>
                </c:pt>
                <c:pt idx="1">
                  <c:v>0</c:v>
                </c:pt>
                <c:pt idx="2">
                  <c:v>4.2000000000000003E-2</c:v>
                </c:pt>
                <c:pt idx="3">
                  <c:v>0.60199999999999998</c:v>
                </c:pt>
                <c:pt idx="4">
                  <c:v>5.5999999999999994E-2</c:v>
                </c:pt>
                <c:pt idx="5">
                  <c:v>0.82499999999999996</c:v>
                </c:pt>
              </c:numCache>
            </c:numRef>
          </c:val>
        </c:ser>
        <c:dLbls>
          <c:showLegendKey val="0"/>
          <c:showVal val="0"/>
          <c:showCatName val="0"/>
          <c:showSerName val="0"/>
          <c:showPercent val="0"/>
          <c:showBubbleSize val="0"/>
        </c:dLbls>
        <c:gapWidth val="30"/>
        <c:overlap val="100"/>
        <c:axId val="166024192"/>
        <c:axId val="165735808"/>
      </c:barChart>
      <c:catAx>
        <c:axId val="166024192"/>
        <c:scaling>
          <c:orientation val="minMax"/>
        </c:scaling>
        <c:delete val="0"/>
        <c:axPos val="l"/>
        <c:majorTickMark val="out"/>
        <c:minorTickMark val="none"/>
        <c:tickLblPos val="nextTo"/>
        <c:spPr>
          <a:ln>
            <a:noFill/>
          </a:ln>
        </c:spPr>
        <c:crossAx val="165735808"/>
        <c:crosses val="autoZero"/>
        <c:auto val="1"/>
        <c:lblAlgn val="ctr"/>
        <c:lblOffset val="100"/>
        <c:noMultiLvlLbl val="0"/>
      </c:catAx>
      <c:valAx>
        <c:axId val="165735808"/>
        <c:scaling>
          <c:orientation val="minMax"/>
        </c:scaling>
        <c:delete val="1"/>
        <c:axPos val="b"/>
        <c:numFmt formatCode="0%" sourceLinked="1"/>
        <c:majorTickMark val="out"/>
        <c:minorTickMark val="none"/>
        <c:tickLblPos val="none"/>
        <c:crossAx val="166024192"/>
        <c:crosses val="autoZero"/>
        <c:crossBetween val="between"/>
      </c:valAx>
    </c:plotArea>
    <c:legend>
      <c:legendPos val="b"/>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lineChart>
        <c:grouping val="standard"/>
        <c:varyColors val="0"/>
        <c:ser>
          <c:idx val="0"/>
          <c:order val="0"/>
          <c:tx>
            <c:strRef>
              <c:f>'G15'!$H$4</c:f>
              <c:strCache>
                <c:ptCount val="1"/>
                <c:pt idx="0">
                  <c:v> 18–69 let </c:v>
                </c:pt>
              </c:strCache>
            </c:strRef>
          </c:tx>
          <c:spPr>
            <a:ln>
              <a:solidFill>
                <a:schemeClr val="tx2">
                  <a:lumMod val="75000"/>
                </a:schemeClr>
              </a:solidFill>
            </a:ln>
          </c:spPr>
          <c:marker>
            <c:symbol val="none"/>
          </c:marker>
          <c:dLbls>
            <c:numFmt formatCode="0%" sourceLinked="0"/>
            <c:dLblPos val="b"/>
            <c:showLegendKey val="0"/>
            <c:showVal val="1"/>
            <c:showCatName val="0"/>
            <c:showSerName val="0"/>
            <c:showPercent val="0"/>
            <c:showBubbleSize val="0"/>
            <c:showLeaderLines val="0"/>
          </c:dLbls>
          <c:cat>
            <c:numRef>
              <c:f>'G15'!$I$3:$K$3</c:f>
              <c:numCache>
                <c:formatCode>General</c:formatCode>
                <c:ptCount val="3"/>
                <c:pt idx="0">
                  <c:v>2007</c:v>
                </c:pt>
                <c:pt idx="1">
                  <c:v>2011</c:v>
                </c:pt>
                <c:pt idx="2">
                  <c:v>2016</c:v>
                </c:pt>
              </c:numCache>
            </c:numRef>
          </c:cat>
          <c:val>
            <c:numRef>
              <c:f>'G15'!$I$4:$K$4</c:f>
              <c:numCache>
                <c:formatCode>General</c:formatCode>
                <c:ptCount val="3"/>
                <c:pt idx="1">
                  <c:v>0.32</c:v>
                </c:pt>
                <c:pt idx="2">
                  <c:v>0.4</c:v>
                </c:pt>
              </c:numCache>
            </c:numRef>
          </c:val>
          <c:smooth val="0"/>
        </c:ser>
        <c:ser>
          <c:idx val="1"/>
          <c:order val="1"/>
          <c:tx>
            <c:strRef>
              <c:f>'G15'!$H$5</c:f>
              <c:strCache>
                <c:ptCount val="1"/>
                <c:pt idx="0">
                  <c:v> 25–64 let</c:v>
                </c:pt>
              </c:strCache>
            </c:strRef>
          </c:tx>
          <c:spPr>
            <a:ln>
              <a:solidFill>
                <a:schemeClr val="accent1"/>
              </a:solidFill>
            </a:ln>
          </c:spPr>
          <c:marker>
            <c:symbol val="none"/>
          </c:marker>
          <c:dLbls>
            <c:numFmt formatCode="0%" sourceLinked="0"/>
            <c:dLblPos val="t"/>
            <c:showLegendKey val="0"/>
            <c:showVal val="1"/>
            <c:showCatName val="0"/>
            <c:showSerName val="0"/>
            <c:showPercent val="0"/>
            <c:showBubbleSize val="0"/>
            <c:showLeaderLines val="0"/>
          </c:dLbls>
          <c:cat>
            <c:numRef>
              <c:f>'G15'!$I$3:$K$3</c:f>
              <c:numCache>
                <c:formatCode>General</c:formatCode>
                <c:ptCount val="3"/>
                <c:pt idx="0">
                  <c:v>2007</c:v>
                </c:pt>
                <c:pt idx="1">
                  <c:v>2011</c:v>
                </c:pt>
                <c:pt idx="2">
                  <c:v>2016</c:v>
                </c:pt>
              </c:numCache>
            </c:numRef>
          </c:cat>
          <c:val>
            <c:numRef>
              <c:f>'G15'!$I$5:$K$5</c:f>
              <c:numCache>
                <c:formatCode>General</c:formatCode>
                <c:ptCount val="3"/>
                <c:pt idx="0">
                  <c:v>0.35</c:v>
                </c:pt>
                <c:pt idx="1">
                  <c:v>0.35</c:v>
                </c:pt>
                <c:pt idx="2">
                  <c:v>0.45</c:v>
                </c:pt>
              </c:numCache>
            </c:numRef>
          </c:val>
          <c:smooth val="0"/>
        </c:ser>
        <c:dLbls>
          <c:showLegendKey val="0"/>
          <c:showVal val="0"/>
          <c:showCatName val="0"/>
          <c:showSerName val="0"/>
          <c:showPercent val="0"/>
          <c:showBubbleSize val="0"/>
        </c:dLbls>
        <c:marker val="1"/>
        <c:smooth val="0"/>
        <c:axId val="166024704"/>
        <c:axId val="165737536"/>
      </c:lineChart>
      <c:catAx>
        <c:axId val="166024704"/>
        <c:scaling>
          <c:orientation val="minMax"/>
        </c:scaling>
        <c:delete val="0"/>
        <c:axPos val="b"/>
        <c:numFmt formatCode="General" sourceLinked="1"/>
        <c:majorTickMark val="none"/>
        <c:minorTickMark val="none"/>
        <c:tickLblPos val="nextTo"/>
        <c:crossAx val="165737536"/>
        <c:crosses val="autoZero"/>
        <c:auto val="1"/>
        <c:lblAlgn val="ctr"/>
        <c:lblOffset val="100"/>
        <c:noMultiLvlLbl val="0"/>
      </c:catAx>
      <c:valAx>
        <c:axId val="165737536"/>
        <c:scaling>
          <c:orientation val="minMax"/>
          <c:max val="0.5"/>
          <c:min val="0"/>
        </c:scaling>
        <c:delete val="0"/>
        <c:axPos val="l"/>
        <c:numFmt formatCode="0%" sourceLinked="0"/>
        <c:majorTickMark val="out"/>
        <c:minorTickMark val="none"/>
        <c:tickLblPos val="nextTo"/>
        <c:spPr>
          <a:ln>
            <a:prstDash val="sysDot"/>
          </a:ln>
        </c:spPr>
        <c:crossAx val="166024704"/>
        <c:crosses val="autoZero"/>
        <c:crossBetween val="between"/>
        <c:majorUnit val="0.1"/>
      </c:valAx>
    </c:plotArea>
    <c:legend>
      <c:legendPos val="r"/>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1"/>
          <c:tx>
            <c:strRef>
              <c:f>'G16'!$H$4</c:f>
              <c:strCache>
                <c:ptCount val="1"/>
                <c:pt idx="0">
                  <c:v> celková účast v neformální vzdělávání</c:v>
                </c:pt>
              </c:strCache>
            </c:strRef>
          </c:tx>
          <c:spPr>
            <a:solidFill>
              <a:schemeClr val="accent3">
                <a:lumMod val="60000"/>
                <a:lumOff val="40000"/>
              </a:schemeClr>
            </a:solidFill>
            <a:ln>
              <a:solidFill>
                <a:schemeClr val="accent3">
                  <a:lumMod val="50000"/>
                </a:schemeClr>
              </a:solidFill>
            </a:ln>
          </c:spPr>
          <c:invertIfNegative val="0"/>
          <c:dPt>
            <c:idx val="12"/>
            <c:invertIfNegative val="0"/>
            <c:bubble3D val="0"/>
            <c:spPr>
              <a:solidFill>
                <a:schemeClr val="accent3">
                  <a:lumMod val="75000"/>
                </a:schemeClr>
              </a:solidFill>
              <a:ln>
                <a:solidFill>
                  <a:schemeClr val="accent3">
                    <a:lumMod val="50000"/>
                  </a:schemeClr>
                </a:solidFill>
              </a:ln>
            </c:spPr>
          </c:dPt>
          <c:cat>
            <c:strRef>
              <c:f>'G16'!$F$15:$F$39</c:f>
              <c:strCache>
                <c:ptCount val="25"/>
                <c:pt idx="0">
                  <c:v>Švýcarsko</c:v>
                </c:pt>
                <c:pt idx="1">
                  <c:v>Nizozemí</c:v>
                </c:pt>
                <c:pt idx="2">
                  <c:v>Rakousko</c:v>
                </c:pt>
                <c:pt idx="3">
                  <c:v>Švédsko</c:v>
                </c:pt>
                <c:pt idx="4">
                  <c:v>Norsko</c:v>
                </c:pt>
                <c:pt idx="5">
                  <c:v>Německo</c:v>
                </c:pt>
                <c:pt idx="6">
                  <c:v>Finsko</c:v>
                </c:pt>
                <c:pt idx="7">
                  <c:v>Spojené království</c:v>
                </c:pt>
                <c:pt idx="8">
                  <c:v>Kypr</c:v>
                </c:pt>
                <c:pt idx="9">
                  <c:v>Lotyšsko</c:v>
                </c:pt>
                <c:pt idx="10">
                  <c:v>Lucembursko</c:v>
                </c:pt>
                <c:pt idx="11">
                  <c:v>Slovensko</c:v>
                </c:pt>
                <c:pt idx="12">
                  <c:v>Česká republika</c:v>
                </c:pt>
                <c:pt idx="13">
                  <c:v>Portugalsko</c:v>
                </c:pt>
                <c:pt idx="14">
                  <c:v>Slovinsko</c:v>
                </c:pt>
                <c:pt idx="15">
                  <c:v>Španělsko</c:v>
                </c:pt>
                <c:pt idx="16">
                  <c:v>Malta</c:v>
                </c:pt>
                <c:pt idx="17">
                  <c:v>Chorvatsko</c:v>
                </c:pt>
                <c:pt idx="18">
                  <c:v>Litva</c:v>
                </c:pt>
                <c:pt idx="19">
                  <c:v>Bulharsko</c:v>
                </c:pt>
                <c:pt idx="20">
                  <c:v>Polsko</c:v>
                </c:pt>
                <c:pt idx="21">
                  <c:v>Srbsko</c:v>
                </c:pt>
                <c:pt idx="22">
                  <c:v>Řecko</c:v>
                </c:pt>
                <c:pt idx="23">
                  <c:v>Makedonie</c:v>
                </c:pt>
                <c:pt idx="24">
                  <c:v>Rumunsko</c:v>
                </c:pt>
              </c:strCache>
            </c:strRef>
          </c:cat>
          <c:val>
            <c:numRef>
              <c:f>'G16'!$H$15:$H$39</c:f>
              <c:numCache>
                <c:formatCode>0.0%</c:formatCode>
                <c:ptCount val="25"/>
                <c:pt idx="0">
                  <c:v>0.67500000000000004</c:v>
                </c:pt>
                <c:pt idx="1">
                  <c:v>0.61499999999999999</c:v>
                </c:pt>
                <c:pt idx="2">
                  <c:v>0.58399999999999996</c:v>
                </c:pt>
                <c:pt idx="3">
                  <c:v>0.56499999999999995</c:v>
                </c:pt>
                <c:pt idx="4">
                  <c:v>0.54899999999999993</c:v>
                </c:pt>
                <c:pt idx="5">
                  <c:v>0.502</c:v>
                </c:pt>
                <c:pt idx="6">
                  <c:v>0.47899999999999998</c:v>
                </c:pt>
                <c:pt idx="7">
                  <c:v>0.47499999999999998</c:v>
                </c:pt>
                <c:pt idx="8">
                  <c:v>0.47200000000000003</c:v>
                </c:pt>
                <c:pt idx="9">
                  <c:v>0.45700000000000002</c:v>
                </c:pt>
                <c:pt idx="10">
                  <c:v>0.45299999999999996</c:v>
                </c:pt>
                <c:pt idx="11">
                  <c:v>0.45</c:v>
                </c:pt>
                <c:pt idx="12">
                  <c:v>0.44600000000000001</c:v>
                </c:pt>
                <c:pt idx="13">
                  <c:v>0.44400000000000001</c:v>
                </c:pt>
                <c:pt idx="14">
                  <c:v>0.436</c:v>
                </c:pt>
                <c:pt idx="15">
                  <c:v>0.39100000000000001</c:v>
                </c:pt>
                <c:pt idx="16">
                  <c:v>0.33799999999999997</c:v>
                </c:pt>
                <c:pt idx="17">
                  <c:v>0.29799999999999999</c:v>
                </c:pt>
                <c:pt idx="18">
                  <c:v>0.26500000000000001</c:v>
                </c:pt>
                <c:pt idx="19">
                  <c:v>0.22500000000000001</c:v>
                </c:pt>
                <c:pt idx="20">
                  <c:v>0.222</c:v>
                </c:pt>
                <c:pt idx="21">
                  <c:v>0.182</c:v>
                </c:pt>
                <c:pt idx="22">
                  <c:v>0.14000000000000001</c:v>
                </c:pt>
                <c:pt idx="23">
                  <c:v>0.10400000000000001</c:v>
                </c:pt>
                <c:pt idx="24">
                  <c:v>5.5999999999999994E-2</c:v>
                </c:pt>
              </c:numCache>
            </c:numRef>
          </c:val>
        </c:ser>
        <c:dLbls>
          <c:showLegendKey val="0"/>
          <c:showVal val="0"/>
          <c:showCatName val="0"/>
          <c:showSerName val="0"/>
          <c:showPercent val="0"/>
          <c:showBubbleSize val="0"/>
        </c:dLbls>
        <c:gapWidth val="150"/>
        <c:axId val="166025216"/>
        <c:axId val="163890880"/>
      </c:barChart>
      <c:scatterChart>
        <c:scatterStyle val="lineMarker"/>
        <c:varyColors val="0"/>
        <c:ser>
          <c:idx val="1"/>
          <c:order val="0"/>
          <c:tx>
            <c:strRef>
              <c:f>'G16'!$G$4</c:f>
              <c:strCache>
                <c:ptCount val="1"/>
                <c:pt idx="0">
                  <c:v> průměrný počet hodin na účastníka ročně</c:v>
                </c:pt>
              </c:strCache>
            </c:strRef>
          </c:tx>
          <c:spPr>
            <a:ln w="28575">
              <a:noFill/>
            </a:ln>
            <a:effectLst/>
          </c:spPr>
          <c:marker>
            <c:symbol val="circle"/>
            <c:size val="7"/>
            <c:spPr>
              <a:solidFill>
                <a:schemeClr val="tx1"/>
              </a:solidFill>
              <a:ln>
                <a:solidFill>
                  <a:schemeClr val="tx1"/>
                </a:solidFill>
              </a:ln>
              <a:effectLst/>
            </c:spPr>
          </c:marker>
          <c:dPt>
            <c:idx val="12"/>
            <c:marker>
              <c:symbol val="circle"/>
              <c:size val="12"/>
              <c:spPr>
                <a:solidFill>
                  <a:schemeClr val="tx1"/>
                </a:solidFill>
                <a:ln w="63500">
                  <a:solidFill>
                    <a:srgbClr val="92D050"/>
                  </a:solidFill>
                </a:ln>
                <a:effectLst/>
              </c:spPr>
            </c:marker>
            <c:bubble3D val="0"/>
          </c:dPt>
          <c:xVal>
            <c:strRef>
              <c:f>'G16'!$F$15:$F$39</c:f>
              <c:strCache>
                <c:ptCount val="25"/>
                <c:pt idx="0">
                  <c:v>Švýcarsko</c:v>
                </c:pt>
                <c:pt idx="1">
                  <c:v>Nizozemí</c:v>
                </c:pt>
                <c:pt idx="2">
                  <c:v>Rakousko</c:v>
                </c:pt>
                <c:pt idx="3">
                  <c:v>Švédsko</c:v>
                </c:pt>
                <c:pt idx="4">
                  <c:v>Norsko</c:v>
                </c:pt>
                <c:pt idx="5">
                  <c:v>Německo</c:v>
                </c:pt>
                <c:pt idx="6">
                  <c:v>Finsko</c:v>
                </c:pt>
                <c:pt idx="7">
                  <c:v>Spojené království</c:v>
                </c:pt>
                <c:pt idx="8">
                  <c:v>Kypr</c:v>
                </c:pt>
                <c:pt idx="9">
                  <c:v>Lotyšsko</c:v>
                </c:pt>
                <c:pt idx="10">
                  <c:v>Lucembursko</c:v>
                </c:pt>
                <c:pt idx="11">
                  <c:v>Slovensko</c:v>
                </c:pt>
                <c:pt idx="12">
                  <c:v>Česká republika</c:v>
                </c:pt>
                <c:pt idx="13">
                  <c:v>Portugalsko</c:v>
                </c:pt>
                <c:pt idx="14">
                  <c:v>Slovinsko</c:v>
                </c:pt>
                <c:pt idx="15">
                  <c:v>Španělsko</c:v>
                </c:pt>
                <c:pt idx="16">
                  <c:v>Malta</c:v>
                </c:pt>
                <c:pt idx="17">
                  <c:v>Chorvatsko</c:v>
                </c:pt>
                <c:pt idx="18">
                  <c:v>Litva</c:v>
                </c:pt>
                <c:pt idx="19">
                  <c:v>Bulharsko</c:v>
                </c:pt>
                <c:pt idx="20">
                  <c:v>Polsko</c:v>
                </c:pt>
                <c:pt idx="21">
                  <c:v>Srbsko</c:v>
                </c:pt>
                <c:pt idx="22">
                  <c:v>Řecko</c:v>
                </c:pt>
                <c:pt idx="23">
                  <c:v>Makedonie</c:v>
                </c:pt>
                <c:pt idx="24">
                  <c:v>Rumunsko</c:v>
                </c:pt>
              </c:strCache>
            </c:strRef>
          </c:xVal>
          <c:yVal>
            <c:numRef>
              <c:f>'G16'!$G$15:$G$39</c:f>
              <c:numCache>
                <c:formatCode>#,##0</c:formatCode>
                <c:ptCount val="25"/>
                <c:pt idx="0">
                  <c:v>71</c:v>
                </c:pt>
                <c:pt idx="1">
                  <c:v>62</c:v>
                </c:pt>
                <c:pt idx="2">
                  <c:v>87</c:v>
                </c:pt>
                <c:pt idx="3">
                  <c:v>56</c:v>
                </c:pt>
                <c:pt idx="4">
                  <c:v>50</c:v>
                </c:pt>
                <c:pt idx="5">
                  <c:v>68</c:v>
                </c:pt>
                <c:pt idx="6">
                  <c:v>76</c:v>
                </c:pt>
                <c:pt idx="7">
                  <c:v>91</c:v>
                </c:pt>
                <c:pt idx="8">
                  <c:v>48</c:v>
                </c:pt>
                <c:pt idx="9">
                  <c:v>76</c:v>
                </c:pt>
                <c:pt idx="10">
                  <c:v>78</c:v>
                </c:pt>
                <c:pt idx="11">
                  <c:v>36</c:v>
                </c:pt>
                <c:pt idx="12">
                  <c:v>35</c:v>
                </c:pt>
                <c:pt idx="13">
                  <c:v>80</c:v>
                </c:pt>
                <c:pt idx="14">
                  <c:v>142</c:v>
                </c:pt>
                <c:pt idx="15">
                  <c:v>106</c:v>
                </c:pt>
                <c:pt idx="16">
                  <c:v>82</c:v>
                </c:pt>
                <c:pt idx="17">
                  <c:v>72</c:v>
                </c:pt>
                <c:pt idx="18">
                  <c:v>42</c:v>
                </c:pt>
                <c:pt idx="19">
                  <c:v>59</c:v>
                </c:pt>
                <c:pt idx="20">
                  <c:v>76</c:v>
                </c:pt>
                <c:pt idx="21">
                  <c:v>36</c:v>
                </c:pt>
                <c:pt idx="22">
                  <c:v>63</c:v>
                </c:pt>
                <c:pt idx="23">
                  <c:v>64</c:v>
                </c:pt>
                <c:pt idx="24">
                  <c:v>37</c:v>
                </c:pt>
              </c:numCache>
            </c:numRef>
          </c:yVal>
          <c:smooth val="0"/>
        </c:ser>
        <c:dLbls>
          <c:showLegendKey val="0"/>
          <c:showVal val="0"/>
          <c:showCatName val="0"/>
          <c:showSerName val="0"/>
          <c:showPercent val="0"/>
          <c:showBubbleSize val="0"/>
        </c:dLbls>
        <c:axId val="165739264"/>
        <c:axId val="165738688"/>
      </c:scatterChart>
      <c:catAx>
        <c:axId val="166025216"/>
        <c:scaling>
          <c:orientation val="minMax"/>
        </c:scaling>
        <c:delete val="0"/>
        <c:axPos val="b"/>
        <c:numFmt formatCode="General" sourceLinked="1"/>
        <c:majorTickMark val="none"/>
        <c:minorTickMark val="none"/>
        <c:tickLblPos val="nextTo"/>
        <c:crossAx val="163890880"/>
        <c:crosses val="autoZero"/>
        <c:auto val="1"/>
        <c:lblAlgn val="ctr"/>
        <c:lblOffset val="100"/>
        <c:noMultiLvlLbl val="0"/>
      </c:catAx>
      <c:valAx>
        <c:axId val="163890880"/>
        <c:scaling>
          <c:orientation val="minMax"/>
          <c:max val="0.8"/>
          <c:min val="0"/>
        </c:scaling>
        <c:delete val="0"/>
        <c:axPos val="l"/>
        <c:majorGridlines>
          <c:spPr>
            <a:ln>
              <a:prstDash val="sysDot"/>
            </a:ln>
          </c:spPr>
        </c:majorGridlines>
        <c:title>
          <c:tx>
            <c:rich>
              <a:bodyPr rot="-5400000" vert="horz"/>
              <a:lstStyle/>
              <a:p>
                <a:pPr>
                  <a:defRPr b="0"/>
                </a:pPr>
                <a:r>
                  <a:rPr lang="en-US" b="0"/>
                  <a:t>účast </a:t>
                </a:r>
              </a:p>
            </c:rich>
          </c:tx>
          <c:layout>
            <c:manualLayout>
              <c:xMode val="edge"/>
              <c:yMode val="edge"/>
              <c:x val="1.2313771783311774E-2"/>
              <c:y val="0.3659874532884328"/>
            </c:manualLayout>
          </c:layout>
          <c:overlay val="0"/>
        </c:title>
        <c:numFmt formatCode="0%" sourceLinked="0"/>
        <c:majorTickMark val="none"/>
        <c:minorTickMark val="none"/>
        <c:tickLblPos val="nextTo"/>
        <c:spPr>
          <a:ln w="9525">
            <a:noFill/>
          </a:ln>
        </c:spPr>
        <c:crossAx val="166025216"/>
        <c:crosses val="autoZero"/>
        <c:crossBetween val="between"/>
      </c:valAx>
      <c:valAx>
        <c:axId val="165738688"/>
        <c:scaling>
          <c:orientation val="minMax"/>
          <c:max val="160"/>
          <c:min val="0"/>
        </c:scaling>
        <c:delete val="0"/>
        <c:axPos val="r"/>
        <c:title>
          <c:tx>
            <c:rich>
              <a:bodyPr rot="-5400000" vert="horz"/>
              <a:lstStyle/>
              <a:p>
                <a:pPr>
                  <a:defRPr b="0"/>
                </a:pPr>
                <a:r>
                  <a:rPr lang="en-US" b="0"/>
                  <a:t>průměrný počet hodin</a:t>
                </a:r>
              </a:p>
            </c:rich>
          </c:tx>
          <c:layout>
            <c:manualLayout>
              <c:xMode val="edge"/>
              <c:yMode val="edge"/>
              <c:x val="0.96130773127043334"/>
              <c:y val="0.25317244648562792"/>
            </c:manualLayout>
          </c:layout>
          <c:overlay val="0"/>
        </c:title>
        <c:numFmt formatCode="#,##0" sourceLinked="1"/>
        <c:majorTickMark val="out"/>
        <c:minorTickMark val="none"/>
        <c:tickLblPos val="nextTo"/>
        <c:spPr>
          <a:ln>
            <a:noFill/>
          </a:ln>
        </c:spPr>
        <c:crossAx val="165739264"/>
        <c:crosses val="max"/>
        <c:crossBetween val="midCat"/>
      </c:valAx>
      <c:valAx>
        <c:axId val="165739264"/>
        <c:scaling>
          <c:orientation val="minMax"/>
        </c:scaling>
        <c:delete val="1"/>
        <c:axPos val="b"/>
        <c:numFmt formatCode="General" sourceLinked="1"/>
        <c:majorTickMark val="out"/>
        <c:minorTickMark val="none"/>
        <c:tickLblPos val="none"/>
        <c:crossAx val="165738688"/>
        <c:crosses val="autoZero"/>
        <c:crossBetween val="midCat"/>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1"/>
          <c:tx>
            <c:strRef>
              <c:f>'G2'!$E$46</c:f>
              <c:strCache>
                <c:ptCount val="1"/>
                <c:pt idx="0">
                  <c:v> v OFV mladší 25 let</c:v>
                </c:pt>
              </c:strCache>
            </c:strRef>
          </c:tx>
          <c:spPr>
            <a:solidFill>
              <a:schemeClr val="accent3">
                <a:lumMod val="60000"/>
                <a:lumOff val="40000"/>
              </a:schemeClr>
            </a:solidFill>
            <a:ln>
              <a:solidFill>
                <a:schemeClr val="accent3">
                  <a:lumMod val="50000"/>
                </a:schemeClr>
              </a:solidFill>
            </a:ln>
          </c:spPr>
          <c:invertIfNegative val="0"/>
          <c:cat>
            <c:multiLvlStrRef>
              <c:f>'G2'!$B$47:$C$69</c:f>
              <c:multiLvlStrCache>
                <c:ptCount val="23"/>
                <c:lvl>
                  <c:pt idx="0">
                    <c:v>2006/07</c:v>
                  </c:pt>
                  <c:pt idx="1">
                    <c:v>2007/08</c:v>
                  </c:pt>
                  <c:pt idx="2">
                    <c:v>2008/09</c:v>
                  </c:pt>
                  <c:pt idx="3">
                    <c:v>2009/10</c:v>
                  </c:pt>
                  <c:pt idx="4">
                    <c:v>2010/11</c:v>
                  </c:pt>
                  <c:pt idx="5">
                    <c:v>2011/12</c:v>
                  </c:pt>
                  <c:pt idx="6">
                    <c:v>2012/13</c:v>
                  </c:pt>
                  <c:pt idx="7">
                    <c:v>2013/14</c:v>
                  </c:pt>
                  <c:pt idx="8">
                    <c:v>2014/15</c:v>
                  </c:pt>
                  <c:pt idx="9">
                    <c:v>2015/16</c:v>
                  </c:pt>
                  <c:pt idx="10">
                    <c:v>2016/17</c:v>
                  </c:pt>
                  <c:pt idx="12">
                    <c:v>2006/07</c:v>
                  </c:pt>
                  <c:pt idx="13">
                    <c:v>2007/08</c:v>
                  </c:pt>
                  <c:pt idx="14">
                    <c:v>2008/09</c:v>
                  </c:pt>
                  <c:pt idx="15">
                    <c:v>2009/10</c:v>
                  </c:pt>
                  <c:pt idx="16">
                    <c:v>2010/11</c:v>
                  </c:pt>
                  <c:pt idx="17">
                    <c:v>2011/12</c:v>
                  </c:pt>
                  <c:pt idx="18">
                    <c:v>2012/13</c:v>
                  </c:pt>
                  <c:pt idx="19">
                    <c:v>2013/14</c:v>
                  </c:pt>
                  <c:pt idx="20">
                    <c:v>2014/15</c:v>
                  </c:pt>
                  <c:pt idx="21">
                    <c:v>2015/16</c:v>
                  </c:pt>
                  <c:pt idx="22">
                    <c:v>2016/17</c:v>
                  </c:pt>
                </c:lvl>
                <c:lvl>
                  <c:pt idx="0">
                    <c:v>muži</c:v>
                  </c:pt>
                  <c:pt idx="12">
                    <c:v>ženy</c:v>
                  </c:pt>
                </c:lvl>
              </c:multiLvlStrCache>
            </c:multiLvlStrRef>
          </c:cat>
          <c:val>
            <c:numRef>
              <c:f>'G2'!$E$47:$E$69</c:f>
              <c:numCache>
                <c:formatCode>General</c:formatCode>
                <c:ptCount val="23"/>
                <c:pt idx="0">
                  <c:v>5393</c:v>
                </c:pt>
                <c:pt idx="1">
                  <c:v>5021</c:v>
                </c:pt>
                <c:pt idx="2">
                  <c:v>5039</c:v>
                </c:pt>
                <c:pt idx="3">
                  <c:v>4941</c:v>
                </c:pt>
                <c:pt idx="4">
                  <c:v>4590</c:v>
                </c:pt>
                <c:pt idx="5">
                  <c:v>3636</c:v>
                </c:pt>
                <c:pt idx="6">
                  <c:v>3197</c:v>
                </c:pt>
                <c:pt idx="7">
                  <c:v>3163</c:v>
                </c:pt>
                <c:pt idx="8">
                  <c:v>2709</c:v>
                </c:pt>
                <c:pt idx="9">
                  <c:v>2654</c:v>
                </c:pt>
                <c:pt idx="10">
                  <c:v>2622</c:v>
                </c:pt>
                <c:pt idx="12">
                  <c:v>4818</c:v>
                </c:pt>
                <c:pt idx="13">
                  <c:v>4686</c:v>
                </c:pt>
                <c:pt idx="14">
                  <c:v>4762</c:v>
                </c:pt>
                <c:pt idx="15">
                  <c:v>4587</c:v>
                </c:pt>
                <c:pt idx="16">
                  <c:v>4283</c:v>
                </c:pt>
                <c:pt idx="17">
                  <c:v>3804</c:v>
                </c:pt>
                <c:pt idx="18">
                  <c:v>3680</c:v>
                </c:pt>
                <c:pt idx="19">
                  <c:v>3444</c:v>
                </c:pt>
                <c:pt idx="20">
                  <c:v>3259</c:v>
                </c:pt>
                <c:pt idx="21">
                  <c:v>3021</c:v>
                </c:pt>
                <c:pt idx="22">
                  <c:v>3095</c:v>
                </c:pt>
              </c:numCache>
            </c:numRef>
          </c:val>
        </c:ser>
        <c:ser>
          <c:idx val="2"/>
          <c:order val="2"/>
          <c:tx>
            <c:strRef>
              <c:f>'G2'!$F$46</c:f>
              <c:strCache>
                <c:ptCount val="1"/>
                <c:pt idx="0">
                  <c:v> v OFV starší 25 let (včetně)</c:v>
                </c:pt>
              </c:strCache>
            </c:strRef>
          </c:tx>
          <c:spPr>
            <a:solidFill>
              <a:schemeClr val="accent6">
                <a:lumMod val="60000"/>
                <a:lumOff val="40000"/>
              </a:schemeClr>
            </a:solidFill>
            <a:ln>
              <a:solidFill>
                <a:schemeClr val="accent6">
                  <a:lumMod val="50000"/>
                </a:schemeClr>
              </a:solidFill>
            </a:ln>
          </c:spPr>
          <c:invertIfNegative val="0"/>
          <c:cat>
            <c:multiLvlStrRef>
              <c:f>'G2'!$B$47:$C$69</c:f>
              <c:multiLvlStrCache>
                <c:ptCount val="23"/>
                <c:lvl>
                  <c:pt idx="0">
                    <c:v>2006/07</c:v>
                  </c:pt>
                  <c:pt idx="1">
                    <c:v>2007/08</c:v>
                  </c:pt>
                  <c:pt idx="2">
                    <c:v>2008/09</c:v>
                  </c:pt>
                  <c:pt idx="3">
                    <c:v>2009/10</c:v>
                  </c:pt>
                  <c:pt idx="4">
                    <c:v>2010/11</c:v>
                  </c:pt>
                  <c:pt idx="5">
                    <c:v>2011/12</c:v>
                  </c:pt>
                  <c:pt idx="6">
                    <c:v>2012/13</c:v>
                  </c:pt>
                  <c:pt idx="7">
                    <c:v>2013/14</c:v>
                  </c:pt>
                  <c:pt idx="8">
                    <c:v>2014/15</c:v>
                  </c:pt>
                  <c:pt idx="9">
                    <c:v>2015/16</c:v>
                  </c:pt>
                  <c:pt idx="10">
                    <c:v>2016/17</c:v>
                  </c:pt>
                  <c:pt idx="12">
                    <c:v>2006/07</c:v>
                  </c:pt>
                  <c:pt idx="13">
                    <c:v>2007/08</c:v>
                  </c:pt>
                  <c:pt idx="14">
                    <c:v>2008/09</c:v>
                  </c:pt>
                  <c:pt idx="15">
                    <c:v>2009/10</c:v>
                  </c:pt>
                  <c:pt idx="16">
                    <c:v>2010/11</c:v>
                  </c:pt>
                  <c:pt idx="17">
                    <c:v>2011/12</c:v>
                  </c:pt>
                  <c:pt idx="18">
                    <c:v>2012/13</c:v>
                  </c:pt>
                  <c:pt idx="19">
                    <c:v>2013/14</c:v>
                  </c:pt>
                  <c:pt idx="20">
                    <c:v>2014/15</c:v>
                  </c:pt>
                  <c:pt idx="21">
                    <c:v>2015/16</c:v>
                  </c:pt>
                  <c:pt idx="22">
                    <c:v>2016/17</c:v>
                  </c:pt>
                </c:lvl>
                <c:lvl>
                  <c:pt idx="0">
                    <c:v>muži</c:v>
                  </c:pt>
                  <c:pt idx="12">
                    <c:v>ženy</c:v>
                  </c:pt>
                </c:lvl>
              </c:multiLvlStrCache>
            </c:multiLvlStrRef>
          </c:cat>
          <c:val>
            <c:numRef>
              <c:f>'G2'!$F$47:$F$69</c:f>
              <c:numCache>
                <c:formatCode>General</c:formatCode>
                <c:ptCount val="23"/>
                <c:pt idx="0">
                  <c:v>10857</c:v>
                </c:pt>
                <c:pt idx="1">
                  <c:v>11280</c:v>
                </c:pt>
                <c:pt idx="2">
                  <c:v>11855</c:v>
                </c:pt>
                <c:pt idx="3">
                  <c:v>11617</c:v>
                </c:pt>
                <c:pt idx="4">
                  <c:v>11509</c:v>
                </c:pt>
                <c:pt idx="5">
                  <c:v>9908</c:v>
                </c:pt>
                <c:pt idx="6">
                  <c:v>8216</c:v>
                </c:pt>
                <c:pt idx="7">
                  <c:v>7471</c:v>
                </c:pt>
                <c:pt idx="8">
                  <c:v>6670</c:v>
                </c:pt>
                <c:pt idx="9">
                  <c:v>6510</c:v>
                </c:pt>
                <c:pt idx="10">
                  <c:v>6282</c:v>
                </c:pt>
                <c:pt idx="12">
                  <c:v>13747</c:v>
                </c:pt>
                <c:pt idx="13">
                  <c:v>14340</c:v>
                </c:pt>
                <c:pt idx="14">
                  <c:v>15625</c:v>
                </c:pt>
                <c:pt idx="15">
                  <c:v>15647</c:v>
                </c:pt>
                <c:pt idx="16">
                  <c:v>15570</c:v>
                </c:pt>
                <c:pt idx="17">
                  <c:v>13525</c:v>
                </c:pt>
                <c:pt idx="18">
                  <c:v>11940</c:v>
                </c:pt>
                <c:pt idx="19">
                  <c:v>10851</c:v>
                </c:pt>
                <c:pt idx="20">
                  <c:v>10372</c:v>
                </c:pt>
                <c:pt idx="21">
                  <c:v>9291</c:v>
                </c:pt>
                <c:pt idx="22">
                  <c:v>8759</c:v>
                </c:pt>
              </c:numCache>
            </c:numRef>
          </c:val>
        </c:ser>
        <c:dLbls>
          <c:showLegendKey val="0"/>
          <c:showVal val="0"/>
          <c:showCatName val="0"/>
          <c:showSerName val="0"/>
          <c:showPercent val="0"/>
          <c:showBubbleSize val="0"/>
        </c:dLbls>
        <c:gapWidth val="108"/>
        <c:overlap val="100"/>
        <c:axId val="160916992"/>
        <c:axId val="148300352"/>
      </c:barChart>
      <c:barChart>
        <c:barDir val="col"/>
        <c:grouping val="clustered"/>
        <c:varyColors val="0"/>
        <c:ser>
          <c:idx val="0"/>
          <c:order val="0"/>
          <c:tx>
            <c:strRef>
              <c:f>'G2'!$D$46</c:f>
              <c:strCache>
                <c:ptCount val="1"/>
                <c:pt idx="0">
                  <c:v> v denní formě starší 25 let (včetně)</c:v>
                </c:pt>
              </c:strCache>
            </c:strRef>
          </c:tx>
          <c:spPr>
            <a:solidFill>
              <a:schemeClr val="accent5">
                <a:lumMod val="60000"/>
                <a:lumOff val="40000"/>
              </a:schemeClr>
            </a:solidFill>
            <a:ln>
              <a:solidFill>
                <a:schemeClr val="accent5">
                  <a:lumMod val="50000"/>
                </a:schemeClr>
              </a:solidFill>
            </a:ln>
          </c:spPr>
          <c:invertIfNegative val="0"/>
          <c:cat>
            <c:multiLvlStrRef>
              <c:f>'G2'!$B$47:$C$69</c:f>
              <c:multiLvlStrCache>
                <c:ptCount val="23"/>
                <c:lvl>
                  <c:pt idx="0">
                    <c:v>2006/07</c:v>
                  </c:pt>
                  <c:pt idx="1">
                    <c:v>2007/08</c:v>
                  </c:pt>
                  <c:pt idx="2">
                    <c:v>2008/09</c:v>
                  </c:pt>
                  <c:pt idx="3">
                    <c:v>2009/10</c:v>
                  </c:pt>
                  <c:pt idx="4">
                    <c:v>2010/11</c:v>
                  </c:pt>
                  <c:pt idx="5">
                    <c:v>2011/12</c:v>
                  </c:pt>
                  <c:pt idx="6">
                    <c:v>2012/13</c:v>
                  </c:pt>
                  <c:pt idx="7">
                    <c:v>2013/14</c:v>
                  </c:pt>
                  <c:pt idx="8">
                    <c:v>2014/15</c:v>
                  </c:pt>
                  <c:pt idx="9">
                    <c:v>2015/16</c:v>
                  </c:pt>
                  <c:pt idx="10">
                    <c:v>2016/17</c:v>
                  </c:pt>
                  <c:pt idx="12">
                    <c:v>2006/07</c:v>
                  </c:pt>
                  <c:pt idx="13">
                    <c:v>2007/08</c:v>
                  </c:pt>
                  <c:pt idx="14">
                    <c:v>2008/09</c:v>
                  </c:pt>
                  <c:pt idx="15">
                    <c:v>2009/10</c:v>
                  </c:pt>
                  <c:pt idx="16">
                    <c:v>2010/11</c:v>
                  </c:pt>
                  <c:pt idx="17">
                    <c:v>2011/12</c:v>
                  </c:pt>
                  <c:pt idx="18">
                    <c:v>2012/13</c:v>
                  </c:pt>
                  <c:pt idx="19">
                    <c:v>2013/14</c:v>
                  </c:pt>
                  <c:pt idx="20">
                    <c:v>2014/15</c:v>
                  </c:pt>
                  <c:pt idx="21">
                    <c:v>2015/16</c:v>
                  </c:pt>
                  <c:pt idx="22">
                    <c:v>2016/17</c:v>
                  </c:pt>
                </c:lvl>
                <c:lvl>
                  <c:pt idx="0">
                    <c:v>muži</c:v>
                  </c:pt>
                  <c:pt idx="12">
                    <c:v>ženy</c:v>
                  </c:pt>
                </c:lvl>
              </c:multiLvlStrCache>
            </c:multiLvlStrRef>
          </c:cat>
          <c:val>
            <c:numRef>
              <c:f>'G2'!$D$47:$D$69</c:f>
              <c:numCache>
                <c:formatCode>General</c:formatCode>
                <c:ptCount val="23"/>
                <c:pt idx="0">
                  <c:v>450</c:v>
                </c:pt>
                <c:pt idx="1">
                  <c:v>595</c:v>
                </c:pt>
                <c:pt idx="2">
                  <c:v>784</c:v>
                </c:pt>
                <c:pt idx="3">
                  <c:v>958</c:v>
                </c:pt>
                <c:pt idx="4">
                  <c:v>1064</c:v>
                </c:pt>
                <c:pt idx="5">
                  <c:v>1323</c:v>
                </c:pt>
                <c:pt idx="6">
                  <c:v>1532</c:v>
                </c:pt>
                <c:pt idx="7">
                  <c:v>1621</c:v>
                </c:pt>
                <c:pt idx="8">
                  <c:v>1728</c:v>
                </c:pt>
                <c:pt idx="9">
                  <c:v>1743</c:v>
                </c:pt>
                <c:pt idx="10">
                  <c:v>1873</c:v>
                </c:pt>
                <c:pt idx="12">
                  <c:v>353</c:v>
                </c:pt>
                <c:pt idx="13">
                  <c:v>411</c:v>
                </c:pt>
                <c:pt idx="14">
                  <c:v>504</c:v>
                </c:pt>
                <c:pt idx="15">
                  <c:v>557</c:v>
                </c:pt>
                <c:pt idx="16">
                  <c:v>563</c:v>
                </c:pt>
                <c:pt idx="17">
                  <c:v>676</c:v>
                </c:pt>
                <c:pt idx="18">
                  <c:v>778</c:v>
                </c:pt>
                <c:pt idx="19">
                  <c:v>1003</c:v>
                </c:pt>
                <c:pt idx="20">
                  <c:v>1079</c:v>
                </c:pt>
                <c:pt idx="21">
                  <c:v>1304</c:v>
                </c:pt>
                <c:pt idx="22">
                  <c:v>1254</c:v>
                </c:pt>
              </c:numCache>
            </c:numRef>
          </c:val>
        </c:ser>
        <c:dLbls>
          <c:showLegendKey val="0"/>
          <c:showVal val="0"/>
          <c:showCatName val="0"/>
          <c:showSerName val="0"/>
          <c:showPercent val="0"/>
          <c:showBubbleSize val="0"/>
        </c:dLbls>
        <c:gapWidth val="28"/>
        <c:axId val="160918528"/>
        <c:axId val="148300928"/>
      </c:barChart>
      <c:catAx>
        <c:axId val="160916992"/>
        <c:scaling>
          <c:orientation val="minMax"/>
        </c:scaling>
        <c:delete val="0"/>
        <c:axPos val="b"/>
        <c:majorTickMark val="out"/>
        <c:minorTickMark val="none"/>
        <c:tickLblPos val="nextTo"/>
        <c:spPr>
          <a:ln>
            <a:noFill/>
          </a:ln>
        </c:spPr>
        <c:txPr>
          <a:bodyPr/>
          <a:lstStyle/>
          <a:p>
            <a:pPr>
              <a:defRPr sz="700"/>
            </a:pPr>
            <a:endParaRPr lang="cs-CZ"/>
          </a:p>
        </c:txPr>
        <c:crossAx val="148300352"/>
        <c:crosses val="autoZero"/>
        <c:auto val="1"/>
        <c:lblAlgn val="ctr"/>
        <c:lblOffset val="100"/>
        <c:noMultiLvlLbl val="0"/>
      </c:catAx>
      <c:valAx>
        <c:axId val="148300352"/>
        <c:scaling>
          <c:orientation val="minMax"/>
          <c:max val="22000"/>
          <c:min val="0"/>
        </c:scaling>
        <c:delete val="0"/>
        <c:axPos val="l"/>
        <c:majorGridlines>
          <c:spPr>
            <a:ln>
              <a:prstDash val="sysDot"/>
            </a:ln>
          </c:spPr>
        </c:majorGridlines>
        <c:numFmt formatCode="#,##0" sourceLinked="0"/>
        <c:majorTickMark val="out"/>
        <c:minorTickMark val="none"/>
        <c:tickLblPos val="nextTo"/>
        <c:spPr>
          <a:ln>
            <a:noFill/>
          </a:ln>
        </c:spPr>
        <c:crossAx val="160916992"/>
        <c:crosses val="autoZero"/>
        <c:crossBetween val="between"/>
        <c:majorUnit val="2000"/>
      </c:valAx>
      <c:valAx>
        <c:axId val="148300928"/>
        <c:scaling>
          <c:orientation val="minMax"/>
          <c:max val="22000"/>
        </c:scaling>
        <c:delete val="1"/>
        <c:axPos val="r"/>
        <c:numFmt formatCode="General" sourceLinked="1"/>
        <c:majorTickMark val="out"/>
        <c:minorTickMark val="none"/>
        <c:tickLblPos val="none"/>
        <c:crossAx val="160918528"/>
        <c:crosses val="max"/>
        <c:crossBetween val="between"/>
        <c:majorUnit val="2000"/>
      </c:valAx>
      <c:catAx>
        <c:axId val="160918528"/>
        <c:scaling>
          <c:orientation val="minMax"/>
        </c:scaling>
        <c:delete val="1"/>
        <c:axPos val="b"/>
        <c:majorTickMark val="out"/>
        <c:minorTickMark val="none"/>
        <c:tickLblPos val="none"/>
        <c:crossAx val="148300928"/>
        <c:crosses val="autoZero"/>
        <c:auto val="1"/>
        <c:lblAlgn val="ctr"/>
        <c:lblOffset val="100"/>
        <c:noMultiLvlLbl val="0"/>
      </c:catAx>
    </c:plotArea>
    <c:legend>
      <c:legendPos val="b"/>
      <c:layout/>
      <c:overlay val="0"/>
    </c:legend>
    <c:plotVisOnly val="1"/>
    <c:dispBlanksAs val="gap"/>
    <c:showDLblsOverMax val="0"/>
  </c:chart>
  <c:spPr>
    <a:ln>
      <a:noFill/>
    </a:ln>
  </c:spPr>
  <c:txPr>
    <a:bodyPr/>
    <a:lstStyle/>
    <a:p>
      <a:pPr>
        <a:spcAft>
          <a:spcPts val="600"/>
        </a:spcAft>
        <a:defRPr sz="800">
          <a:latin typeface="Arial" pitchFamily="34" charset="0"/>
          <a:cs typeface="Arial" pitchFamily="34" charset="0"/>
        </a:defRPr>
      </a:pPr>
      <a:endParaRPr lang="cs-CZ"/>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percentStacked"/>
        <c:varyColors val="0"/>
        <c:ser>
          <c:idx val="0"/>
          <c:order val="0"/>
          <c:tx>
            <c:strRef>
              <c:f>'G17'!$C$5</c:f>
              <c:strCache>
                <c:ptCount val="1"/>
                <c:pt idx="0">
                  <c:v> kurzy</c:v>
                </c:pt>
              </c:strCache>
            </c:strRef>
          </c:tx>
          <c:spPr>
            <a:solidFill>
              <a:schemeClr val="accent3">
                <a:lumMod val="60000"/>
                <a:lumOff val="40000"/>
              </a:schemeClr>
            </a:solidFill>
            <a:ln>
              <a:solidFill>
                <a:schemeClr val="accent3">
                  <a:lumMod val="50000"/>
                </a:schemeClr>
              </a:solidFill>
            </a:ln>
          </c:spPr>
          <c:invertIfNegative val="0"/>
          <c:dLbls>
            <c:txPr>
              <a:bodyPr/>
              <a:lstStyle/>
              <a:p>
                <a:pPr>
                  <a:defRPr sz="800"/>
                </a:pPr>
                <a:endParaRPr lang="cs-CZ"/>
              </a:p>
            </c:txPr>
            <c:dLblPos val="inBase"/>
            <c:showLegendKey val="0"/>
            <c:showVal val="1"/>
            <c:showCatName val="0"/>
            <c:showSerName val="0"/>
            <c:showPercent val="0"/>
            <c:showBubbleSize val="0"/>
            <c:showLeaderLines val="0"/>
          </c:dLbls>
          <c:cat>
            <c:strRef>
              <c:f>'G17'!$B$6:$B$8</c:f>
              <c:strCache>
                <c:ptCount val="3"/>
                <c:pt idx="0">
                  <c:v>soukromě orientované </c:v>
                </c:pt>
                <c:pt idx="1">
                  <c:v>pracovně orientované</c:v>
                </c:pt>
                <c:pt idx="2">
                  <c:v>vzdělávací aktivity celkem</c:v>
                </c:pt>
              </c:strCache>
            </c:strRef>
          </c:cat>
          <c:val>
            <c:numRef>
              <c:f>'G17'!$C$6:$C$8</c:f>
              <c:numCache>
                <c:formatCode>0%</c:formatCode>
                <c:ptCount val="3"/>
                <c:pt idx="0">
                  <c:v>0.48399999999999999</c:v>
                </c:pt>
                <c:pt idx="1">
                  <c:v>0.16600000000000001</c:v>
                </c:pt>
                <c:pt idx="2">
                  <c:v>0.223</c:v>
                </c:pt>
              </c:numCache>
            </c:numRef>
          </c:val>
        </c:ser>
        <c:ser>
          <c:idx val="1"/>
          <c:order val="1"/>
          <c:tx>
            <c:strRef>
              <c:f>'G17'!$D$5</c:f>
              <c:strCache>
                <c:ptCount val="1"/>
                <c:pt idx="0">
                  <c:v> workshopy/semináře</c:v>
                </c:pt>
              </c:strCache>
            </c:strRef>
          </c:tx>
          <c:spPr>
            <a:solidFill>
              <a:schemeClr val="accent6">
                <a:lumMod val="60000"/>
                <a:lumOff val="40000"/>
              </a:schemeClr>
            </a:solidFill>
            <a:ln>
              <a:solidFill>
                <a:schemeClr val="accent6">
                  <a:lumMod val="50000"/>
                </a:schemeClr>
              </a:solidFill>
            </a:ln>
          </c:spPr>
          <c:invertIfNegative val="0"/>
          <c:dLbls>
            <c:txPr>
              <a:bodyPr/>
              <a:lstStyle/>
              <a:p>
                <a:pPr>
                  <a:defRPr sz="800"/>
                </a:pPr>
                <a:endParaRPr lang="cs-CZ"/>
              </a:p>
            </c:txPr>
            <c:showLegendKey val="0"/>
            <c:showVal val="1"/>
            <c:showCatName val="0"/>
            <c:showSerName val="0"/>
            <c:showPercent val="0"/>
            <c:showBubbleSize val="0"/>
            <c:showLeaderLines val="0"/>
          </c:dLbls>
          <c:cat>
            <c:strRef>
              <c:f>'G17'!$B$6:$B$8</c:f>
              <c:strCache>
                <c:ptCount val="3"/>
                <c:pt idx="0">
                  <c:v>soukromě orientované </c:v>
                </c:pt>
                <c:pt idx="1">
                  <c:v>pracovně orientované</c:v>
                </c:pt>
                <c:pt idx="2">
                  <c:v>vzdělávací aktivity celkem</c:v>
                </c:pt>
              </c:strCache>
            </c:strRef>
          </c:cat>
          <c:val>
            <c:numRef>
              <c:f>'G17'!$D$6:$D$8</c:f>
              <c:numCache>
                <c:formatCode>0%</c:formatCode>
                <c:ptCount val="3"/>
                <c:pt idx="0">
                  <c:v>0.18</c:v>
                </c:pt>
                <c:pt idx="1">
                  <c:v>0.128</c:v>
                </c:pt>
                <c:pt idx="2">
                  <c:v>0.13700000000000001</c:v>
                </c:pt>
              </c:numCache>
            </c:numRef>
          </c:val>
        </c:ser>
        <c:ser>
          <c:idx val="2"/>
          <c:order val="2"/>
          <c:tx>
            <c:strRef>
              <c:f>'G17'!$E$5</c:f>
              <c:strCache>
                <c:ptCount val="1"/>
                <c:pt idx="0">
                  <c:v> pracovní školení</c:v>
                </c:pt>
              </c:strCache>
            </c:strRef>
          </c:tx>
          <c:spPr>
            <a:solidFill>
              <a:schemeClr val="accent5">
                <a:lumMod val="60000"/>
                <a:lumOff val="40000"/>
              </a:schemeClr>
            </a:solidFill>
            <a:ln>
              <a:solidFill>
                <a:schemeClr val="accent5">
                  <a:lumMod val="50000"/>
                </a:schemeClr>
              </a:solidFill>
            </a:ln>
          </c:spPr>
          <c:invertIfNegative val="0"/>
          <c:dLbls>
            <c:dLbl>
              <c:idx val="0"/>
              <c:delete val="1"/>
            </c:dLbl>
            <c:txPr>
              <a:bodyPr/>
              <a:lstStyle/>
              <a:p>
                <a:pPr>
                  <a:defRPr sz="800"/>
                </a:pPr>
                <a:endParaRPr lang="cs-CZ"/>
              </a:p>
            </c:txPr>
            <c:showLegendKey val="0"/>
            <c:showVal val="1"/>
            <c:showCatName val="0"/>
            <c:showSerName val="0"/>
            <c:showPercent val="0"/>
            <c:showBubbleSize val="0"/>
            <c:showLeaderLines val="0"/>
          </c:dLbls>
          <c:cat>
            <c:strRef>
              <c:f>'G17'!$B$6:$B$8</c:f>
              <c:strCache>
                <c:ptCount val="3"/>
                <c:pt idx="0">
                  <c:v>soukromě orientované </c:v>
                </c:pt>
                <c:pt idx="1">
                  <c:v>pracovně orientované</c:v>
                </c:pt>
                <c:pt idx="2">
                  <c:v>vzdělávací aktivity celkem</c:v>
                </c:pt>
              </c:strCache>
            </c:strRef>
          </c:cat>
          <c:val>
            <c:numRef>
              <c:f>'G17'!$E$6:$E$8</c:f>
              <c:numCache>
                <c:formatCode>0%</c:formatCode>
                <c:ptCount val="3"/>
                <c:pt idx="0">
                  <c:v>0</c:v>
                </c:pt>
                <c:pt idx="1">
                  <c:v>0.68200000000000005</c:v>
                </c:pt>
                <c:pt idx="2">
                  <c:v>0.56000000000000005</c:v>
                </c:pt>
              </c:numCache>
            </c:numRef>
          </c:val>
        </c:ser>
        <c:ser>
          <c:idx val="3"/>
          <c:order val="3"/>
          <c:tx>
            <c:strRef>
              <c:f>'G17'!$F$5</c:f>
              <c:strCache>
                <c:ptCount val="1"/>
                <c:pt idx="0">
                  <c:v> soukromé lekce</c:v>
                </c:pt>
              </c:strCache>
            </c:strRef>
          </c:tx>
          <c:spPr>
            <a:solidFill>
              <a:schemeClr val="accent4">
                <a:lumMod val="40000"/>
                <a:lumOff val="60000"/>
              </a:schemeClr>
            </a:solidFill>
            <a:ln>
              <a:solidFill>
                <a:schemeClr val="accent4">
                  <a:lumMod val="50000"/>
                </a:schemeClr>
              </a:solidFill>
            </a:ln>
          </c:spPr>
          <c:invertIfNegative val="0"/>
          <c:dLbls>
            <c:txPr>
              <a:bodyPr/>
              <a:lstStyle/>
              <a:p>
                <a:pPr>
                  <a:defRPr sz="800"/>
                </a:pPr>
                <a:endParaRPr lang="cs-CZ"/>
              </a:p>
            </c:txPr>
            <c:dLblPos val="inEnd"/>
            <c:showLegendKey val="0"/>
            <c:showVal val="1"/>
            <c:showCatName val="0"/>
            <c:showSerName val="0"/>
            <c:showPercent val="0"/>
            <c:showBubbleSize val="0"/>
            <c:showLeaderLines val="0"/>
          </c:dLbls>
          <c:cat>
            <c:strRef>
              <c:f>'G17'!$B$6:$B$8</c:f>
              <c:strCache>
                <c:ptCount val="3"/>
                <c:pt idx="0">
                  <c:v>soukromě orientované </c:v>
                </c:pt>
                <c:pt idx="1">
                  <c:v>pracovně orientované</c:v>
                </c:pt>
                <c:pt idx="2">
                  <c:v>vzdělávací aktivity celkem</c:v>
                </c:pt>
              </c:strCache>
            </c:strRef>
          </c:cat>
          <c:val>
            <c:numRef>
              <c:f>'G17'!$F$6:$F$8</c:f>
              <c:numCache>
                <c:formatCode>0%</c:formatCode>
                <c:ptCount val="3"/>
                <c:pt idx="0">
                  <c:v>0.33300000000000002</c:v>
                </c:pt>
                <c:pt idx="1">
                  <c:v>2.4E-2</c:v>
                </c:pt>
                <c:pt idx="2">
                  <c:v>0.08</c:v>
                </c:pt>
              </c:numCache>
            </c:numRef>
          </c:val>
        </c:ser>
        <c:dLbls>
          <c:showLegendKey val="0"/>
          <c:showVal val="0"/>
          <c:showCatName val="0"/>
          <c:showSerName val="0"/>
          <c:showPercent val="0"/>
          <c:showBubbleSize val="0"/>
        </c:dLbls>
        <c:gapWidth val="150"/>
        <c:overlap val="100"/>
        <c:axId val="166026752"/>
        <c:axId val="167526976"/>
      </c:barChart>
      <c:catAx>
        <c:axId val="166026752"/>
        <c:scaling>
          <c:orientation val="minMax"/>
        </c:scaling>
        <c:delete val="0"/>
        <c:axPos val="l"/>
        <c:majorTickMark val="out"/>
        <c:minorTickMark val="none"/>
        <c:tickLblPos val="nextTo"/>
        <c:spPr>
          <a:ln>
            <a:noFill/>
          </a:ln>
        </c:spPr>
        <c:crossAx val="167526976"/>
        <c:crosses val="autoZero"/>
        <c:auto val="1"/>
        <c:lblAlgn val="ctr"/>
        <c:lblOffset val="100"/>
        <c:noMultiLvlLbl val="0"/>
      </c:catAx>
      <c:valAx>
        <c:axId val="167526976"/>
        <c:scaling>
          <c:orientation val="minMax"/>
        </c:scaling>
        <c:delete val="1"/>
        <c:axPos val="b"/>
        <c:numFmt formatCode="0%" sourceLinked="1"/>
        <c:majorTickMark val="out"/>
        <c:minorTickMark val="none"/>
        <c:tickLblPos val="none"/>
        <c:crossAx val="166026752"/>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'G18'!$E$6</c:f>
              <c:strCache>
                <c:ptCount val="1"/>
                <c:pt idx="0">
                  <c:v> účastnili se (pouze) pracovně orientovaného neformálního vzdělávání</c:v>
                </c:pt>
              </c:strCache>
            </c:strRef>
          </c:tx>
          <c:spPr>
            <a:solidFill>
              <a:schemeClr val="accent5">
                <a:lumMod val="60000"/>
                <a:lumOff val="40000"/>
              </a:schemeClr>
            </a:solidFill>
            <a:ln>
              <a:solidFill>
                <a:schemeClr val="accent5">
                  <a:lumMod val="50000"/>
                </a:schemeClr>
              </a:solidFill>
            </a:ln>
          </c:spPr>
          <c:invertIfNegative val="0"/>
          <c:cat>
            <c:multiLvlStrRef>
              <c:f>'G18'!$B$7:$C$29</c:f>
              <c:multiLvlStrCache>
                <c:ptCount val="23"/>
                <c:lvl>
                  <c:pt idx="0">
                    <c:v>celkem</c:v>
                  </c:pt>
                  <c:pt idx="1">
                    <c:v>18−24 let</c:v>
                  </c:pt>
                  <c:pt idx="2">
                    <c:v>25−34 let</c:v>
                  </c:pt>
                  <c:pt idx="3">
                    <c:v>35−44 let</c:v>
                  </c:pt>
                  <c:pt idx="4">
                    <c:v>45−54 let</c:v>
                  </c:pt>
                  <c:pt idx="5">
                    <c:v>55−64 let</c:v>
                  </c:pt>
                  <c:pt idx="6">
                    <c:v>65−69 let</c:v>
                  </c:pt>
                  <c:pt idx="8">
                    <c:v>celkem</c:v>
                  </c:pt>
                  <c:pt idx="9">
                    <c:v>18−24 let</c:v>
                  </c:pt>
                  <c:pt idx="10">
                    <c:v>25−34 let</c:v>
                  </c:pt>
                  <c:pt idx="11">
                    <c:v>35−44 let</c:v>
                  </c:pt>
                  <c:pt idx="12">
                    <c:v>45−54 let</c:v>
                  </c:pt>
                  <c:pt idx="13">
                    <c:v>55−64 let</c:v>
                  </c:pt>
                  <c:pt idx="14">
                    <c:v>65−69 let</c:v>
                  </c:pt>
                  <c:pt idx="16">
                    <c:v>celkem</c:v>
                  </c:pt>
                  <c:pt idx="17">
                    <c:v>18−24 let</c:v>
                  </c:pt>
                  <c:pt idx="18">
                    <c:v>25−34 let</c:v>
                  </c:pt>
                  <c:pt idx="19">
                    <c:v>35−44 let</c:v>
                  </c:pt>
                  <c:pt idx="20">
                    <c:v>45−54 let</c:v>
                  </c:pt>
                  <c:pt idx="21">
                    <c:v>55−64 let</c:v>
                  </c:pt>
                  <c:pt idx="22">
                    <c:v>65−69 let</c:v>
                  </c:pt>
                </c:lvl>
                <c:lvl>
                  <c:pt idx="0">
                    <c:v>celkem</c:v>
                  </c:pt>
                  <c:pt idx="8">
                    <c:v>ženy</c:v>
                  </c:pt>
                  <c:pt idx="16">
                    <c:v>muži</c:v>
                  </c:pt>
                </c:lvl>
              </c:multiLvlStrCache>
            </c:multiLvlStrRef>
          </c:cat>
          <c:val>
            <c:numRef>
              <c:f>'G18'!$E$7:$E$29</c:f>
              <c:numCache>
                <c:formatCode>0%</c:formatCode>
                <c:ptCount val="23"/>
                <c:pt idx="0">
                  <c:v>0.3</c:v>
                </c:pt>
                <c:pt idx="1">
                  <c:v>0.16</c:v>
                </c:pt>
                <c:pt idx="2">
                  <c:v>0.36</c:v>
                </c:pt>
                <c:pt idx="3">
                  <c:v>0.41</c:v>
                </c:pt>
                <c:pt idx="4">
                  <c:v>0.42</c:v>
                </c:pt>
                <c:pt idx="5">
                  <c:v>0.23</c:v>
                </c:pt>
                <c:pt idx="6">
                  <c:v>0.03</c:v>
                </c:pt>
                <c:pt idx="7">
                  <c:v>0</c:v>
                </c:pt>
                <c:pt idx="8">
                  <c:v>0.25</c:v>
                </c:pt>
                <c:pt idx="9">
                  <c:v>0.11</c:v>
                </c:pt>
                <c:pt idx="10">
                  <c:v>0.25</c:v>
                </c:pt>
                <c:pt idx="11">
                  <c:v>0.35</c:v>
                </c:pt>
                <c:pt idx="12">
                  <c:v>0.38</c:v>
                </c:pt>
                <c:pt idx="13">
                  <c:v>0.19</c:v>
                </c:pt>
                <c:pt idx="14">
                  <c:v>0.02</c:v>
                </c:pt>
                <c:pt idx="15">
                  <c:v>0</c:v>
                </c:pt>
                <c:pt idx="16">
                  <c:v>0.36</c:v>
                </c:pt>
                <c:pt idx="17">
                  <c:v>0.21</c:v>
                </c:pt>
                <c:pt idx="18">
                  <c:v>0.47</c:v>
                </c:pt>
                <c:pt idx="19">
                  <c:v>0.46</c:v>
                </c:pt>
                <c:pt idx="20">
                  <c:v>0.46</c:v>
                </c:pt>
                <c:pt idx="21">
                  <c:v>0.27</c:v>
                </c:pt>
                <c:pt idx="22">
                  <c:v>0.04</c:v>
                </c:pt>
              </c:numCache>
            </c:numRef>
          </c:val>
        </c:ser>
        <c:ser>
          <c:idx val="1"/>
          <c:order val="1"/>
          <c:tx>
            <c:strRef>
              <c:f>'G18'!$F$6</c:f>
              <c:strCache>
                <c:ptCount val="1"/>
                <c:pt idx="0">
                  <c:v> účastnili se pracovně orientovaného i mimopracovně orientovaného neformálního vzdělávání</c:v>
                </c:pt>
              </c:strCache>
            </c:strRef>
          </c:tx>
          <c:spPr>
            <a:solidFill>
              <a:schemeClr val="accent5">
                <a:lumMod val="75000"/>
              </a:schemeClr>
            </a:solidFill>
            <a:ln>
              <a:solidFill>
                <a:schemeClr val="accent5">
                  <a:lumMod val="50000"/>
                </a:schemeClr>
              </a:solidFill>
            </a:ln>
          </c:spPr>
          <c:invertIfNegative val="0"/>
          <c:cat>
            <c:multiLvlStrRef>
              <c:f>'G18'!$B$7:$C$29</c:f>
              <c:multiLvlStrCache>
                <c:ptCount val="23"/>
                <c:lvl>
                  <c:pt idx="0">
                    <c:v>celkem</c:v>
                  </c:pt>
                  <c:pt idx="1">
                    <c:v>18−24 let</c:v>
                  </c:pt>
                  <c:pt idx="2">
                    <c:v>25−34 let</c:v>
                  </c:pt>
                  <c:pt idx="3">
                    <c:v>35−44 let</c:v>
                  </c:pt>
                  <c:pt idx="4">
                    <c:v>45−54 let</c:v>
                  </c:pt>
                  <c:pt idx="5">
                    <c:v>55−64 let</c:v>
                  </c:pt>
                  <c:pt idx="6">
                    <c:v>65−69 let</c:v>
                  </c:pt>
                  <c:pt idx="8">
                    <c:v>celkem</c:v>
                  </c:pt>
                  <c:pt idx="9">
                    <c:v>18−24 let</c:v>
                  </c:pt>
                  <c:pt idx="10">
                    <c:v>25−34 let</c:v>
                  </c:pt>
                  <c:pt idx="11">
                    <c:v>35−44 let</c:v>
                  </c:pt>
                  <c:pt idx="12">
                    <c:v>45−54 let</c:v>
                  </c:pt>
                  <c:pt idx="13">
                    <c:v>55−64 let</c:v>
                  </c:pt>
                  <c:pt idx="14">
                    <c:v>65−69 let</c:v>
                  </c:pt>
                  <c:pt idx="16">
                    <c:v>celkem</c:v>
                  </c:pt>
                  <c:pt idx="17">
                    <c:v>18−24 let</c:v>
                  </c:pt>
                  <c:pt idx="18">
                    <c:v>25−34 let</c:v>
                  </c:pt>
                  <c:pt idx="19">
                    <c:v>35−44 let</c:v>
                  </c:pt>
                  <c:pt idx="20">
                    <c:v>45−54 let</c:v>
                  </c:pt>
                  <c:pt idx="21">
                    <c:v>55−64 let</c:v>
                  </c:pt>
                  <c:pt idx="22">
                    <c:v>65−69 let</c:v>
                  </c:pt>
                </c:lvl>
                <c:lvl>
                  <c:pt idx="0">
                    <c:v>celkem</c:v>
                  </c:pt>
                  <c:pt idx="8">
                    <c:v>ženy</c:v>
                  </c:pt>
                  <c:pt idx="16">
                    <c:v>muži</c:v>
                  </c:pt>
                </c:lvl>
              </c:multiLvlStrCache>
            </c:multiLvlStrRef>
          </c:cat>
          <c:val>
            <c:numRef>
              <c:f>'G18'!$F$7:$F$29</c:f>
              <c:numCache>
                <c:formatCode>0%</c:formatCode>
                <c:ptCount val="23"/>
                <c:pt idx="0">
                  <c:v>0.03</c:v>
                </c:pt>
                <c:pt idx="1">
                  <c:v>0.02</c:v>
                </c:pt>
                <c:pt idx="2">
                  <c:v>0.04</c:v>
                </c:pt>
                <c:pt idx="3">
                  <c:v>0.05</c:v>
                </c:pt>
                <c:pt idx="4">
                  <c:v>0.03</c:v>
                </c:pt>
                <c:pt idx="5">
                  <c:v>0.01</c:v>
                </c:pt>
                <c:pt idx="6">
                  <c:v>3.0000000000000001E-3</c:v>
                </c:pt>
                <c:pt idx="7">
                  <c:v>0</c:v>
                </c:pt>
                <c:pt idx="8">
                  <c:v>0.04</c:v>
                </c:pt>
                <c:pt idx="9">
                  <c:v>0.02</c:v>
                </c:pt>
                <c:pt idx="10">
                  <c:v>0.06</c:v>
                </c:pt>
                <c:pt idx="11">
                  <c:v>0.06</c:v>
                </c:pt>
                <c:pt idx="12">
                  <c:v>0.04</c:v>
                </c:pt>
                <c:pt idx="13">
                  <c:v>0.02</c:v>
                </c:pt>
                <c:pt idx="14">
                  <c:v>3.0000000000000001E-3</c:v>
                </c:pt>
                <c:pt idx="15">
                  <c:v>0</c:v>
                </c:pt>
                <c:pt idx="16">
                  <c:v>0.02</c:v>
                </c:pt>
                <c:pt idx="17">
                  <c:v>0.02</c:v>
                </c:pt>
                <c:pt idx="18">
                  <c:v>0.03</c:v>
                </c:pt>
                <c:pt idx="19">
                  <c:v>0.03</c:v>
                </c:pt>
                <c:pt idx="20">
                  <c:v>0.02</c:v>
                </c:pt>
                <c:pt idx="21">
                  <c:v>0.01</c:v>
                </c:pt>
                <c:pt idx="22">
                  <c:v>3.0000000000000001E-3</c:v>
                </c:pt>
              </c:numCache>
            </c:numRef>
          </c:val>
        </c:ser>
        <c:ser>
          <c:idx val="2"/>
          <c:order val="2"/>
          <c:tx>
            <c:strRef>
              <c:f>'G18'!$G$6</c:f>
              <c:strCache>
                <c:ptCount val="1"/>
                <c:pt idx="0">
                  <c:v> účastnili se (pouze) mimopracovně orientovaného neformálního vzdělávání</c:v>
                </c:pt>
              </c:strCache>
            </c:strRef>
          </c:tx>
          <c:spPr>
            <a:solidFill>
              <a:schemeClr val="accent5">
                <a:lumMod val="50000"/>
              </a:schemeClr>
            </a:solidFill>
            <a:ln>
              <a:solidFill>
                <a:schemeClr val="tx1">
                  <a:lumMod val="85000"/>
                  <a:lumOff val="15000"/>
                </a:schemeClr>
              </a:solidFill>
            </a:ln>
          </c:spPr>
          <c:invertIfNegative val="0"/>
          <c:cat>
            <c:multiLvlStrRef>
              <c:f>'G18'!$B$7:$C$29</c:f>
              <c:multiLvlStrCache>
                <c:ptCount val="23"/>
                <c:lvl>
                  <c:pt idx="0">
                    <c:v>celkem</c:v>
                  </c:pt>
                  <c:pt idx="1">
                    <c:v>18−24 let</c:v>
                  </c:pt>
                  <c:pt idx="2">
                    <c:v>25−34 let</c:v>
                  </c:pt>
                  <c:pt idx="3">
                    <c:v>35−44 let</c:v>
                  </c:pt>
                  <c:pt idx="4">
                    <c:v>45−54 let</c:v>
                  </c:pt>
                  <c:pt idx="5">
                    <c:v>55−64 let</c:v>
                  </c:pt>
                  <c:pt idx="6">
                    <c:v>65−69 let</c:v>
                  </c:pt>
                  <c:pt idx="8">
                    <c:v>celkem</c:v>
                  </c:pt>
                  <c:pt idx="9">
                    <c:v>18−24 let</c:v>
                  </c:pt>
                  <c:pt idx="10">
                    <c:v>25−34 let</c:v>
                  </c:pt>
                  <c:pt idx="11">
                    <c:v>35−44 let</c:v>
                  </c:pt>
                  <c:pt idx="12">
                    <c:v>45−54 let</c:v>
                  </c:pt>
                  <c:pt idx="13">
                    <c:v>55−64 let</c:v>
                  </c:pt>
                  <c:pt idx="14">
                    <c:v>65−69 let</c:v>
                  </c:pt>
                  <c:pt idx="16">
                    <c:v>celkem</c:v>
                  </c:pt>
                  <c:pt idx="17">
                    <c:v>18−24 let</c:v>
                  </c:pt>
                  <c:pt idx="18">
                    <c:v>25−34 let</c:v>
                  </c:pt>
                  <c:pt idx="19">
                    <c:v>35−44 let</c:v>
                  </c:pt>
                  <c:pt idx="20">
                    <c:v>45−54 let</c:v>
                  </c:pt>
                  <c:pt idx="21">
                    <c:v>55−64 let</c:v>
                  </c:pt>
                  <c:pt idx="22">
                    <c:v>65−69 let</c:v>
                  </c:pt>
                </c:lvl>
                <c:lvl>
                  <c:pt idx="0">
                    <c:v>celkem</c:v>
                  </c:pt>
                  <c:pt idx="8">
                    <c:v>ženy</c:v>
                  </c:pt>
                  <c:pt idx="16">
                    <c:v>muži</c:v>
                  </c:pt>
                </c:lvl>
              </c:multiLvlStrCache>
            </c:multiLvlStrRef>
          </c:cat>
          <c:val>
            <c:numRef>
              <c:f>'G18'!$G$7:$G$29</c:f>
              <c:numCache>
                <c:formatCode>0%</c:formatCode>
                <c:ptCount val="23"/>
                <c:pt idx="0">
                  <c:v>7.0000000000000007E-2</c:v>
                </c:pt>
                <c:pt idx="1">
                  <c:v>0.16</c:v>
                </c:pt>
                <c:pt idx="2">
                  <c:v>7.0000000000000007E-2</c:v>
                </c:pt>
                <c:pt idx="3">
                  <c:v>0.05</c:v>
                </c:pt>
                <c:pt idx="4">
                  <c:v>0.04</c:v>
                </c:pt>
                <c:pt idx="5">
                  <c:v>0.05</c:v>
                </c:pt>
                <c:pt idx="6">
                  <c:v>0.06</c:v>
                </c:pt>
                <c:pt idx="7">
                  <c:v>0</c:v>
                </c:pt>
                <c:pt idx="8">
                  <c:v>0.09</c:v>
                </c:pt>
                <c:pt idx="9">
                  <c:v>0.21</c:v>
                </c:pt>
                <c:pt idx="10">
                  <c:v>0.09</c:v>
                </c:pt>
                <c:pt idx="11">
                  <c:v>7.0000000000000007E-2</c:v>
                </c:pt>
                <c:pt idx="12">
                  <c:v>0.06</c:v>
                </c:pt>
                <c:pt idx="13">
                  <c:v>0.06</c:v>
                </c:pt>
                <c:pt idx="14">
                  <c:v>0.09</c:v>
                </c:pt>
                <c:pt idx="15">
                  <c:v>0</c:v>
                </c:pt>
                <c:pt idx="16">
                  <c:v>0.04</c:v>
                </c:pt>
                <c:pt idx="17">
                  <c:v>0.12</c:v>
                </c:pt>
                <c:pt idx="18">
                  <c:v>0.05</c:v>
                </c:pt>
                <c:pt idx="19">
                  <c:v>0.03</c:v>
                </c:pt>
                <c:pt idx="20">
                  <c:v>0.03</c:v>
                </c:pt>
                <c:pt idx="21">
                  <c:v>0.03</c:v>
                </c:pt>
                <c:pt idx="22">
                  <c:v>0.03</c:v>
                </c:pt>
              </c:numCache>
            </c:numRef>
          </c:val>
        </c:ser>
        <c:ser>
          <c:idx val="3"/>
          <c:order val="3"/>
          <c:tx>
            <c:strRef>
              <c:f>'G18'!$H$6</c:f>
              <c:strCache>
                <c:ptCount val="1"/>
                <c:pt idx="0">
                  <c:v> neúčastnili se neformálního vzdělávání</c:v>
                </c:pt>
              </c:strCache>
            </c:strRef>
          </c:tx>
          <c:spPr>
            <a:solidFill>
              <a:schemeClr val="bg1">
                <a:lumMod val="85000"/>
              </a:schemeClr>
            </a:solidFill>
            <a:ln>
              <a:solidFill>
                <a:schemeClr val="bg1">
                  <a:lumMod val="65000"/>
                </a:schemeClr>
              </a:solidFill>
            </a:ln>
          </c:spPr>
          <c:invertIfNegative val="0"/>
          <c:dLbls>
            <c:dLbl>
              <c:idx val="7"/>
              <c:delete val="1"/>
            </c:dLbl>
            <c:dLbl>
              <c:idx val="15"/>
              <c:delete val="1"/>
            </c:dLbl>
            <c:dLblPos val="inEnd"/>
            <c:showLegendKey val="0"/>
            <c:showVal val="1"/>
            <c:showCatName val="0"/>
            <c:showSerName val="0"/>
            <c:showPercent val="0"/>
            <c:showBubbleSize val="0"/>
            <c:showLeaderLines val="0"/>
          </c:dLbls>
          <c:cat>
            <c:multiLvlStrRef>
              <c:f>'G18'!$B$7:$C$29</c:f>
              <c:multiLvlStrCache>
                <c:ptCount val="23"/>
                <c:lvl>
                  <c:pt idx="0">
                    <c:v>celkem</c:v>
                  </c:pt>
                  <c:pt idx="1">
                    <c:v>18−24 let</c:v>
                  </c:pt>
                  <c:pt idx="2">
                    <c:v>25−34 let</c:v>
                  </c:pt>
                  <c:pt idx="3">
                    <c:v>35−44 let</c:v>
                  </c:pt>
                  <c:pt idx="4">
                    <c:v>45−54 let</c:v>
                  </c:pt>
                  <c:pt idx="5">
                    <c:v>55−64 let</c:v>
                  </c:pt>
                  <c:pt idx="6">
                    <c:v>65−69 let</c:v>
                  </c:pt>
                  <c:pt idx="8">
                    <c:v>celkem</c:v>
                  </c:pt>
                  <c:pt idx="9">
                    <c:v>18−24 let</c:v>
                  </c:pt>
                  <c:pt idx="10">
                    <c:v>25−34 let</c:v>
                  </c:pt>
                  <c:pt idx="11">
                    <c:v>35−44 let</c:v>
                  </c:pt>
                  <c:pt idx="12">
                    <c:v>45−54 let</c:v>
                  </c:pt>
                  <c:pt idx="13">
                    <c:v>55−64 let</c:v>
                  </c:pt>
                  <c:pt idx="14">
                    <c:v>65−69 let</c:v>
                  </c:pt>
                  <c:pt idx="16">
                    <c:v>celkem</c:v>
                  </c:pt>
                  <c:pt idx="17">
                    <c:v>18−24 let</c:v>
                  </c:pt>
                  <c:pt idx="18">
                    <c:v>25−34 let</c:v>
                  </c:pt>
                  <c:pt idx="19">
                    <c:v>35−44 let</c:v>
                  </c:pt>
                  <c:pt idx="20">
                    <c:v>45−54 let</c:v>
                  </c:pt>
                  <c:pt idx="21">
                    <c:v>55−64 let</c:v>
                  </c:pt>
                  <c:pt idx="22">
                    <c:v>65−69 let</c:v>
                  </c:pt>
                </c:lvl>
                <c:lvl>
                  <c:pt idx="0">
                    <c:v>celkem</c:v>
                  </c:pt>
                  <c:pt idx="8">
                    <c:v>ženy</c:v>
                  </c:pt>
                  <c:pt idx="16">
                    <c:v>muži</c:v>
                  </c:pt>
                </c:lvl>
              </c:multiLvlStrCache>
            </c:multiLvlStrRef>
          </c:cat>
          <c:val>
            <c:numRef>
              <c:f>'G18'!$H$7:$H$29</c:f>
              <c:numCache>
                <c:formatCode>0%</c:formatCode>
                <c:ptCount val="23"/>
                <c:pt idx="0">
                  <c:v>0.6</c:v>
                </c:pt>
                <c:pt idx="1">
                  <c:v>0.65799999999999992</c:v>
                </c:pt>
                <c:pt idx="2">
                  <c:v>0.53</c:v>
                </c:pt>
                <c:pt idx="3">
                  <c:v>0.49700000000000005</c:v>
                </c:pt>
                <c:pt idx="4">
                  <c:v>0.51100000000000001</c:v>
                </c:pt>
                <c:pt idx="5">
                  <c:v>0.70900000000000007</c:v>
                </c:pt>
                <c:pt idx="6">
                  <c:v>0.91</c:v>
                </c:pt>
                <c:pt idx="7">
                  <c:v>0</c:v>
                </c:pt>
                <c:pt idx="8">
                  <c:v>0.63</c:v>
                </c:pt>
                <c:pt idx="9">
                  <c:v>0.66</c:v>
                </c:pt>
                <c:pt idx="10">
                  <c:v>0.61</c:v>
                </c:pt>
                <c:pt idx="11">
                  <c:v>0.52</c:v>
                </c:pt>
                <c:pt idx="12">
                  <c:v>0.53</c:v>
                </c:pt>
                <c:pt idx="13">
                  <c:v>0.73</c:v>
                </c:pt>
                <c:pt idx="14">
                  <c:v>0.89</c:v>
                </c:pt>
                <c:pt idx="15">
                  <c:v>0</c:v>
                </c:pt>
                <c:pt idx="16">
                  <c:v>0.57999999999999996</c:v>
                </c:pt>
                <c:pt idx="17">
                  <c:v>0.66</c:v>
                </c:pt>
                <c:pt idx="18">
                  <c:v>0.46</c:v>
                </c:pt>
                <c:pt idx="19">
                  <c:v>0.47</c:v>
                </c:pt>
                <c:pt idx="20">
                  <c:v>0.5</c:v>
                </c:pt>
                <c:pt idx="21">
                  <c:v>0.69</c:v>
                </c:pt>
                <c:pt idx="22">
                  <c:v>0.93</c:v>
                </c:pt>
              </c:numCache>
            </c:numRef>
          </c:val>
        </c:ser>
        <c:dLbls>
          <c:showLegendKey val="0"/>
          <c:showVal val="0"/>
          <c:showCatName val="0"/>
          <c:showSerName val="0"/>
          <c:showPercent val="0"/>
          <c:showBubbleSize val="0"/>
        </c:dLbls>
        <c:gapWidth val="51"/>
        <c:overlap val="100"/>
        <c:axId val="167825408"/>
        <c:axId val="167531584"/>
      </c:barChart>
      <c:catAx>
        <c:axId val="167825408"/>
        <c:scaling>
          <c:orientation val="minMax"/>
        </c:scaling>
        <c:delete val="0"/>
        <c:axPos val="l"/>
        <c:majorTickMark val="out"/>
        <c:minorTickMark val="none"/>
        <c:tickLblPos val="nextTo"/>
        <c:spPr>
          <a:ln>
            <a:noFill/>
          </a:ln>
        </c:spPr>
        <c:crossAx val="167531584"/>
        <c:crosses val="autoZero"/>
        <c:auto val="1"/>
        <c:lblAlgn val="ctr"/>
        <c:lblOffset val="100"/>
        <c:noMultiLvlLbl val="0"/>
      </c:catAx>
      <c:valAx>
        <c:axId val="167531584"/>
        <c:scaling>
          <c:orientation val="minMax"/>
        </c:scaling>
        <c:delete val="0"/>
        <c:axPos val="b"/>
        <c:majorGridlines>
          <c:spPr>
            <a:ln>
              <a:prstDash val="sysDot"/>
            </a:ln>
          </c:spPr>
        </c:majorGridlines>
        <c:numFmt formatCode="0%" sourceLinked="1"/>
        <c:majorTickMark val="none"/>
        <c:minorTickMark val="none"/>
        <c:tickLblPos val="nextTo"/>
        <c:crossAx val="167825408"/>
        <c:crosses val="autoZero"/>
        <c:crossBetween val="between"/>
      </c:valAx>
      <c:spPr>
        <a:ln>
          <a:noFill/>
        </a:ln>
      </c:spPr>
    </c:plotArea>
    <c:legend>
      <c:legendPos val="b"/>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percentStacked"/>
        <c:varyColors val="0"/>
        <c:ser>
          <c:idx val="0"/>
          <c:order val="0"/>
          <c:tx>
            <c:strRef>
              <c:f>'G19'!$E$6</c:f>
              <c:strCache>
                <c:ptCount val="1"/>
                <c:pt idx="0">
                  <c:v> účastnili se (pouze) pracovně orientovaného neformálního vzdělávání</c:v>
                </c:pt>
              </c:strCache>
            </c:strRef>
          </c:tx>
          <c:spPr>
            <a:solidFill>
              <a:schemeClr val="accent5">
                <a:lumMod val="60000"/>
                <a:lumOff val="40000"/>
              </a:schemeClr>
            </a:solidFill>
            <a:ln>
              <a:solidFill>
                <a:schemeClr val="accent5">
                  <a:lumMod val="50000"/>
                </a:schemeClr>
              </a:solidFill>
            </a:ln>
          </c:spPr>
          <c:invertIfNegative val="0"/>
          <c:cat>
            <c:multiLvlStrRef>
              <c:f>'G19'!$B$7:$C$23</c:f>
              <c:multiLvlStrCache>
                <c:ptCount val="17"/>
                <c:lvl>
                  <c:pt idx="0">
                    <c:v>celkem</c:v>
                  </c:pt>
                  <c:pt idx="1">
                    <c:v>nejvýše základní</c:v>
                  </c:pt>
                  <c:pt idx="2">
                    <c:v>SŠ bez maturity</c:v>
                  </c:pt>
                  <c:pt idx="3">
                    <c:v>SŠ s maturitou</c:v>
                  </c:pt>
                  <c:pt idx="4">
                    <c:v>VOŠ a VŠ</c:v>
                  </c:pt>
                  <c:pt idx="6">
                    <c:v>celkem</c:v>
                  </c:pt>
                  <c:pt idx="7">
                    <c:v>nejvýše základní</c:v>
                  </c:pt>
                  <c:pt idx="8">
                    <c:v>SŠ bez maturity</c:v>
                  </c:pt>
                  <c:pt idx="9">
                    <c:v>SŠ s maturitou</c:v>
                  </c:pt>
                  <c:pt idx="10">
                    <c:v>VOŠ a VŠ</c:v>
                  </c:pt>
                  <c:pt idx="12">
                    <c:v>celkem</c:v>
                  </c:pt>
                  <c:pt idx="13">
                    <c:v>nejvýše základní</c:v>
                  </c:pt>
                  <c:pt idx="14">
                    <c:v>SŠ bez maturity</c:v>
                  </c:pt>
                  <c:pt idx="15">
                    <c:v>SŠ s maturitou</c:v>
                  </c:pt>
                  <c:pt idx="16">
                    <c:v>VOŠ a VŠ</c:v>
                  </c:pt>
                </c:lvl>
                <c:lvl>
                  <c:pt idx="0">
                    <c:v>celkem</c:v>
                  </c:pt>
                  <c:pt idx="6">
                    <c:v>ženy</c:v>
                  </c:pt>
                  <c:pt idx="12">
                    <c:v>muži</c:v>
                  </c:pt>
                </c:lvl>
              </c:multiLvlStrCache>
            </c:multiLvlStrRef>
          </c:cat>
          <c:val>
            <c:numRef>
              <c:f>'G19'!$E$7:$E$23</c:f>
              <c:numCache>
                <c:formatCode>0%</c:formatCode>
                <c:ptCount val="17"/>
                <c:pt idx="0">
                  <c:v>0.3</c:v>
                </c:pt>
                <c:pt idx="1">
                  <c:v>0.09</c:v>
                </c:pt>
                <c:pt idx="2">
                  <c:v>0.26</c:v>
                </c:pt>
                <c:pt idx="3">
                  <c:v>0.33</c:v>
                </c:pt>
                <c:pt idx="4">
                  <c:v>0.43</c:v>
                </c:pt>
                <c:pt idx="5">
                  <c:v>0</c:v>
                </c:pt>
                <c:pt idx="6">
                  <c:v>0.25</c:v>
                </c:pt>
                <c:pt idx="7">
                  <c:v>7.0000000000000007E-2</c:v>
                </c:pt>
                <c:pt idx="8">
                  <c:v>0.18</c:v>
                </c:pt>
                <c:pt idx="9">
                  <c:v>0.28000000000000003</c:v>
                </c:pt>
                <c:pt idx="10">
                  <c:v>0.38</c:v>
                </c:pt>
                <c:pt idx="11">
                  <c:v>0</c:v>
                </c:pt>
                <c:pt idx="12">
                  <c:v>0.36</c:v>
                </c:pt>
                <c:pt idx="13">
                  <c:v>0.13</c:v>
                </c:pt>
                <c:pt idx="14">
                  <c:v>0.31</c:v>
                </c:pt>
                <c:pt idx="15">
                  <c:v>0.39</c:v>
                </c:pt>
                <c:pt idx="16">
                  <c:v>0.49</c:v>
                </c:pt>
              </c:numCache>
            </c:numRef>
          </c:val>
        </c:ser>
        <c:ser>
          <c:idx val="1"/>
          <c:order val="1"/>
          <c:tx>
            <c:strRef>
              <c:f>'G19'!$F$6</c:f>
              <c:strCache>
                <c:ptCount val="1"/>
                <c:pt idx="0">
                  <c:v> účastnili se pracovně i mimopracovně orientovaného neformálního vzdělávání</c:v>
                </c:pt>
              </c:strCache>
            </c:strRef>
          </c:tx>
          <c:spPr>
            <a:solidFill>
              <a:schemeClr val="accent5">
                <a:lumMod val="75000"/>
              </a:schemeClr>
            </a:solidFill>
            <a:ln>
              <a:solidFill>
                <a:schemeClr val="accent5">
                  <a:lumMod val="50000"/>
                </a:schemeClr>
              </a:solidFill>
            </a:ln>
          </c:spPr>
          <c:invertIfNegative val="0"/>
          <c:cat>
            <c:multiLvlStrRef>
              <c:f>'G19'!$B$7:$C$23</c:f>
              <c:multiLvlStrCache>
                <c:ptCount val="17"/>
                <c:lvl>
                  <c:pt idx="0">
                    <c:v>celkem</c:v>
                  </c:pt>
                  <c:pt idx="1">
                    <c:v>nejvýše základní</c:v>
                  </c:pt>
                  <c:pt idx="2">
                    <c:v>SŠ bez maturity</c:v>
                  </c:pt>
                  <c:pt idx="3">
                    <c:v>SŠ s maturitou</c:v>
                  </c:pt>
                  <c:pt idx="4">
                    <c:v>VOŠ a VŠ</c:v>
                  </c:pt>
                  <c:pt idx="6">
                    <c:v>celkem</c:v>
                  </c:pt>
                  <c:pt idx="7">
                    <c:v>nejvýše základní</c:v>
                  </c:pt>
                  <c:pt idx="8">
                    <c:v>SŠ bez maturity</c:v>
                  </c:pt>
                  <c:pt idx="9">
                    <c:v>SŠ s maturitou</c:v>
                  </c:pt>
                  <c:pt idx="10">
                    <c:v>VOŠ a VŠ</c:v>
                  </c:pt>
                  <c:pt idx="12">
                    <c:v>celkem</c:v>
                  </c:pt>
                  <c:pt idx="13">
                    <c:v>nejvýše základní</c:v>
                  </c:pt>
                  <c:pt idx="14">
                    <c:v>SŠ bez maturity</c:v>
                  </c:pt>
                  <c:pt idx="15">
                    <c:v>SŠ s maturitou</c:v>
                  </c:pt>
                  <c:pt idx="16">
                    <c:v>VOŠ a VŠ</c:v>
                  </c:pt>
                </c:lvl>
                <c:lvl>
                  <c:pt idx="0">
                    <c:v>celkem</c:v>
                  </c:pt>
                  <c:pt idx="6">
                    <c:v>ženy</c:v>
                  </c:pt>
                  <c:pt idx="12">
                    <c:v>muži</c:v>
                  </c:pt>
                </c:lvl>
              </c:multiLvlStrCache>
            </c:multiLvlStrRef>
          </c:cat>
          <c:val>
            <c:numRef>
              <c:f>'G19'!$F$7:$F$23</c:f>
              <c:numCache>
                <c:formatCode>0%</c:formatCode>
                <c:ptCount val="17"/>
                <c:pt idx="0">
                  <c:v>0.03</c:v>
                </c:pt>
                <c:pt idx="1">
                  <c:v>0.01</c:v>
                </c:pt>
                <c:pt idx="2">
                  <c:v>0.01</c:v>
                </c:pt>
                <c:pt idx="3">
                  <c:v>0.03</c:v>
                </c:pt>
                <c:pt idx="4">
                  <c:v>7.0000000000000007E-2</c:v>
                </c:pt>
                <c:pt idx="5">
                  <c:v>0</c:v>
                </c:pt>
                <c:pt idx="6">
                  <c:v>0.04</c:v>
                </c:pt>
                <c:pt idx="7">
                  <c:v>0.01</c:v>
                </c:pt>
                <c:pt idx="8">
                  <c:v>0.01</c:v>
                </c:pt>
                <c:pt idx="9">
                  <c:v>0.04</c:v>
                </c:pt>
                <c:pt idx="10">
                  <c:v>0.1</c:v>
                </c:pt>
                <c:pt idx="11">
                  <c:v>0</c:v>
                </c:pt>
                <c:pt idx="12">
                  <c:v>0.02</c:v>
                </c:pt>
                <c:pt idx="13">
                  <c:v>0.01</c:v>
                </c:pt>
                <c:pt idx="14">
                  <c:v>0.01</c:v>
                </c:pt>
                <c:pt idx="15">
                  <c:v>0.03</c:v>
                </c:pt>
                <c:pt idx="16">
                  <c:v>0.04</c:v>
                </c:pt>
              </c:numCache>
            </c:numRef>
          </c:val>
        </c:ser>
        <c:ser>
          <c:idx val="2"/>
          <c:order val="2"/>
          <c:tx>
            <c:strRef>
              <c:f>'G19'!$G$6</c:f>
              <c:strCache>
                <c:ptCount val="1"/>
                <c:pt idx="0">
                  <c:v> účastnili se (pouze) mimopracovně orientovaného neformálního vzdělávání</c:v>
                </c:pt>
              </c:strCache>
            </c:strRef>
          </c:tx>
          <c:spPr>
            <a:solidFill>
              <a:schemeClr val="accent5">
                <a:lumMod val="50000"/>
              </a:schemeClr>
            </a:solidFill>
            <a:ln>
              <a:solidFill>
                <a:schemeClr val="tx1">
                  <a:lumMod val="95000"/>
                  <a:lumOff val="5000"/>
                </a:schemeClr>
              </a:solidFill>
            </a:ln>
          </c:spPr>
          <c:invertIfNegative val="0"/>
          <c:cat>
            <c:multiLvlStrRef>
              <c:f>'G19'!$B$7:$C$23</c:f>
              <c:multiLvlStrCache>
                <c:ptCount val="17"/>
                <c:lvl>
                  <c:pt idx="0">
                    <c:v>celkem</c:v>
                  </c:pt>
                  <c:pt idx="1">
                    <c:v>nejvýše základní</c:v>
                  </c:pt>
                  <c:pt idx="2">
                    <c:v>SŠ bez maturity</c:v>
                  </c:pt>
                  <c:pt idx="3">
                    <c:v>SŠ s maturitou</c:v>
                  </c:pt>
                  <c:pt idx="4">
                    <c:v>VOŠ a VŠ</c:v>
                  </c:pt>
                  <c:pt idx="6">
                    <c:v>celkem</c:v>
                  </c:pt>
                  <c:pt idx="7">
                    <c:v>nejvýše základní</c:v>
                  </c:pt>
                  <c:pt idx="8">
                    <c:v>SŠ bez maturity</c:v>
                  </c:pt>
                  <c:pt idx="9">
                    <c:v>SŠ s maturitou</c:v>
                  </c:pt>
                  <c:pt idx="10">
                    <c:v>VOŠ a VŠ</c:v>
                  </c:pt>
                  <c:pt idx="12">
                    <c:v>celkem</c:v>
                  </c:pt>
                  <c:pt idx="13">
                    <c:v>nejvýše základní</c:v>
                  </c:pt>
                  <c:pt idx="14">
                    <c:v>SŠ bez maturity</c:v>
                  </c:pt>
                  <c:pt idx="15">
                    <c:v>SŠ s maturitou</c:v>
                  </c:pt>
                  <c:pt idx="16">
                    <c:v>VOŠ a VŠ</c:v>
                  </c:pt>
                </c:lvl>
                <c:lvl>
                  <c:pt idx="0">
                    <c:v>celkem</c:v>
                  </c:pt>
                  <c:pt idx="6">
                    <c:v>ženy</c:v>
                  </c:pt>
                  <c:pt idx="12">
                    <c:v>muži</c:v>
                  </c:pt>
                </c:lvl>
              </c:multiLvlStrCache>
            </c:multiLvlStrRef>
          </c:cat>
          <c:val>
            <c:numRef>
              <c:f>'G19'!$G$7:$G$23</c:f>
              <c:numCache>
                <c:formatCode>0%</c:formatCode>
                <c:ptCount val="17"/>
                <c:pt idx="0">
                  <c:v>7.0000000000000007E-2</c:v>
                </c:pt>
                <c:pt idx="1">
                  <c:v>7.0000000000000007E-2</c:v>
                </c:pt>
                <c:pt idx="2">
                  <c:v>0.03</c:v>
                </c:pt>
                <c:pt idx="3">
                  <c:v>0.08</c:v>
                </c:pt>
                <c:pt idx="4">
                  <c:v>0.09</c:v>
                </c:pt>
                <c:pt idx="5">
                  <c:v>0</c:v>
                </c:pt>
                <c:pt idx="6">
                  <c:v>0.09</c:v>
                </c:pt>
                <c:pt idx="7">
                  <c:v>0.08</c:v>
                </c:pt>
                <c:pt idx="8">
                  <c:v>0.05</c:v>
                </c:pt>
                <c:pt idx="9">
                  <c:v>0.1</c:v>
                </c:pt>
                <c:pt idx="10">
                  <c:v>0.11</c:v>
                </c:pt>
                <c:pt idx="11">
                  <c:v>0</c:v>
                </c:pt>
                <c:pt idx="12">
                  <c:v>0.04</c:v>
                </c:pt>
                <c:pt idx="13">
                  <c:v>7.0000000000000007E-2</c:v>
                </c:pt>
                <c:pt idx="14">
                  <c:v>0.02</c:v>
                </c:pt>
                <c:pt idx="15">
                  <c:v>0.05</c:v>
                </c:pt>
                <c:pt idx="16">
                  <c:v>0.06</c:v>
                </c:pt>
              </c:numCache>
            </c:numRef>
          </c:val>
        </c:ser>
        <c:ser>
          <c:idx val="3"/>
          <c:order val="3"/>
          <c:tx>
            <c:strRef>
              <c:f>'G19'!$H$6</c:f>
              <c:strCache>
                <c:ptCount val="1"/>
                <c:pt idx="0">
                  <c:v> neúčastnili se neformálního vzdělávání</c:v>
                </c:pt>
              </c:strCache>
            </c:strRef>
          </c:tx>
          <c:spPr>
            <a:solidFill>
              <a:schemeClr val="bg1">
                <a:lumMod val="85000"/>
              </a:schemeClr>
            </a:solidFill>
            <a:ln>
              <a:solidFill>
                <a:schemeClr val="tx1">
                  <a:lumMod val="50000"/>
                  <a:lumOff val="50000"/>
                </a:schemeClr>
              </a:solidFill>
            </a:ln>
          </c:spPr>
          <c:invertIfNegative val="0"/>
          <c:dLbls>
            <c:dLbl>
              <c:idx val="5"/>
              <c:delete val="1"/>
            </c:dLbl>
            <c:dLbl>
              <c:idx val="11"/>
              <c:delete val="1"/>
            </c:dLbl>
            <c:txPr>
              <a:bodyPr/>
              <a:lstStyle/>
              <a:p>
                <a:pPr>
                  <a:defRPr sz="700"/>
                </a:pPr>
                <a:endParaRPr lang="cs-CZ"/>
              </a:p>
            </c:txPr>
            <c:dLblPos val="inEnd"/>
            <c:showLegendKey val="0"/>
            <c:showVal val="1"/>
            <c:showCatName val="0"/>
            <c:showSerName val="0"/>
            <c:showPercent val="0"/>
            <c:showBubbleSize val="0"/>
            <c:showLeaderLines val="0"/>
          </c:dLbls>
          <c:cat>
            <c:multiLvlStrRef>
              <c:f>'G19'!$B$7:$C$23</c:f>
              <c:multiLvlStrCache>
                <c:ptCount val="17"/>
                <c:lvl>
                  <c:pt idx="0">
                    <c:v>celkem</c:v>
                  </c:pt>
                  <c:pt idx="1">
                    <c:v>nejvýše základní</c:v>
                  </c:pt>
                  <c:pt idx="2">
                    <c:v>SŠ bez maturity</c:v>
                  </c:pt>
                  <c:pt idx="3">
                    <c:v>SŠ s maturitou</c:v>
                  </c:pt>
                  <c:pt idx="4">
                    <c:v>VOŠ a VŠ</c:v>
                  </c:pt>
                  <c:pt idx="6">
                    <c:v>celkem</c:v>
                  </c:pt>
                  <c:pt idx="7">
                    <c:v>nejvýše základní</c:v>
                  </c:pt>
                  <c:pt idx="8">
                    <c:v>SŠ bez maturity</c:v>
                  </c:pt>
                  <c:pt idx="9">
                    <c:v>SŠ s maturitou</c:v>
                  </c:pt>
                  <c:pt idx="10">
                    <c:v>VOŠ a VŠ</c:v>
                  </c:pt>
                  <c:pt idx="12">
                    <c:v>celkem</c:v>
                  </c:pt>
                  <c:pt idx="13">
                    <c:v>nejvýše základní</c:v>
                  </c:pt>
                  <c:pt idx="14">
                    <c:v>SŠ bez maturity</c:v>
                  </c:pt>
                  <c:pt idx="15">
                    <c:v>SŠ s maturitou</c:v>
                  </c:pt>
                  <c:pt idx="16">
                    <c:v>VOŠ a VŠ</c:v>
                  </c:pt>
                </c:lvl>
                <c:lvl>
                  <c:pt idx="0">
                    <c:v>celkem</c:v>
                  </c:pt>
                  <c:pt idx="6">
                    <c:v>ženy</c:v>
                  </c:pt>
                  <c:pt idx="12">
                    <c:v>muži</c:v>
                  </c:pt>
                </c:lvl>
              </c:multiLvlStrCache>
            </c:multiLvlStrRef>
          </c:cat>
          <c:val>
            <c:numRef>
              <c:f>'G19'!$H$7:$H$23</c:f>
              <c:numCache>
                <c:formatCode>0%</c:formatCode>
                <c:ptCount val="17"/>
                <c:pt idx="0">
                  <c:v>0.6</c:v>
                </c:pt>
                <c:pt idx="1">
                  <c:v>0.83</c:v>
                </c:pt>
                <c:pt idx="2">
                  <c:v>0.7</c:v>
                </c:pt>
                <c:pt idx="3">
                  <c:v>0.56000000000000005</c:v>
                </c:pt>
                <c:pt idx="4">
                  <c:v>0.42</c:v>
                </c:pt>
                <c:pt idx="5">
                  <c:v>0</c:v>
                </c:pt>
                <c:pt idx="6">
                  <c:v>0.63</c:v>
                </c:pt>
                <c:pt idx="7">
                  <c:v>0.85</c:v>
                </c:pt>
                <c:pt idx="8">
                  <c:v>0.77</c:v>
                </c:pt>
                <c:pt idx="9">
                  <c:v>0.57999999999999996</c:v>
                </c:pt>
                <c:pt idx="10">
                  <c:v>0.41</c:v>
                </c:pt>
                <c:pt idx="11">
                  <c:v>0</c:v>
                </c:pt>
                <c:pt idx="12">
                  <c:v>0.57999999999999996</c:v>
                </c:pt>
                <c:pt idx="13">
                  <c:v>0.79</c:v>
                </c:pt>
                <c:pt idx="14">
                  <c:v>0.65</c:v>
                </c:pt>
                <c:pt idx="15">
                  <c:v>0.53</c:v>
                </c:pt>
                <c:pt idx="16">
                  <c:v>0.42</c:v>
                </c:pt>
              </c:numCache>
            </c:numRef>
          </c:val>
        </c:ser>
        <c:dLbls>
          <c:showLegendKey val="0"/>
          <c:showVal val="0"/>
          <c:showCatName val="0"/>
          <c:showSerName val="0"/>
          <c:showPercent val="0"/>
          <c:showBubbleSize val="0"/>
        </c:dLbls>
        <c:gapWidth val="60"/>
        <c:overlap val="100"/>
        <c:axId val="167827456"/>
        <c:axId val="167529856"/>
      </c:barChart>
      <c:catAx>
        <c:axId val="167827456"/>
        <c:scaling>
          <c:orientation val="minMax"/>
        </c:scaling>
        <c:delete val="0"/>
        <c:axPos val="b"/>
        <c:majorTickMark val="out"/>
        <c:minorTickMark val="none"/>
        <c:tickLblPos val="nextTo"/>
        <c:spPr>
          <a:ln>
            <a:noFill/>
          </a:ln>
        </c:spPr>
        <c:crossAx val="167529856"/>
        <c:crosses val="autoZero"/>
        <c:auto val="1"/>
        <c:lblAlgn val="ctr"/>
        <c:lblOffset val="100"/>
        <c:noMultiLvlLbl val="0"/>
      </c:catAx>
      <c:valAx>
        <c:axId val="167529856"/>
        <c:scaling>
          <c:orientation val="minMax"/>
        </c:scaling>
        <c:delete val="0"/>
        <c:axPos val="l"/>
        <c:majorGridlines>
          <c:spPr>
            <a:ln>
              <a:prstDash val="sysDot"/>
            </a:ln>
          </c:spPr>
        </c:majorGridlines>
        <c:numFmt formatCode="0%" sourceLinked="1"/>
        <c:majorTickMark val="out"/>
        <c:minorTickMark val="none"/>
        <c:tickLblPos val="nextTo"/>
        <c:spPr>
          <a:ln>
            <a:noFill/>
          </a:ln>
        </c:spPr>
        <c:crossAx val="167827456"/>
        <c:crosses val="autoZero"/>
        <c:crossBetween val="between"/>
      </c:valAx>
    </c:plotArea>
    <c:legend>
      <c:legendPos val="b"/>
      <c:layout>
        <c:manualLayout>
          <c:xMode val="edge"/>
          <c:yMode val="edge"/>
          <c:x val="8.3769690588910567E-2"/>
          <c:y val="0.89696262543453253"/>
          <c:w val="0.82733241438422311"/>
          <c:h val="9.3352144541254567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95702162039471E-2"/>
          <c:y val="1.5558309018479294E-2"/>
          <c:w val="0.85222828583013099"/>
          <c:h val="0.68016067788480761"/>
        </c:manualLayout>
      </c:layout>
      <c:barChart>
        <c:barDir val="col"/>
        <c:grouping val="clustered"/>
        <c:varyColors val="0"/>
        <c:ser>
          <c:idx val="0"/>
          <c:order val="0"/>
          <c:tx>
            <c:strRef>
              <c:f>'G20'!$C$5</c:f>
              <c:strCache>
                <c:ptCount val="1"/>
                <c:pt idx="0">
                  <c:v> účast v pracovně-orientovaném neformálním vzdělávání</c:v>
                </c:pt>
              </c:strCache>
            </c:strRef>
          </c:tx>
          <c:spPr>
            <a:solidFill>
              <a:schemeClr val="accent3">
                <a:lumMod val="60000"/>
                <a:lumOff val="40000"/>
              </a:schemeClr>
            </a:solidFill>
            <a:ln>
              <a:solidFill>
                <a:schemeClr val="accent3">
                  <a:lumMod val="50000"/>
                </a:schemeClr>
              </a:solidFill>
            </a:ln>
          </c:spPr>
          <c:invertIfNegative val="0"/>
          <c:dLbls>
            <c:dLbl>
              <c:idx val="5"/>
              <c:layout>
                <c:manualLayout>
                  <c:x val="0"/>
                  <c:y val="4.2976671063325263E-2"/>
                </c:manualLayout>
              </c:layout>
              <c:dLblPos val="outEnd"/>
              <c:showLegendKey val="0"/>
              <c:showVal val="1"/>
              <c:showCatName val="0"/>
              <c:showSerName val="0"/>
              <c:showPercent val="0"/>
              <c:showBubbleSize val="0"/>
            </c:dLbl>
            <c:dLbl>
              <c:idx val="6"/>
              <c:layout>
                <c:manualLayout>
                  <c:x val="0"/>
                  <c:y val="4.6377286595520754E-2"/>
                </c:manualLayout>
              </c:layout>
              <c:dLblPos val="outEnd"/>
              <c:showLegendKey val="0"/>
              <c:showVal val="1"/>
              <c:showCatName val="0"/>
              <c:showSerName val="0"/>
              <c:showPercent val="0"/>
              <c:showBubbleSize val="0"/>
            </c:dLbl>
            <c:dLblPos val="inBase"/>
            <c:showLegendKey val="0"/>
            <c:showVal val="1"/>
            <c:showCatName val="0"/>
            <c:showSerName val="0"/>
            <c:showPercent val="0"/>
            <c:showBubbleSize val="0"/>
            <c:showLeaderLines val="0"/>
          </c:dLbls>
          <c:cat>
            <c:strRef>
              <c:f>'G20'!$B$6:$B$13</c:f>
              <c:strCache>
                <c:ptCount val="8"/>
                <c:pt idx="0">
                  <c:v>pracující  celkem</c:v>
                </c:pt>
                <c:pt idx="1">
                  <c:v>zaměstnanci</c:v>
                </c:pt>
                <c:pt idx="2">
                  <c:v>podnikatelé</c:v>
                </c:pt>
                <c:pt idx="3">
                  <c:v>nezaměstnaní</c:v>
                </c:pt>
                <c:pt idx="4">
                  <c:v>studenti</c:v>
                </c:pt>
                <c:pt idx="5">
                  <c:v>starobní důchodci</c:v>
                </c:pt>
                <c:pt idx="6">
                  <c:v>invalidní důchodci</c:v>
                </c:pt>
                <c:pt idx="7">
                  <c:v>na RD / v domácnosti</c:v>
                </c:pt>
              </c:strCache>
            </c:strRef>
          </c:cat>
          <c:val>
            <c:numRef>
              <c:f>'G20'!$C$6:$C$13</c:f>
              <c:numCache>
                <c:formatCode>0%</c:formatCode>
                <c:ptCount val="8"/>
                <c:pt idx="0">
                  <c:v>0.48</c:v>
                </c:pt>
                <c:pt idx="1">
                  <c:v>0.504</c:v>
                </c:pt>
                <c:pt idx="2">
                  <c:v>0.35599999999999998</c:v>
                </c:pt>
                <c:pt idx="3">
                  <c:v>0.13</c:v>
                </c:pt>
                <c:pt idx="4">
                  <c:v>6.4000000000000001E-2</c:v>
                </c:pt>
                <c:pt idx="5">
                  <c:v>0.02</c:v>
                </c:pt>
                <c:pt idx="6">
                  <c:v>2.3E-2</c:v>
                </c:pt>
                <c:pt idx="7">
                  <c:v>7.2999999999999995E-2</c:v>
                </c:pt>
              </c:numCache>
            </c:numRef>
          </c:val>
        </c:ser>
        <c:dLbls>
          <c:showLegendKey val="0"/>
          <c:showVal val="0"/>
          <c:showCatName val="0"/>
          <c:showSerName val="0"/>
          <c:showPercent val="0"/>
          <c:showBubbleSize val="0"/>
        </c:dLbls>
        <c:gapWidth val="130"/>
        <c:axId val="167758336"/>
        <c:axId val="167532736"/>
      </c:barChart>
      <c:barChart>
        <c:barDir val="col"/>
        <c:grouping val="clustered"/>
        <c:varyColors val="0"/>
        <c:ser>
          <c:idx val="1"/>
          <c:order val="1"/>
          <c:tx>
            <c:strRef>
              <c:f>'G20'!$D$5</c:f>
              <c:strCache>
                <c:ptCount val="1"/>
                <c:pt idx="0">
                  <c:v> počet hodin strávený pracovně orientovaným neformálním vzděláváním ročně na účastníka</c:v>
                </c:pt>
              </c:strCache>
            </c:strRef>
          </c:tx>
          <c:spPr>
            <a:noFill/>
            <a:ln w="28575">
              <a:noFill/>
            </a:ln>
          </c:spPr>
          <c:invertIfNegative val="0"/>
          <c:dLbls>
            <c:dLbl>
              <c:idx val="0"/>
              <c:layout>
                <c:manualLayout>
                  <c:x val="0"/>
                  <c:y val="3.0456852791878188E-2"/>
                </c:manualLayout>
              </c:layout>
              <c:dLblPos val="outEnd"/>
              <c:showLegendKey val="0"/>
              <c:showVal val="1"/>
              <c:showCatName val="0"/>
              <c:showSerName val="0"/>
              <c:showPercent val="0"/>
              <c:showBubbleSize val="0"/>
            </c:dLbl>
            <c:dLbl>
              <c:idx val="1"/>
              <c:layout>
                <c:manualLayout>
                  <c:x val="0"/>
                  <c:y val="2.3688663282571912E-2"/>
                </c:manualLayout>
              </c:layout>
              <c:dLblPos val="outEnd"/>
              <c:showLegendKey val="0"/>
              <c:showVal val="1"/>
              <c:showCatName val="0"/>
              <c:showSerName val="0"/>
              <c:showPercent val="0"/>
              <c:showBubbleSize val="0"/>
            </c:dLbl>
            <c:dLbl>
              <c:idx val="2"/>
              <c:layout>
                <c:manualLayout>
                  <c:x val="3.8981759616306263E-17"/>
                  <c:y val="1.0152284263959395E-2"/>
                </c:manualLayout>
              </c:layout>
              <c:dLblPos val="outEnd"/>
              <c:showLegendKey val="0"/>
              <c:showVal val="1"/>
              <c:showCatName val="0"/>
              <c:showSerName val="0"/>
              <c:showPercent val="0"/>
              <c:showBubbleSize val="0"/>
            </c:dLbl>
            <c:dLbl>
              <c:idx val="3"/>
              <c:layout>
                <c:manualLayout>
                  <c:x val="0"/>
                  <c:y val="3.3840947546531323E-2"/>
                </c:manualLayout>
              </c:layout>
              <c:dLblPos val="outEnd"/>
              <c:showLegendKey val="0"/>
              <c:showVal val="1"/>
              <c:showCatName val="0"/>
              <c:showSerName val="0"/>
              <c:showPercent val="0"/>
              <c:showBubbleSize val="0"/>
            </c:dLbl>
            <c:dLbl>
              <c:idx val="4"/>
              <c:layout>
                <c:manualLayout>
                  <c:x val="0"/>
                  <c:y val="2.3688663282571912E-2"/>
                </c:manualLayout>
              </c:layout>
              <c:dLblPos val="outEnd"/>
              <c:showLegendKey val="0"/>
              <c:showVal val="1"/>
              <c:showCatName val="0"/>
              <c:showSerName val="0"/>
              <c:showPercent val="0"/>
              <c:showBubbleSize val="0"/>
            </c:dLbl>
            <c:dLbl>
              <c:idx val="5"/>
              <c:layout>
                <c:manualLayout>
                  <c:x val="0"/>
                  <c:y val="3.0456852791878188E-2"/>
                </c:manualLayout>
              </c:layout>
              <c:dLblPos val="outEnd"/>
              <c:showLegendKey val="0"/>
              <c:showVal val="1"/>
              <c:showCatName val="0"/>
              <c:showSerName val="0"/>
              <c:showPercent val="0"/>
              <c:showBubbleSize val="0"/>
            </c:dLbl>
            <c:dLbl>
              <c:idx val="7"/>
              <c:layout>
                <c:manualLayout>
                  <c:x val="0"/>
                  <c:y val="2.707275803722509E-2"/>
                </c:manualLayout>
              </c:layout>
              <c:dLblPos val="outEnd"/>
              <c:showLegendKey val="0"/>
              <c:showVal val="1"/>
              <c:showCatName val="0"/>
              <c:showSerName val="0"/>
              <c:showPercent val="0"/>
              <c:showBubbleSize val="0"/>
            </c:dLbl>
            <c:spPr>
              <a:ln w="25400">
                <a:solidFill>
                  <a:sysClr val="windowText" lastClr="000000"/>
                </a:solidFill>
              </a:ln>
            </c:spPr>
            <c:txPr>
              <a:bodyPr/>
              <a:lstStyle/>
              <a:p>
                <a:pPr>
                  <a:defRPr sz="800" b="0"/>
                </a:pPr>
                <a:endParaRPr lang="cs-CZ"/>
              </a:p>
            </c:txPr>
            <c:dLblPos val="outEnd"/>
            <c:showLegendKey val="0"/>
            <c:showVal val="1"/>
            <c:showCatName val="0"/>
            <c:showSerName val="0"/>
            <c:showPercent val="0"/>
            <c:showBubbleSize val="0"/>
            <c:showLeaderLines val="0"/>
          </c:dLbls>
          <c:cat>
            <c:strRef>
              <c:f>'G20'!$B$6:$B$13</c:f>
              <c:strCache>
                <c:ptCount val="8"/>
                <c:pt idx="0">
                  <c:v>pracující  celkem</c:v>
                </c:pt>
                <c:pt idx="1">
                  <c:v>zaměstnanci</c:v>
                </c:pt>
                <c:pt idx="2">
                  <c:v>podnikatelé</c:v>
                </c:pt>
                <c:pt idx="3">
                  <c:v>nezaměstnaní</c:v>
                </c:pt>
                <c:pt idx="4">
                  <c:v>studenti</c:v>
                </c:pt>
                <c:pt idx="5">
                  <c:v>starobní důchodci</c:v>
                </c:pt>
                <c:pt idx="6">
                  <c:v>invalidní důchodci</c:v>
                </c:pt>
                <c:pt idx="7">
                  <c:v>na RD / v domácnosti</c:v>
                </c:pt>
              </c:strCache>
            </c:strRef>
          </c:cat>
          <c:val>
            <c:numRef>
              <c:f>'G20'!$D$6:$D$13</c:f>
              <c:numCache>
                <c:formatCode>0</c:formatCode>
                <c:ptCount val="8"/>
                <c:pt idx="0">
                  <c:v>27.4</c:v>
                </c:pt>
                <c:pt idx="1">
                  <c:v>27.1</c:v>
                </c:pt>
                <c:pt idx="2">
                  <c:v>29.6</c:v>
                </c:pt>
                <c:pt idx="3">
                  <c:v>52.3</c:v>
                </c:pt>
                <c:pt idx="4">
                  <c:v>38.5</c:v>
                </c:pt>
                <c:pt idx="5">
                  <c:v>17.2</c:v>
                </c:pt>
                <c:pt idx="7">
                  <c:v>36.200000000000003</c:v>
                </c:pt>
              </c:numCache>
            </c:numRef>
          </c:val>
        </c:ser>
        <c:dLbls>
          <c:showLegendKey val="0"/>
          <c:showVal val="0"/>
          <c:showCatName val="0"/>
          <c:showSerName val="0"/>
          <c:showPercent val="0"/>
          <c:showBubbleSize val="0"/>
        </c:dLbls>
        <c:gapWidth val="150"/>
        <c:axId val="168112128"/>
        <c:axId val="167533888"/>
      </c:barChart>
      <c:catAx>
        <c:axId val="167758336"/>
        <c:scaling>
          <c:orientation val="minMax"/>
        </c:scaling>
        <c:delete val="0"/>
        <c:axPos val="b"/>
        <c:majorTickMark val="none"/>
        <c:minorTickMark val="none"/>
        <c:tickLblPos val="nextTo"/>
        <c:crossAx val="167532736"/>
        <c:crosses val="autoZero"/>
        <c:auto val="1"/>
        <c:lblAlgn val="ctr"/>
        <c:lblOffset val="100"/>
        <c:noMultiLvlLbl val="0"/>
      </c:catAx>
      <c:valAx>
        <c:axId val="167532736"/>
        <c:scaling>
          <c:orientation val="minMax"/>
        </c:scaling>
        <c:delete val="0"/>
        <c:axPos val="l"/>
        <c:majorGridlines>
          <c:spPr>
            <a:ln>
              <a:prstDash val="sysDot"/>
            </a:ln>
          </c:spPr>
        </c:majorGridlines>
        <c:title>
          <c:tx>
            <c:rich>
              <a:bodyPr rot="-5400000" vert="horz"/>
              <a:lstStyle/>
              <a:p>
                <a:pPr>
                  <a:defRPr b="0"/>
                </a:pPr>
                <a:r>
                  <a:rPr lang="cs-CZ" b="0"/>
                  <a:t>účast</a:t>
                </a:r>
              </a:p>
            </c:rich>
          </c:tx>
          <c:layout>
            <c:manualLayout>
              <c:xMode val="edge"/>
              <c:yMode val="edge"/>
              <c:x val="0"/>
              <c:y val="0.32435189256165314"/>
            </c:manualLayout>
          </c:layout>
          <c:overlay val="0"/>
        </c:title>
        <c:numFmt formatCode="0%" sourceLinked="1"/>
        <c:majorTickMark val="out"/>
        <c:minorTickMark val="none"/>
        <c:tickLblPos val="nextTo"/>
        <c:spPr>
          <a:ln>
            <a:noFill/>
          </a:ln>
        </c:spPr>
        <c:crossAx val="167758336"/>
        <c:crosses val="autoZero"/>
        <c:crossBetween val="between"/>
      </c:valAx>
      <c:valAx>
        <c:axId val="167533888"/>
        <c:scaling>
          <c:orientation val="minMax"/>
        </c:scaling>
        <c:delete val="0"/>
        <c:axPos val="r"/>
        <c:title>
          <c:tx>
            <c:rich>
              <a:bodyPr rot="-5400000" vert="horz"/>
              <a:lstStyle/>
              <a:p>
                <a:pPr>
                  <a:defRPr b="0"/>
                </a:pPr>
                <a:r>
                  <a:rPr lang="cs-CZ" b="0"/>
                  <a:t>průměrný </a:t>
                </a:r>
                <a:r>
                  <a:rPr lang="en-US" b="0"/>
                  <a:t>počet hodin</a:t>
                </a:r>
              </a:p>
            </c:rich>
          </c:tx>
          <c:layout>
            <c:manualLayout>
              <c:xMode val="edge"/>
              <c:yMode val="edge"/>
              <c:x val="0.97266171872056661"/>
              <c:y val="0.19653809771240524"/>
            </c:manualLayout>
          </c:layout>
          <c:overlay val="0"/>
        </c:title>
        <c:numFmt formatCode="0" sourceLinked="1"/>
        <c:majorTickMark val="out"/>
        <c:minorTickMark val="none"/>
        <c:tickLblPos val="nextTo"/>
        <c:spPr>
          <a:ln>
            <a:noFill/>
          </a:ln>
        </c:spPr>
        <c:crossAx val="168112128"/>
        <c:crosses val="max"/>
        <c:crossBetween val="between"/>
      </c:valAx>
      <c:catAx>
        <c:axId val="168112128"/>
        <c:scaling>
          <c:orientation val="minMax"/>
        </c:scaling>
        <c:delete val="1"/>
        <c:axPos val="b"/>
        <c:majorTickMark val="out"/>
        <c:minorTickMark val="none"/>
        <c:tickLblPos val="none"/>
        <c:crossAx val="167533888"/>
        <c:crosses val="autoZero"/>
        <c:auto val="1"/>
        <c:lblAlgn val="ctr"/>
        <c:lblOffset val="100"/>
        <c:noMultiLvlLbl val="0"/>
      </c:catAx>
    </c:plotArea>
    <c:legend>
      <c:legendPos val="b"/>
      <c:layout>
        <c:manualLayout>
          <c:xMode val="edge"/>
          <c:yMode val="edge"/>
          <c:x val="0"/>
          <c:y val="0.8792096673195039"/>
          <c:w val="0.95368193530348433"/>
          <c:h val="0.11762527146035678"/>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dle</a:t>
            </a:r>
            <a:r>
              <a:rPr lang="cs-CZ" sz="1000"/>
              <a:t> počtu hodin strávených vzděláváním</a:t>
            </a:r>
            <a:endParaRPr lang="en-US" sz="1000"/>
          </a:p>
        </c:rich>
      </c:tx>
      <c:layout>
        <c:manualLayout>
          <c:xMode val="edge"/>
          <c:yMode val="edge"/>
          <c:x val="0.25798646709042578"/>
          <c:y val="2.2742779167614344E-2"/>
        </c:manualLayout>
      </c:layout>
      <c:overlay val="0"/>
    </c:title>
    <c:autoTitleDeleted val="0"/>
    <c:plotArea>
      <c:layout>
        <c:manualLayout>
          <c:layoutTarget val="inner"/>
          <c:xMode val="edge"/>
          <c:yMode val="edge"/>
          <c:x val="0.19714854270667148"/>
          <c:y val="0.2497883268188599"/>
          <c:w val="0.64884015022791564"/>
          <c:h val="0.71965751244258847"/>
        </c:manualLayout>
      </c:layout>
      <c:doughnutChart>
        <c:varyColors val="1"/>
        <c:dLbls>
          <c:showLegendKey val="0"/>
          <c:showVal val="0"/>
          <c:showCatName val="0"/>
          <c:showSerName val="0"/>
          <c:showPercent val="0"/>
          <c:showBubbleSize val="0"/>
          <c:showLeaderLines val="1"/>
        </c:dLbls>
        <c:firstSliceAng val="0"/>
        <c:holeSize val="50"/>
      </c:doughnutChart>
    </c:plotArea>
    <c:plotVisOnly val="1"/>
    <c:dispBlanksAs val="zero"/>
    <c:showDLblsOverMax val="0"/>
  </c:chart>
  <c:spPr>
    <a:noFill/>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dle</a:t>
            </a:r>
            <a:r>
              <a:rPr lang="cs-CZ" sz="1000"/>
              <a:t> počtu hodin strávených vzděláváním</a:t>
            </a:r>
            <a:endParaRPr lang="en-US" sz="1000"/>
          </a:p>
        </c:rich>
      </c:tx>
      <c:overlay val="0"/>
    </c:title>
    <c:autoTitleDeleted val="0"/>
    <c:plotArea>
      <c:layout>
        <c:manualLayout>
          <c:layoutTarget val="inner"/>
          <c:xMode val="edge"/>
          <c:yMode val="edge"/>
          <c:x val="0.29965288713910843"/>
          <c:y val="0.17788861180382379"/>
          <c:w val="0.62013888888889002"/>
          <c:h val="0.74231088944305901"/>
        </c:manualLayout>
      </c:layout>
      <c:doughnutChart>
        <c:varyColors val="1"/>
        <c:ser>
          <c:idx val="0"/>
          <c:order val="0"/>
          <c:dPt>
            <c:idx val="0"/>
            <c:bubble3D val="0"/>
            <c:spPr>
              <a:solidFill>
                <a:schemeClr val="accent1">
                  <a:lumMod val="75000"/>
                </a:schemeClr>
              </a:solidFill>
              <a:ln>
                <a:solidFill>
                  <a:schemeClr val="tx2">
                    <a:lumMod val="50000"/>
                  </a:schemeClr>
                </a:solidFill>
              </a:ln>
            </c:spPr>
          </c:dPt>
          <c:dPt>
            <c:idx val="1"/>
            <c:bubble3D val="0"/>
            <c:spPr>
              <a:solidFill>
                <a:schemeClr val="accent2">
                  <a:lumMod val="40000"/>
                  <a:lumOff val="60000"/>
                </a:schemeClr>
              </a:solidFill>
              <a:ln>
                <a:solidFill>
                  <a:schemeClr val="accent2">
                    <a:lumMod val="75000"/>
                  </a:schemeClr>
                </a:solidFill>
              </a:ln>
            </c:spPr>
          </c:dPt>
          <c:dPt>
            <c:idx val="2"/>
            <c:bubble3D val="0"/>
            <c:spPr>
              <a:solidFill>
                <a:schemeClr val="accent3"/>
              </a:solidFill>
              <a:ln>
                <a:solidFill>
                  <a:schemeClr val="accent3">
                    <a:lumMod val="50000"/>
                  </a:schemeClr>
                </a:solidFill>
              </a:ln>
            </c:spPr>
          </c:dPt>
          <c:dPt>
            <c:idx val="3"/>
            <c:bubble3D val="0"/>
            <c:spPr>
              <a:solidFill>
                <a:schemeClr val="bg1">
                  <a:lumMod val="65000"/>
                </a:schemeClr>
              </a:solidFill>
              <a:ln>
                <a:solidFill>
                  <a:schemeClr val="tx1">
                    <a:lumMod val="95000"/>
                    <a:lumOff val="5000"/>
                  </a:schemeClr>
                </a:solidFill>
              </a:ln>
            </c:spPr>
          </c:dPt>
          <c:dPt>
            <c:idx val="4"/>
            <c:bubble3D val="0"/>
            <c:spPr>
              <a:solidFill>
                <a:schemeClr val="accent2"/>
              </a:solidFill>
              <a:ln>
                <a:solidFill>
                  <a:schemeClr val="accent2">
                    <a:lumMod val="50000"/>
                  </a:schemeClr>
                </a:solidFill>
              </a:ln>
            </c:spPr>
          </c:dPt>
          <c:dPt>
            <c:idx val="5"/>
            <c:bubble3D val="0"/>
            <c:spPr>
              <a:solidFill>
                <a:schemeClr val="accent6">
                  <a:lumMod val="60000"/>
                  <a:lumOff val="40000"/>
                </a:schemeClr>
              </a:solidFill>
              <a:ln>
                <a:solidFill>
                  <a:schemeClr val="accent6">
                    <a:lumMod val="50000"/>
                  </a:schemeClr>
                </a:solidFill>
              </a:ln>
            </c:spPr>
          </c:dPt>
          <c:dPt>
            <c:idx val="6"/>
            <c:bubble3D val="0"/>
            <c:spPr>
              <a:solidFill>
                <a:schemeClr val="accent4">
                  <a:lumMod val="40000"/>
                  <a:lumOff val="60000"/>
                </a:schemeClr>
              </a:solidFill>
              <a:ln>
                <a:solidFill>
                  <a:schemeClr val="accent4">
                    <a:lumMod val="50000"/>
                  </a:schemeClr>
                </a:solidFill>
              </a:ln>
            </c:spPr>
          </c:dPt>
          <c:dLbls>
            <c:dLbl>
              <c:idx val="0"/>
              <c:spPr/>
              <c:txPr>
                <a:bodyPr/>
                <a:lstStyle/>
                <a:p>
                  <a:pPr>
                    <a:defRPr>
                      <a:solidFill>
                        <a:schemeClr val="bg1"/>
                      </a:solidFill>
                    </a:defRPr>
                  </a:pPr>
                  <a:endParaRPr lang="cs-CZ"/>
                </a:p>
              </c:txPr>
              <c:showLegendKey val="0"/>
              <c:showVal val="1"/>
              <c:showCatName val="0"/>
              <c:showSerName val="0"/>
              <c:showPercent val="0"/>
              <c:showBubbleSize val="0"/>
            </c:dLbl>
            <c:showLegendKey val="0"/>
            <c:showVal val="1"/>
            <c:showCatName val="0"/>
            <c:showSerName val="0"/>
            <c:showPercent val="0"/>
            <c:showBubbleSize val="0"/>
            <c:showLeaderLines val="1"/>
          </c:dLbls>
          <c:cat>
            <c:strRef>
              <c:f>'G21'!$C$44:$C$50</c:f>
              <c:strCache>
                <c:ptCount val="7"/>
                <c:pt idx="0">
                  <c:v> umění a humanitní vědy (cizí jazyky)</c:v>
                </c:pt>
                <c:pt idx="1">
                  <c:v> obchod, administrativa, právo</c:v>
                </c:pt>
                <c:pt idx="2">
                  <c:v> informační a komunikační technologie (ICT)</c:v>
                </c:pt>
                <c:pt idx="3">
                  <c:v> technika, výroba a stavebnictví</c:v>
                </c:pt>
                <c:pt idx="4">
                  <c:v> zdravotní a sociální péče</c:v>
                </c:pt>
                <c:pt idx="5">
                  <c:v> služby</c:v>
                </c:pt>
                <c:pt idx="6">
                  <c:v> ostatní</c:v>
                </c:pt>
              </c:strCache>
            </c:strRef>
          </c:cat>
          <c:val>
            <c:numRef>
              <c:f>'G21'!$D$44:$D$50</c:f>
              <c:numCache>
                <c:formatCode>0%</c:formatCode>
                <c:ptCount val="7"/>
                <c:pt idx="0">
                  <c:v>0.2</c:v>
                </c:pt>
                <c:pt idx="1">
                  <c:v>0.18899999999999997</c:v>
                </c:pt>
                <c:pt idx="2">
                  <c:v>9.8000000000000004E-2</c:v>
                </c:pt>
                <c:pt idx="3">
                  <c:v>0.13100000000000001</c:v>
                </c:pt>
                <c:pt idx="4">
                  <c:v>0.105</c:v>
                </c:pt>
                <c:pt idx="5">
                  <c:v>0.16300000000000001</c:v>
                </c:pt>
                <c:pt idx="6">
                  <c:v>0.11</c:v>
                </c:pt>
              </c:numCache>
            </c:numRef>
          </c:val>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spPr>
    <a:noFill/>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cs-CZ" sz="1000"/>
              <a:t>dle počtu aktivit</a:t>
            </a:r>
          </a:p>
        </c:rich>
      </c:tx>
      <c:layout>
        <c:manualLayout>
          <c:xMode val="edge"/>
          <c:yMode val="edge"/>
          <c:x val="0.27317366579177632"/>
          <c:y val="4.0738815836606136E-2"/>
        </c:manualLayout>
      </c:layout>
      <c:overlay val="0"/>
    </c:title>
    <c:autoTitleDeleted val="0"/>
    <c:plotArea>
      <c:layout>
        <c:manualLayout>
          <c:layoutTarget val="inner"/>
          <c:xMode val="edge"/>
          <c:yMode val="edge"/>
          <c:x val="2.6599518810148732E-2"/>
          <c:y val="0.17979849293031958"/>
          <c:w val="0.57239391951006124"/>
          <c:h val="0.68175950710875877"/>
        </c:manualLayout>
      </c:layout>
      <c:doughnutChart>
        <c:varyColors val="1"/>
        <c:ser>
          <c:idx val="0"/>
          <c:order val="0"/>
          <c:dPt>
            <c:idx val="0"/>
            <c:bubble3D val="0"/>
            <c:spPr>
              <a:solidFill>
                <a:schemeClr val="accent1">
                  <a:lumMod val="75000"/>
                </a:schemeClr>
              </a:solidFill>
              <a:ln>
                <a:solidFill>
                  <a:schemeClr val="tx2">
                    <a:lumMod val="50000"/>
                  </a:schemeClr>
                </a:solidFill>
              </a:ln>
            </c:spPr>
          </c:dPt>
          <c:dPt>
            <c:idx val="1"/>
            <c:bubble3D val="0"/>
            <c:spPr>
              <a:solidFill>
                <a:schemeClr val="accent2">
                  <a:lumMod val="40000"/>
                  <a:lumOff val="60000"/>
                </a:schemeClr>
              </a:solidFill>
              <a:ln>
                <a:solidFill>
                  <a:schemeClr val="accent2">
                    <a:lumMod val="75000"/>
                  </a:schemeClr>
                </a:solidFill>
              </a:ln>
            </c:spPr>
          </c:dPt>
          <c:dPt>
            <c:idx val="2"/>
            <c:bubble3D val="0"/>
            <c:spPr>
              <a:solidFill>
                <a:schemeClr val="accent3"/>
              </a:solidFill>
              <a:ln>
                <a:solidFill>
                  <a:schemeClr val="accent3">
                    <a:lumMod val="50000"/>
                  </a:schemeClr>
                </a:solidFill>
              </a:ln>
            </c:spPr>
          </c:dPt>
          <c:dPt>
            <c:idx val="3"/>
            <c:bubble3D val="0"/>
            <c:spPr>
              <a:solidFill>
                <a:schemeClr val="bg1">
                  <a:lumMod val="65000"/>
                </a:schemeClr>
              </a:solidFill>
              <a:ln>
                <a:solidFill>
                  <a:schemeClr val="tx1">
                    <a:lumMod val="95000"/>
                    <a:lumOff val="5000"/>
                  </a:schemeClr>
                </a:solidFill>
              </a:ln>
            </c:spPr>
          </c:dPt>
          <c:dPt>
            <c:idx val="4"/>
            <c:bubble3D val="0"/>
            <c:spPr>
              <a:solidFill>
                <a:schemeClr val="accent2"/>
              </a:solidFill>
              <a:ln>
                <a:solidFill>
                  <a:schemeClr val="accent2">
                    <a:lumMod val="50000"/>
                  </a:schemeClr>
                </a:solidFill>
              </a:ln>
            </c:spPr>
          </c:dPt>
          <c:dPt>
            <c:idx val="5"/>
            <c:bubble3D val="0"/>
            <c:spPr>
              <a:solidFill>
                <a:schemeClr val="accent6">
                  <a:lumMod val="60000"/>
                  <a:lumOff val="40000"/>
                </a:schemeClr>
              </a:solidFill>
              <a:ln>
                <a:solidFill>
                  <a:schemeClr val="accent6">
                    <a:lumMod val="50000"/>
                  </a:schemeClr>
                </a:solidFill>
              </a:ln>
            </c:spPr>
          </c:dPt>
          <c:dPt>
            <c:idx val="6"/>
            <c:bubble3D val="0"/>
            <c:spPr>
              <a:solidFill>
                <a:schemeClr val="accent4">
                  <a:lumMod val="40000"/>
                  <a:lumOff val="60000"/>
                </a:schemeClr>
              </a:solidFill>
              <a:ln>
                <a:solidFill>
                  <a:schemeClr val="accent4">
                    <a:lumMod val="50000"/>
                  </a:schemeClr>
                </a:solidFill>
              </a:ln>
            </c:spPr>
          </c:dPt>
          <c:dLbls>
            <c:dLbl>
              <c:idx val="0"/>
              <c:spPr/>
              <c:txPr>
                <a:bodyPr/>
                <a:lstStyle/>
                <a:p>
                  <a:pPr>
                    <a:defRPr>
                      <a:solidFill>
                        <a:schemeClr val="bg1"/>
                      </a:solidFill>
                    </a:defRPr>
                  </a:pPr>
                  <a:endParaRPr lang="cs-CZ"/>
                </a:p>
              </c:txPr>
              <c:showLegendKey val="0"/>
              <c:showVal val="1"/>
              <c:showCatName val="0"/>
              <c:showSerName val="0"/>
              <c:showPercent val="0"/>
              <c:showBubbleSize val="0"/>
            </c:dLbl>
            <c:showLegendKey val="0"/>
            <c:showVal val="1"/>
            <c:showCatName val="0"/>
            <c:showSerName val="0"/>
            <c:showPercent val="0"/>
            <c:showBubbleSize val="0"/>
            <c:showLeaderLines val="1"/>
          </c:dLbls>
          <c:cat>
            <c:strRef>
              <c:f>'G21'!$C$35:$C$41</c:f>
              <c:strCache>
                <c:ptCount val="7"/>
                <c:pt idx="0">
                  <c:v> Umění a humanitní vědy 
(cizí jazyky)</c:v>
                </c:pt>
                <c:pt idx="1">
                  <c:v> Obchod, administrativa, právo</c:v>
                </c:pt>
                <c:pt idx="2">
                  <c:v> Informační a komunikační 
technologie (ICT)</c:v>
                </c:pt>
                <c:pt idx="3">
                  <c:v> Technika, výroba 
a stavebnictví</c:v>
                </c:pt>
                <c:pt idx="4">
                  <c:v> Zdravotní a sociální péče</c:v>
                </c:pt>
                <c:pt idx="5">
                  <c:v> Služby</c:v>
                </c:pt>
                <c:pt idx="6">
                  <c:v> Ostatní</c:v>
                </c:pt>
              </c:strCache>
            </c:strRef>
          </c:cat>
          <c:val>
            <c:numRef>
              <c:f>'G21'!$D$35:$D$41</c:f>
              <c:numCache>
                <c:formatCode>0%</c:formatCode>
                <c:ptCount val="7"/>
                <c:pt idx="0">
                  <c:v>7.0999999999999994E-2</c:v>
                </c:pt>
                <c:pt idx="1">
                  <c:v>0.21299999999999999</c:v>
                </c:pt>
                <c:pt idx="2">
                  <c:v>0.105</c:v>
                </c:pt>
                <c:pt idx="3">
                  <c:v>0.14899999999999999</c:v>
                </c:pt>
                <c:pt idx="4">
                  <c:v>0.105</c:v>
                </c:pt>
                <c:pt idx="5">
                  <c:v>0.25900000000000001</c:v>
                </c:pt>
                <c:pt idx="6">
                  <c:v>0.1</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8710567828637805"/>
          <c:y val="0.12293144208037825"/>
          <c:w val="0.39622772217411445"/>
          <c:h val="0.87706855791962179"/>
        </c:manualLayout>
      </c:layout>
      <c:overlay val="0"/>
    </c:legend>
    <c:plotVisOnly val="1"/>
    <c:dispBlanksAs val="zero"/>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334451541070919E-2"/>
          <c:y val="2.6062252781782591E-2"/>
          <c:w val="0.8635598815450789"/>
          <c:h val="0.55660160558106164"/>
        </c:manualLayout>
      </c:layout>
      <c:barChart>
        <c:barDir val="col"/>
        <c:grouping val="clustered"/>
        <c:varyColors val="0"/>
        <c:ser>
          <c:idx val="0"/>
          <c:order val="0"/>
          <c:tx>
            <c:strRef>
              <c:f>'G22'!$B$3</c:f>
              <c:strCache>
                <c:ptCount val="1"/>
                <c:pt idx="0">
                  <c:v> účast v pracovně orientovaném neformálním vzdělávání</c:v>
                </c:pt>
              </c:strCache>
            </c:strRef>
          </c:tx>
          <c:spPr>
            <a:solidFill>
              <a:schemeClr val="accent1">
                <a:lumMod val="60000"/>
                <a:lumOff val="40000"/>
              </a:schemeClr>
            </a:solidFill>
            <a:ln>
              <a:solidFill>
                <a:schemeClr val="accent1">
                  <a:lumMod val="50000"/>
                </a:schemeClr>
              </a:solidFill>
            </a:ln>
          </c:spPr>
          <c:invertIfNegative val="0"/>
          <c:dLbls>
            <c:txPr>
              <a:bodyPr/>
              <a:lstStyle/>
              <a:p>
                <a:pPr>
                  <a:defRPr sz="800"/>
                </a:pPr>
                <a:endParaRPr lang="cs-CZ"/>
              </a:p>
            </c:txPr>
            <c:dLblPos val="inBase"/>
            <c:showLegendKey val="0"/>
            <c:showVal val="1"/>
            <c:showCatName val="0"/>
            <c:showSerName val="0"/>
            <c:showPercent val="0"/>
            <c:showBubbleSize val="0"/>
            <c:showLeaderLines val="0"/>
          </c:dLbls>
          <c:cat>
            <c:strRef>
              <c:f>'G22'!$A$4:$A$14</c:f>
              <c:strCache>
                <c:ptCount val="11"/>
                <c:pt idx="0">
                  <c:v>pracující celkem</c:v>
                </c:pt>
                <c:pt idx="2">
                  <c:v>Pomocní a nekvalifikovaní pracovníci (9)</c:v>
                </c:pt>
                <c:pt idx="3">
                  <c:v>Kvalif. prac. v zemědělství, lesnictví, rybářství (6)</c:v>
                </c:pt>
                <c:pt idx="4">
                  <c:v>Pracovníci ve službách a prodeji (5)</c:v>
                </c:pt>
                <c:pt idx="5">
                  <c:v>Řemeslníci a opraváři (7)</c:v>
                </c:pt>
                <c:pt idx="6">
                  <c:v>Obsluha strojů a zařízení, montéři (8)</c:v>
                </c:pt>
                <c:pt idx="7">
                  <c:v>Úředníci (4)</c:v>
                </c:pt>
                <c:pt idx="8">
                  <c:v>Zákonodárci a řídící pracovníci (1)</c:v>
                </c:pt>
                <c:pt idx="9">
                  <c:v>Techničtí a odborní pracovníci (3)</c:v>
                </c:pt>
                <c:pt idx="10">
                  <c:v>Specialisté (2)</c:v>
                </c:pt>
              </c:strCache>
            </c:strRef>
          </c:cat>
          <c:val>
            <c:numRef>
              <c:f>'G22'!$B$4:$B$14</c:f>
              <c:numCache>
                <c:formatCode>General</c:formatCode>
                <c:ptCount val="11"/>
                <c:pt idx="0" formatCode="0%">
                  <c:v>0.48</c:v>
                </c:pt>
                <c:pt idx="2" formatCode="0%">
                  <c:v>0.20887831946095919</c:v>
                </c:pt>
                <c:pt idx="3" formatCode="0%">
                  <c:v>0.2629888680918136</c:v>
                </c:pt>
                <c:pt idx="4" formatCode="0%">
                  <c:v>0.34269598390263745</c:v>
                </c:pt>
                <c:pt idx="5" formatCode="0%">
                  <c:v>0.36759006729675181</c:v>
                </c:pt>
                <c:pt idx="6" formatCode="0%">
                  <c:v>0.49561795590153762</c:v>
                </c:pt>
                <c:pt idx="7" formatCode="0%">
                  <c:v>0.5602103459204395</c:v>
                </c:pt>
                <c:pt idx="8" formatCode="0%">
                  <c:v>0.59015293118096857</c:v>
                </c:pt>
                <c:pt idx="9" formatCode="0%">
                  <c:v>0.6063005062425133</c:v>
                </c:pt>
                <c:pt idx="10" formatCode="0%">
                  <c:v>0.63178288153234119</c:v>
                </c:pt>
              </c:numCache>
            </c:numRef>
          </c:val>
        </c:ser>
        <c:dLbls>
          <c:showLegendKey val="0"/>
          <c:showVal val="0"/>
          <c:showCatName val="0"/>
          <c:showSerName val="0"/>
          <c:showPercent val="0"/>
          <c:showBubbleSize val="0"/>
        </c:dLbls>
        <c:gapWidth val="150"/>
        <c:axId val="168113664"/>
        <c:axId val="167891456"/>
      </c:barChart>
      <c:barChart>
        <c:barDir val="col"/>
        <c:grouping val="clustered"/>
        <c:varyColors val="0"/>
        <c:ser>
          <c:idx val="1"/>
          <c:order val="1"/>
          <c:tx>
            <c:strRef>
              <c:f>'G22'!$D$3</c:f>
              <c:strCache>
                <c:ptCount val="1"/>
                <c:pt idx="0">
                  <c:v> počet hodin strávený pracovně orientovaným neformálním vzděláváním ročně na účastníka</c:v>
                </c:pt>
              </c:strCache>
            </c:strRef>
          </c:tx>
          <c:spPr>
            <a:noFill/>
            <a:ln w="28575">
              <a:noFill/>
            </a:ln>
          </c:spPr>
          <c:invertIfNegative val="0"/>
          <c:dLbls>
            <c:spPr>
              <a:ln w="25400" cmpd="sng">
                <a:solidFill>
                  <a:schemeClr val="tx1"/>
                </a:solidFill>
              </a:ln>
            </c:spPr>
            <c:txPr>
              <a:bodyPr/>
              <a:lstStyle/>
              <a:p>
                <a:pPr>
                  <a:defRPr sz="800"/>
                </a:pPr>
                <a:endParaRPr lang="cs-CZ"/>
              </a:p>
            </c:txPr>
            <c:dLblPos val="inEnd"/>
            <c:showLegendKey val="0"/>
            <c:showVal val="1"/>
            <c:showCatName val="0"/>
            <c:showSerName val="0"/>
            <c:showPercent val="0"/>
            <c:showBubbleSize val="0"/>
            <c:showLeaderLines val="0"/>
          </c:dLbls>
          <c:cat>
            <c:strRef>
              <c:f>'G22'!$A$4:$A$14</c:f>
              <c:strCache>
                <c:ptCount val="11"/>
                <c:pt idx="0">
                  <c:v>pracující celkem</c:v>
                </c:pt>
                <c:pt idx="2">
                  <c:v>Pomocní a nekvalifikovaní pracovníci (9)</c:v>
                </c:pt>
                <c:pt idx="3">
                  <c:v>Kvalif. prac. v zemědělství, lesnictví, rybářství (6)</c:v>
                </c:pt>
                <c:pt idx="4">
                  <c:v>Pracovníci ve službách a prodeji (5)</c:v>
                </c:pt>
                <c:pt idx="5">
                  <c:v>Řemeslníci a opraváři (7)</c:v>
                </c:pt>
                <c:pt idx="6">
                  <c:v>Obsluha strojů a zařízení, montéři (8)</c:v>
                </c:pt>
                <c:pt idx="7">
                  <c:v>Úředníci (4)</c:v>
                </c:pt>
                <c:pt idx="8">
                  <c:v>Zákonodárci a řídící pracovníci (1)</c:v>
                </c:pt>
                <c:pt idx="9">
                  <c:v>Techničtí a odborní pracovníci (3)</c:v>
                </c:pt>
                <c:pt idx="10">
                  <c:v>Specialisté (2)</c:v>
                </c:pt>
              </c:strCache>
            </c:strRef>
          </c:cat>
          <c:val>
            <c:numRef>
              <c:f>'G22'!$D$4:$D$14</c:f>
              <c:numCache>
                <c:formatCode>General</c:formatCode>
                <c:ptCount val="11"/>
                <c:pt idx="0" formatCode="0">
                  <c:v>27.4</c:v>
                </c:pt>
                <c:pt idx="2" formatCode="0">
                  <c:v>21.776347291060851</c:v>
                </c:pt>
                <c:pt idx="3" formatCode="0">
                  <c:v>16.267824899398196</c:v>
                </c:pt>
                <c:pt idx="4" formatCode="0">
                  <c:v>13.925960983571541</c:v>
                </c:pt>
                <c:pt idx="5" formatCode="0">
                  <c:v>17.049019175051214</c:v>
                </c:pt>
                <c:pt idx="6" formatCode="0">
                  <c:v>15.296799679374104</c:v>
                </c:pt>
                <c:pt idx="7" formatCode="0">
                  <c:v>26.962157722732034</c:v>
                </c:pt>
                <c:pt idx="8" formatCode="0">
                  <c:v>41.638032606551192</c:v>
                </c:pt>
                <c:pt idx="9" formatCode="0">
                  <c:v>31.630298918343602</c:v>
                </c:pt>
                <c:pt idx="10" formatCode="0">
                  <c:v>38.311871586001331</c:v>
                </c:pt>
              </c:numCache>
            </c:numRef>
          </c:val>
        </c:ser>
        <c:dLbls>
          <c:showLegendKey val="0"/>
          <c:showVal val="0"/>
          <c:showCatName val="0"/>
          <c:showSerName val="0"/>
          <c:showPercent val="0"/>
          <c:showBubbleSize val="0"/>
        </c:dLbls>
        <c:gapWidth val="150"/>
        <c:axId val="168115200"/>
        <c:axId val="167892032"/>
      </c:barChart>
      <c:catAx>
        <c:axId val="168113664"/>
        <c:scaling>
          <c:orientation val="minMax"/>
        </c:scaling>
        <c:delete val="0"/>
        <c:axPos val="b"/>
        <c:majorTickMark val="none"/>
        <c:minorTickMark val="none"/>
        <c:tickLblPos val="nextTo"/>
        <c:crossAx val="167891456"/>
        <c:crosses val="autoZero"/>
        <c:auto val="1"/>
        <c:lblAlgn val="ctr"/>
        <c:lblOffset val="100"/>
        <c:noMultiLvlLbl val="0"/>
      </c:catAx>
      <c:valAx>
        <c:axId val="167891456"/>
        <c:scaling>
          <c:orientation val="minMax"/>
        </c:scaling>
        <c:delete val="0"/>
        <c:axPos val="l"/>
        <c:majorGridlines>
          <c:spPr>
            <a:ln>
              <a:prstDash val="sysDot"/>
            </a:ln>
          </c:spPr>
        </c:majorGridlines>
        <c:title>
          <c:tx>
            <c:rich>
              <a:bodyPr rot="-5400000" vert="horz"/>
              <a:lstStyle/>
              <a:p>
                <a:pPr>
                  <a:defRPr b="0"/>
                </a:pPr>
                <a:r>
                  <a:rPr lang="en-US" b="0"/>
                  <a:t>účast </a:t>
                </a:r>
              </a:p>
            </c:rich>
          </c:tx>
          <c:layout>
            <c:manualLayout>
              <c:xMode val="edge"/>
              <c:yMode val="edge"/>
              <c:x val="1.7776328254826136E-3"/>
              <c:y val="0.24321851462378277"/>
            </c:manualLayout>
          </c:layout>
          <c:overlay val="0"/>
        </c:title>
        <c:numFmt formatCode="0%" sourceLinked="1"/>
        <c:majorTickMark val="out"/>
        <c:minorTickMark val="none"/>
        <c:tickLblPos val="nextTo"/>
        <c:spPr>
          <a:ln>
            <a:noFill/>
          </a:ln>
        </c:spPr>
        <c:crossAx val="168113664"/>
        <c:crosses val="autoZero"/>
        <c:crossBetween val="between"/>
      </c:valAx>
      <c:valAx>
        <c:axId val="167892032"/>
        <c:scaling>
          <c:orientation val="minMax"/>
        </c:scaling>
        <c:delete val="0"/>
        <c:axPos val="r"/>
        <c:title>
          <c:tx>
            <c:rich>
              <a:bodyPr rot="-5400000" vert="horz"/>
              <a:lstStyle/>
              <a:p>
                <a:pPr>
                  <a:defRPr b="0"/>
                </a:pPr>
                <a:r>
                  <a:rPr lang="en-US" b="0"/>
                  <a:t>průměrný počet hodin</a:t>
                </a:r>
              </a:p>
            </c:rich>
          </c:tx>
          <c:layout>
            <c:manualLayout>
              <c:xMode val="edge"/>
              <c:yMode val="edge"/>
              <c:x val="0.97145568342418731"/>
              <c:y val="0.17933707797925916"/>
            </c:manualLayout>
          </c:layout>
          <c:overlay val="0"/>
        </c:title>
        <c:numFmt formatCode="0" sourceLinked="1"/>
        <c:majorTickMark val="out"/>
        <c:minorTickMark val="none"/>
        <c:tickLblPos val="nextTo"/>
        <c:spPr>
          <a:ln>
            <a:noFill/>
          </a:ln>
        </c:spPr>
        <c:crossAx val="168115200"/>
        <c:crosses val="max"/>
        <c:crossBetween val="between"/>
      </c:valAx>
      <c:catAx>
        <c:axId val="168115200"/>
        <c:scaling>
          <c:orientation val="minMax"/>
        </c:scaling>
        <c:delete val="1"/>
        <c:axPos val="b"/>
        <c:majorTickMark val="out"/>
        <c:minorTickMark val="none"/>
        <c:tickLblPos val="none"/>
        <c:crossAx val="167892032"/>
        <c:crosses val="autoZero"/>
        <c:auto val="1"/>
        <c:lblAlgn val="ctr"/>
        <c:lblOffset val="100"/>
        <c:noMultiLvlLbl val="0"/>
      </c:catAx>
    </c:plotArea>
    <c:legend>
      <c:legendPos val="b"/>
      <c:layout>
        <c:manualLayout>
          <c:xMode val="edge"/>
          <c:yMode val="edge"/>
          <c:x val="5.8744506049169892E-2"/>
          <c:y val="0.90008395530363261"/>
          <c:w val="0.90423255525012036"/>
          <c:h val="8.0960783810818449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'G23'!$B$4</c:f>
              <c:strCache>
                <c:ptCount val="1"/>
                <c:pt idx="0">
                  <c:v> účast v pracovně orientovaném neformálním vzdělávání</c:v>
                </c:pt>
              </c:strCache>
            </c:strRef>
          </c:tx>
          <c:spPr>
            <a:solidFill>
              <a:schemeClr val="accent3">
                <a:lumMod val="60000"/>
                <a:lumOff val="40000"/>
              </a:schemeClr>
            </a:solidFill>
            <a:ln>
              <a:solidFill>
                <a:schemeClr val="accent3">
                  <a:lumMod val="50000"/>
                </a:schemeClr>
              </a:solidFill>
            </a:ln>
          </c:spPr>
          <c:invertIfNegative val="0"/>
          <c:dLbls>
            <c:showLegendKey val="0"/>
            <c:showVal val="1"/>
            <c:showCatName val="0"/>
            <c:showSerName val="0"/>
            <c:showPercent val="0"/>
            <c:showBubbleSize val="0"/>
            <c:showLeaderLines val="0"/>
          </c:dLbls>
          <c:cat>
            <c:strRef>
              <c:f>'G23'!$A$5:$A$23</c:f>
              <c:strCache>
                <c:ptCount val="19"/>
                <c:pt idx="0">
                  <c:v>Ubytování, stravování a pohostinství (I)</c:v>
                </c:pt>
                <c:pt idx="1">
                  <c:v>Administrativní a podpůrné činnosti (N)</c:v>
                </c:pt>
                <c:pt idx="2">
                  <c:v>Velkoobchod a maloobchod, opravy vozidel (G)</c:v>
                </c:pt>
                <c:pt idx="3">
                  <c:v>Stavebnictví (F)</c:v>
                </c:pt>
                <c:pt idx="4">
                  <c:v>Kulturní, zábavní a rekreační činnosti (R)</c:v>
                </c:pt>
                <c:pt idx="5">
                  <c:v>Činnosti v oblasti nemovitostí (L)</c:v>
                </c:pt>
                <c:pt idx="6">
                  <c:v>Zpracovatelský průmysl (C)</c:v>
                </c:pt>
                <c:pt idx="7">
                  <c:v>Zemědělství, lesnictví a rybářství (A)</c:v>
                </c:pt>
                <c:pt idx="8">
                  <c:v>Těžba a dobývání (B)</c:v>
                </c:pt>
                <c:pt idx="9">
                  <c:v>Vzdělávání (P)</c:v>
                </c:pt>
                <c:pt idx="10">
                  <c:v>Profesní, vědecké a technické činnosti (M)</c:v>
                </c:pt>
                <c:pt idx="11">
                  <c:v>Zásobování vodou, odpadní činnosti (E)</c:v>
                </c:pt>
                <c:pt idx="12">
                  <c:v>Ostatní činnosti (S)</c:v>
                </c:pt>
                <c:pt idx="13">
                  <c:v>Informační a komunikační činnosti (J)</c:v>
                </c:pt>
                <c:pt idx="14">
                  <c:v>Doprava a skladování (H)</c:v>
                </c:pt>
                <c:pt idx="15">
                  <c:v>Zdravotní a sociální péče (Q)</c:v>
                </c:pt>
                <c:pt idx="16">
                  <c:v>Výroba elektřiny, plynu, tepla (D)
a klimatizovaného vzduchu</c:v>
                </c:pt>
                <c:pt idx="17">
                  <c:v>Veřejná správa, obrana, sociální zabezpečení (O)</c:v>
                </c:pt>
                <c:pt idx="18">
                  <c:v>Peněžnictví a pojišťovnictví (K)</c:v>
                </c:pt>
              </c:strCache>
            </c:strRef>
          </c:cat>
          <c:val>
            <c:numRef>
              <c:f>'G23'!$B$5:$B$23</c:f>
              <c:numCache>
                <c:formatCode>0%</c:formatCode>
                <c:ptCount val="19"/>
                <c:pt idx="0">
                  <c:v>0.19032823211266231</c:v>
                </c:pt>
                <c:pt idx="1">
                  <c:v>0.33758919177004215</c:v>
                </c:pt>
                <c:pt idx="2">
                  <c:v>0.36407009400192081</c:v>
                </c:pt>
                <c:pt idx="3">
                  <c:v>0.38187086250513991</c:v>
                </c:pt>
                <c:pt idx="4">
                  <c:v>0.40822631383116664</c:v>
                </c:pt>
                <c:pt idx="5">
                  <c:v>0.45491822484652517</c:v>
                </c:pt>
                <c:pt idx="6">
                  <c:v>0.45993472409295733</c:v>
                </c:pt>
                <c:pt idx="7">
                  <c:v>0.46094499895352947</c:v>
                </c:pt>
                <c:pt idx="8">
                  <c:v>0.46447034495723277</c:v>
                </c:pt>
                <c:pt idx="9">
                  <c:v>0.5185997087287133</c:v>
                </c:pt>
                <c:pt idx="10">
                  <c:v>0.53559971439777154</c:v>
                </c:pt>
                <c:pt idx="11">
                  <c:v>0.54732240437158464</c:v>
                </c:pt>
                <c:pt idx="12">
                  <c:v>0.57787259981712891</c:v>
                </c:pt>
                <c:pt idx="13">
                  <c:v>0.5796868937110109</c:v>
                </c:pt>
                <c:pt idx="14">
                  <c:v>0.60576715653229063</c:v>
                </c:pt>
                <c:pt idx="15">
                  <c:v>0.62788711763514249</c:v>
                </c:pt>
                <c:pt idx="16">
                  <c:v>0.6362727712397227</c:v>
                </c:pt>
                <c:pt idx="17">
                  <c:v>0.64112823285572673</c:v>
                </c:pt>
                <c:pt idx="18">
                  <c:v>0.64716115465494173</c:v>
                </c:pt>
              </c:numCache>
            </c:numRef>
          </c:val>
        </c:ser>
        <c:dLbls>
          <c:showLegendKey val="0"/>
          <c:showVal val="0"/>
          <c:showCatName val="0"/>
          <c:showSerName val="0"/>
          <c:showPercent val="0"/>
          <c:showBubbleSize val="0"/>
        </c:dLbls>
        <c:gapWidth val="120"/>
        <c:axId val="168114176"/>
        <c:axId val="167893760"/>
      </c:barChart>
      <c:barChart>
        <c:barDir val="bar"/>
        <c:grouping val="clustered"/>
        <c:varyColors val="0"/>
        <c:ser>
          <c:idx val="1"/>
          <c:order val="1"/>
          <c:tx>
            <c:strRef>
              <c:f>'G23'!$D$4</c:f>
              <c:strCache>
                <c:ptCount val="1"/>
                <c:pt idx="0">
                  <c:v> počet hodin strávený pracovně orientovaným neformálním vzděláváním ročně na účastníka </c:v>
                </c:pt>
              </c:strCache>
            </c:strRef>
          </c:tx>
          <c:spPr>
            <a:noFill/>
            <a:ln>
              <a:noFill/>
            </a:ln>
            <a:effectLst>
              <a:innerShdw dist="127000">
                <a:schemeClr val="tx1"/>
              </a:innerShdw>
            </a:effectLst>
          </c:spPr>
          <c:invertIfNegative val="0"/>
          <c:dLbls>
            <c:numFmt formatCode="#,##0" sourceLinked="0"/>
            <c:spPr>
              <a:ln w="25400" cap="flat">
                <a:solidFill>
                  <a:schemeClr val="tx1"/>
                </a:solidFill>
                <a:round/>
              </a:ln>
            </c:spPr>
            <c:dLblPos val="inEnd"/>
            <c:showLegendKey val="0"/>
            <c:showVal val="1"/>
            <c:showCatName val="0"/>
            <c:showSerName val="0"/>
            <c:showPercent val="0"/>
            <c:showBubbleSize val="0"/>
            <c:showLeaderLines val="0"/>
          </c:dLbls>
          <c:cat>
            <c:strRef>
              <c:f>'G23'!$A$5:$A$23</c:f>
              <c:strCache>
                <c:ptCount val="19"/>
                <c:pt idx="0">
                  <c:v>Ubytování, stravování a pohostinství (I)</c:v>
                </c:pt>
                <c:pt idx="1">
                  <c:v>Administrativní a podpůrné činnosti (N)</c:v>
                </c:pt>
                <c:pt idx="2">
                  <c:v>Velkoobchod a maloobchod, opravy vozidel (G)</c:v>
                </c:pt>
                <c:pt idx="3">
                  <c:v>Stavebnictví (F)</c:v>
                </c:pt>
                <c:pt idx="4">
                  <c:v>Kulturní, zábavní a rekreační činnosti (R)</c:v>
                </c:pt>
                <c:pt idx="5">
                  <c:v>Činnosti v oblasti nemovitostí (L)</c:v>
                </c:pt>
                <c:pt idx="6">
                  <c:v>Zpracovatelský průmysl (C)</c:v>
                </c:pt>
                <c:pt idx="7">
                  <c:v>Zemědělství, lesnictví a rybářství (A)</c:v>
                </c:pt>
                <c:pt idx="8">
                  <c:v>Těžba a dobývání (B)</c:v>
                </c:pt>
                <c:pt idx="9">
                  <c:v>Vzdělávání (P)</c:v>
                </c:pt>
                <c:pt idx="10">
                  <c:v>Profesní, vědecké a technické činnosti (M)</c:v>
                </c:pt>
                <c:pt idx="11">
                  <c:v>Zásobování vodou, odpadní činnosti (E)</c:v>
                </c:pt>
                <c:pt idx="12">
                  <c:v>Ostatní činnosti (S)</c:v>
                </c:pt>
                <c:pt idx="13">
                  <c:v>Informační a komunikační činnosti (J)</c:v>
                </c:pt>
                <c:pt idx="14">
                  <c:v>Doprava a skladování (H)</c:v>
                </c:pt>
                <c:pt idx="15">
                  <c:v>Zdravotní a sociální péče (Q)</c:v>
                </c:pt>
                <c:pt idx="16">
                  <c:v>Výroba elektřiny, plynu, tepla (D)
a klimatizovaného vzduchu</c:v>
                </c:pt>
                <c:pt idx="17">
                  <c:v>Veřejná správa, obrana, sociální zabezpečení (O)</c:v>
                </c:pt>
                <c:pt idx="18">
                  <c:v>Peněžnictví a pojišťovnictví (K)</c:v>
                </c:pt>
              </c:strCache>
            </c:strRef>
          </c:cat>
          <c:val>
            <c:numRef>
              <c:f>'G23'!$D$5:$D$23</c:f>
              <c:numCache>
                <c:formatCode>General</c:formatCode>
                <c:ptCount val="19"/>
                <c:pt idx="0">
                  <c:v>22.664885051153995</c:v>
                </c:pt>
                <c:pt idx="1">
                  <c:v>18.367930354874236</c:v>
                </c:pt>
                <c:pt idx="2">
                  <c:v>18.62584733952319</c:v>
                </c:pt>
                <c:pt idx="3">
                  <c:v>17.668217617146418</c:v>
                </c:pt>
                <c:pt idx="4">
                  <c:v>35.510284246437024</c:v>
                </c:pt>
                <c:pt idx="5">
                  <c:v>22.633976354437834</c:v>
                </c:pt>
                <c:pt idx="6">
                  <c:v>25.447022267314139</c:v>
                </c:pt>
                <c:pt idx="7">
                  <c:v>17.383479194341586</c:v>
                </c:pt>
                <c:pt idx="8">
                  <c:v>13.016888809766572</c:v>
                </c:pt>
                <c:pt idx="9">
                  <c:v>32.364141531781392</c:v>
                </c:pt>
                <c:pt idx="10">
                  <c:v>33.581069246982921</c:v>
                </c:pt>
                <c:pt idx="11">
                  <c:v>19.098345152237783</c:v>
                </c:pt>
                <c:pt idx="12">
                  <c:v>27.148849115449668</c:v>
                </c:pt>
                <c:pt idx="13">
                  <c:v>36.948549835816763</c:v>
                </c:pt>
                <c:pt idx="14">
                  <c:v>21.747348198121788</c:v>
                </c:pt>
                <c:pt idx="15">
                  <c:v>33.148201795243772</c:v>
                </c:pt>
                <c:pt idx="16">
                  <c:v>25.410708106827286</c:v>
                </c:pt>
                <c:pt idx="17">
                  <c:v>38.981859744958143</c:v>
                </c:pt>
                <c:pt idx="18">
                  <c:v>40.889190982334028</c:v>
                </c:pt>
              </c:numCache>
            </c:numRef>
          </c:val>
        </c:ser>
        <c:dLbls>
          <c:showLegendKey val="0"/>
          <c:showVal val="0"/>
          <c:showCatName val="0"/>
          <c:showSerName val="0"/>
          <c:showPercent val="0"/>
          <c:showBubbleSize val="0"/>
        </c:dLbls>
        <c:gapWidth val="120"/>
        <c:axId val="168354816"/>
        <c:axId val="167894336"/>
      </c:barChart>
      <c:catAx>
        <c:axId val="168114176"/>
        <c:scaling>
          <c:orientation val="minMax"/>
        </c:scaling>
        <c:delete val="0"/>
        <c:axPos val="l"/>
        <c:majorTickMark val="none"/>
        <c:minorTickMark val="none"/>
        <c:tickLblPos val="nextTo"/>
        <c:crossAx val="167893760"/>
        <c:crosses val="autoZero"/>
        <c:auto val="1"/>
        <c:lblAlgn val="ctr"/>
        <c:lblOffset val="100"/>
        <c:noMultiLvlLbl val="0"/>
      </c:catAx>
      <c:valAx>
        <c:axId val="167893760"/>
        <c:scaling>
          <c:orientation val="minMax"/>
        </c:scaling>
        <c:delete val="0"/>
        <c:axPos val="b"/>
        <c:majorGridlines>
          <c:spPr>
            <a:ln>
              <a:prstDash val="sysDot"/>
            </a:ln>
          </c:spPr>
        </c:majorGridlines>
        <c:title>
          <c:tx>
            <c:rich>
              <a:bodyPr/>
              <a:lstStyle/>
              <a:p>
                <a:pPr>
                  <a:defRPr b="0"/>
                </a:pPr>
                <a:r>
                  <a:rPr lang="en-US" b="0"/>
                  <a:t>účast</a:t>
                </a:r>
              </a:p>
            </c:rich>
          </c:tx>
          <c:layout/>
          <c:overlay val="0"/>
        </c:title>
        <c:numFmt formatCode="0%" sourceLinked="1"/>
        <c:majorTickMark val="out"/>
        <c:minorTickMark val="none"/>
        <c:tickLblPos val="nextTo"/>
        <c:spPr>
          <a:ln>
            <a:noFill/>
          </a:ln>
        </c:spPr>
        <c:crossAx val="168114176"/>
        <c:crosses val="autoZero"/>
        <c:crossBetween val="between"/>
      </c:valAx>
      <c:valAx>
        <c:axId val="167894336"/>
        <c:scaling>
          <c:orientation val="minMax"/>
          <c:max val="44"/>
          <c:min val="0"/>
        </c:scaling>
        <c:delete val="0"/>
        <c:axPos val="t"/>
        <c:title>
          <c:tx>
            <c:rich>
              <a:bodyPr/>
              <a:lstStyle/>
              <a:p>
                <a:pPr>
                  <a:defRPr b="0"/>
                </a:pPr>
                <a:r>
                  <a:rPr lang="en-US" b="0"/>
                  <a:t>počet hodin</a:t>
                </a:r>
              </a:p>
            </c:rich>
          </c:tx>
          <c:layout/>
          <c:overlay val="0"/>
        </c:title>
        <c:numFmt formatCode="General" sourceLinked="1"/>
        <c:majorTickMark val="out"/>
        <c:minorTickMark val="none"/>
        <c:tickLblPos val="nextTo"/>
        <c:spPr>
          <a:ln>
            <a:noFill/>
          </a:ln>
        </c:spPr>
        <c:crossAx val="168354816"/>
        <c:crosses val="max"/>
        <c:crossBetween val="between"/>
        <c:majorUnit val="4"/>
      </c:valAx>
      <c:catAx>
        <c:axId val="168354816"/>
        <c:scaling>
          <c:orientation val="minMax"/>
        </c:scaling>
        <c:delete val="1"/>
        <c:axPos val="l"/>
        <c:majorTickMark val="out"/>
        <c:minorTickMark val="none"/>
        <c:tickLblPos val="none"/>
        <c:crossAx val="167894336"/>
        <c:crosses val="autoZero"/>
        <c:auto val="1"/>
        <c:lblAlgn val="ctr"/>
        <c:lblOffset val="100"/>
        <c:noMultiLvlLbl val="0"/>
      </c:catAx>
    </c:plotArea>
    <c:legend>
      <c:legendPos val="b"/>
      <c:layout>
        <c:manualLayout>
          <c:xMode val="edge"/>
          <c:yMode val="edge"/>
          <c:x val="3.9228604291782238E-2"/>
          <c:y val="0.94005228175267397"/>
          <c:w val="0.88539548386772726"/>
          <c:h val="4.9427862018694146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'G24'!$G$48</c:f>
              <c:strCache>
                <c:ptCount val="1"/>
                <c:pt idx="0">
                  <c:v> muži</c:v>
                </c:pt>
              </c:strCache>
            </c:strRef>
          </c:tx>
          <c:spPr>
            <a:solidFill>
              <a:schemeClr val="accent1">
                <a:lumMod val="60000"/>
                <a:lumOff val="40000"/>
              </a:schemeClr>
            </a:solidFill>
            <a:ln>
              <a:solidFill>
                <a:schemeClr val="accent1">
                  <a:lumMod val="50000"/>
                </a:schemeClr>
              </a:solidFill>
            </a:ln>
          </c:spPr>
          <c:invertIfNegative val="0"/>
          <c:dLbls>
            <c:showLegendKey val="0"/>
            <c:showVal val="1"/>
            <c:showCatName val="0"/>
            <c:showSerName val="0"/>
            <c:showPercent val="0"/>
            <c:showBubbleSize val="0"/>
            <c:showLeaderLines val="0"/>
          </c:dLbls>
          <c:cat>
            <c:strRef>
              <c:f>'G24'!$E$49:$F$56</c:f>
              <c:strCache>
                <c:ptCount val="8"/>
                <c:pt idx="0">
                  <c:v>celkem</c:v>
                </c:pt>
                <c:pt idx="2">
                  <c:v>18−24 let</c:v>
                </c:pt>
                <c:pt idx="3">
                  <c:v>25−34 let</c:v>
                </c:pt>
                <c:pt idx="4">
                  <c:v>35−44 let</c:v>
                </c:pt>
                <c:pt idx="5">
                  <c:v>45−54 let</c:v>
                </c:pt>
                <c:pt idx="6">
                  <c:v>55−64 let</c:v>
                </c:pt>
                <c:pt idx="7">
                  <c:v>65−69 let</c:v>
                </c:pt>
              </c:strCache>
            </c:strRef>
          </c:cat>
          <c:val>
            <c:numRef>
              <c:f>'G24'!$G$49:$G$56</c:f>
              <c:numCache>
                <c:formatCode>General</c:formatCode>
                <c:ptCount val="8"/>
                <c:pt idx="0" formatCode="0%">
                  <c:v>0.06</c:v>
                </c:pt>
                <c:pt idx="2" formatCode="0%">
                  <c:v>0.14000000000000001</c:v>
                </c:pt>
                <c:pt idx="3" formatCode="0%">
                  <c:v>0.08</c:v>
                </c:pt>
                <c:pt idx="4" formatCode="0%">
                  <c:v>0.06</c:v>
                </c:pt>
                <c:pt idx="5" formatCode="0%">
                  <c:v>0.05</c:v>
                </c:pt>
                <c:pt idx="6" formatCode="0%">
                  <c:v>0.04</c:v>
                </c:pt>
                <c:pt idx="7" formatCode="0%">
                  <c:v>0.03</c:v>
                </c:pt>
              </c:numCache>
            </c:numRef>
          </c:val>
        </c:ser>
        <c:ser>
          <c:idx val="1"/>
          <c:order val="1"/>
          <c:tx>
            <c:strRef>
              <c:f>'G24'!$H$48</c:f>
              <c:strCache>
                <c:ptCount val="1"/>
                <c:pt idx="0">
                  <c:v> ženy</c:v>
                </c:pt>
              </c:strCache>
            </c:strRef>
          </c:tx>
          <c:spPr>
            <a:solidFill>
              <a:schemeClr val="accent2">
                <a:lumMod val="60000"/>
                <a:lumOff val="40000"/>
              </a:schemeClr>
            </a:solidFill>
            <a:ln>
              <a:solidFill>
                <a:schemeClr val="accent2">
                  <a:lumMod val="50000"/>
                </a:schemeClr>
              </a:solidFill>
            </a:ln>
          </c:spPr>
          <c:invertIfNegative val="0"/>
          <c:dLbls>
            <c:showLegendKey val="0"/>
            <c:showVal val="1"/>
            <c:showCatName val="0"/>
            <c:showSerName val="0"/>
            <c:showPercent val="0"/>
            <c:showBubbleSize val="0"/>
            <c:showLeaderLines val="0"/>
          </c:dLbls>
          <c:cat>
            <c:strRef>
              <c:f>'G24'!$E$49:$F$56</c:f>
              <c:strCache>
                <c:ptCount val="8"/>
                <c:pt idx="0">
                  <c:v>celkem</c:v>
                </c:pt>
                <c:pt idx="2">
                  <c:v>18−24 let</c:v>
                </c:pt>
                <c:pt idx="3">
                  <c:v>25−34 let</c:v>
                </c:pt>
                <c:pt idx="4">
                  <c:v>35−44 let</c:v>
                </c:pt>
                <c:pt idx="5">
                  <c:v>45−54 let</c:v>
                </c:pt>
                <c:pt idx="6">
                  <c:v>55−64 let</c:v>
                </c:pt>
                <c:pt idx="7">
                  <c:v>65−69 let</c:v>
                </c:pt>
              </c:strCache>
            </c:strRef>
          </c:cat>
          <c:val>
            <c:numRef>
              <c:f>'G24'!$H$49:$H$56</c:f>
              <c:numCache>
                <c:formatCode>General</c:formatCode>
                <c:ptCount val="8"/>
                <c:pt idx="0" formatCode="0%">
                  <c:v>0.13</c:v>
                </c:pt>
                <c:pt idx="2" formatCode="0%">
                  <c:v>0.23</c:v>
                </c:pt>
                <c:pt idx="3" formatCode="0%">
                  <c:v>0.15</c:v>
                </c:pt>
                <c:pt idx="4" formatCode="0%">
                  <c:v>0.13</c:v>
                </c:pt>
                <c:pt idx="5" formatCode="0%">
                  <c:v>0.1</c:v>
                </c:pt>
                <c:pt idx="6" formatCode="0%">
                  <c:v>0.08</c:v>
                </c:pt>
                <c:pt idx="7" formatCode="0%">
                  <c:v>0.09</c:v>
                </c:pt>
              </c:numCache>
            </c:numRef>
          </c:val>
        </c:ser>
        <c:dLbls>
          <c:showLegendKey val="0"/>
          <c:showVal val="0"/>
          <c:showCatName val="0"/>
          <c:showSerName val="0"/>
          <c:showPercent val="0"/>
          <c:showBubbleSize val="0"/>
        </c:dLbls>
        <c:gapWidth val="150"/>
        <c:overlap val="-20"/>
        <c:axId val="168356352"/>
        <c:axId val="168208064"/>
      </c:barChart>
      <c:catAx>
        <c:axId val="168356352"/>
        <c:scaling>
          <c:orientation val="minMax"/>
        </c:scaling>
        <c:delete val="0"/>
        <c:axPos val="b"/>
        <c:majorTickMark val="none"/>
        <c:minorTickMark val="none"/>
        <c:tickLblPos val="nextTo"/>
        <c:crossAx val="168208064"/>
        <c:crosses val="autoZero"/>
        <c:auto val="1"/>
        <c:lblAlgn val="ctr"/>
        <c:lblOffset val="100"/>
        <c:noMultiLvlLbl val="0"/>
      </c:catAx>
      <c:valAx>
        <c:axId val="168208064"/>
        <c:scaling>
          <c:orientation val="minMax"/>
        </c:scaling>
        <c:delete val="0"/>
        <c:axPos val="l"/>
        <c:numFmt formatCode="0%" sourceLinked="1"/>
        <c:majorTickMark val="out"/>
        <c:minorTickMark val="none"/>
        <c:tickLblPos val="nextTo"/>
        <c:crossAx val="168356352"/>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227111316967728E-2"/>
          <c:y val="1.7267531699382669E-2"/>
          <c:w val="0.90420426123205155"/>
          <c:h val="0.84838593767328441"/>
        </c:manualLayout>
      </c:layout>
      <c:barChart>
        <c:barDir val="col"/>
        <c:grouping val="stacked"/>
        <c:varyColors val="0"/>
        <c:ser>
          <c:idx val="1"/>
          <c:order val="0"/>
          <c:tx>
            <c:strRef>
              <c:f>'G3'!$D$4</c:f>
              <c:strCache>
                <c:ptCount val="1"/>
                <c:pt idx="0">
                  <c:v> střední vzdělávání a střední s výučním listem</c:v>
                </c:pt>
              </c:strCache>
            </c:strRef>
          </c:tx>
          <c:spPr>
            <a:solidFill>
              <a:schemeClr val="accent1">
                <a:lumMod val="75000"/>
              </a:schemeClr>
            </a:solidFill>
            <a:ln>
              <a:solidFill>
                <a:schemeClr val="accent3">
                  <a:lumMod val="50000"/>
                </a:schemeClr>
              </a:solidFill>
            </a:ln>
          </c:spPr>
          <c:invertIfNegative val="0"/>
          <c:dLbls>
            <c:numFmt formatCode="#,##0" sourceLinked="0"/>
            <c:txPr>
              <a:bodyPr/>
              <a:lstStyle/>
              <a:p>
                <a:pPr>
                  <a:defRPr sz="700">
                    <a:solidFill>
                      <a:schemeClr val="bg1"/>
                    </a:solidFill>
                  </a:defRPr>
                </a:pPr>
                <a:endParaRPr lang="cs-CZ"/>
              </a:p>
            </c:txPr>
            <c:showLegendKey val="0"/>
            <c:showVal val="1"/>
            <c:showCatName val="0"/>
            <c:showSerName val="0"/>
            <c:showPercent val="0"/>
            <c:showBubbleSize val="0"/>
            <c:showLeaderLines val="0"/>
          </c:dLbls>
          <c:cat>
            <c:strRef>
              <c:f>'G3'!$B$5:$B$15</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c:v>
                </c:pt>
              </c:strCache>
            </c:strRef>
          </c:cat>
          <c:val>
            <c:numRef>
              <c:f>'G3'!$D$5:$D$15</c:f>
              <c:numCache>
                <c:formatCode>General</c:formatCode>
                <c:ptCount val="11"/>
                <c:pt idx="0">
                  <c:v>1315</c:v>
                </c:pt>
                <c:pt idx="1">
                  <c:v>1417</c:v>
                </c:pt>
                <c:pt idx="2">
                  <c:v>1401</c:v>
                </c:pt>
                <c:pt idx="3">
                  <c:v>1420</c:v>
                </c:pt>
                <c:pt idx="4">
                  <c:v>1561</c:v>
                </c:pt>
                <c:pt idx="5">
                  <c:v>1458</c:v>
                </c:pt>
                <c:pt idx="6">
                  <c:v>1500</c:v>
                </c:pt>
                <c:pt idx="7">
                  <c:v>1711</c:v>
                </c:pt>
                <c:pt idx="8">
                  <c:v>1657</c:v>
                </c:pt>
                <c:pt idx="9">
                  <c:v>1717</c:v>
                </c:pt>
                <c:pt idx="10">
                  <c:v>1773</c:v>
                </c:pt>
              </c:numCache>
            </c:numRef>
          </c:val>
        </c:ser>
        <c:ser>
          <c:idx val="2"/>
          <c:order val="1"/>
          <c:tx>
            <c:strRef>
              <c:f>'G3'!$E$4</c:f>
              <c:strCache>
                <c:ptCount val="1"/>
                <c:pt idx="0">
                  <c:v> střední vzdělávání s maturitní zkouškou</c:v>
                </c:pt>
              </c:strCache>
            </c:strRef>
          </c:tx>
          <c:spPr>
            <a:solidFill>
              <a:schemeClr val="accent3">
                <a:lumMod val="60000"/>
                <a:lumOff val="40000"/>
              </a:schemeClr>
            </a:solidFill>
            <a:ln>
              <a:solidFill>
                <a:schemeClr val="accent3">
                  <a:lumMod val="50000"/>
                </a:schemeClr>
              </a:solidFill>
            </a:ln>
          </c:spPr>
          <c:invertIfNegative val="0"/>
          <c:dLbls>
            <c:numFmt formatCode="#,##0" sourceLinked="0"/>
            <c:txPr>
              <a:bodyPr/>
              <a:lstStyle/>
              <a:p>
                <a:pPr>
                  <a:defRPr sz="700"/>
                </a:pPr>
                <a:endParaRPr lang="cs-CZ"/>
              </a:p>
            </c:txPr>
            <c:showLegendKey val="0"/>
            <c:showVal val="1"/>
            <c:showCatName val="0"/>
            <c:showSerName val="0"/>
            <c:showPercent val="0"/>
            <c:showBubbleSize val="0"/>
            <c:showLeaderLines val="0"/>
          </c:dLbls>
          <c:cat>
            <c:strRef>
              <c:f>'G3'!$B$5:$B$15</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c:v>
                </c:pt>
              </c:strCache>
            </c:strRef>
          </c:cat>
          <c:val>
            <c:numRef>
              <c:f>'G3'!$E$5:$E$15</c:f>
              <c:numCache>
                <c:formatCode>General</c:formatCode>
                <c:ptCount val="11"/>
                <c:pt idx="0">
                  <c:v>10433</c:v>
                </c:pt>
                <c:pt idx="1">
                  <c:v>10354</c:v>
                </c:pt>
                <c:pt idx="2">
                  <c:v>10250</c:v>
                </c:pt>
                <c:pt idx="3">
                  <c:v>9996</c:v>
                </c:pt>
                <c:pt idx="4">
                  <c:v>9587</c:v>
                </c:pt>
                <c:pt idx="5">
                  <c:v>8625</c:v>
                </c:pt>
                <c:pt idx="6">
                  <c:v>8243</c:v>
                </c:pt>
                <c:pt idx="7">
                  <c:v>7761</c:v>
                </c:pt>
                <c:pt idx="8">
                  <c:v>7251</c:v>
                </c:pt>
                <c:pt idx="9">
                  <c:v>6591</c:v>
                </c:pt>
                <c:pt idx="10">
                  <c:v>6264</c:v>
                </c:pt>
              </c:numCache>
            </c:numRef>
          </c:val>
        </c:ser>
        <c:ser>
          <c:idx val="3"/>
          <c:order val="2"/>
          <c:tx>
            <c:strRef>
              <c:f>'G3'!$F$4</c:f>
              <c:strCache>
                <c:ptCount val="1"/>
                <c:pt idx="0">
                  <c:v> nástavbové a zkrácené studium</c:v>
                </c:pt>
              </c:strCache>
            </c:strRef>
          </c:tx>
          <c:spPr>
            <a:solidFill>
              <a:schemeClr val="accent5">
                <a:lumMod val="40000"/>
                <a:lumOff val="60000"/>
              </a:schemeClr>
            </a:solidFill>
            <a:ln>
              <a:solidFill>
                <a:schemeClr val="accent5">
                  <a:lumMod val="50000"/>
                </a:schemeClr>
              </a:solidFill>
            </a:ln>
          </c:spPr>
          <c:invertIfNegative val="0"/>
          <c:dLbls>
            <c:numFmt formatCode="#,##0" sourceLinked="0"/>
            <c:txPr>
              <a:bodyPr/>
              <a:lstStyle/>
              <a:p>
                <a:pPr>
                  <a:defRPr sz="700"/>
                </a:pPr>
                <a:endParaRPr lang="cs-CZ"/>
              </a:p>
            </c:txPr>
            <c:showLegendKey val="0"/>
            <c:showVal val="1"/>
            <c:showCatName val="0"/>
            <c:showSerName val="0"/>
            <c:showPercent val="0"/>
            <c:showBubbleSize val="0"/>
            <c:showLeaderLines val="0"/>
          </c:dLbls>
          <c:cat>
            <c:strRef>
              <c:f>'G3'!$B$5:$B$15</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c:v>
                </c:pt>
              </c:strCache>
            </c:strRef>
          </c:cat>
          <c:val>
            <c:numRef>
              <c:f>'G3'!$F$5:$F$15</c:f>
              <c:numCache>
                <c:formatCode>General</c:formatCode>
                <c:ptCount val="11"/>
                <c:pt idx="0">
                  <c:v>23067</c:v>
                </c:pt>
                <c:pt idx="1">
                  <c:v>23556</c:v>
                </c:pt>
                <c:pt idx="2">
                  <c:v>25630</c:v>
                </c:pt>
                <c:pt idx="3">
                  <c:v>25376</c:v>
                </c:pt>
                <c:pt idx="4">
                  <c:v>24804</c:v>
                </c:pt>
                <c:pt idx="5">
                  <c:v>20790</c:v>
                </c:pt>
                <c:pt idx="6">
                  <c:v>17290</c:v>
                </c:pt>
                <c:pt idx="7">
                  <c:v>15457</c:v>
                </c:pt>
                <c:pt idx="8">
                  <c:v>14102</c:v>
                </c:pt>
                <c:pt idx="9">
                  <c:v>13168</c:v>
                </c:pt>
                <c:pt idx="10">
                  <c:v>12721</c:v>
                </c:pt>
              </c:numCache>
            </c:numRef>
          </c:val>
        </c:ser>
        <c:dLbls>
          <c:showLegendKey val="0"/>
          <c:showVal val="0"/>
          <c:showCatName val="0"/>
          <c:showSerName val="0"/>
          <c:showPercent val="0"/>
          <c:showBubbleSize val="0"/>
        </c:dLbls>
        <c:gapWidth val="75"/>
        <c:overlap val="100"/>
        <c:axId val="160917504"/>
        <c:axId val="148301504"/>
      </c:barChart>
      <c:catAx>
        <c:axId val="160917504"/>
        <c:scaling>
          <c:orientation val="minMax"/>
        </c:scaling>
        <c:delete val="0"/>
        <c:axPos val="b"/>
        <c:majorTickMark val="none"/>
        <c:minorTickMark val="none"/>
        <c:tickLblPos val="nextTo"/>
        <c:crossAx val="148301504"/>
        <c:crosses val="autoZero"/>
        <c:auto val="1"/>
        <c:lblAlgn val="ctr"/>
        <c:lblOffset val="100"/>
        <c:noMultiLvlLbl val="0"/>
      </c:catAx>
      <c:valAx>
        <c:axId val="148301504"/>
        <c:scaling>
          <c:orientation val="minMax"/>
          <c:max val="40000"/>
          <c:min val="0"/>
        </c:scaling>
        <c:delete val="0"/>
        <c:axPos val="l"/>
        <c:majorGridlines>
          <c:spPr>
            <a:ln>
              <a:prstDash val="sysDot"/>
            </a:ln>
          </c:spPr>
        </c:majorGridlines>
        <c:numFmt formatCode="#,##0" sourceLinked="0"/>
        <c:majorTickMark val="none"/>
        <c:minorTickMark val="none"/>
        <c:tickLblPos val="nextTo"/>
        <c:spPr>
          <a:ln w="9525">
            <a:noFill/>
          </a:ln>
        </c:spPr>
        <c:crossAx val="160917504"/>
        <c:crosses val="autoZero"/>
        <c:crossBetween val="between"/>
        <c:majorUnit val="5000"/>
        <c:minorUnit val="1000"/>
      </c:valAx>
    </c:plotArea>
    <c:legend>
      <c:legendPos val="b"/>
      <c:layout>
        <c:manualLayout>
          <c:xMode val="edge"/>
          <c:yMode val="edge"/>
          <c:x val="0"/>
          <c:y val="0.94424191342279451"/>
          <c:w val="0.99786199772501638"/>
          <c:h val="5.5758086577206024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dle</a:t>
            </a:r>
            <a:r>
              <a:rPr lang="cs-CZ" sz="1000"/>
              <a:t> počtu hodin strávených vzděláváním</a:t>
            </a:r>
            <a:endParaRPr lang="en-US" sz="1000"/>
          </a:p>
        </c:rich>
      </c:tx>
      <c:layout>
        <c:manualLayout>
          <c:xMode val="edge"/>
          <c:yMode val="edge"/>
          <c:x val="0.27238095238095272"/>
          <c:y val="3.2388663967611336E-2"/>
        </c:manualLayout>
      </c:layout>
      <c:overlay val="0"/>
    </c:title>
    <c:autoTitleDeleted val="0"/>
    <c:plotArea>
      <c:layout>
        <c:manualLayout>
          <c:layoutTarget val="inner"/>
          <c:xMode val="edge"/>
          <c:yMode val="edge"/>
          <c:x val="0.33628306077124998"/>
          <c:y val="0.21436550768232632"/>
          <c:w val="0.54034091892359648"/>
          <c:h val="0.73664454864490303"/>
        </c:manualLayout>
      </c:layout>
      <c:doughnutChart>
        <c:varyColors val="1"/>
        <c:ser>
          <c:idx val="0"/>
          <c:order val="0"/>
          <c:dPt>
            <c:idx val="0"/>
            <c:bubble3D val="0"/>
            <c:spPr>
              <a:solidFill>
                <a:schemeClr val="accent1">
                  <a:lumMod val="75000"/>
                </a:schemeClr>
              </a:solidFill>
              <a:ln>
                <a:solidFill>
                  <a:schemeClr val="tx2">
                    <a:lumMod val="50000"/>
                  </a:schemeClr>
                </a:solidFill>
              </a:ln>
            </c:spPr>
          </c:dPt>
          <c:dPt>
            <c:idx val="1"/>
            <c:bubble3D val="0"/>
            <c:spPr>
              <a:solidFill>
                <a:schemeClr val="accent2">
                  <a:lumMod val="40000"/>
                  <a:lumOff val="60000"/>
                </a:schemeClr>
              </a:solidFill>
              <a:ln>
                <a:solidFill>
                  <a:schemeClr val="accent2">
                    <a:lumMod val="75000"/>
                  </a:schemeClr>
                </a:solidFill>
              </a:ln>
            </c:spPr>
          </c:dPt>
          <c:dPt>
            <c:idx val="2"/>
            <c:bubble3D val="0"/>
            <c:spPr>
              <a:solidFill>
                <a:schemeClr val="accent3"/>
              </a:solidFill>
              <a:ln>
                <a:solidFill>
                  <a:schemeClr val="accent3">
                    <a:lumMod val="50000"/>
                  </a:schemeClr>
                </a:solidFill>
              </a:ln>
            </c:spPr>
          </c:dPt>
          <c:dPt>
            <c:idx val="3"/>
            <c:bubble3D val="0"/>
            <c:spPr>
              <a:solidFill>
                <a:schemeClr val="accent6">
                  <a:lumMod val="60000"/>
                  <a:lumOff val="40000"/>
                </a:schemeClr>
              </a:solidFill>
              <a:ln>
                <a:solidFill>
                  <a:schemeClr val="accent6">
                    <a:lumMod val="50000"/>
                  </a:schemeClr>
                </a:solidFill>
              </a:ln>
            </c:spPr>
          </c:dPt>
          <c:dPt>
            <c:idx val="4"/>
            <c:bubble3D val="0"/>
            <c:spPr>
              <a:solidFill>
                <a:schemeClr val="bg1">
                  <a:lumMod val="75000"/>
                </a:schemeClr>
              </a:solidFill>
              <a:ln>
                <a:solidFill>
                  <a:schemeClr val="tx1">
                    <a:lumMod val="75000"/>
                    <a:lumOff val="25000"/>
                  </a:schemeClr>
                </a:solidFill>
              </a:ln>
            </c:spPr>
          </c:dPt>
          <c:dPt>
            <c:idx val="5"/>
            <c:bubble3D val="0"/>
            <c:spPr>
              <a:solidFill>
                <a:schemeClr val="accent6">
                  <a:lumMod val="60000"/>
                  <a:lumOff val="40000"/>
                </a:schemeClr>
              </a:solidFill>
              <a:ln>
                <a:solidFill>
                  <a:schemeClr val="accent6">
                    <a:lumMod val="50000"/>
                  </a:schemeClr>
                </a:solidFill>
              </a:ln>
            </c:spPr>
          </c:dPt>
          <c:dPt>
            <c:idx val="6"/>
            <c:bubble3D val="0"/>
            <c:spPr>
              <a:solidFill>
                <a:schemeClr val="accent4">
                  <a:lumMod val="40000"/>
                  <a:lumOff val="60000"/>
                </a:schemeClr>
              </a:solidFill>
              <a:ln>
                <a:solidFill>
                  <a:schemeClr val="accent4">
                    <a:lumMod val="50000"/>
                  </a:schemeClr>
                </a:solidFill>
              </a:ln>
            </c:spPr>
          </c:dPt>
          <c:dLbls>
            <c:dLbl>
              <c:idx val="0"/>
              <c:spPr/>
              <c:txPr>
                <a:bodyPr/>
                <a:lstStyle/>
                <a:p>
                  <a:pPr>
                    <a:defRPr>
                      <a:solidFill>
                        <a:schemeClr val="bg1"/>
                      </a:solidFill>
                    </a:defRPr>
                  </a:pPr>
                  <a:endParaRPr lang="cs-CZ"/>
                </a:p>
              </c:txPr>
              <c:showLegendKey val="0"/>
              <c:showVal val="1"/>
              <c:showCatName val="0"/>
              <c:showSerName val="0"/>
              <c:showPercent val="0"/>
              <c:showBubbleSize val="0"/>
            </c:dLbl>
            <c:showLegendKey val="0"/>
            <c:showVal val="1"/>
            <c:showCatName val="0"/>
            <c:showSerName val="0"/>
            <c:showPercent val="0"/>
            <c:showBubbleSize val="0"/>
            <c:showLeaderLines val="1"/>
          </c:dLbls>
          <c:cat>
            <c:strRef>
              <c:f>'G25'!$B$41:$B$45</c:f>
              <c:strCache>
                <c:ptCount val="5"/>
                <c:pt idx="0">
                  <c:v> umění a humanitní vědy</c:v>
                </c:pt>
                <c:pt idx="1">
                  <c:v> cizí jazyky</c:v>
                </c:pt>
                <c:pt idx="2">
                  <c:v> zdravotní a sociální péče</c:v>
                </c:pt>
                <c:pt idx="3">
                  <c:v> služby</c:v>
                </c:pt>
                <c:pt idx="4">
                  <c:v> ostatní</c:v>
                </c:pt>
              </c:strCache>
            </c:strRef>
          </c:cat>
          <c:val>
            <c:numRef>
              <c:f>'G25'!$C$41:$C$45</c:f>
              <c:numCache>
                <c:formatCode>0%</c:formatCode>
                <c:ptCount val="5"/>
                <c:pt idx="0">
                  <c:v>0.2</c:v>
                </c:pt>
                <c:pt idx="1">
                  <c:v>0.41</c:v>
                </c:pt>
                <c:pt idx="2">
                  <c:v>0.04</c:v>
                </c:pt>
                <c:pt idx="3">
                  <c:v>0.21</c:v>
                </c:pt>
                <c:pt idx="4">
                  <c:v>0.14000000000000001</c:v>
                </c:pt>
              </c:numCache>
            </c:numRef>
          </c:val>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spPr>
    <a:noFill/>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cs-CZ" sz="1000"/>
              <a:t>dle počtu aktivit</a:t>
            </a:r>
          </a:p>
        </c:rich>
      </c:tx>
      <c:layout>
        <c:manualLayout>
          <c:xMode val="edge"/>
          <c:yMode val="edge"/>
          <c:x val="0.16665379637462668"/>
          <c:y val="4.0738863121561872E-2"/>
        </c:manualLayout>
      </c:layout>
      <c:overlay val="0"/>
    </c:title>
    <c:autoTitleDeleted val="0"/>
    <c:plotArea>
      <c:layout>
        <c:manualLayout>
          <c:layoutTarget val="inner"/>
          <c:xMode val="edge"/>
          <c:yMode val="edge"/>
          <c:x val="5.5984324273515414E-2"/>
          <c:y val="0.21176212562470786"/>
          <c:w val="0.53739340433685467"/>
          <c:h val="0.66806097867903536"/>
        </c:manualLayout>
      </c:layout>
      <c:doughnutChart>
        <c:varyColors val="1"/>
        <c:ser>
          <c:idx val="0"/>
          <c:order val="0"/>
          <c:dPt>
            <c:idx val="0"/>
            <c:bubble3D val="0"/>
            <c:spPr>
              <a:solidFill>
                <a:schemeClr val="accent1">
                  <a:lumMod val="75000"/>
                </a:schemeClr>
              </a:solidFill>
              <a:ln>
                <a:solidFill>
                  <a:schemeClr val="tx2">
                    <a:lumMod val="50000"/>
                  </a:schemeClr>
                </a:solidFill>
              </a:ln>
            </c:spPr>
          </c:dPt>
          <c:dPt>
            <c:idx val="1"/>
            <c:bubble3D val="0"/>
            <c:spPr>
              <a:solidFill>
                <a:schemeClr val="accent2">
                  <a:lumMod val="40000"/>
                  <a:lumOff val="60000"/>
                </a:schemeClr>
              </a:solidFill>
              <a:ln>
                <a:solidFill>
                  <a:schemeClr val="accent2">
                    <a:lumMod val="75000"/>
                  </a:schemeClr>
                </a:solidFill>
              </a:ln>
            </c:spPr>
          </c:dPt>
          <c:dPt>
            <c:idx val="2"/>
            <c:bubble3D val="0"/>
            <c:spPr>
              <a:solidFill>
                <a:schemeClr val="accent3"/>
              </a:solidFill>
              <a:ln>
                <a:solidFill>
                  <a:schemeClr val="accent3">
                    <a:lumMod val="50000"/>
                  </a:schemeClr>
                </a:solidFill>
              </a:ln>
            </c:spPr>
          </c:dPt>
          <c:dPt>
            <c:idx val="3"/>
            <c:bubble3D val="0"/>
            <c:spPr>
              <a:solidFill>
                <a:schemeClr val="accent6">
                  <a:lumMod val="60000"/>
                  <a:lumOff val="40000"/>
                </a:schemeClr>
              </a:solidFill>
              <a:ln>
                <a:solidFill>
                  <a:schemeClr val="accent6">
                    <a:lumMod val="50000"/>
                  </a:schemeClr>
                </a:solidFill>
              </a:ln>
            </c:spPr>
          </c:dPt>
          <c:dPt>
            <c:idx val="4"/>
            <c:bubble3D val="0"/>
            <c:spPr>
              <a:solidFill>
                <a:schemeClr val="bg1">
                  <a:lumMod val="65000"/>
                </a:schemeClr>
              </a:solidFill>
              <a:ln>
                <a:solidFill>
                  <a:schemeClr val="tx1">
                    <a:lumMod val="75000"/>
                    <a:lumOff val="25000"/>
                  </a:schemeClr>
                </a:solidFill>
              </a:ln>
            </c:spPr>
          </c:dPt>
          <c:dPt>
            <c:idx val="5"/>
            <c:bubble3D val="0"/>
            <c:spPr>
              <a:solidFill>
                <a:schemeClr val="accent6">
                  <a:lumMod val="60000"/>
                  <a:lumOff val="40000"/>
                </a:schemeClr>
              </a:solidFill>
              <a:ln>
                <a:solidFill>
                  <a:schemeClr val="accent6">
                    <a:lumMod val="50000"/>
                  </a:schemeClr>
                </a:solidFill>
              </a:ln>
            </c:spPr>
          </c:dPt>
          <c:dPt>
            <c:idx val="6"/>
            <c:bubble3D val="0"/>
            <c:spPr>
              <a:solidFill>
                <a:schemeClr val="accent4">
                  <a:lumMod val="40000"/>
                  <a:lumOff val="60000"/>
                </a:schemeClr>
              </a:solidFill>
              <a:ln>
                <a:solidFill>
                  <a:schemeClr val="accent4">
                    <a:lumMod val="50000"/>
                  </a:schemeClr>
                </a:solidFill>
              </a:ln>
            </c:spPr>
          </c:dPt>
          <c:dLbls>
            <c:dLbl>
              <c:idx val="0"/>
              <c:spPr/>
              <c:txPr>
                <a:bodyPr/>
                <a:lstStyle/>
                <a:p>
                  <a:pPr>
                    <a:defRPr>
                      <a:solidFill>
                        <a:schemeClr val="bg1"/>
                      </a:solidFill>
                    </a:defRPr>
                  </a:pPr>
                  <a:endParaRPr lang="cs-CZ"/>
                </a:p>
              </c:txPr>
              <c:showLegendKey val="0"/>
              <c:showVal val="1"/>
              <c:showCatName val="0"/>
              <c:showSerName val="0"/>
              <c:showPercent val="0"/>
              <c:showBubbleSize val="0"/>
            </c:dLbl>
            <c:showLegendKey val="0"/>
            <c:showVal val="1"/>
            <c:showCatName val="0"/>
            <c:showSerName val="0"/>
            <c:showPercent val="0"/>
            <c:showBubbleSize val="0"/>
            <c:showLeaderLines val="1"/>
          </c:dLbls>
          <c:cat>
            <c:strRef>
              <c:f>'G25'!$B$34:$B$38</c:f>
              <c:strCache>
                <c:ptCount val="5"/>
                <c:pt idx="0">
                  <c:v> Umění a humanitní vědy</c:v>
                </c:pt>
                <c:pt idx="1">
                  <c:v> Cizí jazyky</c:v>
                </c:pt>
                <c:pt idx="2">
                  <c:v> Zdravotní a sociální péče</c:v>
                </c:pt>
                <c:pt idx="3">
                  <c:v> Služby</c:v>
                </c:pt>
                <c:pt idx="4">
                  <c:v> Ostatní</c:v>
                </c:pt>
              </c:strCache>
            </c:strRef>
          </c:cat>
          <c:val>
            <c:numRef>
              <c:f>'G25'!$C$34:$C$38</c:f>
              <c:numCache>
                <c:formatCode>0%</c:formatCode>
                <c:ptCount val="5"/>
                <c:pt idx="0">
                  <c:v>0.16</c:v>
                </c:pt>
                <c:pt idx="1">
                  <c:v>0.38</c:v>
                </c:pt>
                <c:pt idx="2">
                  <c:v>7.0000000000000007E-2</c:v>
                </c:pt>
                <c:pt idx="3">
                  <c:v>0.223</c:v>
                </c:pt>
                <c:pt idx="4">
                  <c:v>0.16700000000000004</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4166666666666672"/>
          <c:y val="4.5876920471789692E-2"/>
          <c:w val="0.34166666666666756"/>
          <c:h val="0.92470617351491113"/>
        </c:manualLayout>
      </c:layout>
      <c:overlay val="0"/>
    </c:legend>
    <c:plotVisOnly val="1"/>
    <c:dispBlanksAs val="zero"/>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1"/>
          <c:order val="1"/>
          <c:tx>
            <c:strRef>
              <c:f>'G26'!$O$3</c:f>
              <c:strCache>
                <c:ptCount val="1"/>
                <c:pt idx="0">
                  <c:v> účastnil se vzdělávání, ale chtěl se vzdělávat více</c:v>
                </c:pt>
              </c:strCache>
            </c:strRef>
          </c:tx>
          <c:spPr>
            <a:solidFill>
              <a:schemeClr val="accent2">
                <a:lumMod val="50000"/>
              </a:schemeClr>
            </a:solidFill>
            <a:ln>
              <a:solidFill>
                <a:schemeClr val="accent2">
                  <a:lumMod val="50000"/>
                </a:schemeClr>
              </a:solidFill>
            </a:ln>
          </c:spPr>
          <c:invertIfNegative val="0"/>
          <c:dPt>
            <c:idx val="10"/>
            <c:invertIfNegative val="0"/>
            <c:bubble3D val="0"/>
            <c:spPr>
              <a:solidFill>
                <a:schemeClr val="accent2">
                  <a:lumMod val="50000"/>
                </a:schemeClr>
              </a:solidFill>
              <a:ln w="19050">
                <a:solidFill>
                  <a:schemeClr val="tx1"/>
                </a:solidFill>
              </a:ln>
            </c:spPr>
          </c:dPt>
          <c:cat>
            <c:strRef>
              <c:f>'G26'!$M$4:$M$27</c:f>
              <c:strCache>
                <c:ptCount val="24"/>
                <c:pt idx="0">
                  <c:v>Švýcarsko</c:v>
                </c:pt>
                <c:pt idx="1">
                  <c:v>Nizozemí</c:v>
                </c:pt>
                <c:pt idx="2">
                  <c:v>Švédsko</c:v>
                </c:pt>
                <c:pt idx="3">
                  <c:v>Rakousko</c:v>
                </c:pt>
                <c:pt idx="4">
                  <c:v>Finsko</c:v>
                </c:pt>
                <c:pt idx="5">
                  <c:v>Spojené království</c:v>
                </c:pt>
                <c:pt idx="6">
                  <c:v>Německo</c:v>
                </c:pt>
                <c:pt idx="7">
                  <c:v>Kypr</c:v>
                </c:pt>
                <c:pt idx="8">
                  <c:v>Lucembursko</c:v>
                </c:pt>
                <c:pt idx="9">
                  <c:v>Lotyšsko</c:v>
                </c:pt>
                <c:pt idx="10">
                  <c:v>Česká republika</c:v>
                </c:pt>
                <c:pt idx="11">
                  <c:v>Portugalsko</c:v>
                </c:pt>
                <c:pt idx="12">
                  <c:v>Slovinsko</c:v>
                </c:pt>
                <c:pt idx="13">
                  <c:v>Slovensko</c:v>
                </c:pt>
                <c:pt idx="14">
                  <c:v>Španělsko</c:v>
                </c:pt>
                <c:pt idx="15">
                  <c:v>Malta</c:v>
                </c:pt>
                <c:pt idx="16">
                  <c:v>Chorvatsko</c:v>
                </c:pt>
                <c:pt idx="17">
                  <c:v>Litva</c:v>
                </c:pt>
                <c:pt idx="18">
                  <c:v>Polsko</c:v>
                </c:pt>
                <c:pt idx="19">
                  <c:v>Bulharsko</c:v>
                </c:pt>
                <c:pt idx="20">
                  <c:v>Srbsko</c:v>
                </c:pt>
                <c:pt idx="21">
                  <c:v>Řecko</c:v>
                </c:pt>
                <c:pt idx="22">
                  <c:v>Makedonie</c:v>
                </c:pt>
                <c:pt idx="23">
                  <c:v>Rumunsko</c:v>
                </c:pt>
              </c:strCache>
            </c:strRef>
          </c:cat>
          <c:val>
            <c:numRef>
              <c:f>'G26'!$O$4:$O$27</c:f>
              <c:numCache>
                <c:formatCode>0</c:formatCode>
                <c:ptCount val="24"/>
                <c:pt idx="0">
                  <c:v>23.8</c:v>
                </c:pt>
                <c:pt idx="1">
                  <c:v>14.7</c:v>
                </c:pt>
                <c:pt idx="2">
                  <c:v>19.5</c:v>
                </c:pt>
                <c:pt idx="3">
                  <c:v>21.5</c:v>
                </c:pt>
                <c:pt idx="4">
                  <c:v>15</c:v>
                </c:pt>
                <c:pt idx="5">
                  <c:v>25.8</c:v>
                </c:pt>
                <c:pt idx="6">
                  <c:v>9.1999999999999993</c:v>
                </c:pt>
                <c:pt idx="7">
                  <c:v>32.700000000000003</c:v>
                </c:pt>
                <c:pt idx="8">
                  <c:v>27.399999999999995</c:v>
                </c:pt>
                <c:pt idx="9">
                  <c:v>24.5</c:v>
                </c:pt>
                <c:pt idx="10">
                  <c:v>7.1</c:v>
                </c:pt>
                <c:pt idx="11">
                  <c:v>26.5</c:v>
                </c:pt>
                <c:pt idx="12">
                  <c:v>21.7</c:v>
                </c:pt>
                <c:pt idx="13">
                  <c:v>11.5</c:v>
                </c:pt>
                <c:pt idx="14">
                  <c:v>9.1999999999999993</c:v>
                </c:pt>
                <c:pt idx="15">
                  <c:v>13.100000000000001</c:v>
                </c:pt>
                <c:pt idx="16">
                  <c:v>9.6999999999999993</c:v>
                </c:pt>
                <c:pt idx="17">
                  <c:v>4.5999999999999996</c:v>
                </c:pt>
                <c:pt idx="18">
                  <c:v>12.4</c:v>
                </c:pt>
                <c:pt idx="19">
                  <c:v>4.5999999999999996</c:v>
                </c:pt>
                <c:pt idx="20">
                  <c:v>10</c:v>
                </c:pt>
                <c:pt idx="21">
                  <c:v>5.5</c:v>
                </c:pt>
                <c:pt idx="22">
                  <c:v>5.9</c:v>
                </c:pt>
                <c:pt idx="23">
                  <c:v>2.9</c:v>
                </c:pt>
              </c:numCache>
            </c:numRef>
          </c:val>
        </c:ser>
        <c:ser>
          <c:idx val="2"/>
          <c:order val="2"/>
          <c:tx>
            <c:strRef>
              <c:f>'G26'!$P$3</c:f>
              <c:strCache>
                <c:ptCount val="1"/>
                <c:pt idx="0">
                  <c:v> účastnil se vzdělávání a nechtěl se účastnit více</c:v>
                </c:pt>
              </c:strCache>
            </c:strRef>
          </c:tx>
          <c:spPr>
            <a:solidFill>
              <a:schemeClr val="accent2"/>
            </a:solidFill>
            <a:ln>
              <a:solidFill>
                <a:schemeClr val="accent2"/>
              </a:solidFill>
            </a:ln>
          </c:spPr>
          <c:invertIfNegative val="0"/>
          <c:dPt>
            <c:idx val="10"/>
            <c:invertIfNegative val="0"/>
            <c:bubble3D val="0"/>
            <c:spPr>
              <a:solidFill>
                <a:schemeClr val="accent2"/>
              </a:solidFill>
              <a:ln w="19050">
                <a:solidFill>
                  <a:schemeClr val="tx1"/>
                </a:solidFill>
              </a:ln>
            </c:spPr>
          </c:dPt>
          <c:cat>
            <c:strRef>
              <c:f>'G26'!$M$4:$M$27</c:f>
              <c:strCache>
                <c:ptCount val="24"/>
                <c:pt idx="0">
                  <c:v>Švýcarsko</c:v>
                </c:pt>
                <c:pt idx="1">
                  <c:v>Nizozemí</c:v>
                </c:pt>
                <c:pt idx="2">
                  <c:v>Švédsko</c:v>
                </c:pt>
                <c:pt idx="3">
                  <c:v>Rakousko</c:v>
                </c:pt>
                <c:pt idx="4">
                  <c:v>Finsko</c:v>
                </c:pt>
                <c:pt idx="5">
                  <c:v>Spojené království</c:v>
                </c:pt>
                <c:pt idx="6">
                  <c:v>Německo</c:v>
                </c:pt>
                <c:pt idx="7">
                  <c:v>Kypr</c:v>
                </c:pt>
                <c:pt idx="8">
                  <c:v>Lucembursko</c:v>
                </c:pt>
                <c:pt idx="9">
                  <c:v>Lotyšsko</c:v>
                </c:pt>
                <c:pt idx="10">
                  <c:v>Česká republika</c:v>
                </c:pt>
                <c:pt idx="11">
                  <c:v>Portugalsko</c:v>
                </c:pt>
                <c:pt idx="12">
                  <c:v>Slovinsko</c:v>
                </c:pt>
                <c:pt idx="13">
                  <c:v>Slovensko</c:v>
                </c:pt>
                <c:pt idx="14">
                  <c:v>Španělsko</c:v>
                </c:pt>
                <c:pt idx="15">
                  <c:v>Malta</c:v>
                </c:pt>
                <c:pt idx="16">
                  <c:v>Chorvatsko</c:v>
                </c:pt>
                <c:pt idx="17">
                  <c:v>Litva</c:v>
                </c:pt>
                <c:pt idx="18">
                  <c:v>Polsko</c:v>
                </c:pt>
                <c:pt idx="19">
                  <c:v>Bulharsko</c:v>
                </c:pt>
                <c:pt idx="20">
                  <c:v>Srbsko</c:v>
                </c:pt>
                <c:pt idx="21">
                  <c:v>Řecko</c:v>
                </c:pt>
                <c:pt idx="22">
                  <c:v>Makedonie</c:v>
                </c:pt>
                <c:pt idx="23">
                  <c:v>Rumunsko</c:v>
                </c:pt>
              </c:strCache>
            </c:strRef>
          </c:cat>
          <c:val>
            <c:numRef>
              <c:f>'G26'!$P$4:$P$27</c:f>
              <c:numCache>
                <c:formatCode>0</c:formatCode>
                <c:ptCount val="24"/>
                <c:pt idx="0">
                  <c:v>45</c:v>
                </c:pt>
                <c:pt idx="1">
                  <c:v>49.2</c:v>
                </c:pt>
                <c:pt idx="2">
                  <c:v>42.5</c:v>
                </c:pt>
                <c:pt idx="3">
                  <c:v>38.4</c:v>
                </c:pt>
                <c:pt idx="4">
                  <c:v>38.5</c:v>
                </c:pt>
                <c:pt idx="5">
                  <c:v>26</c:v>
                </c:pt>
                <c:pt idx="6">
                  <c:v>42</c:v>
                </c:pt>
                <c:pt idx="7">
                  <c:v>15.4</c:v>
                </c:pt>
                <c:pt idx="8">
                  <c:v>20.5</c:v>
                </c:pt>
                <c:pt idx="9">
                  <c:v>22.7</c:v>
                </c:pt>
                <c:pt idx="10">
                  <c:v>39</c:v>
                </c:pt>
                <c:pt idx="11">
                  <c:v>19.600000000000001</c:v>
                </c:pt>
                <c:pt idx="12">
                  <c:v>23.2</c:v>
                </c:pt>
                <c:pt idx="13">
                  <c:v>34.5</c:v>
                </c:pt>
                <c:pt idx="14">
                  <c:v>33.299999999999997</c:v>
                </c:pt>
                <c:pt idx="15">
                  <c:v>18.899999999999999</c:v>
                </c:pt>
                <c:pt idx="16">
                  <c:v>22.1</c:v>
                </c:pt>
                <c:pt idx="17">
                  <c:v>23.3</c:v>
                </c:pt>
                <c:pt idx="18">
                  <c:v>12.3</c:v>
                </c:pt>
                <c:pt idx="19">
                  <c:v>19.600000000000001</c:v>
                </c:pt>
                <c:pt idx="20">
                  <c:v>9.6999999999999993</c:v>
                </c:pt>
                <c:pt idx="21">
                  <c:v>10.199999999999999</c:v>
                </c:pt>
                <c:pt idx="22">
                  <c:v>5.0999999999999996</c:v>
                </c:pt>
                <c:pt idx="23">
                  <c:v>4.0999999999999996</c:v>
                </c:pt>
              </c:numCache>
            </c:numRef>
          </c:val>
        </c:ser>
        <c:ser>
          <c:idx val="3"/>
          <c:order val="3"/>
          <c:tx>
            <c:strRef>
              <c:f>'G26'!$Q$3</c:f>
              <c:strCache>
                <c:ptCount val="1"/>
                <c:pt idx="0">
                  <c:v> neúčastnil se vzdělávání, ale chtěl se účastnit</c:v>
                </c:pt>
              </c:strCache>
            </c:strRef>
          </c:tx>
          <c:spPr>
            <a:solidFill>
              <a:schemeClr val="accent2">
                <a:lumMod val="20000"/>
                <a:lumOff val="80000"/>
              </a:schemeClr>
            </a:solidFill>
            <a:ln>
              <a:solidFill>
                <a:schemeClr val="accent2"/>
              </a:solidFill>
            </a:ln>
          </c:spPr>
          <c:invertIfNegative val="0"/>
          <c:dPt>
            <c:idx val="10"/>
            <c:invertIfNegative val="0"/>
            <c:bubble3D val="0"/>
            <c:spPr>
              <a:solidFill>
                <a:schemeClr val="accent2">
                  <a:lumMod val="20000"/>
                  <a:lumOff val="80000"/>
                </a:schemeClr>
              </a:solidFill>
              <a:ln w="19050">
                <a:solidFill>
                  <a:schemeClr val="tx1"/>
                </a:solidFill>
              </a:ln>
            </c:spPr>
          </c:dPt>
          <c:cat>
            <c:strRef>
              <c:f>'G26'!$M$4:$M$27</c:f>
              <c:strCache>
                <c:ptCount val="24"/>
                <c:pt idx="0">
                  <c:v>Švýcarsko</c:v>
                </c:pt>
                <c:pt idx="1">
                  <c:v>Nizozemí</c:v>
                </c:pt>
                <c:pt idx="2">
                  <c:v>Švédsko</c:v>
                </c:pt>
                <c:pt idx="3">
                  <c:v>Rakousko</c:v>
                </c:pt>
                <c:pt idx="4">
                  <c:v>Finsko</c:v>
                </c:pt>
                <c:pt idx="5">
                  <c:v>Spojené království</c:v>
                </c:pt>
                <c:pt idx="6">
                  <c:v>Německo</c:v>
                </c:pt>
                <c:pt idx="7">
                  <c:v>Kypr</c:v>
                </c:pt>
                <c:pt idx="8">
                  <c:v>Lucembursko</c:v>
                </c:pt>
                <c:pt idx="9">
                  <c:v>Lotyšsko</c:v>
                </c:pt>
                <c:pt idx="10">
                  <c:v>Česká republika</c:v>
                </c:pt>
                <c:pt idx="11">
                  <c:v>Portugalsko</c:v>
                </c:pt>
                <c:pt idx="12">
                  <c:v>Slovinsko</c:v>
                </c:pt>
                <c:pt idx="13">
                  <c:v>Slovensko</c:v>
                </c:pt>
                <c:pt idx="14">
                  <c:v>Španělsko</c:v>
                </c:pt>
                <c:pt idx="15">
                  <c:v>Malta</c:v>
                </c:pt>
                <c:pt idx="16">
                  <c:v>Chorvatsko</c:v>
                </c:pt>
                <c:pt idx="17">
                  <c:v>Litva</c:v>
                </c:pt>
                <c:pt idx="18">
                  <c:v>Polsko</c:v>
                </c:pt>
                <c:pt idx="19">
                  <c:v>Bulharsko</c:v>
                </c:pt>
                <c:pt idx="20">
                  <c:v>Srbsko</c:v>
                </c:pt>
                <c:pt idx="21">
                  <c:v>Řecko</c:v>
                </c:pt>
                <c:pt idx="22">
                  <c:v>Makedonie</c:v>
                </c:pt>
                <c:pt idx="23">
                  <c:v>Rumunsko</c:v>
                </c:pt>
              </c:strCache>
            </c:strRef>
          </c:cat>
          <c:val>
            <c:numRef>
              <c:f>'G26'!$Q$4:$Q$27</c:f>
              <c:numCache>
                <c:formatCode>0</c:formatCode>
                <c:ptCount val="24"/>
                <c:pt idx="0">
                  <c:v>9.3000000000000007</c:v>
                </c:pt>
                <c:pt idx="1">
                  <c:v>7.1</c:v>
                </c:pt>
                <c:pt idx="2">
                  <c:v>10.199999999999999</c:v>
                </c:pt>
                <c:pt idx="3">
                  <c:v>10.3</c:v>
                </c:pt>
                <c:pt idx="4">
                  <c:v>12.5</c:v>
                </c:pt>
                <c:pt idx="5">
                  <c:v>16.899999999999999</c:v>
                </c:pt>
                <c:pt idx="6">
                  <c:v>5.6</c:v>
                </c:pt>
                <c:pt idx="7">
                  <c:v>27.399999999999995</c:v>
                </c:pt>
                <c:pt idx="8">
                  <c:v>14.400000000000002</c:v>
                </c:pt>
                <c:pt idx="9">
                  <c:v>16.899999999999999</c:v>
                </c:pt>
                <c:pt idx="10">
                  <c:v>5.6</c:v>
                </c:pt>
                <c:pt idx="11">
                  <c:v>21.1</c:v>
                </c:pt>
                <c:pt idx="12">
                  <c:v>5.7</c:v>
                </c:pt>
                <c:pt idx="13">
                  <c:v>8</c:v>
                </c:pt>
                <c:pt idx="14">
                  <c:v>9.8000000000000007</c:v>
                </c:pt>
                <c:pt idx="15">
                  <c:v>16.5</c:v>
                </c:pt>
                <c:pt idx="16">
                  <c:v>14.099999999999998</c:v>
                </c:pt>
                <c:pt idx="17">
                  <c:v>5.0999999999999996</c:v>
                </c:pt>
                <c:pt idx="18">
                  <c:v>12.9</c:v>
                </c:pt>
                <c:pt idx="19">
                  <c:v>5.0999999999999996</c:v>
                </c:pt>
                <c:pt idx="20">
                  <c:v>24.6</c:v>
                </c:pt>
                <c:pt idx="21">
                  <c:v>12.5</c:v>
                </c:pt>
                <c:pt idx="22">
                  <c:v>14.7</c:v>
                </c:pt>
                <c:pt idx="23">
                  <c:v>17.899999999999999</c:v>
                </c:pt>
              </c:numCache>
            </c:numRef>
          </c:val>
        </c:ser>
        <c:ser>
          <c:idx val="4"/>
          <c:order val="4"/>
          <c:tx>
            <c:strRef>
              <c:f>'G26'!$R$3</c:f>
              <c:strCache>
                <c:ptCount val="1"/>
                <c:pt idx="0">
                  <c:v> neúčastnil se vzdělávání ani se nechtěl účastnit</c:v>
                </c:pt>
              </c:strCache>
            </c:strRef>
          </c:tx>
          <c:spPr>
            <a:solidFill>
              <a:schemeClr val="accent6">
                <a:lumMod val="20000"/>
                <a:lumOff val="80000"/>
              </a:schemeClr>
            </a:solidFill>
            <a:ln>
              <a:solidFill>
                <a:schemeClr val="accent6"/>
              </a:solidFill>
            </a:ln>
          </c:spPr>
          <c:invertIfNegative val="0"/>
          <c:dPt>
            <c:idx val="10"/>
            <c:invertIfNegative val="0"/>
            <c:bubble3D val="0"/>
            <c:spPr>
              <a:solidFill>
                <a:schemeClr val="accent6">
                  <a:lumMod val="20000"/>
                  <a:lumOff val="80000"/>
                </a:schemeClr>
              </a:solidFill>
              <a:ln w="19050">
                <a:solidFill>
                  <a:schemeClr val="tx1"/>
                </a:solidFill>
              </a:ln>
            </c:spPr>
          </c:dPt>
          <c:cat>
            <c:strRef>
              <c:f>'G26'!$M$4:$M$27</c:f>
              <c:strCache>
                <c:ptCount val="24"/>
                <c:pt idx="0">
                  <c:v>Švýcarsko</c:v>
                </c:pt>
                <c:pt idx="1">
                  <c:v>Nizozemí</c:v>
                </c:pt>
                <c:pt idx="2">
                  <c:v>Švédsko</c:v>
                </c:pt>
                <c:pt idx="3">
                  <c:v>Rakousko</c:v>
                </c:pt>
                <c:pt idx="4">
                  <c:v>Finsko</c:v>
                </c:pt>
                <c:pt idx="5">
                  <c:v>Spojené království</c:v>
                </c:pt>
                <c:pt idx="6">
                  <c:v>Německo</c:v>
                </c:pt>
                <c:pt idx="7">
                  <c:v>Kypr</c:v>
                </c:pt>
                <c:pt idx="8">
                  <c:v>Lucembursko</c:v>
                </c:pt>
                <c:pt idx="9">
                  <c:v>Lotyšsko</c:v>
                </c:pt>
                <c:pt idx="10">
                  <c:v>Česká republika</c:v>
                </c:pt>
                <c:pt idx="11">
                  <c:v>Portugalsko</c:v>
                </c:pt>
                <c:pt idx="12">
                  <c:v>Slovinsko</c:v>
                </c:pt>
                <c:pt idx="13">
                  <c:v>Slovensko</c:v>
                </c:pt>
                <c:pt idx="14">
                  <c:v>Španělsko</c:v>
                </c:pt>
                <c:pt idx="15">
                  <c:v>Malta</c:v>
                </c:pt>
                <c:pt idx="16">
                  <c:v>Chorvatsko</c:v>
                </c:pt>
                <c:pt idx="17">
                  <c:v>Litva</c:v>
                </c:pt>
                <c:pt idx="18">
                  <c:v>Polsko</c:v>
                </c:pt>
                <c:pt idx="19">
                  <c:v>Bulharsko</c:v>
                </c:pt>
                <c:pt idx="20">
                  <c:v>Srbsko</c:v>
                </c:pt>
                <c:pt idx="21">
                  <c:v>Řecko</c:v>
                </c:pt>
                <c:pt idx="22">
                  <c:v>Makedonie</c:v>
                </c:pt>
                <c:pt idx="23">
                  <c:v>Rumunsko</c:v>
                </c:pt>
              </c:strCache>
            </c:strRef>
          </c:cat>
          <c:val>
            <c:numRef>
              <c:f>'G26'!$R$4:$R$27</c:f>
              <c:numCache>
                <c:formatCode>0</c:formatCode>
                <c:ptCount val="24"/>
                <c:pt idx="0">
                  <c:v>21.4</c:v>
                </c:pt>
                <c:pt idx="1">
                  <c:v>26.700000000000003</c:v>
                </c:pt>
                <c:pt idx="2">
                  <c:v>24.8</c:v>
                </c:pt>
                <c:pt idx="3">
                  <c:v>29.7</c:v>
                </c:pt>
                <c:pt idx="4">
                  <c:v>32.4</c:v>
                </c:pt>
                <c:pt idx="5">
                  <c:v>30.599999999999998</c:v>
                </c:pt>
                <c:pt idx="6">
                  <c:v>42.1</c:v>
                </c:pt>
                <c:pt idx="7">
                  <c:v>24.4</c:v>
                </c:pt>
                <c:pt idx="8">
                  <c:v>34.299999999999997</c:v>
                </c:pt>
                <c:pt idx="9">
                  <c:v>35.1</c:v>
                </c:pt>
                <c:pt idx="10">
                  <c:v>48.3</c:v>
                </c:pt>
                <c:pt idx="11">
                  <c:v>32.9</c:v>
                </c:pt>
                <c:pt idx="12">
                  <c:v>47.8</c:v>
                </c:pt>
                <c:pt idx="13">
                  <c:v>45.9</c:v>
                </c:pt>
                <c:pt idx="14">
                  <c:v>44.6</c:v>
                </c:pt>
                <c:pt idx="15">
                  <c:v>46.7</c:v>
                </c:pt>
                <c:pt idx="16">
                  <c:v>54.1</c:v>
                </c:pt>
                <c:pt idx="17">
                  <c:v>67</c:v>
                </c:pt>
                <c:pt idx="18">
                  <c:v>62.4</c:v>
                </c:pt>
                <c:pt idx="19">
                  <c:v>68.7</c:v>
                </c:pt>
                <c:pt idx="20">
                  <c:v>55.600000000000009</c:v>
                </c:pt>
                <c:pt idx="21">
                  <c:v>69.7</c:v>
                </c:pt>
                <c:pt idx="22">
                  <c:v>72</c:v>
                </c:pt>
                <c:pt idx="23">
                  <c:v>75.2</c:v>
                </c:pt>
              </c:numCache>
            </c:numRef>
          </c:val>
        </c:ser>
        <c:ser>
          <c:idx val="5"/>
          <c:order val="5"/>
          <c:tx>
            <c:strRef>
              <c:f>'G26'!$S$3</c:f>
              <c:strCache>
                <c:ptCount val="1"/>
                <c:pt idx="0">
                  <c:v> bez odpovědi</c:v>
                </c:pt>
              </c:strCache>
            </c:strRef>
          </c:tx>
          <c:spPr>
            <a:solidFill>
              <a:schemeClr val="bg1">
                <a:lumMod val="50000"/>
              </a:schemeClr>
            </a:solidFill>
            <a:ln>
              <a:solidFill>
                <a:schemeClr val="bg1">
                  <a:lumMod val="50000"/>
                </a:schemeClr>
              </a:solidFill>
            </a:ln>
          </c:spPr>
          <c:invertIfNegative val="0"/>
          <c:cat>
            <c:strRef>
              <c:f>'G26'!$M$4:$M$27</c:f>
              <c:strCache>
                <c:ptCount val="24"/>
                <c:pt idx="0">
                  <c:v>Švýcarsko</c:v>
                </c:pt>
                <c:pt idx="1">
                  <c:v>Nizozemí</c:v>
                </c:pt>
                <c:pt idx="2">
                  <c:v>Švédsko</c:v>
                </c:pt>
                <c:pt idx="3">
                  <c:v>Rakousko</c:v>
                </c:pt>
                <c:pt idx="4">
                  <c:v>Finsko</c:v>
                </c:pt>
                <c:pt idx="5">
                  <c:v>Spojené království</c:v>
                </c:pt>
                <c:pt idx="6">
                  <c:v>Německo</c:v>
                </c:pt>
                <c:pt idx="7">
                  <c:v>Kypr</c:v>
                </c:pt>
                <c:pt idx="8">
                  <c:v>Lucembursko</c:v>
                </c:pt>
                <c:pt idx="9">
                  <c:v>Lotyšsko</c:v>
                </c:pt>
                <c:pt idx="10">
                  <c:v>Česká republika</c:v>
                </c:pt>
                <c:pt idx="11">
                  <c:v>Portugalsko</c:v>
                </c:pt>
                <c:pt idx="12">
                  <c:v>Slovinsko</c:v>
                </c:pt>
                <c:pt idx="13">
                  <c:v>Slovensko</c:v>
                </c:pt>
                <c:pt idx="14">
                  <c:v>Španělsko</c:v>
                </c:pt>
                <c:pt idx="15">
                  <c:v>Malta</c:v>
                </c:pt>
                <c:pt idx="16">
                  <c:v>Chorvatsko</c:v>
                </c:pt>
                <c:pt idx="17">
                  <c:v>Litva</c:v>
                </c:pt>
                <c:pt idx="18">
                  <c:v>Polsko</c:v>
                </c:pt>
                <c:pt idx="19">
                  <c:v>Bulharsko</c:v>
                </c:pt>
                <c:pt idx="20">
                  <c:v>Srbsko</c:v>
                </c:pt>
                <c:pt idx="21">
                  <c:v>Řecko</c:v>
                </c:pt>
                <c:pt idx="22">
                  <c:v>Makedonie</c:v>
                </c:pt>
                <c:pt idx="23">
                  <c:v>Rumunsko</c:v>
                </c:pt>
              </c:strCache>
            </c:strRef>
          </c:cat>
          <c:val>
            <c:numRef>
              <c:f>'G26'!$S$4:$S$27</c:f>
              <c:numCache>
                <c:formatCode>0</c:formatCode>
                <c:ptCount val="24"/>
                <c:pt idx="0">
                  <c:v>0.4</c:v>
                </c:pt>
                <c:pt idx="1">
                  <c:v>2.2999999999999998</c:v>
                </c:pt>
                <c:pt idx="2">
                  <c:v>2.9</c:v>
                </c:pt>
                <c:pt idx="3">
                  <c:v>0</c:v>
                </c:pt>
                <c:pt idx="4">
                  <c:v>1.7000000000000002</c:v>
                </c:pt>
                <c:pt idx="5">
                  <c:v>0.7</c:v>
                </c:pt>
                <c:pt idx="6">
                  <c:v>1.1000000000000001</c:v>
                </c:pt>
                <c:pt idx="7">
                  <c:v>0</c:v>
                </c:pt>
                <c:pt idx="8">
                  <c:v>3.4000000000000004</c:v>
                </c:pt>
                <c:pt idx="9">
                  <c:v>0.8</c:v>
                </c:pt>
                <c:pt idx="10">
                  <c:v>0</c:v>
                </c:pt>
                <c:pt idx="11">
                  <c:v>0</c:v>
                </c:pt>
                <c:pt idx="12">
                  <c:v>1.7000000000000002</c:v>
                </c:pt>
                <c:pt idx="13">
                  <c:v>0</c:v>
                </c:pt>
                <c:pt idx="14">
                  <c:v>3.2</c:v>
                </c:pt>
                <c:pt idx="15">
                  <c:v>4.9000000000000004</c:v>
                </c:pt>
                <c:pt idx="16">
                  <c:v>0</c:v>
                </c:pt>
                <c:pt idx="17">
                  <c:v>0</c:v>
                </c:pt>
                <c:pt idx="18">
                  <c:v>0</c:v>
                </c:pt>
                <c:pt idx="19">
                  <c:v>2</c:v>
                </c:pt>
                <c:pt idx="20">
                  <c:v>0</c:v>
                </c:pt>
                <c:pt idx="21">
                  <c:v>2.1</c:v>
                </c:pt>
                <c:pt idx="22">
                  <c:v>2.2999999999999998</c:v>
                </c:pt>
                <c:pt idx="23">
                  <c:v>0</c:v>
                </c:pt>
              </c:numCache>
            </c:numRef>
          </c:val>
        </c:ser>
        <c:dLbls>
          <c:showLegendKey val="0"/>
          <c:showVal val="0"/>
          <c:showCatName val="0"/>
          <c:showSerName val="0"/>
          <c:showPercent val="0"/>
          <c:showBubbleSize val="0"/>
        </c:dLbls>
        <c:gapWidth val="150"/>
        <c:overlap val="100"/>
        <c:axId val="168355840"/>
        <c:axId val="168599552"/>
      </c:barChart>
      <c:scatterChart>
        <c:scatterStyle val="lineMarker"/>
        <c:varyColors val="0"/>
        <c:ser>
          <c:idx val="0"/>
          <c:order val="0"/>
          <c:tx>
            <c:strRef>
              <c:f>'G26'!$N$3</c:f>
              <c:strCache>
                <c:ptCount val="1"/>
                <c:pt idx="0">
                  <c:v> celková účast ve vzdělávání (FV i NFV)</c:v>
                </c:pt>
              </c:strCache>
            </c:strRef>
          </c:tx>
          <c:spPr>
            <a:ln w="28575">
              <a:noFill/>
            </a:ln>
          </c:spPr>
          <c:marker>
            <c:symbol val="circle"/>
            <c:size val="7"/>
            <c:spPr>
              <a:solidFill>
                <a:schemeClr val="tx1"/>
              </a:solidFill>
              <a:ln>
                <a:solidFill>
                  <a:schemeClr val="tx1"/>
                </a:solidFill>
              </a:ln>
            </c:spPr>
          </c:marker>
          <c:xVal>
            <c:strRef>
              <c:f>'G26'!$M$4:$M$27</c:f>
              <c:strCache>
                <c:ptCount val="24"/>
                <c:pt idx="0">
                  <c:v>Švýcarsko</c:v>
                </c:pt>
                <c:pt idx="1">
                  <c:v>Nizozemí</c:v>
                </c:pt>
                <c:pt idx="2">
                  <c:v>Švédsko</c:v>
                </c:pt>
                <c:pt idx="3">
                  <c:v>Rakousko</c:v>
                </c:pt>
                <c:pt idx="4">
                  <c:v>Finsko</c:v>
                </c:pt>
                <c:pt idx="5">
                  <c:v>Spojené království</c:v>
                </c:pt>
                <c:pt idx="6">
                  <c:v>Německo</c:v>
                </c:pt>
                <c:pt idx="7">
                  <c:v>Kypr</c:v>
                </c:pt>
                <c:pt idx="8">
                  <c:v>Lucembursko</c:v>
                </c:pt>
                <c:pt idx="9">
                  <c:v>Lotyšsko</c:v>
                </c:pt>
                <c:pt idx="10">
                  <c:v>Česká republika</c:v>
                </c:pt>
                <c:pt idx="11">
                  <c:v>Portugalsko</c:v>
                </c:pt>
                <c:pt idx="12">
                  <c:v>Slovinsko</c:v>
                </c:pt>
                <c:pt idx="13">
                  <c:v>Slovensko</c:v>
                </c:pt>
                <c:pt idx="14">
                  <c:v>Španělsko</c:v>
                </c:pt>
                <c:pt idx="15">
                  <c:v>Malta</c:v>
                </c:pt>
                <c:pt idx="16">
                  <c:v>Chorvatsko</c:v>
                </c:pt>
                <c:pt idx="17">
                  <c:v>Litva</c:v>
                </c:pt>
                <c:pt idx="18">
                  <c:v>Polsko</c:v>
                </c:pt>
                <c:pt idx="19">
                  <c:v>Bulharsko</c:v>
                </c:pt>
                <c:pt idx="20">
                  <c:v>Srbsko</c:v>
                </c:pt>
                <c:pt idx="21">
                  <c:v>Řecko</c:v>
                </c:pt>
                <c:pt idx="22">
                  <c:v>Makedonie</c:v>
                </c:pt>
                <c:pt idx="23">
                  <c:v>Rumunsko</c:v>
                </c:pt>
              </c:strCache>
            </c:strRef>
          </c:xVal>
          <c:yVal>
            <c:numRef>
              <c:f>'G26'!$N$4:$N$27</c:f>
              <c:numCache>
                <c:formatCode>0</c:formatCode>
                <c:ptCount val="24"/>
                <c:pt idx="0">
                  <c:v>0.69099999999999995</c:v>
                </c:pt>
                <c:pt idx="1">
                  <c:v>0.6409999999999999</c:v>
                </c:pt>
                <c:pt idx="2">
                  <c:v>0.63800000000000001</c:v>
                </c:pt>
                <c:pt idx="3">
                  <c:v>0.59899999999999998</c:v>
                </c:pt>
                <c:pt idx="4">
                  <c:v>0.53799999999999992</c:v>
                </c:pt>
                <c:pt idx="5">
                  <c:v>0.52100000000000002</c:v>
                </c:pt>
                <c:pt idx="6">
                  <c:v>0.52</c:v>
                </c:pt>
                <c:pt idx="7">
                  <c:v>0.48100000000000004</c:v>
                </c:pt>
                <c:pt idx="8">
                  <c:v>0.48100000000000004</c:v>
                </c:pt>
                <c:pt idx="9">
                  <c:v>0.47499999999999998</c:v>
                </c:pt>
                <c:pt idx="10">
                  <c:v>0.46100000000000002</c:v>
                </c:pt>
                <c:pt idx="11">
                  <c:v>0.46100000000000002</c:v>
                </c:pt>
                <c:pt idx="12">
                  <c:v>0.46100000000000002</c:v>
                </c:pt>
                <c:pt idx="13">
                  <c:v>0.46100000000000002</c:v>
                </c:pt>
                <c:pt idx="14">
                  <c:v>0.434</c:v>
                </c:pt>
                <c:pt idx="15">
                  <c:v>0.36299999999999999</c:v>
                </c:pt>
                <c:pt idx="16">
                  <c:v>0.318</c:v>
                </c:pt>
                <c:pt idx="17">
                  <c:v>0.27899999999999997</c:v>
                </c:pt>
                <c:pt idx="18">
                  <c:v>0.247</c:v>
                </c:pt>
                <c:pt idx="19">
                  <c:v>0.24600000000000002</c:v>
                </c:pt>
                <c:pt idx="20">
                  <c:v>0.19800000000000001</c:v>
                </c:pt>
                <c:pt idx="21">
                  <c:v>0.16699999999999998</c:v>
                </c:pt>
                <c:pt idx="22">
                  <c:v>0.127</c:v>
                </c:pt>
                <c:pt idx="23">
                  <c:v>7.0000000000000007E-2</c:v>
                </c:pt>
              </c:numCache>
            </c:numRef>
          </c:yVal>
          <c:smooth val="0"/>
        </c:ser>
        <c:dLbls>
          <c:showLegendKey val="0"/>
          <c:showVal val="0"/>
          <c:showCatName val="0"/>
          <c:showSerName val="0"/>
          <c:showPercent val="0"/>
          <c:showBubbleSize val="0"/>
        </c:dLbls>
        <c:axId val="168600704"/>
        <c:axId val="168600128"/>
      </c:scatterChart>
      <c:catAx>
        <c:axId val="168355840"/>
        <c:scaling>
          <c:orientation val="minMax"/>
        </c:scaling>
        <c:delete val="0"/>
        <c:axPos val="b"/>
        <c:majorTickMark val="none"/>
        <c:minorTickMark val="none"/>
        <c:tickLblPos val="nextTo"/>
        <c:crossAx val="168599552"/>
        <c:crosses val="autoZero"/>
        <c:auto val="1"/>
        <c:lblAlgn val="ctr"/>
        <c:lblOffset val="100"/>
        <c:noMultiLvlLbl val="0"/>
      </c:catAx>
      <c:valAx>
        <c:axId val="168599552"/>
        <c:scaling>
          <c:orientation val="minMax"/>
        </c:scaling>
        <c:delete val="0"/>
        <c:axPos val="l"/>
        <c:majorGridlines/>
        <c:title>
          <c:tx>
            <c:rich>
              <a:bodyPr rot="-5400000" vert="horz"/>
              <a:lstStyle/>
              <a:p>
                <a:pPr>
                  <a:defRPr/>
                </a:pPr>
                <a:r>
                  <a:rPr lang="cs-CZ" b="0"/>
                  <a:t>vůle k</a:t>
                </a:r>
                <a:r>
                  <a:rPr lang="cs-CZ" b="0" baseline="0"/>
                  <a:t> dalšímu vzdělávání</a:t>
                </a:r>
                <a:endParaRPr lang="cs-CZ" b="0"/>
              </a:p>
            </c:rich>
          </c:tx>
          <c:layout>
            <c:manualLayout>
              <c:xMode val="edge"/>
              <c:yMode val="edge"/>
              <c:x val="1.2861710043253939E-2"/>
              <c:y val="0.20367525005320281"/>
            </c:manualLayout>
          </c:layout>
          <c:overlay val="0"/>
        </c:title>
        <c:numFmt formatCode="0%" sourceLinked="1"/>
        <c:majorTickMark val="out"/>
        <c:minorTickMark val="none"/>
        <c:tickLblPos val="nextTo"/>
        <c:crossAx val="168355840"/>
        <c:crosses val="autoZero"/>
        <c:crossBetween val="between"/>
      </c:valAx>
      <c:valAx>
        <c:axId val="168600128"/>
        <c:scaling>
          <c:orientation val="minMax"/>
        </c:scaling>
        <c:delete val="0"/>
        <c:axPos val="r"/>
        <c:title>
          <c:tx>
            <c:rich>
              <a:bodyPr rot="-5400000" vert="horz"/>
              <a:lstStyle/>
              <a:p>
                <a:pPr>
                  <a:defRPr/>
                </a:pPr>
                <a:r>
                  <a:rPr lang="cs-CZ" b="0"/>
                  <a:t>účast ve vzdělávání</a:t>
                </a:r>
              </a:p>
            </c:rich>
          </c:tx>
          <c:layout>
            <c:manualLayout>
              <c:xMode val="edge"/>
              <c:yMode val="edge"/>
              <c:x val="0.96099672120424195"/>
              <c:y val="0.24277080229836137"/>
            </c:manualLayout>
          </c:layout>
          <c:overlay val="0"/>
        </c:title>
        <c:numFmt formatCode="0%" sourceLinked="0"/>
        <c:majorTickMark val="out"/>
        <c:minorTickMark val="none"/>
        <c:tickLblPos val="nextTo"/>
        <c:crossAx val="168600704"/>
        <c:crosses val="max"/>
        <c:crossBetween val="midCat"/>
      </c:valAx>
      <c:valAx>
        <c:axId val="168600704"/>
        <c:scaling>
          <c:orientation val="minMax"/>
        </c:scaling>
        <c:delete val="1"/>
        <c:axPos val="b"/>
        <c:majorTickMark val="out"/>
        <c:minorTickMark val="none"/>
        <c:tickLblPos val="nextTo"/>
        <c:crossAx val="168600128"/>
        <c:crosses val="autoZero"/>
        <c:crossBetween val="midCat"/>
      </c:valAx>
    </c:plotArea>
    <c:legend>
      <c:legendPos val="b"/>
      <c:layout>
        <c:manualLayout>
          <c:xMode val="edge"/>
          <c:yMode val="edge"/>
          <c:x val="1.2190701042752434E-2"/>
          <c:y val="0.85283038944456269"/>
          <c:w val="0.96914490951788923"/>
          <c:h val="0.12144617058002884"/>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77258354516713"/>
          <c:y val="2.0009095043201454E-2"/>
          <c:w val="0.78966052865439063"/>
          <c:h val="0.83468247915122451"/>
        </c:manualLayout>
      </c:layout>
      <c:barChart>
        <c:barDir val="bar"/>
        <c:grouping val="percentStacked"/>
        <c:varyColors val="0"/>
        <c:ser>
          <c:idx val="0"/>
          <c:order val="0"/>
          <c:tx>
            <c:strRef>
              <c:f>'G27'!$E$3</c:f>
              <c:strCache>
                <c:ptCount val="1"/>
                <c:pt idx="0">
                  <c:v> účastnili se vzdělávání a nechtěli se účastnit více</c:v>
                </c:pt>
              </c:strCache>
            </c:strRef>
          </c:tx>
          <c:spPr>
            <a:solidFill>
              <a:schemeClr val="accent2">
                <a:lumMod val="50000"/>
              </a:schemeClr>
            </a:solidFill>
            <a:ln>
              <a:solidFill>
                <a:srgbClr val="002060"/>
              </a:solidFill>
            </a:ln>
          </c:spPr>
          <c:invertIfNegative val="0"/>
          <c:cat>
            <c:multiLvlStrRef>
              <c:f>'G27'!$C$4:$D$26</c:f>
              <c:multiLvlStrCache>
                <c:ptCount val="23"/>
                <c:lvl>
                  <c:pt idx="0">
                    <c:v>celkem</c:v>
                  </c:pt>
                  <c:pt idx="1">
                    <c:v>18–24 let</c:v>
                  </c:pt>
                  <c:pt idx="2">
                    <c:v>25–34 let</c:v>
                  </c:pt>
                  <c:pt idx="3">
                    <c:v>35–44 let</c:v>
                  </c:pt>
                  <c:pt idx="4">
                    <c:v>45–54 let</c:v>
                  </c:pt>
                  <c:pt idx="5">
                    <c:v>55–64 let</c:v>
                  </c:pt>
                  <c:pt idx="6">
                    <c:v>65–69 let</c:v>
                  </c:pt>
                  <c:pt idx="8">
                    <c:v>celkem</c:v>
                  </c:pt>
                  <c:pt idx="9">
                    <c:v>18–24 let</c:v>
                  </c:pt>
                  <c:pt idx="10">
                    <c:v>25–34 let</c:v>
                  </c:pt>
                  <c:pt idx="11">
                    <c:v>35–44 let</c:v>
                  </c:pt>
                  <c:pt idx="12">
                    <c:v>45–54 let</c:v>
                  </c:pt>
                  <c:pt idx="13">
                    <c:v>55–64 let</c:v>
                  </c:pt>
                  <c:pt idx="14">
                    <c:v>65–69 let</c:v>
                  </c:pt>
                  <c:pt idx="16">
                    <c:v>celkem</c:v>
                  </c:pt>
                  <c:pt idx="17">
                    <c:v>18–24 let</c:v>
                  </c:pt>
                  <c:pt idx="18">
                    <c:v>25–34 let</c:v>
                  </c:pt>
                  <c:pt idx="19">
                    <c:v>35–44 let</c:v>
                  </c:pt>
                  <c:pt idx="20">
                    <c:v>45–54 let</c:v>
                  </c:pt>
                  <c:pt idx="21">
                    <c:v>55–64 let</c:v>
                  </c:pt>
                  <c:pt idx="22">
                    <c:v>65–69 let</c:v>
                  </c:pt>
                </c:lvl>
                <c:lvl>
                  <c:pt idx="0">
                    <c:v>celkem</c:v>
                  </c:pt>
                  <c:pt idx="8">
                    <c:v>muži</c:v>
                  </c:pt>
                  <c:pt idx="16">
                    <c:v>ženy</c:v>
                  </c:pt>
                </c:lvl>
              </c:multiLvlStrCache>
            </c:multiLvlStrRef>
          </c:cat>
          <c:val>
            <c:numRef>
              <c:f>'G27'!$E$4:$E$26</c:f>
              <c:numCache>
                <c:formatCode>0%</c:formatCode>
                <c:ptCount val="23"/>
                <c:pt idx="0">
                  <c:v>0.38700000000000001</c:v>
                </c:pt>
                <c:pt idx="1">
                  <c:v>0.68322372446672086</c:v>
                </c:pt>
                <c:pt idx="2">
                  <c:v>0.42769950039865184</c:v>
                </c:pt>
                <c:pt idx="3">
                  <c:v>0.42059123991121816</c:v>
                </c:pt>
                <c:pt idx="4">
                  <c:v>0.43167262026531544</c:v>
                </c:pt>
                <c:pt idx="5">
                  <c:v>0.26046712734138855</c:v>
                </c:pt>
                <c:pt idx="6">
                  <c:v>7.4570669514039831E-2</c:v>
                </c:pt>
                <c:pt idx="8">
                  <c:v>0.42799999999999999</c:v>
                </c:pt>
                <c:pt idx="9">
                  <c:v>0.68529984398571375</c:v>
                </c:pt>
                <c:pt idx="10">
                  <c:v>0.52170258683461934</c:v>
                </c:pt>
                <c:pt idx="11">
                  <c:v>0.46746972153077815</c:v>
                </c:pt>
                <c:pt idx="12">
                  <c:v>0.46368614891009025</c:v>
                </c:pt>
                <c:pt idx="13">
                  <c:v>0.28869943878578552</c:v>
                </c:pt>
                <c:pt idx="14">
                  <c:v>5.7768887553598304E-2</c:v>
                </c:pt>
                <c:pt idx="16">
                  <c:v>0.34499999999999997</c:v>
                </c:pt>
                <c:pt idx="17">
                  <c:v>0.6810118166157938</c:v>
                </c:pt>
                <c:pt idx="18">
                  <c:v>0.33053395170134836</c:v>
                </c:pt>
                <c:pt idx="19">
                  <c:v>0.37337806867641754</c:v>
                </c:pt>
                <c:pt idx="20">
                  <c:v>0.39881258669697045</c:v>
                </c:pt>
                <c:pt idx="21">
                  <c:v>0.2322019959547465</c:v>
                </c:pt>
                <c:pt idx="22">
                  <c:v>9.0225342359796401E-2</c:v>
                </c:pt>
              </c:numCache>
            </c:numRef>
          </c:val>
        </c:ser>
        <c:ser>
          <c:idx val="1"/>
          <c:order val="1"/>
          <c:tx>
            <c:strRef>
              <c:f>'G27'!$F$3</c:f>
              <c:strCache>
                <c:ptCount val="1"/>
                <c:pt idx="0">
                  <c:v> účastnili se vzdělávání a chtěli se účastnit více</c:v>
                </c:pt>
              </c:strCache>
            </c:strRef>
          </c:tx>
          <c:spPr>
            <a:ln>
              <a:solidFill>
                <a:schemeClr val="accent2">
                  <a:lumMod val="75000"/>
                </a:schemeClr>
              </a:solidFill>
            </a:ln>
          </c:spPr>
          <c:invertIfNegative val="0"/>
          <c:cat>
            <c:multiLvlStrRef>
              <c:f>'G27'!$C$4:$D$26</c:f>
              <c:multiLvlStrCache>
                <c:ptCount val="23"/>
                <c:lvl>
                  <c:pt idx="0">
                    <c:v>celkem</c:v>
                  </c:pt>
                  <c:pt idx="1">
                    <c:v>18–24 let</c:v>
                  </c:pt>
                  <c:pt idx="2">
                    <c:v>25–34 let</c:v>
                  </c:pt>
                  <c:pt idx="3">
                    <c:v>35–44 let</c:v>
                  </c:pt>
                  <c:pt idx="4">
                    <c:v>45–54 let</c:v>
                  </c:pt>
                  <c:pt idx="5">
                    <c:v>55–64 let</c:v>
                  </c:pt>
                  <c:pt idx="6">
                    <c:v>65–69 let</c:v>
                  </c:pt>
                  <c:pt idx="8">
                    <c:v>celkem</c:v>
                  </c:pt>
                  <c:pt idx="9">
                    <c:v>18–24 let</c:v>
                  </c:pt>
                  <c:pt idx="10">
                    <c:v>25–34 let</c:v>
                  </c:pt>
                  <c:pt idx="11">
                    <c:v>35–44 let</c:v>
                  </c:pt>
                  <c:pt idx="12">
                    <c:v>45–54 let</c:v>
                  </c:pt>
                  <c:pt idx="13">
                    <c:v>55–64 let</c:v>
                  </c:pt>
                  <c:pt idx="14">
                    <c:v>65–69 let</c:v>
                  </c:pt>
                  <c:pt idx="16">
                    <c:v>celkem</c:v>
                  </c:pt>
                  <c:pt idx="17">
                    <c:v>18–24 let</c:v>
                  </c:pt>
                  <c:pt idx="18">
                    <c:v>25–34 let</c:v>
                  </c:pt>
                  <c:pt idx="19">
                    <c:v>35–44 let</c:v>
                  </c:pt>
                  <c:pt idx="20">
                    <c:v>45–54 let</c:v>
                  </c:pt>
                  <c:pt idx="21">
                    <c:v>55–64 let</c:v>
                  </c:pt>
                  <c:pt idx="22">
                    <c:v>65–69 let</c:v>
                  </c:pt>
                </c:lvl>
                <c:lvl>
                  <c:pt idx="0">
                    <c:v>celkem</c:v>
                  </c:pt>
                  <c:pt idx="8">
                    <c:v>muži</c:v>
                  </c:pt>
                  <c:pt idx="16">
                    <c:v>ženy</c:v>
                  </c:pt>
                </c:lvl>
              </c:multiLvlStrCache>
            </c:multiLvlStrRef>
          </c:cat>
          <c:val>
            <c:numRef>
              <c:f>'G27'!$F$4:$F$26</c:f>
              <c:numCache>
                <c:formatCode>0%</c:formatCode>
                <c:ptCount val="23"/>
                <c:pt idx="0">
                  <c:v>6.9000000000000006E-2</c:v>
                </c:pt>
                <c:pt idx="1">
                  <c:v>0.11280800889640898</c:v>
                </c:pt>
                <c:pt idx="2">
                  <c:v>9.0859487737666653E-2</c:v>
                </c:pt>
                <c:pt idx="3">
                  <c:v>9.0279317947580595E-2</c:v>
                </c:pt>
                <c:pt idx="4">
                  <c:v>6.0931279210662971E-2</c:v>
                </c:pt>
                <c:pt idx="5">
                  <c:v>3.0839290106071546E-2</c:v>
                </c:pt>
                <c:pt idx="6">
                  <c:v>1.5438101412246249E-2</c:v>
                </c:pt>
                <c:pt idx="8">
                  <c:v>5.3999999999999999E-2</c:v>
                </c:pt>
                <c:pt idx="9">
                  <c:v>0.10130871488066841</c:v>
                </c:pt>
                <c:pt idx="10">
                  <c:v>7.0772832619275805E-2</c:v>
                </c:pt>
                <c:pt idx="11">
                  <c:v>7.0223213982921515E-2</c:v>
                </c:pt>
                <c:pt idx="12">
                  <c:v>4.4134426914756004E-2</c:v>
                </c:pt>
                <c:pt idx="13">
                  <c:v>2.0686746051757302E-2</c:v>
                </c:pt>
                <c:pt idx="14">
                  <c:v>8.9315127700339714E-3</c:v>
                </c:pt>
                <c:pt idx="16">
                  <c:v>8.4000000000000005E-2</c:v>
                </c:pt>
                <c:pt idx="17">
                  <c:v>0.12505941276831906</c:v>
                </c:pt>
                <c:pt idx="18">
                  <c:v>0.11162163905753833</c:v>
                </c:pt>
                <c:pt idx="19">
                  <c:v>0.11047861276414554</c:v>
                </c:pt>
                <c:pt idx="20">
                  <c:v>7.8171858942489014E-2</c:v>
                </c:pt>
                <c:pt idx="21">
                  <c:v>4.1003438782994693E-2</c:v>
                </c:pt>
                <c:pt idx="22">
                  <c:v>2.1498009807315956E-2</c:v>
                </c:pt>
              </c:numCache>
            </c:numRef>
          </c:val>
        </c:ser>
        <c:ser>
          <c:idx val="2"/>
          <c:order val="2"/>
          <c:tx>
            <c:strRef>
              <c:f>'G27'!$G$3</c:f>
              <c:strCache>
                <c:ptCount val="1"/>
                <c:pt idx="0">
                  <c:v> neúčastnili se vzdělávání, ale chtěli se účastnit</c:v>
                </c:pt>
              </c:strCache>
            </c:strRef>
          </c:tx>
          <c:spPr>
            <a:solidFill>
              <a:schemeClr val="accent2">
                <a:lumMod val="20000"/>
                <a:lumOff val="80000"/>
              </a:schemeClr>
            </a:solidFill>
            <a:ln>
              <a:solidFill>
                <a:schemeClr val="accent2">
                  <a:lumMod val="75000"/>
                </a:schemeClr>
              </a:solidFill>
            </a:ln>
          </c:spPr>
          <c:invertIfNegative val="0"/>
          <c:cat>
            <c:multiLvlStrRef>
              <c:f>'G27'!$C$4:$D$26</c:f>
              <c:multiLvlStrCache>
                <c:ptCount val="23"/>
                <c:lvl>
                  <c:pt idx="0">
                    <c:v>celkem</c:v>
                  </c:pt>
                  <c:pt idx="1">
                    <c:v>18–24 let</c:v>
                  </c:pt>
                  <c:pt idx="2">
                    <c:v>25–34 let</c:v>
                  </c:pt>
                  <c:pt idx="3">
                    <c:v>35–44 let</c:v>
                  </c:pt>
                  <c:pt idx="4">
                    <c:v>45–54 let</c:v>
                  </c:pt>
                  <c:pt idx="5">
                    <c:v>55–64 let</c:v>
                  </c:pt>
                  <c:pt idx="6">
                    <c:v>65–69 let</c:v>
                  </c:pt>
                  <c:pt idx="8">
                    <c:v>celkem</c:v>
                  </c:pt>
                  <c:pt idx="9">
                    <c:v>18–24 let</c:v>
                  </c:pt>
                  <c:pt idx="10">
                    <c:v>25–34 let</c:v>
                  </c:pt>
                  <c:pt idx="11">
                    <c:v>35–44 let</c:v>
                  </c:pt>
                  <c:pt idx="12">
                    <c:v>45–54 let</c:v>
                  </c:pt>
                  <c:pt idx="13">
                    <c:v>55–64 let</c:v>
                  </c:pt>
                  <c:pt idx="14">
                    <c:v>65–69 let</c:v>
                  </c:pt>
                  <c:pt idx="16">
                    <c:v>celkem</c:v>
                  </c:pt>
                  <c:pt idx="17">
                    <c:v>18–24 let</c:v>
                  </c:pt>
                  <c:pt idx="18">
                    <c:v>25–34 let</c:v>
                  </c:pt>
                  <c:pt idx="19">
                    <c:v>35–44 let</c:v>
                  </c:pt>
                  <c:pt idx="20">
                    <c:v>45–54 let</c:v>
                  </c:pt>
                  <c:pt idx="21">
                    <c:v>55–64 let</c:v>
                  </c:pt>
                  <c:pt idx="22">
                    <c:v>65–69 let</c:v>
                  </c:pt>
                </c:lvl>
                <c:lvl>
                  <c:pt idx="0">
                    <c:v>celkem</c:v>
                  </c:pt>
                  <c:pt idx="8">
                    <c:v>muži</c:v>
                  </c:pt>
                  <c:pt idx="16">
                    <c:v>ženy</c:v>
                  </c:pt>
                </c:lvl>
              </c:multiLvlStrCache>
            </c:multiLvlStrRef>
          </c:cat>
          <c:val>
            <c:numRef>
              <c:f>'G27'!$G$4:$G$26</c:f>
              <c:numCache>
                <c:formatCode>0%</c:formatCode>
                <c:ptCount val="23"/>
                <c:pt idx="0">
                  <c:v>0.05</c:v>
                </c:pt>
                <c:pt idx="1">
                  <c:v>2.486817671503291E-2</c:v>
                </c:pt>
                <c:pt idx="2">
                  <c:v>7.671104826048919E-2</c:v>
                </c:pt>
                <c:pt idx="3">
                  <c:v>6.6854682402963633E-2</c:v>
                </c:pt>
                <c:pt idx="4">
                  <c:v>3.8429680537097097E-2</c:v>
                </c:pt>
                <c:pt idx="5">
                  <c:v>3.4886193245376729E-2</c:v>
                </c:pt>
                <c:pt idx="6">
                  <c:v>3.7266267525963209E-2</c:v>
                </c:pt>
                <c:pt idx="8">
                  <c:v>0.03</c:v>
                </c:pt>
                <c:pt idx="9">
                  <c:v>2.8268241422437689E-2</c:v>
                </c:pt>
                <c:pt idx="10">
                  <c:v>3.7971031779605188E-2</c:v>
                </c:pt>
                <c:pt idx="11">
                  <c:v>3.7038418669216908E-2</c:v>
                </c:pt>
                <c:pt idx="12">
                  <c:v>2.5568679285782877E-2</c:v>
                </c:pt>
                <c:pt idx="13">
                  <c:v>2.389323133475104E-2</c:v>
                </c:pt>
                <c:pt idx="14">
                  <c:v>2.2627904586459628E-2</c:v>
                </c:pt>
                <c:pt idx="16">
                  <c:v>7.0999999999999994E-2</c:v>
                </c:pt>
                <c:pt idx="17">
                  <c:v>2.1245731209767596E-2</c:v>
                </c:pt>
                <c:pt idx="18">
                  <c:v>0.11675543162708682</c:v>
                </c:pt>
                <c:pt idx="19">
                  <c:v>9.6883819794136961E-2</c:v>
                </c:pt>
                <c:pt idx="20">
                  <c:v>5.163044659901464E-2</c:v>
                </c:pt>
                <c:pt idx="21">
                  <c:v>4.5891718026144911E-2</c:v>
                </c:pt>
                <c:pt idx="22">
                  <c:v>5.0907680105685242E-2</c:v>
                </c:pt>
              </c:numCache>
            </c:numRef>
          </c:val>
        </c:ser>
        <c:ser>
          <c:idx val="3"/>
          <c:order val="3"/>
          <c:tx>
            <c:strRef>
              <c:f>'G27'!$H$3</c:f>
              <c:strCache>
                <c:ptCount val="1"/>
                <c:pt idx="0">
                  <c:v> neúčastnili se vzdělávání a ani se nechtěli účastnit</c:v>
                </c:pt>
              </c:strCache>
            </c:strRef>
          </c:tx>
          <c:spPr>
            <a:solidFill>
              <a:schemeClr val="accent6">
                <a:lumMod val="20000"/>
                <a:lumOff val="80000"/>
              </a:schemeClr>
            </a:solidFill>
            <a:ln>
              <a:solidFill>
                <a:schemeClr val="accent6">
                  <a:lumMod val="75000"/>
                </a:schemeClr>
              </a:solidFill>
            </a:ln>
          </c:spPr>
          <c:invertIfNegative val="0"/>
          <c:dLbls>
            <c:dLblPos val="inEnd"/>
            <c:showLegendKey val="0"/>
            <c:showVal val="1"/>
            <c:showCatName val="0"/>
            <c:showSerName val="0"/>
            <c:showPercent val="0"/>
            <c:showBubbleSize val="0"/>
            <c:showLeaderLines val="0"/>
          </c:dLbls>
          <c:cat>
            <c:multiLvlStrRef>
              <c:f>'G27'!$C$4:$D$26</c:f>
              <c:multiLvlStrCache>
                <c:ptCount val="23"/>
                <c:lvl>
                  <c:pt idx="0">
                    <c:v>celkem</c:v>
                  </c:pt>
                  <c:pt idx="1">
                    <c:v>18–24 let</c:v>
                  </c:pt>
                  <c:pt idx="2">
                    <c:v>25–34 let</c:v>
                  </c:pt>
                  <c:pt idx="3">
                    <c:v>35–44 let</c:v>
                  </c:pt>
                  <c:pt idx="4">
                    <c:v>45–54 let</c:v>
                  </c:pt>
                  <c:pt idx="5">
                    <c:v>55–64 let</c:v>
                  </c:pt>
                  <c:pt idx="6">
                    <c:v>65–69 let</c:v>
                  </c:pt>
                  <c:pt idx="8">
                    <c:v>celkem</c:v>
                  </c:pt>
                  <c:pt idx="9">
                    <c:v>18–24 let</c:v>
                  </c:pt>
                  <c:pt idx="10">
                    <c:v>25–34 let</c:v>
                  </c:pt>
                  <c:pt idx="11">
                    <c:v>35–44 let</c:v>
                  </c:pt>
                  <c:pt idx="12">
                    <c:v>45–54 let</c:v>
                  </c:pt>
                  <c:pt idx="13">
                    <c:v>55–64 let</c:v>
                  </c:pt>
                  <c:pt idx="14">
                    <c:v>65–69 let</c:v>
                  </c:pt>
                  <c:pt idx="16">
                    <c:v>celkem</c:v>
                  </c:pt>
                  <c:pt idx="17">
                    <c:v>18–24 let</c:v>
                  </c:pt>
                  <c:pt idx="18">
                    <c:v>25–34 let</c:v>
                  </c:pt>
                  <c:pt idx="19">
                    <c:v>35–44 let</c:v>
                  </c:pt>
                  <c:pt idx="20">
                    <c:v>45–54 let</c:v>
                  </c:pt>
                  <c:pt idx="21">
                    <c:v>55–64 let</c:v>
                  </c:pt>
                  <c:pt idx="22">
                    <c:v>65–69 let</c:v>
                  </c:pt>
                </c:lvl>
                <c:lvl>
                  <c:pt idx="0">
                    <c:v>celkem</c:v>
                  </c:pt>
                  <c:pt idx="8">
                    <c:v>muži</c:v>
                  </c:pt>
                  <c:pt idx="16">
                    <c:v>ženy</c:v>
                  </c:pt>
                </c:lvl>
              </c:multiLvlStrCache>
            </c:multiLvlStrRef>
          </c:cat>
          <c:val>
            <c:numRef>
              <c:f>'G27'!$H$4:$H$26</c:f>
              <c:numCache>
                <c:formatCode>0%</c:formatCode>
                <c:ptCount val="23"/>
                <c:pt idx="0">
                  <c:v>0.49399999999999999</c:v>
                </c:pt>
                <c:pt idx="1">
                  <c:v>0.17910008992183715</c:v>
                </c:pt>
                <c:pt idx="2">
                  <c:v>0.4047299636031923</c:v>
                </c:pt>
                <c:pt idx="3">
                  <c:v>0.42227475973823764</c:v>
                </c:pt>
                <c:pt idx="4">
                  <c:v>0.46896641998692451</c:v>
                </c:pt>
                <c:pt idx="5">
                  <c:v>0.67380738930716322</c:v>
                </c:pt>
                <c:pt idx="6">
                  <c:v>0.8727249615477507</c:v>
                </c:pt>
                <c:pt idx="8">
                  <c:v>0.48799999999999999</c:v>
                </c:pt>
                <c:pt idx="9">
                  <c:v>0.18512319971118019</c:v>
                </c:pt>
                <c:pt idx="10">
                  <c:v>0.36955354876649971</c:v>
                </c:pt>
                <c:pt idx="11">
                  <c:v>0.42526864581708346</c:v>
                </c:pt>
                <c:pt idx="12">
                  <c:v>0.46661074488937088</c:v>
                </c:pt>
                <c:pt idx="13">
                  <c:v>0.66672058382770616</c:v>
                </c:pt>
                <c:pt idx="14">
                  <c:v>0.9106716950899082</c:v>
                </c:pt>
                <c:pt idx="16">
                  <c:v>0.5</c:v>
                </c:pt>
                <c:pt idx="17">
                  <c:v>0.17268303940611957</c:v>
                </c:pt>
                <c:pt idx="18">
                  <c:v>0.44108897761402655</c:v>
                </c:pt>
                <c:pt idx="19">
                  <c:v>0.4192594987653</c:v>
                </c:pt>
                <c:pt idx="20">
                  <c:v>0.47138510776152592</c:v>
                </c:pt>
                <c:pt idx="21">
                  <c:v>0.68090284723611394</c:v>
                </c:pt>
                <c:pt idx="22">
                  <c:v>0.83736896772720248</c:v>
                </c:pt>
              </c:numCache>
            </c:numRef>
          </c:val>
        </c:ser>
        <c:dLbls>
          <c:showLegendKey val="0"/>
          <c:showVal val="0"/>
          <c:showCatName val="0"/>
          <c:showSerName val="0"/>
          <c:showPercent val="0"/>
          <c:showBubbleSize val="0"/>
        </c:dLbls>
        <c:gapWidth val="57"/>
        <c:overlap val="100"/>
        <c:axId val="168113152"/>
        <c:axId val="168601280"/>
      </c:barChart>
      <c:catAx>
        <c:axId val="168113152"/>
        <c:scaling>
          <c:orientation val="minMax"/>
        </c:scaling>
        <c:delete val="0"/>
        <c:axPos val="l"/>
        <c:majorTickMark val="out"/>
        <c:minorTickMark val="none"/>
        <c:tickLblPos val="nextTo"/>
        <c:spPr>
          <a:ln>
            <a:noFill/>
          </a:ln>
        </c:spPr>
        <c:crossAx val="168601280"/>
        <c:crosses val="autoZero"/>
        <c:auto val="1"/>
        <c:lblAlgn val="ctr"/>
        <c:lblOffset val="100"/>
        <c:noMultiLvlLbl val="0"/>
      </c:catAx>
      <c:valAx>
        <c:axId val="168601280"/>
        <c:scaling>
          <c:orientation val="minMax"/>
        </c:scaling>
        <c:delete val="0"/>
        <c:axPos val="b"/>
        <c:majorGridlines>
          <c:spPr>
            <a:ln>
              <a:prstDash val="sysDot"/>
            </a:ln>
          </c:spPr>
        </c:majorGridlines>
        <c:numFmt formatCode="0%" sourceLinked="1"/>
        <c:majorTickMark val="none"/>
        <c:minorTickMark val="none"/>
        <c:tickLblPos val="nextTo"/>
        <c:crossAx val="168113152"/>
        <c:crosses val="autoZero"/>
        <c:crossBetween val="between"/>
      </c:valAx>
    </c:plotArea>
    <c:legend>
      <c:legendPos val="b"/>
      <c:layout>
        <c:manualLayout>
          <c:xMode val="edge"/>
          <c:yMode val="edge"/>
          <c:x val="4.1722280777894895E-2"/>
          <c:y val="0.92323443440537689"/>
          <c:w val="0.94385202637071963"/>
          <c:h val="6.4032479810991375E-2"/>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427775204570017"/>
          <c:y val="0"/>
          <c:w val="0.75409479697390769"/>
          <c:h val="0.86261686215776701"/>
        </c:manualLayout>
      </c:layout>
      <c:barChart>
        <c:barDir val="bar"/>
        <c:grouping val="percentStacked"/>
        <c:varyColors val="0"/>
        <c:ser>
          <c:idx val="0"/>
          <c:order val="0"/>
          <c:tx>
            <c:strRef>
              <c:f>'G28'!$D$3</c:f>
              <c:strCache>
                <c:ptCount val="1"/>
                <c:pt idx="0">
                  <c:v> účastnili se vzdělávání a nechtěli se účastnit více</c:v>
                </c:pt>
              </c:strCache>
            </c:strRef>
          </c:tx>
          <c:spPr>
            <a:solidFill>
              <a:schemeClr val="accent2">
                <a:lumMod val="50000"/>
              </a:schemeClr>
            </a:solidFill>
            <a:ln>
              <a:solidFill>
                <a:schemeClr val="tx1">
                  <a:lumMod val="95000"/>
                  <a:lumOff val="5000"/>
                </a:schemeClr>
              </a:solidFill>
            </a:ln>
          </c:spPr>
          <c:invertIfNegative val="0"/>
          <c:cat>
            <c:multiLvlStrRef>
              <c:f>'G28'!$B$4:$C$21</c:f>
              <c:multiLvlStrCache>
                <c:ptCount val="18"/>
                <c:lvl>
                  <c:pt idx="0">
                    <c:v>zaměstnaní</c:v>
                  </c:pt>
                  <c:pt idx="1">
                    <c:v>nezaměstnaní</c:v>
                  </c:pt>
                  <c:pt idx="2">
                    <c:v>studenti</c:v>
                  </c:pt>
                  <c:pt idx="3">
                    <c:v>starobní důchodci</c:v>
                  </c:pt>
                  <c:pt idx="4">
                    <c:v>invalidní důchodci</c:v>
                  </c:pt>
                  <c:pt idx="6">
                    <c:v>zaměstnaní</c:v>
                  </c:pt>
                  <c:pt idx="7">
                    <c:v>nezaměstnaní</c:v>
                  </c:pt>
                  <c:pt idx="8">
                    <c:v>studenti</c:v>
                  </c:pt>
                  <c:pt idx="9">
                    <c:v>starobní důchodci</c:v>
                  </c:pt>
                  <c:pt idx="10">
                    <c:v>invalidní důchodci</c:v>
                  </c:pt>
                  <c:pt idx="12">
                    <c:v>zaměstnané</c:v>
                  </c:pt>
                  <c:pt idx="13">
                    <c:v>nezaměstnané</c:v>
                  </c:pt>
                  <c:pt idx="14">
                    <c:v>studentky</c:v>
                  </c:pt>
                  <c:pt idx="15">
                    <c:v>starobní důchodkyně</c:v>
                  </c:pt>
                  <c:pt idx="16">
                    <c:v>invalidní důchodkyně</c:v>
                  </c:pt>
                  <c:pt idx="17">
                    <c:v>na RD/v domácnosti</c:v>
                  </c:pt>
                </c:lvl>
                <c:lvl>
                  <c:pt idx="0">
                    <c:v>celkem</c:v>
                  </c:pt>
                  <c:pt idx="6">
                    <c:v>muži</c:v>
                  </c:pt>
                  <c:pt idx="12">
                    <c:v>ženy</c:v>
                  </c:pt>
                </c:lvl>
              </c:multiLvlStrCache>
            </c:multiLvlStrRef>
          </c:cat>
          <c:val>
            <c:numRef>
              <c:f>'G28'!$D$4:$D$21</c:f>
              <c:numCache>
                <c:formatCode>####%</c:formatCode>
                <c:ptCount val="18"/>
                <c:pt idx="0">
                  <c:v>0.4591132554984898</c:v>
                </c:pt>
                <c:pt idx="1">
                  <c:v>0.19542805372764885</c:v>
                </c:pt>
                <c:pt idx="2">
                  <c:v>0.87058548732215768</c:v>
                </c:pt>
                <c:pt idx="3">
                  <c:v>7.4005980884349079E-2</c:v>
                </c:pt>
                <c:pt idx="4">
                  <c:v>5.1878114861022846E-2</c:v>
                </c:pt>
                <c:pt idx="6">
                  <c:v>0.48625328391860845</c:v>
                </c:pt>
                <c:pt idx="7">
                  <c:v>0.20236662462329458</c:v>
                </c:pt>
                <c:pt idx="8">
                  <c:v>0.863996634785689</c:v>
                </c:pt>
                <c:pt idx="9">
                  <c:v>4.8058696612307779E-2</c:v>
                </c:pt>
                <c:pt idx="10">
                  <c:v>3.2232082297083429E-2</c:v>
                </c:pt>
                <c:pt idx="12">
                  <c:v>0.42346010655766575</c:v>
                </c:pt>
                <c:pt idx="13">
                  <c:v>0.1904034592181888</c:v>
                </c:pt>
                <c:pt idx="14">
                  <c:v>0.87645175787871865</c:v>
                </c:pt>
                <c:pt idx="15">
                  <c:v>9.2449256401436572E-2</c:v>
                </c:pt>
                <c:pt idx="16">
                  <c:v>7.3680578969240296E-2</c:v>
                </c:pt>
                <c:pt idx="17">
                  <c:v>0.14315369346908421</c:v>
                </c:pt>
              </c:numCache>
            </c:numRef>
          </c:val>
        </c:ser>
        <c:ser>
          <c:idx val="1"/>
          <c:order val="1"/>
          <c:tx>
            <c:strRef>
              <c:f>'G28'!$E$3</c:f>
              <c:strCache>
                <c:ptCount val="1"/>
                <c:pt idx="0">
                  <c:v> účastnili se vzdělávání a chtěli se účastnit více</c:v>
                </c:pt>
              </c:strCache>
            </c:strRef>
          </c:tx>
          <c:spPr>
            <a:ln>
              <a:solidFill>
                <a:schemeClr val="accent2">
                  <a:lumMod val="50000"/>
                </a:schemeClr>
              </a:solidFill>
            </a:ln>
          </c:spPr>
          <c:invertIfNegative val="0"/>
          <c:cat>
            <c:multiLvlStrRef>
              <c:f>'G28'!$B$4:$C$21</c:f>
              <c:multiLvlStrCache>
                <c:ptCount val="18"/>
                <c:lvl>
                  <c:pt idx="0">
                    <c:v>zaměstnaní</c:v>
                  </c:pt>
                  <c:pt idx="1">
                    <c:v>nezaměstnaní</c:v>
                  </c:pt>
                  <c:pt idx="2">
                    <c:v>studenti</c:v>
                  </c:pt>
                  <c:pt idx="3">
                    <c:v>starobní důchodci</c:v>
                  </c:pt>
                  <c:pt idx="4">
                    <c:v>invalidní důchodci</c:v>
                  </c:pt>
                  <c:pt idx="6">
                    <c:v>zaměstnaní</c:v>
                  </c:pt>
                  <c:pt idx="7">
                    <c:v>nezaměstnaní</c:v>
                  </c:pt>
                  <c:pt idx="8">
                    <c:v>studenti</c:v>
                  </c:pt>
                  <c:pt idx="9">
                    <c:v>starobní důchodci</c:v>
                  </c:pt>
                  <c:pt idx="10">
                    <c:v>invalidní důchodci</c:v>
                  </c:pt>
                  <c:pt idx="12">
                    <c:v>zaměstnané</c:v>
                  </c:pt>
                  <c:pt idx="13">
                    <c:v>nezaměstnané</c:v>
                  </c:pt>
                  <c:pt idx="14">
                    <c:v>studentky</c:v>
                  </c:pt>
                  <c:pt idx="15">
                    <c:v>starobní důchodkyně</c:v>
                  </c:pt>
                  <c:pt idx="16">
                    <c:v>invalidní důchodkyně</c:v>
                  </c:pt>
                  <c:pt idx="17">
                    <c:v>na RD/v domácnosti</c:v>
                  </c:pt>
                </c:lvl>
                <c:lvl>
                  <c:pt idx="0">
                    <c:v>celkem</c:v>
                  </c:pt>
                  <c:pt idx="6">
                    <c:v>muži</c:v>
                  </c:pt>
                  <c:pt idx="12">
                    <c:v>ženy</c:v>
                  </c:pt>
                </c:lvl>
              </c:multiLvlStrCache>
            </c:multiLvlStrRef>
          </c:cat>
          <c:val>
            <c:numRef>
              <c:f>'G28'!$E$4:$E$21</c:f>
              <c:numCache>
                <c:formatCode>####%</c:formatCode>
                <c:ptCount val="18"/>
                <c:pt idx="0">
                  <c:v>7.7994479395654695E-2</c:v>
                </c:pt>
                <c:pt idx="1">
                  <c:v>7.6830052538554558E-2</c:v>
                </c:pt>
                <c:pt idx="2">
                  <c:v>0.12941451267784224</c:v>
                </c:pt>
                <c:pt idx="3">
                  <c:v>1.3930227698553595E-2</c:v>
                </c:pt>
                <c:pt idx="4">
                  <c:v>2.8241406607128917E-2</c:v>
                </c:pt>
                <c:pt idx="6">
                  <c:v>5.7284656278656733E-2</c:v>
                </c:pt>
                <c:pt idx="7">
                  <c:v>5.2830225012276022E-2</c:v>
                </c:pt>
                <c:pt idx="8">
                  <c:v>0.136003365214311</c:v>
                </c:pt>
                <c:pt idx="9">
                  <c:v>5.1393347181924419E-3</c:v>
                </c:pt>
                <c:pt idx="10">
                  <c:v>1.7253560931494459E-2</c:v>
                </c:pt>
                <c:pt idx="12">
                  <c:v>0.10520070708445699</c:v>
                </c:pt>
                <c:pt idx="13">
                  <c:v>9.4207901802838501E-2</c:v>
                </c:pt>
                <c:pt idx="14">
                  <c:v>0.12354824212128142</c:v>
                </c:pt>
                <c:pt idx="15">
                  <c:v>2.0178776085281389E-2</c:v>
                </c:pt>
                <c:pt idx="16">
                  <c:v>4.0435324650885625E-2</c:v>
                </c:pt>
                <c:pt idx="17">
                  <c:v>6.5442911332131329E-2</c:v>
                </c:pt>
              </c:numCache>
            </c:numRef>
          </c:val>
        </c:ser>
        <c:ser>
          <c:idx val="2"/>
          <c:order val="2"/>
          <c:tx>
            <c:strRef>
              <c:f>'G28'!$F$3</c:f>
              <c:strCache>
                <c:ptCount val="1"/>
                <c:pt idx="0">
                  <c:v> neúčastnili se vzdělávání, ale chtěli se účastnit</c:v>
                </c:pt>
              </c:strCache>
            </c:strRef>
          </c:tx>
          <c:spPr>
            <a:solidFill>
              <a:schemeClr val="accent2">
                <a:lumMod val="20000"/>
                <a:lumOff val="80000"/>
              </a:schemeClr>
            </a:solidFill>
            <a:ln>
              <a:solidFill>
                <a:schemeClr val="accent2">
                  <a:lumMod val="75000"/>
                </a:schemeClr>
              </a:solidFill>
            </a:ln>
          </c:spPr>
          <c:invertIfNegative val="0"/>
          <c:cat>
            <c:multiLvlStrRef>
              <c:f>'G28'!$B$4:$C$21</c:f>
              <c:multiLvlStrCache>
                <c:ptCount val="18"/>
                <c:lvl>
                  <c:pt idx="0">
                    <c:v>zaměstnaní</c:v>
                  </c:pt>
                  <c:pt idx="1">
                    <c:v>nezaměstnaní</c:v>
                  </c:pt>
                  <c:pt idx="2">
                    <c:v>studenti</c:v>
                  </c:pt>
                  <c:pt idx="3">
                    <c:v>starobní důchodci</c:v>
                  </c:pt>
                  <c:pt idx="4">
                    <c:v>invalidní důchodci</c:v>
                  </c:pt>
                  <c:pt idx="6">
                    <c:v>zaměstnaní</c:v>
                  </c:pt>
                  <c:pt idx="7">
                    <c:v>nezaměstnaní</c:v>
                  </c:pt>
                  <c:pt idx="8">
                    <c:v>studenti</c:v>
                  </c:pt>
                  <c:pt idx="9">
                    <c:v>starobní důchodci</c:v>
                  </c:pt>
                  <c:pt idx="10">
                    <c:v>invalidní důchodci</c:v>
                  </c:pt>
                  <c:pt idx="12">
                    <c:v>zaměstnané</c:v>
                  </c:pt>
                  <c:pt idx="13">
                    <c:v>nezaměstnané</c:v>
                  </c:pt>
                  <c:pt idx="14">
                    <c:v>studentky</c:v>
                  </c:pt>
                  <c:pt idx="15">
                    <c:v>starobní důchodkyně</c:v>
                  </c:pt>
                  <c:pt idx="16">
                    <c:v>invalidní důchodkyně</c:v>
                  </c:pt>
                  <c:pt idx="17">
                    <c:v>na RD/v domácnosti</c:v>
                  </c:pt>
                </c:lvl>
                <c:lvl>
                  <c:pt idx="0">
                    <c:v>celkem</c:v>
                  </c:pt>
                  <c:pt idx="6">
                    <c:v>muži</c:v>
                  </c:pt>
                  <c:pt idx="12">
                    <c:v>ženy</c:v>
                  </c:pt>
                </c:lvl>
              </c:multiLvlStrCache>
            </c:multiLvlStrRef>
          </c:cat>
          <c:val>
            <c:numRef>
              <c:f>'G28'!$F$4:$F$21</c:f>
              <c:numCache>
                <c:formatCode>####%</c:formatCode>
                <c:ptCount val="18"/>
                <c:pt idx="0">
                  <c:v>4.0476340355255706E-2</c:v>
                </c:pt>
                <c:pt idx="1">
                  <c:v>0.13219169494473137</c:v>
                </c:pt>
                <c:pt idx="3">
                  <c:v>3.6931873056344287E-2</c:v>
                </c:pt>
                <c:pt idx="4">
                  <c:v>0.10439546145469818</c:v>
                </c:pt>
                <c:pt idx="6">
                  <c:v>2.9196305417202136E-2</c:v>
                </c:pt>
                <c:pt idx="7">
                  <c:v>0.10039379555367269</c:v>
                </c:pt>
                <c:pt idx="9">
                  <c:v>1.6134383459456947E-2</c:v>
                </c:pt>
                <c:pt idx="10">
                  <c:v>0.1004550079131811</c:v>
                </c:pt>
                <c:pt idx="12">
                  <c:v>5.5294518572390004E-2</c:v>
                </c:pt>
                <c:pt idx="13">
                  <c:v>0.15523241622205949</c:v>
                </c:pt>
                <c:pt idx="15">
                  <c:v>5.1714685264266265E-2</c:v>
                </c:pt>
                <c:pt idx="16">
                  <c:v>0.10876843582646605</c:v>
                </c:pt>
                <c:pt idx="17">
                  <c:v>0.19473171723440569</c:v>
                </c:pt>
              </c:numCache>
            </c:numRef>
          </c:val>
        </c:ser>
        <c:ser>
          <c:idx val="3"/>
          <c:order val="3"/>
          <c:tx>
            <c:strRef>
              <c:f>'G28'!$G$3</c:f>
              <c:strCache>
                <c:ptCount val="1"/>
                <c:pt idx="0">
                  <c:v> neúčastnili se vzdělávání a ani se nechtěli účastnit</c:v>
                </c:pt>
              </c:strCache>
            </c:strRef>
          </c:tx>
          <c:spPr>
            <a:solidFill>
              <a:schemeClr val="accent6">
                <a:lumMod val="20000"/>
                <a:lumOff val="80000"/>
              </a:schemeClr>
            </a:solidFill>
            <a:ln>
              <a:solidFill>
                <a:schemeClr val="accent6">
                  <a:lumMod val="75000"/>
                </a:schemeClr>
              </a:solidFill>
            </a:ln>
          </c:spPr>
          <c:invertIfNegative val="0"/>
          <c:cat>
            <c:multiLvlStrRef>
              <c:f>'G28'!$B$4:$C$21</c:f>
              <c:multiLvlStrCache>
                <c:ptCount val="18"/>
                <c:lvl>
                  <c:pt idx="0">
                    <c:v>zaměstnaní</c:v>
                  </c:pt>
                  <c:pt idx="1">
                    <c:v>nezaměstnaní</c:v>
                  </c:pt>
                  <c:pt idx="2">
                    <c:v>studenti</c:v>
                  </c:pt>
                  <c:pt idx="3">
                    <c:v>starobní důchodci</c:v>
                  </c:pt>
                  <c:pt idx="4">
                    <c:v>invalidní důchodci</c:v>
                  </c:pt>
                  <c:pt idx="6">
                    <c:v>zaměstnaní</c:v>
                  </c:pt>
                  <c:pt idx="7">
                    <c:v>nezaměstnaní</c:v>
                  </c:pt>
                  <c:pt idx="8">
                    <c:v>studenti</c:v>
                  </c:pt>
                  <c:pt idx="9">
                    <c:v>starobní důchodci</c:v>
                  </c:pt>
                  <c:pt idx="10">
                    <c:v>invalidní důchodci</c:v>
                  </c:pt>
                  <c:pt idx="12">
                    <c:v>zaměstnané</c:v>
                  </c:pt>
                  <c:pt idx="13">
                    <c:v>nezaměstnané</c:v>
                  </c:pt>
                  <c:pt idx="14">
                    <c:v>studentky</c:v>
                  </c:pt>
                  <c:pt idx="15">
                    <c:v>starobní důchodkyně</c:v>
                  </c:pt>
                  <c:pt idx="16">
                    <c:v>invalidní důchodkyně</c:v>
                  </c:pt>
                  <c:pt idx="17">
                    <c:v>na RD/v domácnosti</c:v>
                  </c:pt>
                </c:lvl>
                <c:lvl>
                  <c:pt idx="0">
                    <c:v>celkem</c:v>
                  </c:pt>
                  <c:pt idx="6">
                    <c:v>muži</c:v>
                  </c:pt>
                  <c:pt idx="12">
                    <c:v>ženy</c:v>
                  </c:pt>
                </c:lvl>
              </c:multiLvlStrCache>
            </c:multiLvlStrRef>
          </c:cat>
          <c:val>
            <c:numRef>
              <c:f>'G28'!$G$4:$G$21</c:f>
              <c:numCache>
                <c:formatCode>####%</c:formatCode>
                <c:ptCount val="18"/>
                <c:pt idx="0">
                  <c:v>0.42241592475059975</c:v>
                </c:pt>
                <c:pt idx="1">
                  <c:v>0.59555019878906523</c:v>
                </c:pt>
                <c:pt idx="3">
                  <c:v>0.8751319183607531</c:v>
                </c:pt>
                <c:pt idx="4">
                  <c:v>0.81548501707715004</c:v>
                </c:pt>
                <c:pt idx="6">
                  <c:v>0.42726575438553271</c:v>
                </c:pt>
                <c:pt idx="7">
                  <c:v>0.64440935481075667</c:v>
                </c:pt>
                <c:pt idx="9">
                  <c:v>0.93066758521004289</c:v>
                </c:pt>
                <c:pt idx="10">
                  <c:v>0.85005934885824108</c:v>
                </c:pt>
                <c:pt idx="12">
                  <c:v>0.41604466778548727</c:v>
                </c:pt>
                <c:pt idx="13">
                  <c:v>0.56015622275691324</c:v>
                </c:pt>
                <c:pt idx="15">
                  <c:v>0.83565728224901581</c:v>
                </c:pt>
                <c:pt idx="16">
                  <c:v>0.77711566055340797</c:v>
                </c:pt>
                <c:pt idx="17">
                  <c:v>0.59667167796437881</c:v>
                </c:pt>
              </c:numCache>
            </c:numRef>
          </c:val>
        </c:ser>
        <c:dLbls>
          <c:showLegendKey val="0"/>
          <c:showVal val="0"/>
          <c:showCatName val="0"/>
          <c:showSerName val="0"/>
          <c:showPercent val="0"/>
          <c:showBubbleSize val="0"/>
        </c:dLbls>
        <c:gapWidth val="61"/>
        <c:overlap val="100"/>
        <c:axId val="167828992"/>
        <c:axId val="168210944"/>
      </c:barChart>
      <c:catAx>
        <c:axId val="167828992"/>
        <c:scaling>
          <c:orientation val="minMax"/>
        </c:scaling>
        <c:delete val="0"/>
        <c:axPos val="l"/>
        <c:majorTickMark val="out"/>
        <c:minorTickMark val="none"/>
        <c:tickLblPos val="nextTo"/>
        <c:spPr>
          <a:ln>
            <a:noFill/>
          </a:ln>
        </c:spPr>
        <c:crossAx val="168210944"/>
        <c:crosses val="autoZero"/>
        <c:auto val="1"/>
        <c:lblAlgn val="ctr"/>
        <c:lblOffset val="100"/>
        <c:noMultiLvlLbl val="0"/>
      </c:catAx>
      <c:valAx>
        <c:axId val="168210944"/>
        <c:scaling>
          <c:orientation val="minMax"/>
        </c:scaling>
        <c:delete val="0"/>
        <c:axPos val="b"/>
        <c:majorGridlines>
          <c:spPr>
            <a:ln>
              <a:prstDash val="sysDot"/>
            </a:ln>
          </c:spPr>
        </c:majorGridlines>
        <c:numFmt formatCode="0%" sourceLinked="1"/>
        <c:majorTickMark val="none"/>
        <c:minorTickMark val="none"/>
        <c:tickLblPos val="nextTo"/>
        <c:crossAx val="167828992"/>
        <c:crosses val="autoZero"/>
        <c:crossBetween val="between"/>
      </c:valAx>
    </c:plotArea>
    <c:legend>
      <c:legendPos val="b"/>
      <c:layout>
        <c:manualLayout>
          <c:xMode val="edge"/>
          <c:yMode val="edge"/>
          <c:x val="8.9571868032625068E-2"/>
          <c:y val="0.92921235128094826"/>
          <c:w val="0.83109675806653205"/>
          <c:h val="7.0787648719051383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964543905696095E-2"/>
          <c:y val="4.7464940668824167E-2"/>
          <c:w val="0.88664364322880751"/>
          <c:h val="0.7869806080065237"/>
        </c:manualLayout>
      </c:layout>
      <c:barChart>
        <c:barDir val="col"/>
        <c:grouping val="stacked"/>
        <c:varyColors val="0"/>
        <c:ser>
          <c:idx val="0"/>
          <c:order val="0"/>
          <c:tx>
            <c:strRef>
              <c:f>'G4'!$O$4</c:f>
              <c:strCache>
                <c:ptCount val="1"/>
                <c:pt idx="0">
                  <c:v> do 25 let</c:v>
                </c:pt>
              </c:strCache>
            </c:strRef>
          </c:tx>
          <c:spPr>
            <a:solidFill>
              <a:schemeClr val="accent3">
                <a:lumMod val="60000"/>
                <a:lumOff val="40000"/>
              </a:schemeClr>
            </a:solidFill>
            <a:ln>
              <a:solidFill>
                <a:schemeClr val="accent3">
                  <a:lumMod val="50000"/>
                </a:schemeClr>
              </a:solidFill>
            </a:ln>
          </c:spPr>
          <c:invertIfNegative val="0"/>
          <c:dLbls>
            <c:numFmt formatCode="#,##0" sourceLinked="0"/>
            <c:txPr>
              <a:bodyPr rot="-5400000" vert="horz"/>
              <a:lstStyle/>
              <a:p>
                <a:pPr>
                  <a:defRPr sz="700"/>
                </a:pPr>
                <a:endParaRPr lang="cs-CZ"/>
              </a:p>
            </c:txPr>
            <c:dLblPos val="ctr"/>
            <c:showLegendKey val="0"/>
            <c:showVal val="1"/>
            <c:showCatName val="0"/>
            <c:showSerName val="0"/>
            <c:showPercent val="0"/>
            <c:showBubbleSize val="0"/>
            <c:showLeaderLines val="0"/>
          </c:dLbls>
          <c:cat>
            <c:numRef>
              <c:f>'G4'!$N$5:$N$15</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'G4'!$O$5:$O$15</c:f>
              <c:numCache>
                <c:formatCode>0</c:formatCode>
                <c:ptCount val="11"/>
                <c:pt idx="0">
                  <c:v>213116</c:v>
                </c:pt>
                <c:pt idx="1">
                  <c:v>226251</c:v>
                </c:pt>
                <c:pt idx="2">
                  <c:v>238581</c:v>
                </c:pt>
                <c:pt idx="3">
                  <c:v>249929</c:v>
                </c:pt>
                <c:pt idx="4">
                  <c:v>255509</c:v>
                </c:pt>
                <c:pt idx="5">
                  <c:v>255351</c:v>
                </c:pt>
                <c:pt idx="6">
                  <c:v>253099</c:v>
                </c:pt>
                <c:pt idx="7">
                  <c:v>246364</c:v>
                </c:pt>
                <c:pt idx="8">
                  <c:v>232595</c:v>
                </c:pt>
                <c:pt idx="9">
                  <c:v>217582</c:v>
                </c:pt>
                <c:pt idx="10">
                  <c:v>205061</c:v>
                </c:pt>
              </c:numCache>
            </c:numRef>
          </c:val>
        </c:ser>
        <c:ser>
          <c:idx val="1"/>
          <c:order val="1"/>
          <c:tx>
            <c:strRef>
              <c:f>'G4'!$P$4</c:f>
              <c:strCache>
                <c:ptCount val="1"/>
                <c:pt idx="0">
                  <c:v> 25–29 let</c:v>
                </c:pt>
              </c:strCache>
            </c:strRef>
          </c:tx>
          <c:spPr>
            <a:solidFill>
              <a:schemeClr val="accent6">
                <a:lumMod val="60000"/>
                <a:lumOff val="40000"/>
              </a:schemeClr>
            </a:solidFill>
            <a:ln>
              <a:solidFill>
                <a:schemeClr val="accent6">
                  <a:lumMod val="50000"/>
                </a:schemeClr>
              </a:solidFill>
            </a:ln>
          </c:spPr>
          <c:invertIfNegative val="0"/>
          <c:dLbls>
            <c:numFmt formatCode="#,##0" sourceLinked="0"/>
            <c:txPr>
              <a:bodyPr rot="-5400000" vert="horz"/>
              <a:lstStyle/>
              <a:p>
                <a:pPr>
                  <a:defRPr sz="700"/>
                </a:pPr>
                <a:endParaRPr lang="cs-CZ"/>
              </a:p>
            </c:txPr>
            <c:showLegendKey val="0"/>
            <c:showVal val="1"/>
            <c:showCatName val="0"/>
            <c:showSerName val="0"/>
            <c:showPercent val="0"/>
            <c:showBubbleSize val="0"/>
            <c:showLeaderLines val="0"/>
          </c:dLbls>
          <c:cat>
            <c:numRef>
              <c:f>'G4'!$N$5:$N$15</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'G4'!$P$5:$P$15</c:f>
              <c:numCache>
                <c:formatCode>0</c:formatCode>
                <c:ptCount val="11"/>
                <c:pt idx="0">
                  <c:v>57830</c:v>
                </c:pt>
                <c:pt idx="1">
                  <c:v>63569</c:v>
                </c:pt>
                <c:pt idx="2">
                  <c:v>66745</c:v>
                </c:pt>
                <c:pt idx="3">
                  <c:v>69887</c:v>
                </c:pt>
                <c:pt idx="4">
                  <c:v>70927</c:v>
                </c:pt>
                <c:pt idx="5">
                  <c:v>70288</c:v>
                </c:pt>
                <c:pt idx="6">
                  <c:v>67226</c:v>
                </c:pt>
                <c:pt idx="7">
                  <c:v>65972</c:v>
                </c:pt>
                <c:pt idx="8">
                  <c:v>63279</c:v>
                </c:pt>
                <c:pt idx="9">
                  <c:v>61680</c:v>
                </c:pt>
                <c:pt idx="10">
                  <c:v>60785</c:v>
                </c:pt>
              </c:numCache>
            </c:numRef>
          </c:val>
        </c:ser>
        <c:ser>
          <c:idx val="2"/>
          <c:order val="2"/>
          <c:tx>
            <c:strRef>
              <c:f>'G4'!$Q$4</c:f>
              <c:strCache>
                <c:ptCount val="1"/>
                <c:pt idx="0">
                  <c:v> 30 a více let</c:v>
                </c:pt>
              </c:strCache>
            </c:strRef>
          </c:tx>
          <c:spPr>
            <a:solidFill>
              <a:schemeClr val="accent5">
                <a:lumMod val="60000"/>
                <a:lumOff val="40000"/>
              </a:schemeClr>
            </a:solidFill>
            <a:ln>
              <a:solidFill>
                <a:schemeClr val="accent5">
                  <a:lumMod val="50000"/>
                </a:schemeClr>
              </a:solidFill>
            </a:ln>
          </c:spPr>
          <c:invertIfNegative val="0"/>
          <c:dLbls>
            <c:dLbl>
              <c:idx val="10"/>
              <c:layout>
                <c:manualLayout>
                  <c:x val="0"/>
                  <c:y val="1.4745729599334068E-3"/>
                </c:manualLayout>
              </c:layout>
              <c:showLegendKey val="0"/>
              <c:showVal val="1"/>
              <c:showCatName val="0"/>
              <c:showSerName val="0"/>
              <c:showPercent val="0"/>
              <c:showBubbleSize val="0"/>
            </c:dLbl>
            <c:numFmt formatCode="#,##0" sourceLinked="0"/>
            <c:txPr>
              <a:bodyPr rot="-5400000" vert="horz"/>
              <a:lstStyle/>
              <a:p>
                <a:pPr>
                  <a:defRPr sz="700"/>
                </a:pPr>
                <a:endParaRPr lang="cs-CZ"/>
              </a:p>
            </c:txPr>
            <c:showLegendKey val="0"/>
            <c:showVal val="1"/>
            <c:showCatName val="0"/>
            <c:showSerName val="0"/>
            <c:showPercent val="0"/>
            <c:showBubbleSize val="0"/>
            <c:showLeaderLines val="0"/>
          </c:dLbls>
          <c:cat>
            <c:numRef>
              <c:f>'G4'!$N$5:$N$15</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'G4'!$Q$5:$Q$15</c:f>
              <c:numCache>
                <c:formatCode>0</c:formatCode>
                <c:ptCount val="11"/>
                <c:pt idx="0">
                  <c:v>45230</c:v>
                </c:pt>
                <c:pt idx="1">
                  <c:v>54123</c:v>
                </c:pt>
                <c:pt idx="2">
                  <c:v>62725</c:v>
                </c:pt>
                <c:pt idx="3">
                  <c:v>69175</c:v>
                </c:pt>
                <c:pt idx="4">
                  <c:v>69544</c:v>
                </c:pt>
                <c:pt idx="5">
                  <c:v>66405</c:v>
                </c:pt>
                <c:pt idx="6">
                  <c:v>60569</c:v>
                </c:pt>
                <c:pt idx="7">
                  <c:v>55420</c:v>
                </c:pt>
                <c:pt idx="8">
                  <c:v>51035</c:v>
                </c:pt>
                <c:pt idx="9">
                  <c:v>47289</c:v>
                </c:pt>
                <c:pt idx="10">
                  <c:v>45521</c:v>
                </c:pt>
              </c:numCache>
            </c:numRef>
          </c:val>
        </c:ser>
        <c:dLbls>
          <c:showLegendKey val="0"/>
          <c:showVal val="0"/>
          <c:showCatName val="0"/>
          <c:showSerName val="0"/>
          <c:showPercent val="0"/>
          <c:showBubbleSize val="0"/>
        </c:dLbls>
        <c:gapWidth val="75"/>
        <c:overlap val="100"/>
        <c:axId val="157378560"/>
        <c:axId val="148302656"/>
      </c:barChart>
      <c:catAx>
        <c:axId val="157378560"/>
        <c:scaling>
          <c:orientation val="minMax"/>
        </c:scaling>
        <c:delete val="0"/>
        <c:axPos val="b"/>
        <c:numFmt formatCode="General" sourceLinked="1"/>
        <c:majorTickMark val="none"/>
        <c:minorTickMark val="none"/>
        <c:tickLblPos val="nextTo"/>
        <c:crossAx val="148302656"/>
        <c:crosses val="autoZero"/>
        <c:auto val="1"/>
        <c:lblAlgn val="ctr"/>
        <c:lblOffset val="100"/>
        <c:noMultiLvlLbl val="0"/>
      </c:catAx>
      <c:valAx>
        <c:axId val="148302656"/>
        <c:scaling>
          <c:orientation val="minMax"/>
          <c:max val="400000"/>
        </c:scaling>
        <c:delete val="0"/>
        <c:axPos val="l"/>
        <c:majorGridlines>
          <c:spPr>
            <a:ln>
              <a:prstDash val="sysDot"/>
            </a:ln>
          </c:spPr>
        </c:majorGridlines>
        <c:numFmt formatCode="#,##0" sourceLinked="0"/>
        <c:majorTickMark val="out"/>
        <c:minorTickMark val="none"/>
        <c:tickLblPos val="nextTo"/>
        <c:spPr>
          <a:ln>
            <a:noFill/>
          </a:ln>
        </c:spPr>
        <c:crossAx val="157378560"/>
        <c:crosses val="autoZero"/>
        <c:crossBetween val="between"/>
      </c:valAx>
    </c:plotArea>
    <c:legend>
      <c:legendPos val="b"/>
      <c:layout>
        <c:manualLayout>
          <c:xMode val="edge"/>
          <c:yMode val="edge"/>
          <c:x val="0.32446621205842108"/>
          <c:y val="0.93594135684495761"/>
          <c:w val="0.3510674084399738"/>
          <c:h val="6.4058643155042533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US" b="0"/>
              <a:t>bakalářský</a:t>
            </a:r>
          </a:p>
        </c:rich>
      </c:tx>
      <c:overlay val="0"/>
    </c:title>
    <c:autoTitleDeleted val="0"/>
    <c:plotArea>
      <c:layout/>
      <c:barChart>
        <c:barDir val="col"/>
        <c:grouping val="stacked"/>
        <c:varyColors val="0"/>
        <c:ser>
          <c:idx val="0"/>
          <c:order val="0"/>
          <c:tx>
            <c:strRef>
              <c:f>'G5'!$C$4</c:f>
              <c:strCache>
                <c:ptCount val="1"/>
                <c:pt idx="0">
                  <c:v>do 25 let</c:v>
                </c:pt>
              </c:strCache>
            </c:strRef>
          </c:tx>
          <c:spPr>
            <a:solidFill>
              <a:schemeClr val="accent3">
                <a:lumMod val="60000"/>
                <a:lumOff val="40000"/>
              </a:schemeClr>
            </a:solidFill>
            <a:ln>
              <a:solidFill>
                <a:schemeClr val="accent3">
                  <a:lumMod val="50000"/>
                </a:schemeClr>
              </a:solidFill>
            </a:ln>
          </c:spPr>
          <c:invertIfNegative val="0"/>
          <c:cat>
            <c:numRef>
              <c:f>'G5'!$B$5:$B$10</c:f>
              <c:numCache>
                <c:formatCode>General</c:formatCode>
                <c:ptCount val="6"/>
                <c:pt idx="0">
                  <c:v>2006</c:v>
                </c:pt>
                <c:pt idx="1">
                  <c:v>2008</c:v>
                </c:pt>
                <c:pt idx="2">
                  <c:v>2010</c:v>
                </c:pt>
                <c:pt idx="3">
                  <c:v>2012</c:v>
                </c:pt>
                <c:pt idx="4">
                  <c:v>2014</c:v>
                </c:pt>
                <c:pt idx="5">
                  <c:v>2016</c:v>
                </c:pt>
              </c:numCache>
            </c:numRef>
          </c:cat>
          <c:val>
            <c:numRef>
              <c:f>'G5'!$C$5:$C$10</c:f>
              <c:numCache>
                <c:formatCode>#,##0_ ;[Red]\-#,##0\ ;\–\ </c:formatCode>
                <c:ptCount val="6"/>
                <c:pt idx="0">
                  <c:v>136334</c:v>
                </c:pt>
                <c:pt idx="1">
                  <c:v>167297</c:v>
                </c:pt>
                <c:pt idx="2">
                  <c:v>183321</c:v>
                </c:pt>
                <c:pt idx="3">
                  <c:v>180549</c:v>
                </c:pt>
                <c:pt idx="4">
                  <c:v>162875</c:v>
                </c:pt>
                <c:pt idx="5">
                  <c:v>140906</c:v>
                </c:pt>
              </c:numCache>
            </c:numRef>
          </c:val>
        </c:ser>
        <c:ser>
          <c:idx val="1"/>
          <c:order val="1"/>
          <c:tx>
            <c:strRef>
              <c:f>'G5'!$D$4</c:f>
              <c:strCache>
                <c:ptCount val="1"/>
                <c:pt idx="0">
                  <c:v>25 - 29 let</c:v>
                </c:pt>
              </c:strCache>
            </c:strRef>
          </c:tx>
          <c:spPr>
            <a:solidFill>
              <a:schemeClr val="accent6">
                <a:lumMod val="60000"/>
                <a:lumOff val="40000"/>
              </a:schemeClr>
            </a:solidFill>
            <a:ln>
              <a:solidFill>
                <a:schemeClr val="accent6">
                  <a:lumMod val="50000"/>
                </a:schemeClr>
              </a:solidFill>
            </a:ln>
          </c:spPr>
          <c:invertIfNegative val="0"/>
          <c:cat>
            <c:numRef>
              <c:f>'G5'!$B$5:$B$10</c:f>
              <c:numCache>
                <c:formatCode>General</c:formatCode>
                <c:ptCount val="6"/>
                <c:pt idx="0">
                  <c:v>2006</c:v>
                </c:pt>
                <c:pt idx="1">
                  <c:v>2008</c:v>
                </c:pt>
                <c:pt idx="2">
                  <c:v>2010</c:v>
                </c:pt>
                <c:pt idx="3">
                  <c:v>2012</c:v>
                </c:pt>
                <c:pt idx="4">
                  <c:v>2014</c:v>
                </c:pt>
                <c:pt idx="5">
                  <c:v>2016</c:v>
                </c:pt>
              </c:numCache>
            </c:numRef>
          </c:cat>
          <c:val>
            <c:numRef>
              <c:f>'G5'!$D$5:$D$10</c:f>
              <c:numCache>
                <c:formatCode>#,##0_ ;[Red]\-#,##0\ ;\–\ </c:formatCode>
                <c:ptCount val="6"/>
                <c:pt idx="0">
                  <c:v>20703</c:v>
                </c:pt>
                <c:pt idx="1">
                  <c:v>25248</c:v>
                </c:pt>
                <c:pt idx="2">
                  <c:v>25115</c:v>
                </c:pt>
                <c:pt idx="3">
                  <c:v>22108</c:v>
                </c:pt>
                <c:pt idx="4">
                  <c:v>19158</c:v>
                </c:pt>
                <c:pt idx="5">
                  <c:v>17737</c:v>
                </c:pt>
              </c:numCache>
            </c:numRef>
          </c:val>
        </c:ser>
        <c:ser>
          <c:idx val="2"/>
          <c:order val="2"/>
          <c:tx>
            <c:strRef>
              <c:f>'G5'!$E$4</c:f>
              <c:strCache>
                <c:ptCount val="1"/>
                <c:pt idx="0">
                  <c:v>30 a více let</c:v>
                </c:pt>
              </c:strCache>
            </c:strRef>
          </c:tx>
          <c:spPr>
            <a:solidFill>
              <a:schemeClr val="accent5">
                <a:lumMod val="60000"/>
                <a:lumOff val="40000"/>
              </a:schemeClr>
            </a:solidFill>
            <a:ln>
              <a:solidFill>
                <a:schemeClr val="accent5">
                  <a:lumMod val="50000"/>
                </a:schemeClr>
              </a:solidFill>
            </a:ln>
          </c:spPr>
          <c:invertIfNegative val="0"/>
          <c:cat>
            <c:numRef>
              <c:f>'G5'!$B$5:$B$10</c:f>
              <c:numCache>
                <c:formatCode>General</c:formatCode>
                <c:ptCount val="6"/>
                <c:pt idx="0">
                  <c:v>2006</c:v>
                </c:pt>
                <c:pt idx="1">
                  <c:v>2008</c:v>
                </c:pt>
                <c:pt idx="2">
                  <c:v>2010</c:v>
                </c:pt>
                <c:pt idx="3">
                  <c:v>2012</c:v>
                </c:pt>
                <c:pt idx="4">
                  <c:v>2014</c:v>
                </c:pt>
                <c:pt idx="5">
                  <c:v>2016</c:v>
                </c:pt>
              </c:numCache>
            </c:numRef>
          </c:cat>
          <c:val>
            <c:numRef>
              <c:f>'G5'!$E$5:$E$10</c:f>
              <c:numCache>
                <c:formatCode>#,##0_ ;[Red]\-#,##0\ ;\–\ </c:formatCode>
                <c:ptCount val="6"/>
                <c:pt idx="0">
                  <c:v>24791</c:v>
                </c:pt>
                <c:pt idx="1">
                  <c:v>36355</c:v>
                </c:pt>
                <c:pt idx="2">
                  <c:v>39596</c:v>
                </c:pt>
                <c:pt idx="3">
                  <c:v>32601</c:v>
                </c:pt>
                <c:pt idx="4">
                  <c:v>25220</c:v>
                </c:pt>
                <c:pt idx="5">
                  <c:v>21306</c:v>
                </c:pt>
              </c:numCache>
            </c:numRef>
          </c:val>
        </c:ser>
        <c:dLbls>
          <c:showLegendKey val="0"/>
          <c:showVal val="0"/>
          <c:showCatName val="0"/>
          <c:showSerName val="0"/>
          <c:showPercent val="0"/>
          <c:showBubbleSize val="0"/>
        </c:dLbls>
        <c:gapWidth val="150"/>
        <c:overlap val="100"/>
        <c:axId val="163721216"/>
        <c:axId val="148304384"/>
      </c:barChart>
      <c:catAx>
        <c:axId val="163721216"/>
        <c:scaling>
          <c:orientation val="minMax"/>
        </c:scaling>
        <c:delete val="0"/>
        <c:axPos val="b"/>
        <c:numFmt formatCode="General" sourceLinked="1"/>
        <c:majorTickMark val="none"/>
        <c:minorTickMark val="none"/>
        <c:tickLblPos val="nextTo"/>
        <c:txPr>
          <a:bodyPr/>
          <a:lstStyle/>
          <a:p>
            <a:pPr>
              <a:defRPr b="0"/>
            </a:pPr>
            <a:endParaRPr lang="cs-CZ"/>
          </a:p>
        </c:txPr>
        <c:crossAx val="148304384"/>
        <c:crosses val="autoZero"/>
        <c:auto val="1"/>
        <c:lblAlgn val="ctr"/>
        <c:lblOffset val="100"/>
        <c:noMultiLvlLbl val="0"/>
      </c:catAx>
      <c:valAx>
        <c:axId val="148304384"/>
        <c:scaling>
          <c:orientation val="minMax"/>
          <c:max val="250000"/>
          <c:min val="0"/>
        </c:scaling>
        <c:delete val="0"/>
        <c:axPos val="l"/>
        <c:majorGridlines>
          <c:spPr>
            <a:ln>
              <a:prstDash val="sysDot"/>
            </a:ln>
          </c:spPr>
        </c:majorGridlines>
        <c:numFmt formatCode="#,##0" sourceLinked="0"/>
        <c:majorTickMark val="out"/>
        <c:minorTickMark val="none"/>
        <c:tickLblPos val="nextTo"/>
        <c:spPr>
          <a:ln>
            <a:noFill/>
          </a:ln>
        </c:spPr>
        <c:txPr>
          <a:bodyPr/>
          <a:lstStyle/>
          <a:p>
            <a:pPr>
              <a:defRPr b="0"/>
            </a:pPr>
            <a:endParaRPr lang="cs-CZ"/>
          </a:p>
        </c:txPr>
        <c:crossAx val="163721216"/>
        <c:crosses val="autoZero"/>
        <c:crossBetween val="between"/>
        <c:dispUnits>
          <c:builtInUnit val="thousands"/>
        </c:dispUnits>
      </c:valAx>
    </c:plotArea>
    <c:plotVisOnly val="1"/>
    <c:dispBlanksAs val="gap"/>
    <c:showDLblsOverMax val="0"/>
  </c:chart>
  <c:spPr>
    <a:ln>
      <a:noFill/>
    </a:ln>
  </c:spPr>
  <c:txPr>
    <a:bodyPr/>
    <a:lstStyle/>
    <a:p>
      <a:pPr>
        <a:defRPr sz="800" b="1">
          <a:latin typeface="Arial" pitchFamily="34" charset="0"/>
          <a:cs typeface="Arial" pitchFamily="34" charset="0"/>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US" b="0"/>
              <a:t>magisterský</a:t>
            </a:r>
          </a:p>
        </c:rich>
      </c:tx>
      <c:overlay val="0"/>
    </c:title>
    <c:autoTitleDeleted val="0"/>
    <c:plotArea>
      <c:layout>
        <c:manualLayout>
          <c:layoutTarget val="inner"/>
          <c:xMode val="edge"/>
          <c:yMode val="edge"/>
          <c:x val="0.12734836958939513"/>
          <c:y val="0.16805187022854964"/>
          <c:w val="0.82293411628631163"/>
          <c:h val="0.67942664701159106"/>
        </c:manualLayout>
      </c:layout>
      <c:barChart>
        <c:barDir val="col"/>
        <c:grouping val="stacked"/>
        <c:varyColors val="0"/>
        <c:ser>
          <c:idx val="0"/>
          <c:order val="0"/>
          <c:tx>
            <c:strRef>
              <c:f>'G5'!$C$14</c:f>
              <c:strCache>
                <c:ptCount val="1"/>
                <c:pt idx="0">
                  <c:v>do 25 let</c:v>
                </c:pt>
              </c:strCache>
            </c:strRef>
          </c:tx>
          <c:spPr>
            <a:solidFill>
              <a:schemeClr val="accent3">
                <a:lumMod val="60000"/>
                <a:lumOff val="40000"/>
              </a:schemeClr>
            </a:solidFill>
            <a:ln>
              <a:solidFill>
                <a:schemeClr val="accent3">
                  <a:lumMod val="50000"/>
                </a:schemeClr>
              </a:solidFill>
            </a:ln>
          </c:spPr>
          <c:invertIfNegative val="0"/>
          <c:cat>
            <c:numRef>
              <c:f>'G5'!$B$15:$B$20</c:f>
              <c:numCache>
                <c:formatCode>General</c:formatCode>
                <c:ptCount val="6"/>
                <c:pt idx="0">
                  <c:v>2006</c:v>
                </c:pt>
                <c:pt idx="1">
                  <c:v>2008</c:v>
                </c:pt>
                <c:pt idx="2">
                  <c:v>2010</c:v>
                </c:pt>
                <c:pt idx="3">
                  <c:v>2012</c:v>
                </c:pt>
                <c:pt idx="4">
                  <c:v>2014</c:v>
                </c:pt>
                <c:pt idx="5">
                  <c:v>2016</c:v>
                </c:pt>
              </c:numCache>
            </c:numRef>
          </c:cat>
          <c:val>
            <c:numRef>
              <c:f>'G5'!$C$15:$C$20</c:f>
              <c:numCache>
                <c:formatCode>0</c:formatCode>
                <c:ptCount val="6"/>
                <c:pt idx="0">
                  <c:v>59171</c:v>
                </c:pt>
                <c:pt idx="1">
                  <c:v>37540</c:v>
                </c:pt>
                <c:pt idx="2">
                  <c:v>29543</c:v>
                </c:pt>
                <c:pt idx="3">
                  <c:v>26571</c:v>
                </c:pt>
                <c:pt idx="4">
                  <c:v>25464</c:v>
                </c:pt>
                <c:pt idx="5">
                  <c:v>24173</c:v>
                </c:pt>
              </c:numCache>
            </c:numRef>
          </c:val>
        </c:ser>
        <c:ser>
          <c:idx val="1"/>
          <c:order val="1"/>
          <c:tx>
            <c:strRef>
              <c:f>'G5'!$D$14</c:f>
              <c:strCache>
                <c:ptCount val="1"/>
                <c:pt idx="0">
                  <c:v>25 - 29 let</c:v>
                </c:pt>
              </c:strCache>
            </c:strRef>
          </c:tx>
          <c:spPr>
            <a:solidFill>
              <a:schemeClr val="accent6">
                <a:lumMod val="60000"/>
                <a:lumOff val="40000"/>
              </a:schemeClr>
            </a:solidFill>
            <a:ln>
              <a:solidFill>
                <a:schemeClr val="accent6">
                  <a:lumMod val="50000"/>
                </a:schemeClr>
              </a:solidFill>
            </a:ln>
          </c:spPr>
          <c:invertIfNegative val="0"/>
          <c:cat>
            <c:numRef>
              <c:f>'G5'!$B$15:$B$20</c:f>
              <c:numCache>
                <c:formatCode>General</c:formatCode>
                <c:ptCount val="6"/>
                <c:pt idx="0">
                  <c:v>2006</c:v>
                </c:pt>
                <c:pt idx="1">
                  <c:v>2008</c:v>
                </c:pt>
                <c:pt idx="2">
                  <c:v>2010</c:v>
                </c:pt>
                <c:pt idx="3">
                  <c:v>2012</c:v>
                </c:pt>
                <c:pt idx="4">
                  <c:v>2014</c:v>
                </c:pt>
                <c:pt idx="5">
                  <c:v>2016</c:v>
                </c:pt>
              </c:numCache>
            </c:numRef>
          </c:cat>
          <c:val>
            <c:numRef>
              <c:f>'G5'!$D$15:$D$20</c:f>
              <c:numCache>
                <c:formatCode>0</c:formatCode>
                <c:ptCount val="6"/>
                <c:pt idx="0">
                  <c:v>14746</c:v>
                </c:pt>
                <c:pt idx="1">
                  <c:v>11321</c:v>
                </c:pt>
                <c:pt idx="2">
                  <c:v>8096</c:v>
                </c:pt>
                <c:pt idx="3">
                  <c:v>5755</c:v>
                </c:pt>
                <c:pt idx="4">
                  <c:v>5047</c:v>
                </c:pt>
                <c:pt idx="5">
                  <c:v>5244</c:v>
                </c:pt>
              </c:numCache>
            </c:numRef>
          </c:val>
        </c:ser>
        <c:ser>
          <c:idx val="2"/>
          <c:order val="2"/>
          <c:tx>
            <c:strRef>
              <c:f>'G5'!$E$14</c:f>
              <c:strCache>
                <c:ptCount val="1"/>
                <c:pt idx="0">
                  <c:v>30 a více let</c:v>
                </c:pt>
              </c:strCache>
            </c:strRef>
          </c:tx>
          <c:spPr>
            <a:solidFill>
              <a:schemeClr val="accent5">
                <a:lumMod val="60000"/>
                <a:lumOff val="40000"/>
              </a:schemeClr>
            </a:solidFill>
            <a:ln>
              <a:solidFill>
                <a:schemeClr val="accent5">
                  <a:lumMod val="50000"/>
                </a:schemeClr>
              </a:solidFill>
            </a:ln>
          </c:spPr>
          <c:invertIfNegative val="0"/>
          <c:cat>
            <c:numRef>
              <c:f>'G5'!$B$15:$B$20</c:f>
              <c:numCache>
                <c:formatCode>General</c:formatCode>
                <c:ptCount val="6"/>
                <c:pt idx="0">
                  <c:v>2006</c:v>
                </c:pt>
                <c:pt idx="1">
                  <c:v>2008</c:v>
                </c:pt>
                <c:pt idx="2">
                  <c:v>2010</c:v>
                </c:pt>
                <c:pt idx="3">
                  <c:v>2012</c:v>
                </c:pt>
                <c:pt idx="4">
                  <c:v>2014</c:v>
                </c:pt>
                <c:pt idx="5">
                  <c:v>2016</c:v>
                </c:pt>
              </c:numCache>
            </c:numRef>
          </c:cat>
          <c:val>
            <c:numRef>
              <c:f>'G5'!$E$15:$E$20</c:f>
              <c:numCache>
                <c:formatCode>0</c:formatCode>
                <c:ptCount val="6"/>
                <c:pt idx="0">
                  <c:v>5549</c:v>
                </c:pt>
                <c:pt idx="1">
                  <c:v>4498</c:v>
                </c:pt>
                <c:pt idx="2">
                  <c:v>3096</c:v>
                </c:pt>
                <c:pt idx="3">
                  <c:v>2168</c:v>
                </c:pt>
                <c:pt idx="4">
                  <c:v>2054</c:v>
                </c:pt>
                <c:pt idx="5">
                  <c:v>1804</c:v>
                </c:pt>
              </c:numCache>
            </c:numRef>
          </c:val>
        </c:ser>
        <c:dLbls>
          <c:showLegendKey val="0"/>
          <c:showVal val="0"/>
          <c:showCatName val="0"/>
          <c:showSerName val="0"/>
          <c:showPercent val="0"/>
          <c:showBubbleSize val="0"/>
        </c:dLbls>
        <c:gapWidth val="150"/>
        <c:overlap val="100"/>
        <c:axId val="163722752"/>
        <c:axId val="148306112"/>
      </c:barChart>
      <c:catAx>
        <c:axId val="163722752"/>
        <c:scaling>
          <c:orientation val="minMax"/>
        </c:scaling>
        <c:delete val="0"/>
        <c:axPos val="b"/>
        <c:numFmt formatCode="General" sourceLinked="1"/>
        <c:majorTickMark val="none"/>
        <c:minorTickMark val="none"/>
        <c:tickLblPos val="nextTo"/>
        <c:crossAx val="148306112"/>
        <c:crosses val="autoZero"/>
        <c:auto val="1"/>
        <c:lblAlgn val="ctr"/>
        <c:lblOffset val="100"/>
        <c:noMultiLvlLbl val="0"/>
      </c:catAx>
      <c:valAx>
        <c:axId val="148306112"/>
        <c:scaling>
          <c:orientation val="minMax"/>
          <c:max val="80000"/>
          <c:min val="0"/>
        </c:scaling>
        <c:delete val="0"/>
        <c:axPos val="l"/>
        <c:majorGridlines>
          <c:spPr>
            <a:ln>
              <a:prstDash val="sysDot"/>
            </a:ln>
          </c:spPr>
        </c:majorGridlines>
        <c:numFmt formatCode="0" sourceLinked="1"/>
        <c:majorTickMark val="out"/>
        <c:minorTickMark val="none"/>
        <c:tickLblPos val="nextTo"/>
        <c:spPr>
          <a:ln>
            <a:noFill/>
          </a:ln>
        </c:spPr>
        <c:crossAx val="163722752"/>
        <c:crosses val="autoZero"/>
        <c:crossBetween val="between"/>
        <c:majorUnit val="20000"/>
        <c:dispUnits>
          <c:builtInUnit val="thousands"/>
        </c:dispUnits>
      </c:valAx>
    </c:plotArea>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US" b="0"/>
              <a:t>magisterský navazující</a:t>
            </a:r>
          </a:p>
        </c:rich>
      </c:tx>
      <c:overlay val="0"/>
    </c:title>
    <c:autoTitleDeleted val="0"/>
    <c:plotArea>
      <c:layout/>
      <c:barChart>
        <c:barDir val="col"/>
        <c:grouping val="stacked"/>
        <c:varyColors val="0"/>
        <c:ser>
          <c:idx val="0"/>
          <c:order val="0"/>
          <c:tx>
            <c:strRef>
              <c:f>'G5'!$C$24</c:f>
              <c:strCache>
                <c:ptCount val="1"/>
                <c:pt idx="0">
                  <c:v>do 25 let</c:v>
                </c:pt>
              </c:strCache>
            </c:strRef>
          </c:tx>
          <c:spPr>
            <a:solidFill>
              <a:schemeClr val="accent3">
                <a:lumMod val="60000"/>
                <a:lumOff val="40000"/>
              </a:schemeClr>
            </a:solidFill>
            <a:ln>
              <a:solidFill>
                <a:schemeClr val="accent3">
                  <a:lumMod val="50000"/>
                </a:schemeClr>
              </a:solidFill>
            </a:ln>
          </c:spPr>
          <c:invertIfNegative val="0"/>
          <c:cat>
            <c:numRef>
              <c:f>'G5'!$B$25:$B$30</c:f>
              <c:numCache>
                <c:formatCode>General</c:formatCode>
                <c:ptCount val="6"/>
                <c:pt idx="0">
                  <c:v>2006</c:v>
                </c:pt>
                <c:pt idx="1">
                  <c:v>2008</c:v>
                </c:pt>
                <c:pt idx="2">
                  <c:v>2010</c:v>
                </c:pt>
                <c:pt idx="3">
                  <c:v>2012</c:v>
                </c:pt>
                <c:pt idx="4">
                  <c:v>2014</c:v>
                </c:pt>
                <c:pt idx="5">
                  <c:v>2016</c:v>
                </c:pt>
              </c:numCache>
            </c:numRef>
          </c:cat>
          <c:val>
            <c:numRef>
              <c:f>'G5'!$C$25:$C$30</c:f>
              <c:numCache>
                <c:formatCode>0</c:formatCode>
                <c:ptCount val="6"/>
                <c:pt idx="0">
                  <c:v>18915</c:v>
                </c:pt>
                <c:pt idx="1">
                  <c:v>36007</c:v>
                </c:pt>
                <c:pt idx="2">
                  <c:v>44728</c:v>
                </c:pt>
                <c:pt idx="3">
                  <c:v>47563</c:v>
                </c:pt>
                <c:pt idx="4">
                  <c:v>45487</c:v>
                </c:pt>
                <c:pt idx="5">
                  <c:v>40904</c:v>
                </c:pt>
              </c:numCache>
            </c:numRef>
          </c:val>
        </c:ser>
        <c:ser>
          <c:idx val="1"/>
          <c:order val="1"/>
          <c:tx>
            <c:strRef>
              <c:f>'G5'!$D$24</c:f>
              <c:strCache>
                <c:ptCount val="1"/>
                <c:pt idx="0">
                  <c:v>25 - 29 let</c:v>
                </c:pt>
              </c:strCache>
            </c:strRef>
          </c:tx>
          <c:spPr>
            <a:solidFill>
              <a:schemeClr val="accent6">
                <a:lumMod val="60000"/>
                <a:lumOff val="40000"/>
              </a:schemeClr>
            </a:solidFill>
            <a:ln>
              <a:solidFill>
                <a:schemeClr val="accent6">
                  <a:lumMod val="50000"/>
                </a:schemeClr>
              </a:solidFill>
            </a:ln>
          </c:spPr>
          <c:invertIfNegative val="0"/>
          <c:cat>
            <c:numRef>
              <c:f>'G5'!$B$25:$B$30</c:f>
              <c:numCache>
                <c:formatCode>General</c:formatCode>
                <c:ptCount val="6"/>
                <c:pt idx="0">
                  <c:v>2006</c:v>
                </c:pt>
                <c:pt idx="1">
                  <c:v>2008</c:v>
                </c:pt>
                <c:pt idx="2">
                  <c:v>2010</c:v>
                </c:pt>
                <c:pt idx="3">
                  <c:v>2012</c:v>
                </c:pt>
                <c:pt idx="4">
                  <c:v>2014</c:v>
                </c:pt>
                <c:pt idx="5">
                  <c:v>2016</c:v>
                </c:pt>
              </c:numCache>
            </c:numRef>
          </c:cat>
          <c:val>
            <c:numRef>
              <c:f>'G5'!$D$25:$D$30</c:f>
              <c:numCache>
                <c:formatCode>0</c:formatCode>
                <c:ptCount val="6"/>
                <c:pt idx="0">
                  <c:v>10396</c:v>
                </c:pt>
                <c:pt idx="1">
                  <c:v>18193</c:v>
                </c:pt>
                <c:pt idx="2">
                  <c:v>25327</c:v>
                </c:pt>
                <c:pt idx="3">
                  <c:v>27597</c:v>
                </c:pt>
                <c:pt idx="4">
                  <c:v>27447</c:v>
                </c:pt>
                <c:pt idx="5">
                  <c:v>27260</c:v>
                </c:pt>
              </c:numCache>
            </c:numRef>
          </c:val>
        </c:ser>
        <c:ser>
          <c:idx val="2"/>
          <c:order val="2"/>
          <c:tx>
            <c:strRef>
              <c:f>'G5'!$E$24</c:f>
              <c:strCache>
                <c:ptCount val="1"/>
                <c:pt idx="0">
                  <c:v>30 a více let</c:v>
                </c:pt>
              </c:strCache>
            </c:strRef>
          </c:tx>
          <c:spPr>
            <a:solidFill>
              <a:schemeClr val="accent5">
                <a:lumMod val="60000"/>
                <a:lumOff val="40000"/>
              </a:schemeClr>
            </a:solidFill>
            <a:ln>
              <a:solidFill>
                <a:schemeClr val="accent5">
                  <a:lumMod val="50000"/>
                </a:schemeClr>
              </a:solidFill>
            </a:ln>
          </c:spPr>
          <c:invertIfNegative val="0"/>
          <c:cat>
            <c:numRef>
              <c:f>'G5'!$B$25:$B$30</c:f>
              <c:numCache>
                <c:formatCode>General</c:formatCode>
                <c:ptCount val="6"/>
                <c:pt idx="0">
                  <c:v>2006</c:v>
                </c:pt>
                <c:pt idx="1">
                  <c:v>2008</c:v>
                </c:pt>
                <c:pt idx="2">
                  <c:v>2010</c:v>
                </c:pt>
                <c:pt idx="3">
                  <c:v>2012</c:v>
                </c:pt>
                <c:pt idx="4">
                  <c:v>2014</c:v>
                </c:pt>
                <c:pt idx="5">
                  <c:v>2016</c:v>
                </c:pt>
              </c:numCache>
            </c:numRef>
          </c:cat>
          <c:val>
            <c:numRef>
              <c:f>'G5'!$E$25:$E$30</c:f>
              <c:numCache>
                <c:formatCode>0</c:formatCode>
                <c:ptCount val="6"/>
                <c:pt idx="0">
                  <c:v>6625</c:v>
                </c:pt>
                <c:pt idx="1">
                  <c:v>12052</c:v>
                </c:pt>
                <c:pt idx="2">
                  <c:v>16148</c:v>
                </c:pt>
                <c:pt idx="3">
                  <c:v>15143</c:v>
                </c:pt>
                <c:pt idx="4">
                  <c:v>13170</c:v>
                </c:pt>
                <c:pt idx="5">
                  <c:v>11473</c:v>
                </c:pt>
              </c:numCache>
            </c:numRef>
          </c:val>
        </c:ser>
        <c:dLbls>
          <c:showLegendKey val="0"/>
          <c:showVal val="0"/>
          <c:showCatName val="0"/>
          <c:showSerName val="0"/>
          <c:showPercent val="0"/>
          <c:showBubbleSize val="0"/>
        </c:dLbls>
        <c:gapWidth val="150"/>
        <c:overlap val="100"/>
        <c:axId val="163723264"/>
        <c:axId val="163938304"/>
      </c:barChart>
      <c:catAx>
        <c:axId val="163723264"/>
        <c:scaling>
          <c:orientation val="minMax"/>
        </c:scaling>
        <c:delete val="0"/>
        <c:axPos val="b"/>
        <c:numFmt formatCode="General" sourceLinked="1"/>
        <c:majorTickMark val="none"/>
        <c:minorTickMark val="none"/>
        <c:tickLblPos val="nextTo"/>
        <c:crossAx val="163938304"/>
        <c:crosses val="autoZero"/>
        <c:auto val="1"/>
        <c:lblAlgn val="ctr"/>
        <c:lblOffset val="100"/>
        <c:noMultiLvlLbl val="0"/>
      </c:catAx>
      <c:valAx>
        <c:axId val="163938304"/>
        <c:scaling>
          <c:orientation val="minMax"/>
          <c:max val="100000"/>
          <c:min val="0"/>
        </c:scaling>
        <c:delete val="0"/>
        <c:axPos val="l"/>
        <c:majorGridlines>
          <c:spPr>
            <a:ln>
              <a:prstDash val="sysDot"/>
            </a:ln>
          </c:spPr>
        </c:majorGridlines>
        <c:numFmt formatCode="0" sourceLinked="1"/>
        <c:majorTickMark val="out"/>
        <c:minorTickMark val="none"/>
        <c:tickLblPos val="nextTo"/>
        <c:spPr>
          <a:ln>
            <a:noFill/>
          </a:ln>
        </c:spPr>
        <c:crossAx val="163723264"/>
        <c:crosses val="autoZero"/>
        <c:crossBetween val="between"/>
        <c:majorUnit val="20000"/>
        <c:dispUnits>
          <c:builtInUnit val="thousands"/>
        </c:dispUnits>
      </c:valAx>
    </c:plotArea>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US" b="0"/>
              <a:t>doktorský</a:t>
            </a:r>
          </a:p>
        </c:rich>
      </c:tx>
      <c:overlay val="0"/>
    </c:title>
    <c:autoTitleDeleted val="0"/>
    <c:plotArea>
      <c:layout>
        <c:manualLayout>
          <c:layoutTarget val="inner"/>
          <c:xMode val="edge"/>
          <c:yMode val="edge"/>
          <c:x val="0.12357818759497168"/>
          <c:y val="0.16367679361968124"/>
          <c:w val="0.8281761983699405"/>
          <c:h val="0.69296610455881869"/>
        </c:manualLayout>
      </c:layout>
      <c:barChart>
        <c:barDir val="col"/>
        <c:grouping val="stacked"/>
        <c:varyColors val="0"/>
        <c:ser>
          <c:idx val="0"/>
          <c:order val="0"/>
          <c:tx>
            <c:strRef>
              <c:f>'G5'!$C$34</c:f>
              <c:strCache>
                <c:ptCount val="1"/>
                <c:pt idx="0">
                  <c:v> do 25 let</c:v>
                </c:pt>
              </c:strCache>
            </c:strRef>
          </c:tx>
          <c:spPr>
            <a:solidFill>
              <a:schemeClr val="accent3">
                <a:lumMod val="60000"/>
                <a:lumOff val="40000"/>
              </a:schemeClr>
            </a:solidFill>
            <a:ln>
              <a:solidFill>
                <a:schemeClr val="accent3">
                  <a:lumMod val="50000"/>
                </a:schemeClr>
              </a:solidFill>
            </a:ln>
          </c:spPr>
          <c:invertIfNegative val="0"/>
          <c:cat>
            <c:numRef>
              <c:f>'G5'!$B$35:$B$40</c:f>
              <c:numCache>
                <c:formatCode>General</c:formatCode>
                <c:ptCount val="6"/>
                <c:pt idx="0">
                  <c:v>2006</c:v>
                </c:pt>
                <c:pt idx="1">
                  <c:v>2008</c:v>
                </c:pt>
                <c:pt idx="2">
                  <c:v>2010</c:v>
                </c:pt>
                <c:pt idx="3">
                  <c:v>2012</c:v>
                </c:pt>
                <c:pt idx="4">
                  <c:v>2014</c:v>
                </c:pt>
                <c:pt idx="5">
                  <c:v>2016</c:v>
                </c:pt>
              </c:numCache>
            </c:numRef>
          </c:cat>
          <c:val>
            <c:numRef>
              <c:f>'G5'!$C$35:$C$40</c:f>
              <c:numCache>
                <c:formatCode>0</c:formatCode>
                <c:ptCount val="6"/>
                <c:pt idx="0">
                  <c:v>1830</c:v>
                </c:pt>
                <c:pt idx="1">
                  <c:v>1212</c:v>
                </c:pt>
                <c:pt idx="2">
                  <c:v>1183</c:v>
                </c:pt>
                <c:pt idx="3">
                  <c:v>1029</c:v>
                </c:pt>
                <c:pt idx="4">
                  <c:v>894</c:v>
                </c:pt>
                <c:pt idx="5">
                  <c:v>735</c:v>
                </c:pt>
              </c:numCache>
            </c:numRef>
          </c:val>
        </c:ser>
        <c:ser>
          <c:idx val="1"/>
          <c:order val="1"/>
          <c:tx>
            <c:strRef>
              <c:f>'G5'!$D$34</c:f>
              <c:strCache>
                <c:ptCount val="1"/>
                <c:pt idx="0">
                  <c:v> 25–29 let</c:v>
                </c:pt>
              </c:strCache>
            </c:strRef>
          </c:tx>
          <c:spPr>
            <a:solidFill>
              <a:schemeClr val="accent6">
                <a:lumMod val="60000"/>
                <a:lumOff val="40000"/>
              </a:schemeClr>
            </a:solidFill>
            <a:ln>
              <a:solidFill>
                <a:schemeClr val="accent6">
                  <a:lumMod val="50000"/>
                </a:schemeClr>
              </a:solidFill>
            </a:ln>
          </c:spPr>
          <c:invertIfNegative val="0"/>
          <c:cat>
            <c:numRef>
              <c:f>'G5'!$B$35:$B$40</c:f>
              <c:numCache>
                <c:formatCode>General</c:formatCode>
                <c:ptCount val="6"/>
                <c:pt idx="0">
                  <c:v>2006</c:v>
                </c:pt>
                <c:pt idx="1">
                  <c:v>2008</c:v>
                </c:pt>
                <c:pt idx="2">
                  <c:v>2010</c:v>
                </c:pt>
                <c:pt idx="3">
                  <c:v>2012</c:v>
                </c:pt>
                <c:pt idx="4">
                  <c:v>2014</c:v>
                </c:pt>
                <c:pt idx="5">
                  <c:v>2016</c:v>
                </c:pt>
              </c:numCache>
            </c:numRef>
          </c:cat>
          <c:val>
            <c:numRef>
              <c:f>'G5'!$D$35:$D$40</c:f>
              <c:numCache>
                <c:formatCode>0</c:formatCode>
                <c:ptCount val="6"/>
                <c:pt idx="0">
                  <c:v>12970</c:v>
                </c:pt>
                <c:pt idx="1">
                  <c:v>13171</c:v>
                </c:pt>
                <c:pt idx="2">
                  <c:v>13738</c:v>
                </c:pt>
                <c:pt idx="3">
                  <c:v>12864</c:v>
                </c:pt>
                <c:pt idx="4">
                  <c:v>12487</c:v>
                </c:pt>
                <c:pt idx="5">
                  <c:v>11343</c:v>
                </c:pt>
              </c:numCache>
            </c:numRef>
          </c:val>
        </c:ser>
        <c:ser>
          <c:idx val="2"/>
          <c:order val="2"/>
          <c:tx>
            <c:strRef>
              <c:f>'G5'!$E$34</c:f>
              <c:strCache>
                <c:ptCount val="1"/>
                <c:pt idx="0">
                  <c:v> 30 a více let</c:v>
                </c:pt>
              </c:strCache>
            </c:strRef>
          </c:tx>
          <c:spPr>
            <a:solidFill>
              <a:schemeClr val="accent5">
                <a:lumMod val="60000"/>
                <a:lumOff val="40000"/>
              </a:schemeClr>
            </a:solidFill>
            <a:ln>
              <a:solidFill>
                <a:schemeClr val="accent5">
                  <a:lumMod val="50000"/>
                </a:schemeClr>
              </a:solidFill>
            </a:ln>
          </c:spPr>
          <c:invertIfNegative val="0"/>
          <c:cat>
            <c:numRef>
              <c:f>'G5'!$B$35:$B$40</c:f>
              <c:numCache>
                <c:formatCode>General</c:formatCode>
                <c:ptCount val="6"/>
                <c:pt idx="0">
                  <c:v>2006</c:v>
                </c:pt>
                <c:pt idx="1">
                  <c:v>2008</c:v>
                </c:pt>
                <c:pt idx="2">
                  <c:v>2010</c:v>
                </c:pt>
                <c:pt idx="3">
                  <c:v>2012</c:v>
                </c:pt>
                <c:pt idx="4">
                  <c:v>2014</c:v>
                </c:pt>
                <c:pt idx="5">
                  <c:v>2016</c:v>
                </c:pt>
              </c:numCache>
            </c:numRef>
          </c:cat>
          <c:val>
            <c:numRef>
              <c:f>'G5'!$E$35:$E$40</c:f>
              <c:numCache>
                <c:formatCode>0</c:formatCode>
                <c:ptCount val="6"/>
                <c:pt idx="0">
                  <c:v>8500</c:v>
                </c:pt>
                <c:pt idx="1">
                  <c:v>10118</c:v>
                </c:pt>
                <c:pt idx="2">
                  <c:v>10991</c:v>
                </c:pt>
                <c:pt idx="3">
                  <c:v>10902</c:v>
                </c:pt>
                <c:pt idx="4">
                  <c:v>10829</c:v>
                </c:pt>
                <c:pt idx="5">
                  <c:v>11148</c:v>
                </c:pt>
              </c:numCache>
            </c:numRef>
          </c:val>
        </c:ser>
        <c:dLbls>
          <c:showLegendKey val="0"/>
          <c:showVal val="0"/>
          <c:showCatName val="0"/>
          <c:showSerName val="0"/>
          <c:showPercent val="0"/>
          <c:showBubbleSize val="0"/>
        </c:dLbls>
        <c:gapWidth val="150"/>
        <c:overlap val="100"/>
        <c:axId val="163723776"/>
        <c:axId val="163940032"/>
      </c:barChart>
      <c:catAx>
        <c:axId val="163723776"/>
        <c:scaling>
          <c:orientation val="minMax"/>
        </c:scaling>
        <c:delete val="0"/>
        <c:axPos val="b"/>
        <c:numFmt formatCode="General" sourceLinked="1"/>
        <c:majorTickMark val="none"/>
        <c:minorTickMark val="none"/>
        <c:tickLblPos val="nextTo"/>
        <c:crossAx val="163940032"/>
        <c:crosses val="autoZero"/>
        <c:auto val="1"/>
        <c:lblAlgn val="ctr"/>
        <c:lblOffset val="100"/>
        <c:noMultiLvlLbl val="0"/>
      </c:catAx>
      <c:valAx>
        <c:axId val="163940032"/>
        <c:scaling>
          <c:orientation val="minMax"/>
          <c:max val="30000"/>
          <c:min val="0"/>
        </c:scaling>
        <c:delete val="0"/>
        <c:axPos val="l"/>
        <c:majorGridlines>
          <c:spPr>
            <a:ln>
              <a:prstDash val="sysDot"/>
            </a:ln>
          </c:spPr>
        </c:majorGridlines>
        <c:numFmt formatCode="0" sourceLinked="1"/>
        <c:majorTickMark val="out"/>
        <c:minorTickMark val="none"/>
        <c:tickLblPos val="nextTo"/>
        <c:spPr>
          <a:ln>
            <a:noFill/>
          </a:ln>
        </c:spPr>
        <c:crossAx val="163723776"/>
        <c:crosses val="autoZero"/>
        <c:crossBetween val="between"/>
        <c:dispUnits>
          <c:builtInUnit val="thousands"/>
        </c:dispUnits>
      </c:valAx>
    </c:plotArea>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'G6'!$C$34</c:f>
              <c:strCache>
                <c:ptCount val="1"/>
                <c:pt idx="0">
                  <c:v> bakalářský</c:v>
                </c:pt>
              </c:strCache>
            </c:strRef>
          </c:tx>
          <c:spPr>
            <a:solidFill>
              <a:schemeClr val="tx2">
                <a:lumMod val="40000"/>
                <a:lumOff val="60000"/>
              </a:schemeClr>
            </a:solidFill>
            <a:ln>
              <a:solidFill>
                <a:schemeClr val="accent3">
                  <a:lumMod val="50000"/>
                </a:schemeClr>
              </a:solidFill>
            </a:ln>
          </c:spPr>
          <c:invertIfNegative val="0"/>
          <c:dLbls>
            <c:numFmt formatCode="#,##0" sourceLinked="0"/>
            <c:txPr>
              <a:bodyPr/>
              <a:lstStyle/>
              <a:p>
                <a:pPr>
                  <a:defRPr sz="700"/>
                </a:pPr>
                <a:endParaRPr lang="cs-CZ"/>
              </a:p>
            </c:txPr>
            <c:showLegendKey val="0"/>
            <c:showVal val="1"/>
            <c:showCatName val="0"/>
            <c:showSerName val="0"/>
            <c:showPercent val="0"/>
            <c:showBubbleSize val="0"/>
            <c:showLeaderLines val="0"/>
          </c:dLbls>
          <c:cat>
            <c:numRef>
              <c:f>'G6'!$B$35:$B$45</c:f>
              <c:numCache>
                <c:formatCode>General</c:formatCode>
                <c:ptCount val="11"/>
                <c:pt idx="0">
                  <c:v>2016</c:v>
                </c:pt>
                <c:pt idx="1">
                  <c:v>2015</c:v>
                </c:pt>
                <c:pt idx="2">
                  <c:v>2014</c:v>
                </c:pt>
                <c:pt idx="3">
                  <c:v>2013</c:v>
                </c:pt>
                <c:pt idx="4">
                  <c:v>2012</c:v>
                </c:pt>
                <c:pt idx="5">
                  <c:v>2011</c:v>
                </c:pt>
                <c:pt idx="6">
                  <c:v>2010</c:v>
                </c:pt>
                <c:pt idx="7">
                  <c:v>2009</c:v>
                </c:pt>
                <c:pt idx="8">
                  <c:v>2008</c:v>
                </c:pt>
                <c:pt idx="9">
                  <c:v>2007</c:v>
                </c:pt>
                <c:pt idx="10">
                  <c:v>2006</c:v>
                </c:pt>
              </c:numCache>
            </c:numRef>
          </c:cat>
          <c:val>
            <c:numRef>
              <c:f>'G6'!$C$35:$C$45</c:f>
              <c:numCache>
                <c:formatCode>0</c:formatCode>
                <c:ptCount val="11"/>
                <c:pt idx="0">
                  <c:v>21306</c:v>
                </c:pt>
                <c:pt idx="1">
                  <c:v>23109</c:v>
                </c:pt>
                <c:pt idx="2">
                  <c:v>25220</c:v>
                </c:pt>
                <c:pt idx="3">
                  <c:v>28790</c:v>
                </c:pt>
                <c:pt idx="4">
                  <c:v>32601</c:v>
                </c:pt>
                <c:pt idx="5">
                  <c:v>36941</c:v>
                </c:pt>
                <c:pt idx="6">
                  <c:v>39596</c:v>
                </c:pt>
                <c:pt idx="7">
                  <c:v>39915</c:v>
                </c:pt>
                <c:pt idx="8">
                  <c:v>36355</c:v>
                </c:pt>
                <c:pt idx="9">
                  <c:v>30542</c:v>
                </c:pt>
                <c:pt idx="10">
                  <c:v>24791</c:v>
                </c:pt>
              </c:numCache>
            </c:numRef>
          </c:val>
        </c:ser>
        <c:ser>
          <c:idx val="1"/>
          <c:order val="1"/>
          <c:tx>
            <c:strRef>
              <c:f>'G6'!$D$34</c:f>
              <c:strCache>
                <c:ptCount val="1"/>
                <c:pt idx="0">
                  <c:v> magisterský</c:v>
                </c:pt>
              </c:strCache>
            </c:strRef>
          </c:tx>
          <c:spPr>
            <a:solidFill>
              <a:schemeClr val="accent3">
                <a:lumMod val="40000"/>
                <a:lumOff val="60000"/>
              </a:schemeClr>
            </a:solidFill>
            <a:ln>
              <a:solidFill>
                <a:schemeClr val="accent3">
                  <a:lumMod val="50000"/>
                </a:schemeClr>
              </a:solidFill>
            </a:ln>
          </c:spPr>
          <c:invertIfNegative val="0"/>
          <c:dLbls>
            <c:numFmt formatCode="#,##0" sourceLinked="0"/>
            <c:txPr>
              <a:bodyPr/>
              <a:lstStyle/>
              <a:p>
                <a:pPr>
                  <a:defRPr sz="700"/>
                </a:pPr>
                <a:endParaRPr lang="cs-CZ"/>
              </a:p>
            </c:txPr>
            <c:showLegendKey val="0"/>
            <c:showVal val="1"/>
            <c:showCatName val="0"/>
            <c:showSerName val="0"/>
            <c:showPercent val="0"/>
            <c:showBubbleSize val="0"/>
            <c:showLeaderLines val="0"/>
          </c:dLbls>
          <c:cat>
            <c:numRef>
              <c:f>'G6'!$B$35:$B$45</c:f>
              <c:numCache>
                <c:formatCode>General</c:formatCode>
                <c:ptCount val="11"/>
                <c:pt idx="0">
                  <c:v>2016</c:v>
                </c:pt>
                <c:pt idx="1">
                  <c:v>2015</c:v>
                </c:pt>
                <c:pt idx="2">
                  <c:v>2014</c:v>
                </c:pt>
                <c:pt idx="3">
                  <c:v>2013</c:v>
                </c:pt>
                <c:pt idx="4">
                  <c:v>2012</c:v>
                </c:pt>
                <c:pt idx="5">
                  <c:v>2011</c:v>
                </c:pt>
                <c:pt idx="6">
                  <c:v>2010</c:v>
                </c:pt>
                <c:pt idx="7">
                  <c:v>2009</c:v>
                </c:pt>
                <c:pt idx="8">
                  <c:v>2008</c:v>
                </c:pt>
                <c:pt idx="9">
                  <c:v>2007</c:v>
                </c:pt>
                <c:pt idx="10">
                  <c:v>2006</c:v>
                </c:pt>
              </c:numCache>
            </c:numRef>
          </c:cat>
          <c:val>
            <c:numRef>
              <c:f>'G6'!$D$35:$D$45</c:f>
              <c:numCache>
                <c:formatCode>0</c:formatCode>
                <c:ptCount val="11"/>
                <c:pt idx="0">
                  <c:v>1804</c:v>
                </c:pt>
                <c:pt idx="1">
                  <c:v>1866</c:v>
                </c:pt>
                <c:pt idx="2">
                  <c:v>2054</c:v>
                </c:pt>
                <c:pt idx="3">
                  <c:v>1947</c:v>
                </c:pt>
                <c:pt idx="4">
                  <c:v>2168</c:v>
                </c:pt>
                <c:pt idx="5">
                  <c:v>2589</c:v>
                </c:pt>
                <c:pt idx="6">
                  <c:v>3096</c:v>
                </c:pt>
                <c:pt idx="7">
                  <c:v>3800</c:v>
                </c:pt>
                <c:pt idx="8">
                  <c:v>4498</c:v>
                </c:pt>
                <c:pt idx="9">
                  <c:v>5065</c:v>
                </c:pt>
                <c:pt idx="10">
                  <c:v>5549</c:v>
                </c:pt>
              </c:numCache>
            </c:numRef>
          </c:val>
        </c:ser>
        <c:ser>
          <c:idx val="2"/>
          <c:order val="2"/>
          <c:tx>
            <c:strRef>
              <c:f>'G6'!$E$34</c:f>
              <c:strCache>
                <c:ptCount val="1"/>
                <c:pt idx="0">
                  <c:v> magisterský navazující</c:v>
                </c:pt>
              </c:strCache>
            </c:strRef>
          </c:tx>
          <c:spPr>
            <a:solidFill>
              <a:schemeClr val="accent3"/>
            </a:solidFill>
            <a:ln>
              <a:solidFill>
                <a:schemeClr val="accent5">
                  <a:lumMod val="50000"/>
                </a:schemeClr>
              </a:solidFill>
            </a:ln>
          </c:spPr>
          <c:invertIfNegative val="0"/>
          <c:dLbls>
            <c:numFmt formatCode="#,##0" sourceLinked="0"/>
            <c:txPr>
              <a:bodyPr/>
              <a:lstStyle/>
              <a:p>
                <a:pPr>
                  <a:defRPr sz="700"/>
                </a:pPr>
                <a:endParaRPr lang="cs-CZ"/>
              </a:p>
            </c:txPr>
            <c:showLegendKey val="0"/>
            <c:showVal val="1"/>
            <c:showCatName val="0"/>
            <c:showSerName val="0"/>
            <c:showPercent val="0"/>
            <c:showBubbleSize val="0"/>
            <c:showLeaderLines val="0"/>
          </c:dLbls>
          <c:cat>
            <c:numRef>
              <c:f>'G6'!$B$35:$B$45</c:f>
              <c:numCache>
                <c:formatCode>General</c:formatCode>
                <c:ptCount val="11"/>
                <c:pt idx="0">
                  <c:v>2016</c:v>
                </c:pt>
                <c:pt idx="1">
                  <c:v>2015</c:v>
                </c:pt>
                <c:pt idx="2">
                  <c:v>2014</c:v>
                </c:pt>
                <c:pt idx="3">
                  <c:v>2013</c:v>
                </c:pt>
                <c:pt idx="4">
                  <c:v>2012</c:v>
                </c:pt>
                <c:pt idx="5">
                  <c:v>2011</c:v>
                </c:pt>
                <c:pt idx="6">
                  <c:v>2010</c:v>
                </c:pt>
                <c:pt idx="7">
                  <c:v>2009</c:v>
                </c:pt>
                <c:pt idx="8">
                  <c:v>2008</c:v>
                </c:pt>
                <c:pt idx="9">
                  <c:v>2007</c:v>
                </c:pt>
                <c:pt idx="10">
                  <c:v>2006</c:v>
                </c:pt>
              </c:numCache>
            </c:numRef>
          </c:cat>
          <c:val>
            <c:numRef>
              <c:f>'G6'!$E$35:$E$45</c:f>
              <c:numCache>
                <c:formatCode>0</c:formatCode>
                <c:ptCount val="11"/>
                <c:pt idx="0">
                  <c:v>11473</c:v>
                </c:pt>
                <c:pt idx="1">
                  <c:v>11445</c:v>
                </c:pt>
                <c:pt idx="2">
                  <c:v>13170</c:v>
                </c:pt>
                <c:pt idx="3">
                  <c:v>13943</c:v>
                </c:pt>
                <c:pt idx="4">
                  <c:v>15143</c:v>
                </c:pt>
                <c:pt idx="5">
                  <c:v>16085</c:v>
                </c:pt>
                <c:pt idx="6">
                  <c:v>16148</c:v>
                </c:pt>
                <c:pt idx="7">
                  <c:v>14820</c:v>
                </c:pt>
                <c:pt idx="8">
                  <c:v>12052</c:v>
                </c:pt>
                <c:pt idx="9">
                  <c:v>9416</c:v>
                </c:pt>
                <c:pt idx="10">
                  <c:v>6625</c:v>
                </c:pt>
              </c:numCache>
            </c:numRef>
          </c:val>
        </c:ser>
        <c:ser>
          <c:idx val="3"/>
          <c:order val="3"/>
          <c:tx>
            <c:strRef>
              <c:f>'G6'!$G$34</c:f>
              <c:strCache>
                <c:ptCount val="1"/>
                <c:pt idx="0">
                  <c:v> doktorský</c:v>
                </c:pt>
              </c:strCache>
            </c:strRef>
          </c:tx>
          <c:spPr>
            <a:solidFill>
              <a:schemeClr val="accent4">
                <a:lumMod val="60000"/>
                <a:lumOff val="40000"/>
              </a:schemeClr>
            </a:solidFill>
            <a:ln>
              <a:solidFill>
                <a:schemeClr val="accent4">
                  <a:lumMod val="50000"/>
                </a:schemeClr>
              </a:solidFill>
            </a:ln>
          </c:spPr>
          <c:invertIfNegative val="0"/>
          <c:dLbls>
            <c:numFmt formatCode="#,##0" sourceLinked="0"/>
            <c:txPr>
              <a:bodyPr/>
              <a:lstStyle/>
              <a:p>
                <a:pPr>
                  <a:defRPr sz="700"/>
                </a:pPr>
                <a:endParaRPr lang="cs-CZ"/>
              </a:p>
            </c:txPr>
            <c:showLegendKey val="0"/>
            <c:showVal val="1"/>
            <c:showCatName val="0"/>
            <c:showSerName val="0"/>
            <c:showPercent val="0"/>
            <c:showBubbleSize val="0"/>
            <c:showLeaderLines val="0"/>
          </c:dLbls>
          <c:cat>
            <c:numRef>
              <c:f>'G6'!$B$35:$B$45</c:f>
              <c:numCache>
                <c:formatCode>General</c:formatCode>
                <c:ptCount val="11"/>
                <c:pt idx="0">
                  <c:v>2016</c:v>
                </c:pt>
                <c:pt idx="1">
                  <c:v>2015</c:v>
                </c:pt>
                <c:pt idx="2">
                  <c:v>2014</c:v>
                </c:pt>
                <c:pt idx="3">
                  <c:v>2013</c:v>
                </c:pt>
                <c:pt idx="4">
                  <c:v>2012</c:v>
                </c:pt>
                <c:pt idx="5">
                  <c:v>2011</c:v>
                </c:pt>
                <c:pt idx="6">
                  <c:v>2010</c:v>
                </c:pt>
                <c:pt idx="7">
                  <c:v>2009</c:v>
                </c:pt>
                <c:pt idx="8">
                  <c:v>2008</c:v>
                </c:pt>
                <c:pt idx="9">
                  <c:v>2007</c:v>
                </c:pt>
                <c:pt idx="10">
                  <c:v>2006</c:v>
                </c:pt>
              </c:numCache>
            </c:numRef>
          </c:cat>
          <c:val>
            <c:numRef>
              <c:f>'G6'!$G$35:$G$45</c:f>
              <c:numCache>
                <c:formatCode>0</c:formatCode>
                <c:ptCount val="11"/>
                <c:pt idx="0">
                  <c:v>11148</c:v>
                </c:pt>
                <c:pt idx="1">
                  <c:v>11072</c:v>
                </c:pt>
                <c:pt idx="2">
                  <c:v>10829</c:v>
                </c:pt>
                <c:pt idx="3">
                  <c:v>10946</c:v>
                </c:pt>
                <c:pt idx="4">
                  <c:v>10902</c:v>
                </c:pt>
                <c:pt idx="5">
                  <c:v>11048</c:v>
                </c:pt>
                <c:pt idx="6">
                  <c:v>10991</c:v>
                </c:pt>
                <c:pt idx="7">
                  <c:v>10958</c:v>
                </c:pt>
                <c:pt idx="8">
                  <c:v>10118</c:v>
                </c:pt>
                <c:pt idx="9">
                  <c:v>9369</c:v>
                </c:pt>
                <c:pt idx="10">
                  <c:v>8500</c:v>
                </c:pt>
              </c:numCache>
            </c:numRef>
          </c:val>
        </c:ser>
        <c:dLbls>
          <c:showLegendKey val="0"/>
          <c:showVal val="0"/>
          <c:showCatName val="0"/>
          <c:showSerName val="0"/>
          <c:showPercent val="0"/>
          <c:showBubbleSize val="0"/>
        </c:dLbls>
        <c:gapWidth val="150"/>
        <c:overlap val="100"/>
        <c:axId val="163724288"/>
        <c:axId val="163941760"/>
      </c:barChart>
      <c:catAx>
        <c:axId val="163724288"/>
        <c:scaling>
          <c:orientation val="maxMin"/>
        </c:scaling>
        <c:delete val="0"/>
        <c:axPos val="l"/>
        <c:numFmt formatCode="General" sourceLinked="1"/>
        <c:majorTickMark val="out"/>
        <c:minorTickMark val="none"/>
        <c:tickLblPos val="nextTo"/>
        <c:spPr>
          <a:ln>
            <a:noFill/>
          </a:ln>
        </c:spPr>
        <c:crossAx val="163941760"/>
        <c:crosses val="autoZero"/>
        <c:auto val="1"/>
        <c:lblAlgn val="ctr"/>
        <c:lblOffset val="100"/>
        <c:noMultiLvlLbl val="0"/>
      </c:catAx>
      <c:valAx>
        <c:axId val="163941760"/>
        <c:scaling>
          <c:orientation val="minMax"/>
          <c:max val="70000"/>
          <c:min val="0"/>
        </c:scaling>
        <c:delete val="0"/>
        <c:axPos val="t"/>
        <c:majorGridlines>
          <c:spPr>
            <a:ln>
              <a:prstDash val="sysDot"/>
            </a:ln>
          </c:spPr>
        </c:majorGridlines>
        <c:numFmt formatCode="#,##0" sourceLinked="0"/>
        <c:majorTickMark val="out"/>
        <c:minorTickMark val="none"/>
        <c:tickLblPos val="nextTo"/>
        <c:spPr>
          <a:ln>
            <a:noFill/>
          </a:ln>
        </c:spPr>
        <c:crossAx val="163724288"/>
        <c:crosses val="autoZero"/>
        <c:crossBetween val="between"/>
      </c:valAx>
    </c:plotArea>
    <c:legend>
      <c:legendPos val="b"/>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0.1398</cdr:x>
      <cdr:y>0.97333</cdr:y>
    </cdr:from>
    <cdr:to>
      <cdr:x>0.15203</cdr:x>
      <cdr:y>0.98328</cdr:y>
    </cdr:to>
    <cdr:sp macro="" textlink="">
      <cdr:nvSpPr>
        <cdr:cNvPr id="2" name="Obdélník 1"/>
        <cdr:cNvSpPr/>
      </cdr:nvSpPr>
      <cdr:spPr>
        <a:xfrm xmlns:a="http://schemas.openxmlformats.org/drawingml/2006/main">
          <a:off x="864235" y="7045959"/>
          <a:ext cx="75600" cy="72000"/>
        </a:xfrm>
        <a:prstGeom xmlns:a="http://schemas.openxmlformats.org/drawingml/2006/main" prst="rect">
          <a:avLst/>
        </a:prstGeom>
        <a:solidFill xmlns:a="http://schemas.openxmlformats.org/drawingml/2006/main">
          <a:schemeClr val="bg1"/>
        </a:solidFill>
        <a:ln xmlns:a="http://schemas.openxmlformats.org/drawingml/2006/main" w="19050">
          <a:solidFill>
            <a:sysClr val="windowText" lastClr="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46BD2-C939-4202-803A-D2312D2A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223</TotalTime>
  <Pages>92</Pages>
  <Words>17434</Words>
  <Characters>102864</Characters>
  <Application>Microsoft Office Word</Application>
  <DocSecurity>0</DocSecurity>
  <Lines>857</Lines>
  <Paragraphs>240</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120058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pubalova6594</dc:creator>
  <cp:lastModifiedBy>Alena Kotrbatá</cp:lastModifiedBy>
  <cp:revision>3</cp:revision>
  <cp:lastPrinted>2018-02-22T15:17:00Z</cp:lastPrinted>
  <dcterms:created xsi:type="dcterms:W3CDTF">2018-02-27T09:06:00Z</dcterms:created>
  <dcterms:modified xsi:type="dcterms:W3CDTF">2018-03-02T09:10:00Z</dcterms:modified>
</cp:coreProperties>
</file>