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2F" w:rsidRPr="004B7295" w:rsidRDefault="0044482F" w:rsidP="0044482F">
      <w:pPr>
        <w:pStyle w:val="Nadpis1"/>
      </w:pPr>
      <w:bookmarkStart w:id="0" w:name="_Toc505785839"/>
      <w:bookmarkStart w:id="1" w:name="_Toc506969423"/>
      <w:r>
        <w:t>Přístupy a postoje k dalšímu vzdělávání</w:t>
      </w:r>
      <w:bookmarkEnd w:id="0"/>
      <w:bookmarkEnd w:id="1"/>
    </w:p>
    <w:p w:rsidR="0044482F" w:rsidRPr="005E1FE8" w:rsidRDefault="0044482F" w:rsidP="0044482F">
      <w:pPr>
        <w:spacing w:line="312" w:lineRule="auto"/>
        <w:jc w:val="both"/>
        <w:rPr>
          <w:rFonts w:cs="Arial"/>
          <w:szCs w:val="20"/>
        </w:rPr>
      </w:pPr>
      <w:r w:rsidRPr="005E1FE8">
        <w:rPr>
          <w:rFonts w:cs="Arial"/>
          <w:szCs w:val="20"/>
        </w:rPr>
        <w:t xml:space="preserve">Jak </w:t>
      </w:r>
      <w:r>
        <w:rPr>
          <w:rFonts w:cs="Arial"/>
          <w:szCs w:val="20"/>
        </w:rPr>
        <w:t>je zřejmé z předchozích kapitol věnujících se formálnímu a neformálnímu vzdělávání</w:t>
      </w:r>
      <w:r w:rsidRPr="005E1FE8">
        <w:rPr>
          <w:rFonts w:cs="Arial"/>
          <w:szCs w:val="20"/>
        </w:rPr>
        <w:t>, zapojení do</w:t>
      </w:r>
      <w:r>
        <w:rPr>
          <w:rFonts w:cs="Arial"/>
          <w:szCs w:val="20"/>
        </w:rPr>
        <w:t>spělých do dalšího</w:t>
      </w:r>
      <w:r w:rsidRPr="005E1FE8">
        <w:rPr>
          <w:rFonts w:cs="Arial"/>
          <w:szCs w:val="20"/>
        </w:rPr>
        <w:t xml:space="preserve"> vzdělávání je kombinací celé řady ekonomických, institucionálních, kulturních i</w:t>
      </w:r>
      <w:r>
        <w:rPr>
          <w:rFonts w:cs="Arial"/>
          <w:szCs w:val="20"/>
        </w:rPr>
        <w:t> </w:t>
      </w:r>
      <w:r w:rsidRPr="005E1FE8">
        <w:rPr>
          <w:rFonts w:cs="Arial"/>
          <w:szCs w:val="20"/>
        </w:rPr>
        <w:t xml:space="preserve">sociálních faktorů, které ovlivňují postoje populace k dalšímu vzdělávání. Kromě </w:t>
      </w:r>
      <w:r>
        <w:rPr>
          <w:rFonts w:cs="Arial"/>
          <w:szCs w:val="20"/>
        </w:rPr>
        <w:t>ekonomické vyspělosti země a s ní související životní úrovně</w:t>
      </w:r>
      <w:r w:rsidRPr="005E1FE8">
        <w:rPr>
          <w:rFonts w:cs="Arial"/>
          <w:szCs w:val="20"/>
        </w:rPr>
        <w:t xml:space="preserve"> obyvatelstva hraje roli kvalita institucionálního a legislativního prostředí či struktura institucí, které nabízejí další vzdělávání a</w:t>
      </w:r>
      <w:r>
        <w:rPr>
          <w:rFonts w:cs="Arial"/>
          <w:szCs w:val="20"/>
        </w:rPr>
        <w:t> </w:t>
      </w:r>
      <w:r w:rsidRPr="005E1FE8">
        <w:rPr>
          <w:rFonts w:cs="Arial"/>
          <w:szCs w:val="20"/>
        </w:rPr>
        <w:t xml:space="preserve">kvalita a dostupnost jimi nabízených programů. V situaci, kdy je velká část dalšího vzdělávání </w:t>
      </w:r>
      <w:r>
        <w:rPr>
          <w:rFonts w:cs="Arial"/>
          <w:szCs w:val="20"/>
        </w:rPr>
        <w:t>realizována</w:t>
      </w:r>
      <w:r w:rsidRPr="005E1FE8">
        <w:rPr>
          <w:rFonts w:cs="Arial"/>
          <w:szCs w:val="20"/>
        </w:rPr>
        <w:t xml:space="preserve"> v úzké vazbě na konkrétní prof</w:t>
      </w:r>
      <w:r>
        <w:rPr>
          <w:rFonts w:cs="Arial"/>
          <w:szCs w:val="20"/>
        </w:rPr>
        <w:t>esi a/či z popudu zaměstnavatele</w:t>
      </w:r>
      <w:r w:rsidRPr="005E1FE8">
        <w:rPr>
          <w:rFonts w:cs="Arial"/>
          <w:szCs w:val="20"/>
        </w:rPr>
        <w:t xml:space="preserve">, </w:t>
      </w:r>
      <w:r>
        <w:rPr>
          <w:rFonts w:cs="Arial"/>
          <w:szCs w:val="20"/>
        </w:rPr>
        <w:t xml:space="preserve">jsou zásadní </w:t>
      </w:r>
      <w:r w:rsidRPr="005E1FE8">
        <w:rPr>
          <w:rFonts w:cs="Arial"/>
          <w:szCs w:val="20"/>
        </w:rPr>
        <w:t>vnitřní i vnější stimuly podněcující vzdělávání pracovní síly</w:t>
      </w:r>
      <w:r>
        <w:rPr>
          <w:rFonts w:cs="Arial"/>
          <w:szCs w:val="20"/>
        </w:rPr>
        <w:t xml:space="preserve">, jako je </w:t>
      </w:r>
      <w:r w:rsidRPr="005E1FE8">
        <w:rPr>
          <w:rFonts w:cs="Arial"/>
          <w:szCs w:val="20"/>
        </w:rPr>
        <w:t xml:space="preserve">podoba trhu práce, struktura ekonomiky, technická náročnost produkce </w:t>
      </w:r>
      <w:r>
        <w:rPr>
          <w:rFonts w:cs="Arial"/>
          <w:szCs w:val="20"/>
        </w:rPr>
        <w:t>či</w:t>
      </w:r>
      <w:r w:rsidRPr="005E1FE8">
        <w:rPr>
          <w:rFonts w:cs="Arial"/>
          <w:szCs w:val="20"/>
        </w:rPr>
        <w:t xml:space="preserve"> míra zav</w:t>
      </w:r>
      <w:r>
        <w:rPr>
          <w:rFonts w:cs="Arial"/>
          <w:szCs w:val="20"/>
        </w:rPr>
        <w:t>ádění inovací v podnikové sféře</w:t>
      </w:r>
      <w:r w:rsidRPr="005E1FE8">
        <w:rPr>
          <w:rFonts w:cs="Arial"/>
          <w:szCs w:val="20"/>
        </w:rPr>
        <w:t xml:space="preserve">. Významnou roli hraje </w:t>
      </w:r>
      <w:r>
        <w:rPr>
          <w:rFonts w:cs="Arial"/>
          <w:szCs w:val="20"/>
        </w:rPr>
        <w:t>m</w:t>
      </w:r>
      <w:r w:rsidRPr="005E1FE8">
        <w:rPr>
          <w:rFonts w:cs="Arial"/>
          <w:szCs w:val="20"/>
        </w:rPr>
        <w:t>íra angažovanosti státu či regionálních institucí v zajišťování přístupu obyvatel k dalšímu vzdělávání a to, nakolik jsou veřejné instituce schopné zapojit do vzdělávání znevýhodněné skupiny obyvatelstva (např.</w:t>
      </w:r>
      <w:r>
        <w:rPr>
          <w:rFonts w:cs="Arial"/>
          <w:szCs w:val="20"/>
        </w:rPr>
        <w:t> nezaměstnané,</w:t>
      </w:r>
      <w:r w:rsidRPr="005E1FE8">
        <w:rPr>
          <w:rFonts w:cs="Arial"/>
          <w:szCs w:val="20"/>
        </w:rPr>
        <w:t xml:space="preserve"> nízkokvalifikované</w:t>
      </w:r>
      <w:r>
        <w:rPr>
          <w:rFonts w:cs="Arial"/>
          <w:szCs w:val="20"/>
        </w:rPr>
        <w:t xml:space="preserve">, </w:t>
      </w:r>
      <w:r w:rsidRPr="005E1FE8">
        <w:rPr>
          <w:rFonts w:cs="Arial"/>
          <w:szCs w:val="20"/>
        </w:rPr>
        <w:t>sociálně vyloučené či starší osoby).</w:t>
      </w:r>
    </w:p>
    <w:p w:rsidR="0044482F" w:rsidRDefault="0044482F" w:rsidP="0044482F">
      <w:pPr>
        <w:spacing w:line="312" w:lineRule="auto"/>
        <w:jc w:val="both"/>
        <w:rPr>
          <w:rFonts w:cs="Arial"/>
          <w:szCs w:val="20"/>
        </w:rPr>
      </w:pPr>
      <w:r w:rsidRPr="005E1FE8">
        <w:rPr>
          <w:rFonts w:cs="Arial"/>
          <w:szCs w:val="20"/>
        </w:rPr>
        <w:t>Kombinace těchto faktorů se společně s kulturou a tradicí daného prostředí odráží v postojích lidí, kteří</w:t>
      </w:r>
      <w:r>
        <w:rPr>
          <w:rFonts w:cs="Arial"/>
          <w:szCs w:val="20"/>
        </w:rPr>
        <w:t> </w:t>
      </w:r>
      <w:r w:rsidRPr="005E1FE8">
        <w:rPr>
          <w:rFonts w:cs="Arial"/>
          <w:szCs w:val="20"/>
        </w:rPr>
        <w:t xml:space="preserve">buď považují další vzdělávání za nezbytnou součást své kariéry i osobního života, nebo v něm vidí spíše časový a finanční náklad, někdy i ušlý </w:t>
      </w:r>
      <w:r>
        <w:rPr>
          <w:rFonts w:cs="Arial"/>
          <w:szCs w:val="20"/>
        </w:rPr>
        <w:t>zisk</w:t>
      </w:r>
      <w:r w:rsidRPr="005E1FE8">
        <w:rPr>
          <w:rFonts w:cs="Arial"/>
          <w:szCs w:val="20"/>
        </w:rPr>
        <w:t xml:space="preserve"> s nejistým přínosem do</w:t>
      </w:r>
      <w:r>
        <w:rPr>
          <w:rFonts w:cs="Arial"/>
          <w:szCs w:val="20"/>
        </w:rPr>
        <w:t> </w:t>
      </w:r>
      <w:r w:rsidRPr="005E1FE8">
        <w:rPr>
          <w:rFonts w:cs="Arial"/>
          <w:szCs w:val="20"/>
        </w:rPr>
        <w:t>budoucna.</w:t>
      </w:r>
    </w:p>
    <w:p w:rsidR="0044482F" w:rsidRPr="003419D8" w:rsidRDefault="0044482F" w:rsidP="0044482F">
      <w:pPr>
        <w:spacing w:line="312" w:lineRule="auto"/>
        <w:jc w:val="both"/>
        <w:rPr>
          <w:rFonts w:cs="Arial"/>
          <w:szCs w:val="20"/>
        </w:rPr>
      </w:pPr>
      <w:r w:rsidRPr="005E1FE8">
        <w:rPr>
          <w:rFonts w:cs="Arial"/>
          <w:szCs w:val="20"/>
        </w:rPr>
        <w:t>Celkové zapojení populace do dalšího (formálního i neformálního) vzdělávání, jako i vůli k</w:t>
      </w:r>
      <w:r>
        <w:rPr>
          <w:rFonts w:cs="Arial"/>
          <w:szCs w:val="20"/>
        </w:rPr>
        <w:t> </w:t>
      </w:r>
      <w:r w:rsidRPr="005E1FE8">
        <w:rPr>
          <w:rFonts w:cs="Arial"/>
          <w:szCs w:val="20"/>
        </w:rPr>
        <w:t>účasti</w:t>
      </w:r>
      <w:r>
        <w:rPr>
          <w:rFonts w:cs="Arial"/>
          <w:szCs w:val="20"/>
        </w:rPr>
        <w:t xml:space="preserve"> </w:t>
      </w:r>
      <w:r w:rsidRPr="003419D8">
        <w:rPr>
          <w:rFonts w:cs="Arial"/>
          <w:szCs w:val="20"/>
        </w:rPr>
        <w:t xml:space="preserve">či k rozšíření dosavadního zapojení do vzdělávání shrnuje v mezinárodním srovnání </w:t>
      </w:r>
      <w:hyperlink w:anchor="_Graf_č._26:" w:history="1">
        <w:r>
          <w:rPr>
            <w:rStyle w:val="Hypertextovodkaz"/>
            <w:rFonts w:cs="Arial"/>
            <w:szCs w:val="20"/>
          </w:rPr>
          <w:t>g</w:t>
        </w:r>
        <w:r w:rsidRPr="003419D8">
          <w:rPr>
            <w:rStyle w:val="Hypertextovodkaz"/>
            <w:rFonts w:cs="Arial"/>
            <w:szCs w:val="20"/>
          </w:rPr>
          <w:t>raf č. 26</w:t>
        </w:r>
      </w:hyperlink>
      <w:r w:rsidRPr="003419D8">
        <w:rPr>
          <w:rFonts w:cs="Arial"/>
          <w:szCs w:val="20"/>
        </w:rPr>
        <w:t xml:space="preserve">. </w:t>
      </w:r>
    </w:p>
    <w:p w:rsidR="0044482F" w:rsidRDefault="0044482F" w:rsidP="0044482F">
      <w:pPr>
        <w:pStyle w:val="Nadpis4"/>
      </w:pPr>
      <w:bookmarkStart w:id="2" w:name="_Graf_č._26:"/>
      <w:bookmarkStart w:id="3" w:name="_Toc505872838"/>
      <w:bookmarkStart w:id="4" w:name="_Toc506308493"/>
      <w:bookmarkStart w:id="5" w:name="_Toc506308546"/>
      <w:bookmarkEnd w:id="2"/>
      <w:r w:rsidRPr="003419D8">
        <w:t>Graf č. 26: Zapojení do vzdělávání a vůle k (dalšímu) zapojení do vzdělávání</w:t>
      </w:r>
      <w:r>
        <w:t xml:space="preserve"> </w:t>
      </w:r>
      <w:r w:rsidRPr="003419D8">
        <w:t>(25–64 let)</w:t>
      </w:r>
      <w:r>
        <w:t xml:space="preserve"> –</w:t>
      </w:r>
      <w:r w:rsidRPr="003419D8">
        <w:t xml:space="preserve"> mezinárodní srovnání</w:t>
      </w:r>
      <w:bookmarkEnd w:id="3"/>
      <w:bookmarkEnd w:id="4"/>
      <w:bookmarkEnd w:id="5"/>
    </w:p>
    <w:p w:rsidR="0044482F" w:rsidRPr="005E1FE8" w:rsidRDefault="0044482F" w:rsidP="0044482F">
      <w:pPr>
        <w:spacing w:after="120" w:line="312" w:lineRule="auto"/>
        <w:rPr>
          <w:rFonts w:cs="Arial"/>
          <w:szCs w:val="20"/>
        </w:rPr>
      </w:pPr>
      <w:r>
        <w:rPr>
          <w:noProof/>
        </w:rPr>
        <w:drawing>
          <wp:inline distT="0" distB="0" distL="0" distR="0" wp14:anchorId="2E073E06" wp14:editId="66E341D2">
            <wp:extent cx="6115050" cy="42291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482F" w:rsidRDefault="0044482F" w:rsidP="0044482F">
      <w:r>
        <w:t>Zdroj: AES 2016, Eurostat</w:t>
      </w:r>
    </w:p>
    <w:p w:rsidR="0044482F" w:rsidRDefault="0044482F" w:rsidP="0044482F">
      <w:pPr>
        <w:spacing w:line="312" w:lineRule="auto"/>
        <w:jc w:val="both"/>
        <w:rPr>
          <w:rFonts w:cs="Arial"/>
          <w:szCs w:val="20"/>
        </w:rPr>
      </w:pPr>
      <w:r w:rsidRPr="005E1FE8">
        <w:rPr>
          <w:rFonts w:cs="Arial"/>
          <w:szCs w:val="20"/>
        </w:rPr>
        <w:lastRenderedPageBreak/>
        <w:t xml:space="preserve">Je zřejmé, že v celkovém zapojení dospělých do vzdělávání patří mezi </w:t>
      </w:r>
      <w:r>
        <w:rPr>
          <w:rFonts w:cs="Arial"/>
          <w:szCs w:val="20"/>
        </w:rPr>
        <w:t>vedoucí země</w:t>
      </w:r>
      <w:r w:rsidRPr="005E1FE8">
        <w:rPr>
          <w:rFonts w:cs="Arial"/>
          <w:szCs w:val="20"/>
        </w:rPr>
        <w:t xml:space="preserve"> Š</w:t>
      </w:r>
      <w:r>
        <w:rPr>
          <w:rFonts w:cs="Arial"/>
          <w:szCs w:val="20"/>
        </w:rPr>
        <w:t>výcarsko, Nizozemí, Rakousko a severské země jako jsou</w:t>
      </w:r>
      <w:r w:rsidRPr="005E1FE8">
        <w:rPr>
          <w:rFonts w:cs="Arial"/>
          <w:szCs w:val="20"/>
        </w:rPr>
        <w:t xml:space="preserve"> Švédsko, Norsko a Finsko. Všechny tyto </w:t>
      </w:r>
      <w:r>
        <w:rPr>
          <w:rFonts w:cs="Arial"/>
          <w:szCs w:val="20"/>
        </w:rPr>
        <w:t>státy</w:t>
      </w:r>
      <w:r w:rsidRPr="005E1FE8">
        <w:rPr>
          <w:rFonts w:cs="Arial"/>
          <w:szCs w:val="20"/>
        </w:rPr>
        <w:t xml:space="preserve"> dosahují vysoké účasti jak ve formálním, tak neformálním vzdělávání a zdá se, že průběžné vzdělávání se v nich stalo součástí běžného života většiny občanů. Na vysoké zapojení populace do</w:t>
      </w:r>
      <w:r>
        <w:rPr>
          <w:rFonts w:cs="Arial"/>
          <w:szCs w:val="20"/>
        </w:rPr>
        <w:t xml:space="preserve"> dalšího</w:t>
      </w:r>
      <w:r w:rsidRPr="005E1FE8">
        <w:rPr>
          <w:rFonts w:cs="Arial"/>
          <w:szCs w:val="20"/>
        </w:rPr>
        <w:t xml:space="preserve"> vzdělávání zde</w:t>
      </w:r>
      <w:r>
        <w:rPr>
          <w:rFonts w:cs="Arial"/>
          <w:szCs w:val="20"/>
        </w:rPr>
        <w:t> </w:t>
      </w:r>
      <w:r w:rsidRPr="005E1FE8">
        <w:rPr>
          <w:rFonts w:cs="Arial"/>
          <w:szCs w:val="20"/>
        </w:rPr>
        <w:t>má vliv zejména</w:t>
      </w:r>
      <w:r>
        <w:rPr>
          <w:rFonts w:cs="Arial"/>
          <w:szCs w:val="20"/>
        </w:rPr>
        <w:t xml:space="preserve"> flexibilita a individualizace vzdělávacích programů,</w:t>
      </w:r>
      <w:r w:rsidRPr="005E1FE8">
        <w:rPr>
          <w:rFonts w:cs="Arial"/>
          <w:szCs w:val="20"/>
        </w:rPr>
        <w:t xml:space="preserve"> dobré fungování institucí působících v dalším vzdělávání a</w:t>
      </w:r>
      <w:r>
        <w:rPr>
          <w:rFonts w:cs="Arial"/>
          <w:szCs w:val="20"/>
        </w:rPr>
        <w:t xml:space="preserve"> </w:t>
      </w:r>
      <w:r w:rsidRPr="005E1FE8">
        <w:rPr>
          <w:rFonts w:cs="Arial"/>
          <w:szCs w:val="20"/>
        </w:rPr>
        <w:t>(s</w:t>
      </w:r>
      <w:r>
        <w:rPr>
          <w:rFonts w:cs="Arial"/>
          <w:szCs w:val="20"/>
        </w:rPr>
        <w:t> </w:t>
      </w:r>
      <w:r w:rsidRPr="005E1FE8">
        <w:rPr>
          <w:rFonts w:cs="Arial"/>
          <w:szCs w:val="20"/>
        </w:rPr>
        <w:t>výjimkou Švýcarska)</w:t>
      </w:r>
      <w:r>
        <w:rPr>
          <w:rFonts w:cs="Arial"/>
          <w:szCs w:val="20"/>
        </w:rPr>
        <w:t> </w:t>
      </w:r>
      <w:r w:rsidRPr="005E1FE8">
        <w:rPr>
          <w:rFonts w:cs="Arial"/>
          <w:szCs w:val="20"/>
        </w:rPr>
        <w:t>významná angažovanost státu v této oblasti. Ve Švýcarsku jsou naopak veškeré řídící procesy ve vzdělávání silně decentralizované, což ovšem v kulturním kontextu přináší samostatnost a</w:t>
      </w:r>
      <w:r>
        <w:rPr>
          <w:rFonts w:cs="Arial"/>
          <w:szCs w:val="20"/>
        </w:rPr>
        <w:t> </w:t>
      </w:r>
      <w:r w:rsidRPr="005E1FE8">
        <w:rPr>
          <w:rFonts w:cs="Arial"/>
          <w:szCs w:val="20"/>
        </w:rPr>
        <w:t>odpovědnost v rozhodování a</w:t>
      </w:r>
      <w:r>
        <w:rPr>
          <w:rFonts w:cs="Arial"/>
          <w:szCs w:val="20"/>
        </w:rPr>
        <w:t> </w:t>
      </w:r>
      <w:r w:rsidRPr="005E1FE8">
        <w:rPr>
          <w:rFonts w:cs="Arial"/>
          <w:szCs w:val="20"/>
        </w:rPr>
        <w:t>také velkou různorodost v nabídce vzdělávacích příležitostí. V podmínkách vysoké materiální úrovně jednotlivců i podniků a</w:t>
      </w:r>
      <w:r>
        <w:rPr>
          <w:rFonts w:cs="Arial"/>
          <w:szCs w:val="20"/>
        </w:rPr>
        <w:t> </w:t>
      </w:r>
      <w:r w:rsidRPr="005E1FE8">
        <w:rPr>
          <w:rFonts w:cs="Arial"/>
          <w:szCs w:val="20"/>
        </w:rPr>
        <w:t>dostatku finančních zdrojů ve veřejné správě toto schéma umožňuje Švýcarsku i</w:t>
      </w:r>
      <w:r>
        <w:rPr>
          <w:rFonts w:cs="Arial"/>
          <w:szCs w:val="20"/>
        </w:rPr>
        <w:t> </w:t>
      </w:r>
      <w:r w:rsidRPr="005E1FE8">
        <w:rPr>
          <w:rFonts w:cs="Arial"/>
          <w:szCs w:val="20"/>
        </w:rPr>
        <w:t xml:space="preserve">bez výrazných státních zásahů a aplikace stimulačních nástrojů dosahovat vysoké účasti </w:t>
      </w:r>
      <w:r>
        <w:rPr>
          <w:rFonts w:cs="Arial"/>
          <w:szCs w:val="20"/>
        </w:rPr>
        <w:t>v</w:t>
      </w:r>
      <w:r w:rsidRPr="005E1FE8">
        <w:rPr>
          <w:rFonts w:cs="Arial"/>
          <w:szCs w:val="20"/>
        </w:rPr>
        <w:t xml:space="preserve"> dalším vzdělávání.</w:t>
      </w:r>
      <w:r>
        <w:rPr>
          <w:rFonts w:cs="Arial"/>
          <w:szCs w:val="20"/>
        </w:rPr>
        <w:t xml:space="preserve"> Česká republika z pohledu účasti v dalším vzdělávání vykazuje průměrnou úroveň, přičemž v kontextu podobně postavených států je zajímavý zejména její poměrně nízký potenciál dalšího vzdělávání, resp. vůle jejích občanů k vyššímu zapojení do vzdělávání (reprezentovaný nízkým podílem osob, které by rády svou dosavadní účast ve vzdělávání rozšířily, či by se do nějakého vzdělávání zapojily). </w:t>
      </w:r>
    </w:p>
    <w:p w:rsidR="0044482F" w:rsidRDefault="0044482F" w:rsidP="0044482F">
      <w:pPr>
        <w:pStyle w:val="Nadpis4"/>
        <w:rPr>
          <w:spacing w:val="-8"/>
        </w:rPr>
      </w:pPr>
      <w:bookmarkStart w:id="6" w:name="_Toc505872839"/>
      <w:bookmarkStart w:id="7" w:name="_Toc506308547"/>
      <w:r w:rsidRPr="00CD2B68">
        <w:rPr>
          <w:spacing w:val="-8"/>
        </w:rPr>
        <w:t>Graf č. 27: Zapojení do vzdělávání a vůle k (dalšímu) zapojení do vzdělávání dle pohlaví</w:t>
      </w:r>
      <w:bookmarkEnd w:id="6"/>
      <w:r w:rsidRPr="00CD2B68">
        <w:rPr>
          <w:spacing w:val="-8"/>
        </w:rPr>
        <w:t xml:space="preserve"> a věkových kategorií</w:t>
      </w:r>
      <w:bookmarkEnd w:id="7"/>
    </w:p>
    <w:p w:rsidR="0044482F" w:rsidRDefault="0044482F" w:rsidP="0044482F">
      <w:pPr>
        <w:pStyle w:val="Nadpis4"/>
        <w:rPr>
          <w:rFonts w:cs="Arial"/>
          <w:szCs w:val="20"/>
        </w:rPr>
      </w:pPr>
      <w:r>
        <w:rPr>
          <w:noProof/>
        </w:rPr>
        <w:drawing>
          <wp:inline distT="0" distB="0" distL="0" distR="0" wp14:anchorId="376106BB" wp14:editId="204C0DED">
            <wp:extent cx="6200775" cy="54768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82F" w:rsidRDefault="0044482F" w:rsidP="0044482F">
      <w:pPr>
        <w:spacing w:before="60" w:line="312" w:lineRule="auto"/>
        <w:jc w:val="both"/>
        <w:rPr>
          <w:rFonts w:cs="Arial"/>
          <w:szCs w:val="20"/>
        </w:rPr>
      </w:pPr>
      <w:r>
        <w:rPr>
          <w:rFonts w:cs="Arial"/>
          <w:szCs w:val="20"/>
        </w:rPr>
        <w:t>Zdroj: AES 2016, ČSÚ</w:t>
      </w:r>
    </w:p>
    <w:p w:rsidR="0044482F" w:rsidRDefault="0044482F" w:rsidP="0044482F">
      <w:pPr>
        <w:spacing w:line="312" w:lineRule="auto"/>
        <w:jc w:val="both"/>
        <w:rPr>
          <w:rFonts w:cs="Arial"/>
          <w:szCs w:val="20"/>
        </w:rPr>
      </w:pPr>
      <w:r w:rsidRPr="005E1FE8">
        <w:rPr>
          <w:rFonts w:cs="Arial"/>
          <w:szCs w:val="20"/>
        </w:rPr>
        <w:lastRenderedPageBreak/>
        <w:t>V České republice se</w:t>
      </w:r>
      <w:r>
        <w:rPr>
          <w:rFonts w:cs="Arial"/>
          <w:szCs w:val="20"/>
        </w:rPr>
        <w:t xml:space="preserve"> v</w:t>
      </w:r>
      <w:r w:rsidRPr="005E1FE8">
        <w:rPr>
          <w:rFonts w:cs="Arial"/>
          <w:szCs w:val="20"/>
        </w:rPr>
        <w:t xml:space="preserve"> </w:t>
      </w:r>
      <w:r w:rsidRPr="00AD6BF4">
        <w:rPr>
          <w:rFonts w:cs="Arial"/>
          <w:szCs w:val="20"/>
        </w:rPr>
        <w:t>daném období účastnilo dalšího vzdělávání 46 % osob ze sledované populace ve</w:t>
      </w:r>
      <w:r>
        <w:rPr>
          <w:rFonts w:cs="Arial"/>
          <w:szCs w:val="20"/>
        </w:rPr>
        <w:t> </w:t>
      </w:r>
      <w:r w:rsidRPr="00AD6BF4">
        <w:rPr>
          <w:rFonts w:cs="Arial"/>
          <w:szCs w:val="20"/>
        </w:rPr>
        <w:t xml:space="preserve">věku </w:t>
      </w:r>
      <w:r>
        <w:rPr>
          <w:rFonts w:cs="Arial"/>
          <w:szCs w:val="20"/>
        </w:rPr>
        <w:t>18–69 let</w:t>
      </w:r>
      <w:r w:rsidRPr="00AD6BF4">
        <w:rPr>
          <w:rFonts w:cs="Arial"/>
          <w:szCs w:val="20"/>
        </w:rPr>
        <w:t>, přičemž zcela jasně převažovala účast v neformálním vzdělávání. Pro velkou většinu, celkem 39 % osob</w:t>
      </w:r>
      <w:r>
        <w:rPr>
          <w:rFonts w:cs="Arial"/>
          <w:szCs w:val="20"/>
        </w:rPr>
        <w:t>,</w:t>
      </w:r>
      <w:r w:rsidRPr="00AD6BF4">
        <w:rPr>
          <w:rFonts w:cs="Arial"/>
          <w:szCs w:val="20"/>
        </w:rPr>
        <w:t xml:space="preserve"> bylo jejich zapojení do vzdělávání dostačující, vůli k dalšímu rozšíření svých vzdělávacích aktivit uvedlo pouze 7 % </w:t>
      </w:r>
      <w:r>
        <w:rPr>
          <w:rFonts w:cs="Arial"/>
          <w:szCs w:val="20"/>
        </w:rPr>
        <w:t>účastníků vzdělávání</w:t>
      </w:r>
      <w:r w:rsidRPr="00AD6BF4">
        <w:rPr>
          <w:rFonts w:cs="Arial"/>
          <w:szCs w:val="20"/>
        </w:rPr>
        <w:t>. 54 % osob ve věku 18–69 let se tedy ve</w:t>
      </w:r>
      <w:r>
        <w:rPr>
          <w:rFonts w:cs="Arial"/>
          <w:szCs w:val="20"/>
        </w:rPr>
        <w:t> </w:t>
      </w:r>
      <w:r w:rsidRPr="00AD6BF4">
        <w:rPr>
          <w:rFonts w:cs="Arial"/>
          <w:szCs w:val="20"/>
        </w:rPr>
        <w:t>sledovaném období formálního ani neformálního vzdělávání neúčastnilo, přičemž většina z nich, představující 49 % osob populace ve věku 18–69 let</w:t>
      </w:r>
      <w:r>
        <w:rPr>
          <w:rFonts w:cs="Arial"/>
          <w:szCs w:val="20"/>
        </w:rPr>
        <w:t>,</w:t>
      </w:r>
      <w:r w:rsidRPr="00AD6BF4">
        <w:rPr>
          <w:rFonts w:cs="Arial"/>
          <w:szCs w:val="20"/>
        </w:rPr>
        <w:t xml:space="preserve"> uvedla, že se žádného vzdělávání ani účastnit nechtěla. Zbývajících 7 % osob vyjádřilo vůli ke vzdělávání, do kterého se však z nějakých důvodů nezapojilo. Pro zásadní většinu osob</w:t>
      </w:r>
      <w:r>
        <w:rPr>
          <w:rFonts w:cs="Arial"/>
          <w:szCs w:val="20"/>
        </w:rPr>
        <w:t xml:space="preserve"> (88 </w:t>
      </w:r>
      <w:r>
        <w:rPr>
          <w:rFonts w:cs="Arial"/>
          <w:szCs w:val="20"/>
          <w:lang w:val="en-US"/>
        </w:rPr>
        <w:t>%)</w:t>
      </w:r>
      <w:r w:rsidRPr="00AD6BF4">
        <w:rPr>
          <w:rFonts w:cs="Arial"/>
          <w:szCs w:val="20"/>
        </w:rPr>
        <w:t xml:space="preserve">, žijících na území České republiky tedy bylo jejich dosavadní zapojení do vzdělávání </w:t>
      </w:r>
      <w:r>
        <w:t>–</w:t>
      </w:r>
      <w:r w:rsidRPr="00AD6BF4">
        <w:rPr>
          <w:rFonts w:cs="Arial"/>
          <w:szCs w:val="20"/>
        </w:rPr>
        <w:t xml:space="preserve"> včetně nízké či nu</w:t>
      </w:r>
      <w:r>
        <w:rPr>
          <w:rFonts w:cs="Arial"/>
          <w:szCs w:val="20"/>
        </w:rPr>
        <w:t xml:space="preserve">lové účasti v dalším vzdělávání </w:t>
      </w:r>
      <w:r>
        <w:t>–</w:t>
      </w:r>
      <w:r w:rsidRPr="00AD6BF4">
        <w:rPr>
          <w:rFonts w:cs="Arial"/>
          <w:szCs w:val="20"/>
        </w:rPr>
        <w:t xml:space="preserve"> dostačující.</w:t>
      </w:r>
      <w:r w:rsidRPr="005E1FE8">
        <w:rPr>
          <w:rFonts w:cs="Arial"/>
          <w:szCs w:val="20"/>
        </w:rPr>
        <w:t xml:space="preserve"> </w:t>
      </w:r>
    </w:p>
    <w:p w:rsidR="0044482F" w:rsidRDefault="0044482F" w:rsidP="0044482F">
      <w:pPr>
        <w:spacing w:line="312" w:lineRule="auto"/>
        <w:jc w:val="both"/>
        <w:rPr>
          <w:rFonts w:cs="Arial"/>
          <w:szCs w:val="20"/>
        </w:rPr>
      </w:pPr>
      <w:r w:rsidRPr="00AD6BF4">
        <w:rPr>
          <w:rFonts w:cs="Arial"/>
          <w:szCs w:val="20"/>
        </w:rPr>
        <w:t>Nelze říci, že by absolutně platil předpokla</w:t>
      </w:r>
      <w:r>
        <w:rPr>
          <w:rFonts w:cs="Arial"/>
          <w:szCs w:val="20"/>
        </w:rPr>
        <w:t>d, že společně s vyšší účastí v dalším</w:t>
      </w:r>
      <w:r w:rsidRPr="00AD6BF4">
        <w:rPr>
          <w:rFonts w:cs="Arial"/>
          <w:szCs w:val="20"/>
        </w:rPr>
        <w:t xml:space="preserve"> vzdělávání dochází k saturaci vzdělávacích potřeb a s tím i k nižší potřebě dalšího zapojení do vzdělávání. Naopak relativně nejčastěji by rozsah svého vzdělávání rozšířili lidé, kteří se</w:t>
      </w:r>
      <w:r>
        <w:rPr>
          <w:rFonts w:cs="Arial"/>
          <w:szCs w:val="20"/>
        </w:rPr>
        <w:t xml:space="preserve"> v posledních 12 měsících</w:t>
      </w:r>
      <w:r w:rsidRPr="00AD6BF4">
        <w:rPr>
          <w:rFonts w:cs="Arial"/>
          <w:szCs w:val="20"/>
        </w:rPr>
        <w:t xml:space="preserve"> účastnili hned několika vzdělávacích aktivit, </w:t>
      </w:r>
      <w:r>
        <w:rPr>
          <w:rFonts w:cs="Arial"/>
          <w:szCs w:val="20"/>
        </w:rPr>
        <w:t xml:space="preserve">dále </w:t>
      </w:r>
      <w:r w:rsidRPr="00AD6BF4">
        <w:rPr>
          <w:rFonts w:cs="Arial"/>
          <w:szCs w:val="20"/>
        </w:rPr>
        <w:t>vysokoškoláci, jejichž účast v dalším vzdělávání je nejvyšší, a lidé v mladším a středním věku (</w:t>
      </w:r>
      <w:r>
        <w:rPr>
          <w:rFonts w:cs="Arial"/>
          <w:szCs w:val="20"/>
        </w:rPr>
        <w:t>18</w:t>
      </w:r>
      <w:r w:rsidRPr="00AD6BF4">
        <w:rPr>
          <w:rFonts w:cs="Arial"/>
          <w:szCs w:val="20"/>
        </w:rPr>
        <w:t xml:space="preserve">–44 let). Dosavadní míru svého zapojení naopak častěji nemají potřebu rozšiřovat lidé s nižší kvalifikací, starší osoby a </w:t>
      </w:r>
      <w:r>
        <w:rPr>
          <w:rFonts w:cs="Arial"/>
          <w:szCs w:val="20"/>
        </w:rPr>
        <w:t>ti</w:t>
      </w:r>
      <w:r w:rsidRPr="00AD6BF4">
        <w:rPr>
          <w:rFonts w:cs="Arial"/>
          <w:szCs w:val="20"/>
        </w:rPr>
        <w:t>, kteří se účastnili pouze jed</w:t>
      </w:r>
      <w:r>
        <w:rPr>
          <w:rFonts w:cs="Arial"/>
          <w:szCs w:val="20"/>
        </w:rPr>
        <w:t xml:space="preserve">né vzdělávací aktivity, k jejímuž absolvování byli navíc </w:t>
      </w:r>
      <w:r w:rsidRPr="00AD6BF4">
        <w:rPr>
          <w:rFonts w:cs="Arial"/>
          <w:szCs w:val="20"/>
        </w:rPr>
        <w:t xml:space="preserve">často </w:t>
      </w:r>
      <w:r>
        <w:rPr>
          <w:rFonts w:cs="Arial"/>
          <w:szCs w:val="20"/>
        </w:rPr>
        <w:t>donuceni</w:t>
      </w:r>
      <w:r w:rsidRPr="00AD6BF4">
        <w:rPr>
          <w:rFonts w:cs="Arial"/>
          <w:szCs w:val="20"/>
        </w:rPr>
        <w:t xml:space="preserve"> vnějšími okolnostmi (zaměstnavatelem, zákonem). </w:t>
      </w:r>
    </w:p>
    <w:p w:rsidR="0044482F" w:rsidRDefault="0044482F" w:rsidP="0044482F">
      <w:pPr>
        <w:pStyle w:val="Nadpis4"/>
        <w:jc w:val="both"/>
      </w:pPr>
      <w:bookmarkStart w:id="8" w:name="_Toc505872840"/>
      <w:bookmarkStart w:id="9" w:name="_Toc506308548"/>
      <w:r>
        <w:t>Graf č. 28: Zapojení do vzdělávání a vůle k (dalšímu) zapojení do vzdělávání dle pohlaví</w:t>
      </w:r>
      <w:bookmarkEnd w:id="8"/>
      <w:r>
        <w:t xml:space="preserve"> a ekonomického postavení</w:t>
      </w:r>
      <w:bookmarkEnd w:id="9"/>
      <w:r>
        <w:t xml:space="preserve"> </w:t>
      </w:r>
    </w:p>
    <w:p w:rsidR="0044482F" w:rsidRDefault="0044482F" w:rsidP="0044482F">
      <w:pPr>
        <w:spacing w:after="120" w:line="240" w:lineRule="auto"/>
        <w:rPr>
          <w:rFonts w:cs="Arial"/>
          <w:sz w:val="16"/>
          <w:szCs w:val="20"/>
        </w:rPr>
      </w:pPr>
      <w:r w:rsidRPr="006241DA">
        <w:rPr>
          <w:rFonts w:cs="Arial"/>
          <w:noProof/>
          <w:sz w:val="16"/>
          <w:szCs w:val="20"/>
        </w:rPr>
        <w:drawing>
          <wp:inline distT="0" distB="0" distL="0" distR="0" wp14:anchorId="20BEF658" wp14:editId="58FD5F1D">
            <wp:extent cx="6286500" cy="4914900"/>
            <wp:effectExtent l="0" t="0" r="0" b="0"/>
            <wp:docPr id="7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482F" w:rsidRPr="000574C3" w:rsidRDefault="0044482F" w:rsidP="0044482F">
      <w:pPr>
        <w:spacing w:before="120" w:after="0" w:line="240" w:lineRule="auto"/>
        <w:rPr>
          <w:rFonts w:cs="Arial"/>
          <w:sz w:val="16"/>
          <w:szCs w:val="20"/>
        </w:rPr>
      </w:pPr>
      <w:r>
        <w:rPr>
          <w:rFonts w:cs="Arial"/>
          <w:sz w:val="16"/>
          <w:szCs w:val="20"/>
        </w:rPr>
        <w:t xml:space="preserve">Pozn.: </w:t>
      </w:r>
      <w:r w:rsidRPr="000574C3">
        <w:rPr>
          <w:rFonts w:cs="Arial"/>
          <w:sz w:val="16"/>
          <w:szCs w:val="20"/>
        </w:rPr>
        <w:t>RD = rodičovská dovolená</w:t>
      </w:r>
      <w:r>
        <w:rPr>
          <w:rFonts w:cs="Arial"/>
          <w:sz w:val="16"/>
          <w:szCs w:val="20"/>
        </w:rPr>
        <w:t>. N</w:t>
      </w:r>
      <w:r w:rsidRPr="000574C3">
        <w:rPr>
          <w:rFonts w:cs="Arial"/>
          <w:sz w:val="16"/>
          <w:szCs w:val="20"/>
        </w:rPr>
        <w:t>edostatek pozorování v kategorii muži v domácnosti, na mateřské či rodičovské dovolené</w:t>
      </w:r>
      <w:r>
        <w:rPr>
          <w:rFonts w:cs="Arial"/>
          <w:sz w:val="16"/>
          <w:szCs w:val="20"/>
        </w:rPr>
        <w:t>.</w:t>
      </w:r>
    </w:p>
    <w:p w:rsidR="0044482F" w:rsidRPr="000574C3" w:rsidRDefault="0044482F" w:rsidP="0044482F">
      <w:pPr>
        <w:spacing w:after="0" w:line="240" w:lineRule="auto"/>
        <w:rPr>
          <w:rFonts w:cs="Arial"/>
          <w:szCs w:val="20"/>
        </w:rPr>
      </w:pPr>
      <w:r w:rsidRPr="000574C3">
        <w:rPr>
          <w:rFonts w:cs="Arial"/>
          <w:szCs w:val="20"/>
        </w:rPr>
        <w:t>Zdroj: AES 2016, ČSÚ</w:t>
      </w:r>
    </w:p>
    <w:p w:rsidR="0044482F" w:rsidRDefault="0044482F" w:rsidP="0044482F">
      <w:pPr>
        <w:spacing w:line="312" w:lineRule="auto"/>
        <w:jc w:val="both"/>
        <w:rPr>
          <w:rFonts w:cs="Arial"/>
          <w:szCs w:val="20"/>
        </w:rPr>
      </w:pPr>
      <w:r>
        <w:rPr>
          <w:rFonts w:cs="Arial"/>
          <w:szCs w:val="20"/>
        </w:rPr>
        <w:lastRenderedPageBreak/>
        <w:t>Ve všech věkových kategoriích také častěji vyjadřují vůli účastnit se více vzdělávacích aktivit (ať už se v předchozím sledovaném období do nějakého vzdělávání zapojily, či nikoli) ženy. Muži, kteří dosahují vyšší účasti v (neformálním) vzdělávání než ženy, obecně méně deklarují vůli účastnit se vzdělávání nad rámec toho, které již absolvovali, příp. účastnit se vůbec nějakého vzdělávání v případě, že se do žádných vzdělávacích aktivit ve sledovaném období nezapojili.</w:t>
      </w:r>
    </w:p>
    <w:p w:rsidR="0044482F" w:rsidRDefault="0044482F" w:rsidP="0044482F">
      <w:pPr>
        <w:spacing w:line="312" w:lineRule="auto"/>
        <w:jc w:val="both"/>
        <w:rPr>
          <w:rFonts w:cs="Arial"/>
          <w:szCs w:val="20"/>
        </w:rPr>
      </w:pPr>
      <w:r>
        <w:rPr>
          <w:rFonts w:cs="Arial"/>
          <w:szCs w:val="20"/>
        </w:rPr>
        <w:t xml:space="preserve">Z pohledu obvyklého ekonomického postavení lze říci, že nejvyšší vůli k dalšímu zapojení mezi těmi, kteří se žádného vzdělávání neúčastnili, </w:t>
      </w:r>
      <w:r w:rsidRPr="00EE07CF">
        <w:rPr>
          <w:rFonts w:cs="Arial"/>
          <w:szCs w:val="20"/>
        </w:rPr>
        <w:t>vyjádřili nezaměstnaní,</w:t>
      </w:r>
      <w:r>
        <w:rPr>
          <w:rFonts w:cs="Arial"/>
          <w:szCs w:val="20"/>
        </w:rPr>
        <w:t xml:space="preserve"> ženy</w:t>
      </w:r>
      <w:r w:rsidRPr="00EE07CF">
        <w:rPr>
          <w:rFonts w:cs="Arial"/>
          <w:szCs w:val="20"/>
        </w:rPr>
        <w:t xml:space="preserve"> v domácnosti a na </w:t>
      </w:r>
      <w:r>
        <w:rPr>
          <w:rFonts w:cs="Arial"/>
          <w:szCs w:val="20"/>
        </w:rPr>
        <w:t xml:space="preserve">mateřské či </w:t>
      </w:r>
      <w:r w:rsidRPr="00EE07CF">
        <w:rPr>
          <w:rFonts w:cs="Arial"/>
          <w:szCs w:val="20"/>
        </w:rPr>
        <w:t xml:space="preserve">rodičovské dovolené a lidé v invalidním důchodu. Jedná se o skupiny osob, které své vzdělávání, včetně </w:t>
      </w:r>
      <w:r>
        <w:rPr>
          <w:rFonts w:cs="Arial"/>
          <w:szCs w:val="20"/>
        </w:rPr>
        <w:t xml:space="preserve">toho </w:t>
      </w:r>
      <w:r w:rsidRPr="00EE07CF">
        <w:rPr>
          <w:rFonts w:cs="Arial"/>
          <w:szCs w:val="20"/>
        </w:rPr>
        <w:t>kariérně orientovaného, musí obvykle iniciovat samy, přičemž jejich zapojení je komplikováno vnějšími bariérami, jako</w:t>
      </w:r>
      <w:r>
        <w:rPr>
          <w:rFonts w:cs="Arial"/>
          <w:szCs w:val="20"/>
        </w:rPr>
        <w:t> </w:t>
      </w:r>
      <w:r w:rsidRPr="00EE07CF">
        <w:rPr>
          <w:rFonts w:cs="Arial"/>
          <w:szCs w:val="20"/>
        </w:rPr>
        <w:t xml:space="preserve">jsou zdravotní problémy, nedostatek času z důvodu péče o člena rodiny či nedostatek financí. </w:t>
      </w:r>
      <w:r>
        <w:rPr>
          <w:rFonts w:cs="Arial"/>
          <w:szCs w:val="20"/>
        </w:rPr>
        <w:t xml:space="preserve">Zajímavé je také srovnání penzistů (do věku 69 let) dle pohlaví, ze kterého je zřejmé, že ženy – důchodkyně se nejen více účastní (zejména neformálního) vzdělávání, ale jejich zájem o vzdělávání je (dle obecné úrovně deklarace) celkově vyšší. Celkově je však úroveň zapojení do vzdělávání jak mezi starobními, tak mezi invalidními důchodci poměrně nízká. </w:t>
      </w:r>
    </w:p>
    <w:p w:rsidR="0044482F" w:rsidRDefault="0044482F" w:rsidP="0044482F">
      <w:pPr>
        <w:pStyle w:val="Nadpis5"/>
      </w:pPr>
      <w:bookmarkStart w:id="10" w:name="_Tabulka_č._3:"/>
      <w:bookmarkStart w:id="11" w:name="_Toc505957355"/>
      <w:bookmarkStart w:id="12" w:name="_Toc505958381"/>
      <w:bookmarkEnd w:id="10"/>
      <w:r>
        <w:t>Tabulka č. 3: Důvody nezapojení se do (dalších) vzdělávacích aktivit dle účasti v dalším vzdělávání (18–69 let)</w:t>
      </w:r>
      <w:bookmarkEnd w:id="11"/>
      <w:bookmarkEnd w:id="12"/>
    </w:p>
    <w:tbl>
      <w:tblPr>
        <w:tblW w:w="5000" w:type="pct"/>
        <w:tblCellMar>
          <w:left w:w="70" w:type="dxa"/>
          <w:right w:w="70" w:type="dxa"/>
        </w:tblCellMar>
        <w:tblLook w:val="04A0" w:firstRow="1" w:lastRow="0" w:firstColumn="1" w:lastColumn="0" w:noHBand="0" w:noVBand="1"/>
      </w:tblPr>
      <w:tblGrid>
        <w:gridCol w:w="3830"/>
        <w:gridCol w:w="683"/>
        <w:gridCol w:w="1036"/>
        <w:gridCol w:w="1255"/>
        <w:gridCol w:w="683"/>
        <w:gridCol w:w="1036"/>
        <w:gridCol w:w="1255"/>
      </w:tblGrid>
      <w:tr w:rsidR="0044482F" w:rsidRPr="00AB65CD" w:rsidTr="0002438F">
        <w:trPr>
          <w:trHeight w:val="300"/>
        </w:trPr>
        <w:tc>
          <w:tcPr>
            <w:tcW w:w="5000" w:type="pct"/>
            <w:gridSpan w:val="7"/>
            <w:tcBorders>
              <w:top w:val="nil"/>
              <w:left w:val="nil"/>
              <w:bottom w:val="single" w:sz="4" w:space="0" w:color="auto"/>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w:t>
            </w:r>
          </w:p>
        </w:tc>
      </w:tr>
      <w:tr w:rsidR="0044482F" w:rsidRPr="00AB65CD" w:rsidTr="0002438F">
        <w:trPr>
          <w:trHeight w:val="570"/>
        </w:trPr>
        <w:tc>
          <w:tcPr>
            <w:tcW w:w="1958" w:type="pct"/>
            <w:vMerge w:val="restart"/>
            <w:tcBorders>
              <w:top w:val="nil"/>
              <w:left w:val="nil"/>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důvody neúčasti v (dalším) vzdělávání</w:t>
            </w:r>
          </w:p>
        </w:tc>
        <w:tc>
          <w:tcPr>
            <w:tcW w:w="1521" w:type="pct"/>
            <w:gridSpan w:val="3"/>
            <w:tcBorders>
              <w:top w:val="single" w:sz="4" w:space="0" w:color="auto"/>
              <w:left w:val="nil"/>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nejdůležitější důvod</w:t>
            </w:r>
          </w:p>
        </w:tc>
        <w:tc>
          <w:tcPr>
            <w:tcW w:w="1521" w:type="pct"/>
            <w:gridSpan w:val="3"/>
            <w:tcBorders>
              <w:top w:val="single" w:sz="4" w:space="0" w:color="auto"/>
              <w:left w:val="nil"/>
              <w:bottom w:val="single" w:sz="4" w:space="0" w:color="auto"/>
            </w:tcBorders>
            <w:shd w:val="clear" w:color="000000" w:fill="F2DCDB"/>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 xml:space="preserve">možnost uvést více důvodů </w:t>
            </w:r>
            <w:r w:rsidRPr="00AB65CD">
              <w:rPr>
                <w:rFonts w:cs="Arial"/>
                <w:b/>
                <w:bCs/>
                <w:color w:val="000000"/>
                <w:sz w:val="16"/>
                <w:szCs w:val="16"/>
              </w:rPr>
              <w:br/>
            </w:r>
            <w:r w:rsidRPr="00AB65CD">
              <w:rPr>
                <w:rFonts w:cs="Arial"/>
                <w:color w:val="000000"/>
                <w:sz w:val="16"/>
                <w:szCs w:val="16"/>
              </w:rPr>
              <w:t>(součet převyšuje 100 %)</w:t>
            </w:r>
          </w:p>
        </w:tc>
      </w:tr>
      <w:tr w:rsidR="0044482F" w:rsidRPr="00AB65CD" w:rsidTr="0002438F">
        <w:trPr>
          <w:trHeight w:val="975"/>
        </w:trPr>
        <w:tc>
          <w:tcPr>
            <w:tcW w:w="1958" w:type="pct"/>
            <w:vMerge/>
            <w:tcBorders>
              <w:top w:val="nil"/>
              <w:left w:val="nil"/>
              <w:bottom w:val="single" w:sz="4" w:space="0" w:color="auto"/>
              <w:right w:val="single" w:sz="4" w:space="0" w:color="auto"/>
            </w:tcBorders>
            <w:vAlign w:val="center"/>
            <w:hideMark/>
          </w:tcPr>
          <w:p w:rsidR="0044482F" w:rsidRPr="00AB65CD" w:rsidRDefault="0044482F" w:rsidP="0002438F">
            <w:pPr>
              <w:spacing w:after="0" w:line="240" w:lineRule="auto"/>
              <w:rPr>
                <w:rFonts w:cs="Arial"/>
                <w:b/>
                <w:bCs/>
                <w:color w:val="000000"/>
                <w:sz w:val="16"/>
                <w:szCs w:val="16"/>
              </w:rPr>
            </w:pPr>
          </w:p>
        </w:tc>
        <w:tc>
          <w:tcPr>
            <w:tcW w:w="349"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celkem</w:t>
            </w:r>
          </w:p>
        </w:tc>
        <w:tc>
          <w:tcPr>
            <w:tcW w:w="1172" w:type="pct"/>
            <w:gridSpan w:val="2"/>
            <w:tcBorders>
              <w:top w:val="single" w:sz="4" w:space="0" w:color="auto"/>
              <w:left w:val="nil"/>
              <w:bottom w:val="single" w:sz="4" w:space="0" w:color="auto"/>
              <w:right w:val="single" w:sz="4" w:space="0" w:color="auto"/>
            </w:tcBorders>
            <w:shd w:val="clear" w:color="000000" w:fill="F2DCDB"/>
            <w:vAlign w:val="center"/>
            <w:hideMark/>
          </w:tcPr>
          <w:p w:rsidR="0044482F" w:rsidRPr="00AB65CD" w:rsidRDefault="0044482F" w:rsidP="0002438F">
            <w:pPr>
              <w:spacing w:after="0" w:line="240" w:lineRule="auto"/>
              <w:jc w:val="center"/>
              <w:rPr>
                <w:rFonts w:cs="Arial"/>
                <w:color w:val="000000"/>
                <w:sz w:val="16"/>
                <w:szCs w:val="16"/>
              </w:rPr>
            </w:pPr>
            <w:r w:rsidRPr="00AB65CD">
              <w:rPr>
                <w:rFonts w:cs="Arial"/>
                <w:color w:val="000000"/>
                <w:sz w:val="16"/>
                <w:szCs w:val="16"/>
              </w:rPr>
              <w:t xml:space="preserve">dle účasti ve formálním či neformálním vzdělávání </w:t>
            </w:r>
            <w:r w:rsidRPr="00AB65CD">
              <w:rPr>
                <w:rFonts w:cs="Arial"/>
                <w:color w:val="000000"/>
                <w:sz w:val="16"/>
                <w:szCs w:val="16"/>
              </w:rPr>
              <w:br/>
              <w:t>v předchozích 12 měsících</w:t>
            </w:r>
          </w:p>
        </w:tc>
        <w:tc>
          <w:tcPr>
            <w:tcW w:w="349"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celkem</w:t>
            </w:r>
          </w:p>
        </w:tc>
        <w:tc>
          <w:tcPr>
            <w:tcW w:w="1172" w:type="pct"/>
            <w:gridSpan w:val="2"/>
            <w:tcBorders>
              <w:top w:val="single" w:sz="4" w:space="0" w:color="auto"/>
              <w:left w:val="nil"/>
              <w:bottom w:val="single" w:sz="4" w:space="0" w:color="auto"/>
            </w:tcBorders>
            <w:shd w:val="clear" w:color="000000" w:fill="F2DCDB"/>
            <w:vAlign w:val="center"/>
            <w:hideMark/>
          </w:tcPr>
          <w:p w:rsidR="0044482F" w:rsidRPr="00AB65CD" w:rsidRDefault="0044482F" w:rsidP="0002438F">
            <w:pPr>
              <w:spacing w:after="0" w:line="240" w:lineRule="auto"/>
              <w:jc w:val="center"/>
              <w:rPr>
                <w:rFonts w:cs="Arial"/>
                <w:color w:val="000000"/>
                <w:sz w:val="16"/>
                <w:szCs w:val="16"/>
              </w:rPr>
            </w:pPr>
            <w:r w:rsidRPr="00AB65CD">
              <w:rPr>
                <w:rFonts w:cs="Arial"/>
                <w:color w:val="000000"/>
                <w:sz w:val="16"/>
                <w:szCs w:val="16"/>
              </w:rPr>
              <w:t xml:space="preserve">dle účasti ve formálním či neformálním vzdělávání </w:t>
            </w:r>
            <w:r w:rsidRPr="00AB65CD">
              <w:rPr>
                <w:rFonts w:cs="Arial"/>
                <w:color w:val="000000"/>
                <w:sz w:val="16"/>
                <w:szCs w:val="16"/>
              </w:rPr>
              <w:br/>
              <w:t>v předchozích 12 měsících</w:t>
            </w:r>
          </w:p>
        </w:tc>
      </w:tr>
      <w:tr w:rsidR="0044482F" w:rsidRPr="00AB65CD" w:rsidTr="0002438F">
        <w:trPr>
          <w:trHeight w:val="300"/>
        </w:trPr>
        <w:tc>
          <w:tcPr>
            <w:tcW w:w="1958" w:type="pct"/>
            <w:vMerge/>
            <w:tcBorders>
              <w:top w:val="nil"/>
              <w:left w:val="nil"/>
              <w:bottom w:val="single" w:sz="4" w:space="0" w:color="auto"/>
              <w:right w:val="single" w:sz="4" w:space="0" w:color="auto"/>
            </w:tcBorders>
            <w:vAlign w:val="center"/>
            <w:hideMark/>
          </w:tcPr>
          <w:p w:rsidR="0044482F" w:rsidRPr="00AB65CD" w:rsidRDefault="0044482F" w:rsidP="0002438F">
            <w:pPr>
              <w:spacing w:after="0" w:line="240" w:lineRule="auto"/>
              <w:rPr>
                <w:rFonts w:cs="Arial"/>
                <w:b/>
                <w:bCs/>
                <w:color w:val="000000"/>
                <w:sz w:val="16"/>
                <w:szCs w:val="16"/>
              </w:rPr>
            </w:pPr>
          </w:p>
        </w:tc>
        <w:tc>
          <w:tcPr>
            <w:tcW w:w="349" w:type="pct"/>
            <w:vMerge/>
            <w:tcBorders>
              <w:top w:val="nil"/>
              <w:left w:val="single" w:sz="4" w:space="0" w:color="auto"/>
              <w:bottom w:val="single" w:sz="4" w:space="0" w:color="auto"/>
              <w:right w:val="single" w:sz="4" w:space="0" w:color="auto"/>
            </w:tcBorders>
            <w:vAlign w:val="center"/>
            <w:hideMark/>
          </w:tcPr>
          <w:p w:rsidR="0044482F" w:rsidRPr="00AB65CD" w:rsidRDefault="0044482F" w:rsidP="0002438F">
            <w:pPr>
              <w:spacing w:after="0" w:line="240" w:lineRule="auto"/>
              <w:rPr>
                <w:rFonts w:cs="Arial"/>
                <w:b/>
                <w:bCs/>
                <w:color w:val="000000"/>
                <w:sz w:val="16"/>
                <w:szCs w:val="16"/>
              </w:rPr>
            </w:pPr>
          </w:p>
        </w:tc>
        <w:tc>
          <w:tcPr>
            <w:tcW w:w="530" w:type="pct"/>
            <w:tcBorders>
              <w:top w:val="nil"/>
              <w:left w:val="nil"/>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účastnili se</w:t>
            </w:r>
          </w:p>
        </w:tc>
        <w:tc>
          <w:tcPr>
            <w:tcW w:w="642" w:type="pct"/>
            <w:tcBorders>
              <w:top w:val="nil"/>
              <w:left w:val="nil"/>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neúčastnili se</w:t>
            </w:r>
          </w:p>
        </w:tc>
        <w:tc>
          <w:tcPr>
            <w:tcW w:w="349" w:type="pct"/>
            <w:vMerge/>
            <w:tcBorders>
              <w:top w:val="nil"/>
              <w:left w:val="single" w:sz="4" w:space="0" w:color="auto"/>
              <w:bottom w:val="single" w:sz="4" w:space="0" w:color="auto"/>
              <w:right w:val="single" w:sz="4" w:space="0" w:color="auto"/>
            </w:tcBorders>
            <w:vAlign w:val="center"/>
            <w:hideMark/>
          </w:tcPr>
          <w:p w:rsidR="0044482F" w:rsidRPr="00AB65CD" w:rsidRDefault="0044482F" w:rsidP="0002438F">
            <w:pPr>
              <w:spacing w:after="0" w:line="240" w:lineRule="auto"/>
              <w:rPr>
                <w:rFonts w:cs="Arial"/>
                <w:b/>
                <w:bCs/>
                <w:color w:val="000000"/>
                <w:sz w:val="16"/>
                <w:szCs w:val="16"/>
              </w:rPr>
            </w:pPr>
          </w:p>
        </w:tc>
        <w:tc>
          <w:tcPr>
            <w:tcW w:w="530" w:type="pct"/>
            <w:tcBorders>
              <w:top w:val="nil"/>
              <w:left w:val="nil"/>
              <w:bottom w:val="single" w:sz="4" w:space="0" w:color="auto"/>
              <w:right w:val="single" w:sz="4" w:space="0" w:color="auto"/>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účastnili se</w:t>
            </w:r>
          </w:p>
        </w:tc>
        <w:tc>
          <w:tcPr>
            <w:tcW w:w="642" w:type="pct"/>
            <w:tcBorders>
              <w:top w:val="nil"/>
              <w:left w:val="nil"/>
              <w:bottom w:val="single" w:sz="4" w:space="0" w:color="auto"/>
              <w:right w:val="nil"/>
            </w:tcBorders>
            <w:shd w:val="clear" w:color="000000" w:fill="F2DCDB"/>
            <w:noWrap/>
            <w:vAlign w:val="center"/>
            <w:hideMark/>
          </w:tcPr>
          <w:p w:rsidR="0044482F" w:rsidRPr="00AB65CD" w:rsidRDefault="0044482F" w:rsidP="0002438F">
            <w:pPr>
              <w:spacing w:after="0" w:line="240" w:lineRule="auto"/>
              <w:jc w:val="center"/>
              <w:rPr>
                <w:rFonts w:cs="Arial"/>
                <w:b/>
                <w:bCs/>
                <w:color w:val="000000"/>
                <w:sz w:val="16"/>
                <w:szCs w:val="16"/>
              </w:rPr>
            </w:pPr>
            <w:r w:rsidRPr="00AB65CD">
              <w:rPr>
                <w:rFonts w:cs="Arial"/>
                <w:b/>
                <w:bCs/>
                <w:color w:val="000000"/>
                <w:sz w:val="16"/>
                <w:szCs w:val="16"/>
              </w:rPr>
              <w:t>neúčastnili se</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nepotřebuji další vzdělávání</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68</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62</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73</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68</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62</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73</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osobní důvody (např. nedostatek času)</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15</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7</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16</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11</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rodinné povinnosti</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6</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5</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7</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8</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8</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9</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cena - vzdělávání bylo příliš drahé</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5</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5</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7</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4</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nevyhovující čas konání výuky</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4</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5</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8</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3</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zdravotní důvody</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4</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4</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nebyla k dispozici vhodná vzdělávací aktivita</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3</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r>
      <w:tr w:rsidR="0044482F" w:rsidRPr="00AB65CD" w:rsidTr="0002438F">
        <w:trPr>
          <w:trHeight w:val="450"/>
        </w:trPr>
        <w:tc>
          <w:tcPr>
            <w:tcW w:w="1958" w:type="pct"/>
            <w:tcBorders>
              <w:top w:val="nil"/>
              <w:left w:val="nil"/>
              <w:bottom w:val="nil"/>
              <w:right w:val="nil"/>
            </w:tcBorders>
            <w:shd w:val="clear" w:color="auto" w:fill="auto"/>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 xml:space="preserve">nedostatek podpory zaměstnavatele </w:t>
            </w:r>
            <w:r w:rsidRPr="00AB65CD">
              <w:rPr>
                <w:rFonts w:cs="Arial"/>
                <w:color w:val="000000"/>
                <w:sz w:val="16"/>
                <w:szCs w:val="16"/>
              </w:rPr>
              <w:br/>
              <w:t>či veřejných/státních institucí</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důvody spojené s věkem</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0</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r>
      <w:tr w:rsidR="0044482F" w:rsidRPr="00AB65CD" w:rsidTr="0002438F">
        <w:trPr>
          <w:trHeight w:val="450"/>
        </w:trPr>
        <w:tc>
          <w:tcPr>
            <w:tcW w:w="1958" w:type="pct"/>
            <w:tcBorders>
              <w:top w:val="nil"/>
              <w:left w:val="nil"/>
              <w:bottom w:val="nil"/>
              <w:right w:val="nil"/>
            </w:tcBorders>
            <w:shd w:val="clear" w:color="auto" w:fill="auto"/>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 xml:space="preserve">nesplňoval/a jsem nezbytné </w:t>
            </w:r>
            <w:r w:rsidRPr="00AB65CD">
              <w:rPr>
                <w:rFonts w:cs="Arial"/>
                <w:color w:val="000000"/>
                <w:sz w:val="16"/>
                <w:szCs w:val="16"/>
              </w:rPr>
              <w:br/>
              <w:t>(kvalifikační) předpoklady</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vzdálenost</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3</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r>
      <w:tr w:rsidR="0044482F" w:rsidRPr="00AB65CD" w:rsidTr="0002438F">
        <w:trPr>
          <w:trHeight w:val="450"/>
        </w:trPr>
        <w:tc>
          <w:tcPr>
            <w:tcW w:w="1958" w:type="pct"/>
            <w:tcBorders>
              <w:top w:val="nil"/>
              <w:left w:val="nil"/>
              <w:bottom w:val="nil"/>
              <w:right w:val="nil"/>
            </w:tcBorders>
            <w:shd w:val="clear" w:color="auto" w:fill="auto"/>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nemám přístup k počítači či internetu</w:t>
            </w:r>
            <w:r w:rsidRPr="00AB65CD">
              <w:rPr>
                <w:rFonts w:cs="Arial"/>
                <w:color w:val="000000"/>
                <w:sz w:val="16"/>
                <w:szCs w:val="16"/>
              </w:rPr>
              <w:br/>
              <w:t>potřebným pro vzdělávání</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špatná zkušenost s předchozím vzděláváním</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&lt;1</w:t>
            </w:r>
          </w:p>
        </w:tc>
      </w:tr>
      <w:tr w:rsidR="0044482F" w:rsidRPr="00AB65CD" w:rsidTr="0002438F">
        <w:trPr>
          <w:trHeight w:val="300"/>
        </w:trPr>
        <w:tc>
          <w:tcPr>
            <w:tcW w:w="1958" w:type="pct"/>
            <w:tcBorders>
              <w:top w:val="nil"/>
              <w:left w:val="nil"/>
              <w:bottom w:val="nil"/>
              <w:right w:val="nil"/>
            </w:tcBorders>
            <w:shd w:val="clear" w:color="auto" w:fill="auto"/>
            <w:noWrap/>
            <w:vAlign w:val="center"/>
            <w:hideMark/>
          </w:tcPr>
          <w:p w:rsidR="0044482F" w:rsidRPr="00AB65CD" w:rsidRDefault="0044482F" w:rsidP="0002438F">
            <w:pPr>
              <w:spacing w:after="0" w:line="240" w:lineRule="auto"/>
              <w:rPr>
                <w:rFonts w:cs="Arial"/>
                <w:color w:val="000000"/>
                <w:sz w:val="16"/>
                <w:szCs w:val="16"/>
              </w:rPr>
            </w:pPr>
            <w:r w:rsidRPr="00AB65CD">
              <w:rPr>
                <w:rFonts w:cs="Arial"/>
                <w:color w:val="000000"/>
                <w:sz w:val="16"/>
                <w:szCs w:val="16"/>
              </w:rPr>
              <w:t>žádný z výše uvedených důvodů</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349"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44482F" w:rsidRPr="00AB65CD" w:rsidRDefault="0044482F" w:rsidP="0002438F">
            <w:pPr>
              <w:spacing w:after="0" w:line="240" w:lineRule="auto"/>
              <w:jc w:val="right"/>
              <w:rPr>
                <w:rFonts w:cs="Arial"/>
                <w:color w:val="000000"/>
                <w:sz w:val="16"/>
                <w:szCs w:val="16"/>
              </w:rPr>
            </w:pPr>
            <w:r w:rsidRPr="00AB65CD">
              <w:rPr>
                <w:rFonts w:cs="Arial"/>
                <w:color w:val="000000"/>
                <w:sz w:val="16"/>
                <w:szCs w:val="16"/>
              </w:rPr>
              <w:t>2</w:t>
            </w:r>
          </w:p>
        </w:tc>
      </w:tr>
    </w:tbl>
    <w:p w:rsidR="0044482F" w:rsidRPr="00E50FF8" w:rsidRDefault="0044482F" w:rsidP="0044482F">
      <w:pPr>
        <w:spacing w:before="240" w:line="312" w:lineRule="auto"/>
        <w:rPr>
          <w:rFonts w:cs="Arial"/>
          <w:szCs w:val="20"/>
        </w:rPr>
      </w:pPr>
      <w:r w:rsidRPr="00E50FF8">
        <w:rPr>
          <w:rFonts w:cs="Arial"/>
          <w:szCs w:val="20"/>
        </w:rPr>
        <w:t>Zdroj: AES 2016, ČSÚ</w:t>
      </w:r>
    </w:p>
    <w:p w:rsidR="0044482F" w:rsidRDefault="0044482F" w:rsidP="0044482F">
      <w:pPr>
        <w:spacing w:line="312" w:lineRule="auto"/>
        <w:jc w:val="both"/>
        <w:rPr>
          <w:rFonts w:cs="Arial"/>
          <w:szCs w:val="20"/>
        </w:rPr>
      </w:pPr>
      <w:r>
        <w:lastRenderedPageBreak/>
        <w:t>Nejčastěji uváděným důvodem, proč se přibližně 88 %</w:t>
      </w:r>
      <w:r>
        <w:rPr>
          <w:rStyle w:val="Znakapoznpodarou"/>
        </w:rPr>
        <w:footnoteReference w:id="1"/>
      </w:r>
      <w:r>
        <w:t xml:space="preserve"> dospělých osob nechtělo dále či vůbec vzdělávat, bylo přesvědčení, že další vzdělávání (nad rámec toho, které již v minulosti absolvovali) nepotřebují a jejich stávající úroveň vzdělání je dostatečná. </w:t>
      </w:r>
      <w:r>
        <w:rPr>
          <w:rFonts w:cs="Arial"/>
          <w:szCs w:val="20"/>
        </w:rPr>
        <w:t xml:space="preserve">Tímto způsobem svou situaci v otázce dalšího vzdělávání se vnímá celých 68 </w:t>
      </w:r>
      <w:r>
        <w:rPr>
          <w:rFonts w:cs="Arial"/>
          <w:szCs w:val="20"/>
          <w:lang w:val="en-US"/>
        </w:rPr>
        <w:t xml:space="preserve">% osob ve sledované populaci. </w:t>
      </w:r>
      <w:r>
        <w:rPr>
          <w:rFonts w:cs="Arial"/>
          <w:szCs w:val="20"/>
        </w:rPr>
        <w:t xml:space="preserve">Zaměříme-li se pouze na ty, kteří se žádným způsobem nevzdělávali, můžeme konstatovat, že v populaci osob ve věku 18–69 let v ČR se přibližně 40 </w:t>
      </w:r>
      <w:r>
        <w:rPr>
          <w:rFonts w:cs="Arial"/>
          <w:szCs w:val="20"/>
          <w:lang w:val="en-US"/>
        </w:rPr>
        <w:t>% z nich n</w:t>
      </w:r>
      <w:r>
        <w:rPr>
          <w:rFonts w:cs="Arial"/>
          <w:szCs w:val="20"/>
        </w:rPr>
        <w:t xml:space="preserve">ezajímá o standardizované (formální či neformální) vzdělávání, a to ani aktivním (nevzdělávali se), ani pasivním způsobem (jsou přesvědčeni, že nepotřebují další vzdělávání, nemají další vzdělanostní aspirace). Mírně nadproporčně jsou zde zastoupeny zejména osoby ve vyšším věku (starší 55 let), nejčastěji ve starobním důchodu a osoby s nižším vzděláním (střední vzdělání bez maturity či základní), nicméně osoby s tímto postojem nalézáme ve všech věkových i vzdělanostních kategoriích. </w:t>
      </w:r>
    </w:p>
    <w:p w:rsidR="0044482F" w:rsidRDefault="0044482F" w:rsidP="0044482F">
      <w:pPr>
        <w:spacing w:line="312" w:lineRule="auto"/>
        <w:jc w:val="both"/>
        <w:rPr>
          <w:rFonts w:cs="Arial"/>
          <w:szCs w:val="20"/>
        </w:rPr>
      </w:pPr>
      <w:r>
        <w:rPr>
          <w:rFonts w:cs="Arial"/>
          <w:szCs w:val="20"/>
        </w:rPr>
        <w:t>Pomineme-li přesvědčení o dostatečnosti získané úrovně vzdělání (odpověď „nepotřebuji další vzdělávání“), které je však do jisté míry možné chápat také jako nezájem o (další) vzdělávání, je nejčastější bariérou v účasti v dalším vzdělávání, či důvodem, proč se lidé do vzdělávání nezapojují více, nedostatek času. Ať už z důvodu vytížení rodinnými povinnostmi, nevyhovující dobou konání vzdělávacích aktivit či z jiných osobních důvodů. Ostatní typy bariér v přístupu k dalšímu vzdělávání (zdravotní důvody, vzdálenost, nedostatek vzdělávacích příležitostí, vzdělávání považováno za příliš nákladné apod.) hrají roli již pouze velmi okrajově a vztahují se zejména ke specifickým skupinám obyvatelstva, pro které však mohou představovat vážné překážky a příčiny toho, proč se i přes deklarovaný zájem nedokáží do vzdělávání (více) zapojit. Obecně lze však z přehledu nejčastěji uváděných důvodů nezapojení se (více) do vzdělávání uvedených v </w:t>
      </w:r>
      <w:hyperlink w:anchor="_Tabulka_č._3:" w:history="1">
        <w:r w:rsidRPr="00CD2B68">
          <w:rPr>
            <w:rStyle w:val="Hypertextovodkaz"/>
            <w:rFonts w:cs="Arial"/>
            <w:szCs w:val="20"/>
          </w:rPr>
          <w:t>tabulce č. 3</w:t>
        </w:r>
      </w:hyperlink>
      <w:r>
        <w:rPr>
          <w:rFonts w:cs="Arial"/>
          <w:szCs w:val="20"/>
        </w:rPr>
        <w:t xml:space="preserve"> vyvodit, že vliv „vnějších“ bariér přístupu ve vzdělávání je v ČR poměrně nízký. </w:t>
      </w:r>
    </w:p>
    <w:p w:rsidR="009D4DBE" w:rsidRPr="0044482F" w:rsidRDefault="0044482F" w:rsidP="0044482F">
      <w:pPr>
        <w:spacing w:line="312" w:lineRule="auto"/>
        <w:jc w:val="both"/>
      </w:pPr>
      <w:r w:rsidRPr="008A7D68">
        <w:rPr>
          <w:rFonts w:cs="Arial"/>
          <w:szCs w:val="20"/>
        </w:rPr>
        <w:t>Je tak možné konstatovat, že zapojení do dalšího vzdělávání a motivace k rozšiřování zapojení do</w:t>
      </w:r>
      <w:r>
        <w:rPr>
          <w:rFonts w:cs="Arial"/>
          <w:szCs w:val="20"/>
        </w:rPr>
        <w:t> </w:t>
      </w:r>
      <w:r w:rsidRPr="008A7D68">
        <w:rPr>
          <w:rFonts w:cs="Arial"/>
          <w:szCs w:val="20"/>
        </w:rPr>
        <w:t xml:space="preserve">vzdělávání spočívá v České republice zejména v osobní motivaci a obecnějším postoji ke vzdělávání, </w:t>
      </w:r>
      <w:r>
        <w:rPr>
          <w:rFonts w:cs="Arial"/>
          <w:szCs w:val="20"/>
        </w:rPr>
        <w:t>především</w:t>
      </w:r>
      <w:r w:rsidRPr="008A7D68">
        <w:rPr>
          <w:rFonts w:cs="Arial"/>
          <w:szCs w:val="20"/>
        </w:rPr>
        <w:t xml:space="preserve"> pak v hodnotě, která je vzdělávání přikládána. To reflektují též nejčastější důvody (další) neúčasti ve vzdělávání – přesvědčení o dostatečnosti dosaženého vzdělání a/či nedostatek času. Časové vytížení může být pro řadu lidí významným důvodem k neúčasti v dalším vzdělávání, zároveň však do jisté míry odráží prioritu, která je vzdělávání obecně v životě přikládána. Tento stav, kdy se v České republice odpovědnost za vzdělávání v dospělosti dělí především mezi zaměstnavatele (potažmo úřad práce) a vlastní iniciativu jedince, však v situaci, kdy vzdělání není oceňováno všemi (vzdělanostními) skupinami stejně, vede často spíše k reprodukci nerovností ustavených formálním systémem prvotního vzdělávání než k jejich narovnání. V podmínkách, kdy je většina vzdělávání orientována pracovně, probíhá během pracovní doby a</w:t>
      </w:r>
      <w:r>
        <w:rPr>
          <w:rFonts w:cs="Arial"/>
          <w:szCs w:val="20"/>
        </w:rPr>
        <w:t> </w:t>
      </w:r>
      <w:r w:rsidRPr="008A7D68">
        <w:rPr>
          <w:rFonts w:cs="Arial"/>
          <w:szCs w:val="20"/>
        </w:rPr>
        <w:t>je tudíž vázaná k postavení na trhu práce, dochází dle očekávání k nerovnoměrné účasti pracujících, nezaměstnaných a ekonomicky neaktivních osob. U osob, kterým na další vzdělávání neposkytne čas a</w:t>
      </w:r>
      <w:r>
        <w:rPr>
          <w:rFonts w:cs="Arial"/>
          <w:szCs w:val="20"/>
        </w:rPr>
        <w:t> </w:t>
      </w:r>
      <w:r w:rsidRPr="008A7D68">
        <w:rPr>
          <w:rFonts w:cs="Arial"/>
          <w:szCs w:val="20"/>
        </w:rPr>
        <w:t>finance zaměstnavatel a/či které samy v dalším vzdělávání nevidí přidanou hodnotu, je pak zapojení do dal</w:t>
      </w:r>
      <w:r>
        <w:rPr>
          <w:rFonts w:cs="Arial"/>
          <w:szCs w:val="20"/>
        </w:rPr>
        <w:t>šího vzdělávání značně obtížné.</w:t>
      </w:r>
      <w:bookmarkStart w:id="13" w:name="_GoBack"/>
      <w:bookmarkEnd w:id="13"/>
    </w:p>
    <w:sectPr w:rsidR="009D4DBE" w:rsidRPr="0044482F" w:rsidSect="0044482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18" w:left="1134" w:header="680" w:footer="680"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61" w:rsidRDefault="00336561" w:rsidP="00E71A58">
      <w:r>
        <w:separator/>
      </w:r>
    </w:p>
  </w:endnote>
  <w:endnote w:type="continuationSeparator" w:id="0">
    <w:p w:rsidR="00336561" w:rsidRDefault="0033656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932443" w:rsidRDefault="00336561" w:rsidP="00A418BC">
    <w:pPr>
      <w:pStyle w:val="Zpat"/>
      <w:rPr>
        <w:szCs w:val="16"/>
      </w:rPr>
    </w:pPr>
    <w:r>
      <w:rPr>
        <w:szCs w:val="16"/>
        <w:lang w:eastAsia="cs-CZ"/>
      </w:rPr>
      <w:drawing>
        <wp:anchor distT="0" distB="0" distL="114300" distR="114300" simplePos="0" relativeHeight="251658240" behindDoc="0" locked="0" layoutInCell="1" allowOverlap="1" wp14:anchorId="244BEF6F" wp14:editId="102D3D42">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4482F">
      <w:rPr>
        <w:szCs w:val="16"/>
      </w:rPr>
      <w:t>42</w:t>
    </w:r>
    <w:r w:rsidRPr="00932443">
      <w:rPr>
        <w:szCs w:val="16"/>
      </w:rPr>
      <w:fldChar w:fldCharType="end"/>
    </w:r>
    <w:r w:rsidRPr="00932443">
      <w:rPr>
        <w:szCs w:val="16"/>
      </w:rPr>
      <w:tab/>
    </w:r>
    <w:r>
      <w:rPr>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03857"/>
      <w:docPartObj>
        <w:docPartGallery w:val="Page Numbers (Bottom of Page)"/>
        <w:docPartUnique/>
      </w:docPartObj>
    </w:sdtPr>
    <w:sdtEndPr/>
    <w:sdtContent>
      <w:p w:rsidR="00B72739" w:rsidRDefault="00B72739">
        <w:pPr>
          <w:pStyle w:val="Zpat"/>
          <w:jc w:val="right"/>
        </w:pPr>
        <w:r>
          <w:fldChar w:fldCharType="begin"/>
        </w:r>
        <w:r>
          <w:instrText>PAGE   \* MERGEFORMAT</w:instrText>
        </w:r>
        <w:r>
          <w:fldChar w:fldCharType="separate"/>
        </w:r>
        <w:r w:rsidR="0044482F">
          <w:t>41</w:t>
        </w:r>
        <w:r>
          <w:fldChar w:fldCharType="end"/>
        </w:r>
      </w:p>
    </w:sdtContent>
  </w:sdt>
  <w:p w:rsidR="00336561" w:rsidRPr="00932443" w:rsidRDefault="00336561" w:rsidP="00A418BC">
    <w:pPr>
      <w:pStyle w:val="Zpa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9" w:rsidRDefault="00B727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61" w:rsidRDefault="00336561" w:rsidP="00E71A58">
      <w:r>
        <w:separator/>
      </w:r>
    </w:p>
  </w:footnote>
  <w:footnote w:type="continuationSeparator" w:id="0">
    <w:p w:rsidR="00336561" w:rsidRDefault="00336561" w:rsidP="00E71A58">
      <w:r>
        <w:continuationSeparator/>
      </w:r>
    </w:p>
  </w:footnote>
  <w:footnote w:id="1">
    <w:p w:rsidR="0044482F" w:rsidRPr="00093BDF" w:rsidRDefault="0044482F" w:rsidP="0044482F">
      <w:pPr>
        <w:pStyle w:val="Textpoznpodarou"/>
        <w:rPr>
          <w:b/>
        </w:rPr>
      </w:pPr>
      <w:r w:rsidRPr="00093BDF">
        <w:rPr>
          <w:rStyle w:val="Znakapoznpodarou"/>
          <w:rFonts w:ascii="Arial" w:hAnsi="Arial" w:cs="Arial"/>
        </w:rPr>
        <w:footnoteRef/>
      </w:r>
      <w:r w:rsidRPr="00093BDF">
        <w:rPr>
          <w:rFonts w:ascii="Arial" w:hAnsi="Arial" w:cs="Arial"/>
        </w:rPr>
        <w:t xml:space="preserve"> </w:t>
      </w:r>
      <w:r w:rsidRPr="00093BDF">
        <w:rPr>
          <w:rFonts w:ascii="Arial" w:hAnsi="Arial" w:cs="Arial"/>
          <w:sz w:val="16"/>
        </w:rPr>
        <w:t>z toho 39 % v předchozích 12 měsících absolvovalo nějaké vzdělávání, 48 % se ani prostřednictvím formálních ani neformálních vzdělávacích aktivit nevzdělávalo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6F5416" w:rsidRDefault="00336561" w:rsidP="00513C8F">
    <w:pPr>
      <w:pStyle w:val="Zhlav"/>
    </w:pPr>
    <w:r>
      <w:t>Vzdělávání dospělých v České republice: výstupy z šetření Adult Education Survey 2016</w:t>
    </w:r>
  </w:p>
  <w:p w:rsidR="00336561" w:rsidRPr="00513C8F" w:rsidRDefault="00336561" w:rsidP="00513C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6F5416" w:rsidRDefault="00336561" w:rsidP="00937AE2">
    <w:pPr>
      <w:pStyle w:val="Zhlav"/>
    </w:pPr>
    <w:r>
      <w:t>Vzdělávání dospělých v České republice: výstupy z šetření Adult Education Survey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9" w:rsidRDefault="00B727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F145C7"/>
    <w:multiLevelType w:val="hybridMultilevel"/>
    <w:tmpl w:val="DBC6F89C"/>
    <w:lvl w:ilvl="0" w:tplc="8B5240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FF7670"/>
    <w:multiLevelType w:val="hybridMultilevel"/>
    <w:tmpl w:val="AF62AE82"/>
    <w:lvl w:ilvl="0" w:tplc="7FF20D26">
      <w:start w:val="1"/>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7"/>
    <w:rsid w:val="0000209D"/>
    <w:rsid w:val="00004D5A"/>
    <w:rsid w:val="000056D5"/>
    <w:rsid w:val="00006B90"/>
    <w:rsid w:val="0000767A"/>
    <w:rsid w:val="00010680"/>
    <w:rsid w:val="00010702"/>
    <w:rsid w:val="00012274"/>
    <w:rsid w:val="00016992"/>
    <w:rsid w:val="000211A4"/>
    <w:rsid w:val="000234D6"/>
    <w:rsid w:val="00023D29"/>
    <w:rsid w:val="00026389"/>
    <w:rsid w:val="0003132C"/>
    <w:rsid w:val="00031AE0"/>
    <w:rsid w:val="000322EF"/>
    <w:rsid w:val="0003395C"/>
    <w:rsid w:val="00033FCD"/>
    <w:rsid w:val="000412FF"/>
    <w:rsid w:val="00041CEC"/>
    <w:rsid w:val="00042C60"/>
    <w:rsid w:val="0004694F"/>
    <w:rsid w:val="00047009"/>
    <w:rsid w:val="000522E4"/>
    <w:rsid w:val="000574C3"/>
    <w:rsid w:val="000610E1"/>
    <w:rsid w:val="0006282F"/>
    <w:rsid w:val="00062EC5"/>
    <w:rsid w:val="00062F22"/>
    <w:rsid w:val="00066A32"/>
    <w:rsid w:val="000712B3"/>
    <w:rsid w:val="00071C49"/>
    <w:rsid w:val="00074C90"/>
    <w:rsid w:val="00080205"/>
    <w:rsid w:val="000815DC"/>
    <w:rsid w:val="0008263E"/>
    <w:rsid w:val="00082C19"/>
    <w:rsid w:val="000844A1"/>
    <w:rsid w:val="00085395"/>
    <w:rsid w:val="00087634"/>
    <w:rsid w:val="0008793A"/>
    <w:rsid w:val="00087F2B"/>
    <w:rsid w:val="00092457"/>
    <w:rsid w:val="000939B3"/>
    <w:rsid w:val="00093BDF"/>
    <w:rsid w:val="000974D1"/>
    <w:rsid w:val="0009799E"/>
    <w:rsid w:val="000A1183"/>
    <w:rsid w:val="000A256D"/>
    <w:rsid w:val="000A3A2C"/>
    <w:rsid w:val="000B30FA"/>
    <w:rsid w:val="000B3EB4"/>
    <w:rsid w:val="000C3408"/>
    <w:rsid w:val="000C4D26"/>
    <w:rsid w:val="000C6AFD"/>
    <w:rsid w:val="000D276B"/>
    <w:rsid w:val="000D5637"/>
    <w:rsid w:val="000D6721"/>
    <w:rsid w:val="000E6FBD"/>
    <w:rsid w:val="000F5E21"/>
    <w:rsid w:val="00100F5C"/>
    <w:rsid w:val="0010437D"/>
    <w:rsid w:val="00104C4C"/>
    <w:rsid w:val="001054D9"/>
    <w:rsid w:val="00113B38"/>
    <w:rsid w:val="0012192F"/>
    <w:rsid w:val="00125D69"/>
    <w:rsid w:val="00127F4F"/>
    <w:rsid w:val="00135429"/>
    <w:rsid w:val="001405FA"/>
    <w:rsid w:val="001425C3"/>
    <w:rsid w:val="00143760"/>
    <w:rsid w:val="00144E4E"/>
    <w:rsid w:val="001467A5"/>
    <w:rsid w:val="0016256B"/>
    <w:rsid w:val="00163793"/>
    <w:rsid w:val="00164B85"/>
    <w:rsid w:val="00170501"/>
    <w:rsid w:val="001706D6"/>
    <w:rsid w:val="001714F2"/>
    <w:rsid w:val="00184B08"/>
    <w:rsid w:val="00184B64"/>
    <w:rsid w:val="00185010"/>
    <w:rsid w:val="001866FE"/>
    <w:rsid w:val="001913B8"/>
    <w:rsid w:val="001A2E6F"/>
    <w:rsid w:val="001A552F"/>
    <w:rsid w:val="001B2CA9"/>
    <w:rsid w:val="001B3110"/>
    <w:rsid w:val="001B4729"/>
    <w:rsid w:val="001B6C09"/>
    <w:rsid w:val="001C05CD"/>
    <w:rsid w:val="001D68B2"/>
    <w:rsid w:val="001F4597"/>
    <w:rsid w:val="001F49B3"/>
    <w:rsid w:val="00200BCD"/>
    <w:rsid w:val="00201D5F"/>
    <w:rsid w:val="00204BA1"/>
    <w:rsid w:val="002118B9"/>
    <w:rsid w:val="002137B7"/>
    <w:rsid w:val="002167B1"/>
    <w:rsid w:val="00217C5B"/>
    <w:rsid w:val="0022139E"/>
    <w:rsid w:val="002252E0"/>
    <w:rsid w:val="002255F6"/>
    <w:rsid w:val="00227850"/>
    <w:rsid w:val="00227A53"/>
    <w:rsid w:val="00230C6E"/>
    <w:rsid w:val="00236443"/>
    <w:rsid w:val="00241357"/>
    <w:rsid w:val="00241789"/>
    <w:rsid w:val="00242F16"/>
    <w:rsid w:val="002436BA"/>
    <w:rsid w:val="00244A15"/>
    <w:rsid w:val="00247319"/>
    <w:rsid w:val="0024799E"/>
    <w:rsid w:val="0025127D"/>
    <w:rsid w:val="00253C0F"/>
    <w:rsid w:val="00255583"/>
    <w:rsid w:val="00256DD2"/>
    <w:rsid w:val="002572A0"/>
    <w:rsid w:val="00257CDD"/>
    <w:rsid w:val="0026599B"/>
    <w:rsid w:val="00271465"/>
    <w:rsid w:val="00271A37"/>
    <w:rsid w:val="00273722"/>
    <w:rsid w:val="0027721F"/>
    <w:rsid w:val="00280224"/>
    <w:rsid w:val="00280ED7"/>
    <w:rsid w:val="00285412"/>
    <w:rsid w:val="0029684A"/>
    <w:rsid w:val="002A00BE"/>
    <w:rsid w:val="002A16D4"/>
    <w:rsid w:val="002A230C"/>
    <w:rsid w:val="002B4D0F"/>
    <w:rsid w:val="002C1E4B"/>
    <w:rsid w:val="002C43BD"/>
    <w:rsid w:val="002C4590"/>
    <w:rsid w:val="002C6976"/>
    <w:rsid w:val="002D0E59"/>
    <w:rsid w:val="002D7715"/>
    <w:rsid w:val="002E02A1"/>
    <w:rsid w:val="002E4E4C"/>
    <w:rsid w:val="002E5F1B"/>
    <w:rsid w:val="00303EBB"/>
    <w:rsid w:val="00304771"/>
    <w:rsid w:val="003052D4"/>
    <w:rsid w:val="00306C5B"/>
    <w:rsid w:val="00312B65"/>
    <w:rsid w:val="003209D6"/>
    <w:rsid w:val="00321924"/>
    <w:rsid w:val="0032656E"/>
    <w:rsid w:val="00332190"/>
    <w:rsid w:val="003364F0"/>
    <w:rsid w:val="00336561"/>
    <w:rsid w:val="0034023E"/>
    <w:rsid w:val="003419D8"/>
    <w:rsid w:val="00344668"/>
    <w:rsid w:val="003462D9"/>
    <w:rsid w:val="00347121"/>
    <w:rsid w:val="003505DF"/>
    <w:rsid w:val="003536C8"/>
    <w:rsid w:val="003545D7"/>
    <w:rsid w:val="00356EDD"/>
    <w:rsid w:val="00360C86"/>
    <w:rsid w:val="003657F3"/>
    <w:rsid w:val="00380A0B"/>
    <w:rsid w:val="003818DC"/>
    <w:rsid w:val="00383392"/>
    <w:rsid w:val="00384327"/>
    <w:rsid w:val="00385D98"/>
    <w:rsid w:val="0039316D"/>
    <w:rsid w:val="003952A6"/>
    <w:rsid w:val="003963DC"/>
    <w:rsid w:val="003A2B4D"/>
    <w:rsid w:val="003A3D15"/>
    <w:rsid w:val="003A478C"/>
    <w:rsid w:val="003A5525"/>
    <w:rsid w:val="003A6B38"/>
    <w:rsid w:val="003B3766"/>
    <w:rsid w:val="003B51E9"/>
    <w:rsid w:val="003B5A32"/>
    <w:rsid w:val="003B5D01"/>
    <w:rsid w:val="003B6228"/>
    <w:rsid w:val="003B7199"/>
    <w:rsid w:val="003C19EA"/>
    <w:rsid w:val="003C32D5"/>
    <w:rsid w:val="003C3490"/>
    <w:rsid w:val="003C6DA9"/>
    <w:rsid w:val="003D4835"/>
    <w:rsid w:val="003D4BC6"/>
    <w:rsid w:val="003D6920"/>
    <w:rsid w:val="003E4C91"/>
    <w:rsid w:val="003F313C"/>
    <w:rsid w:val="003F4B2C"/>
    <w:rsid w:val="003F4E3A"/>
    <w:rsid w:val="003F551C"/>
    <w:rsid w:val="003F7D23"/>
    <w:rsid w:val="00407C13"/>
    <w:rsid w:val="00410638"/>
    <w:rsid w:val="004223AF"/>
    <w:rsid w:val="0042619C"/>
    <w:rsid w:val="00432A58"/>
    <w:rsid w:val="00434617"/>
    <w:rsid w:val="00440900"/>
    <w:rsid w:val="0044416B"/>
    <w:rsid w:val="004441A0"/>
    <w:rsid w:val="0044482F"/>
    <w:rsid w:val="00444D0E"/>
    <w:rsid w:val="004469D5"/>
    <w:rsid w:val="00446BB7"/>
    <w:rsid w:val="00460FB3"/>
    <w:rsid w:val="00462266"/>
    <w:rsid w:val="00465B1D"/>
    <w:rsid w:val="00475409"/>
    <w:rsid w:val="00476240"/>
    <w:rsid w:val="00476439"/>
    <w:rsid w:val="0047735C"/>
    <w:rsid w:val="004776BC"/>
    <w:rsid w:val="0048139F"/>
    <w:rsid w:val="00481E40"/>
    <w:rsid w:val="00484ECE"/>
    <w:rsid w:val="004900FF"/>
    <w:rsid w:val="004915CB"/>
    <w:rsid w:val="004924DC"/>
    <w:rsid w:val="004956CD"/>
    <w:rsid w:val="004A14E4"/>
    <w:rsid w:val="004A2FDF"/>
    <w:rsid w:val="004A3212"/>
    <w:rsid w:val="004A3960"/>
    <w:rsid w:val="004A61C5"/>
    <w:rsid w:val="004A77DF"/>
    <w:rsid w:val="004B1417"/>
    <w:rsid w:val="004B55B7"/>
    <w:rsid w:val="004B6468"/>
    <w:rsid w:val="004B7295"/>
    <w:rsid w:val="004C384C"/>
    <w:rsid w:val="004C3867"/>
    <w:rsid w:val="004C4CD0"/>
    <w:rsid w:val="004C4F0B"/>
    <w:rsid w:val="004C61ED"/>
    <w:rsid w:val="004C70DC"/>
    <w:rsid w:val="004C78B4"/>
    <w:rsid w:val="004D0211"/>
    <w:rsid w:val="004D0794"/>
    <w:rsid w:val="004F06F5"/>
    <w:rsid w:val="004F33A0"/>
    <w:rsid w:val="00500A8A"/>
    <w:rsid w:val="005022F5"/>
    <w:rsid w:val="005036C1"/>
    <w:rsid w:val="005108C0"/>
    <w:rsid w:val="00511873"/>
    <w:rsid w:val="00512A2F"/>
    <w:rsid w:val="00513B7E"/>
    <w:rsid w:val="00513C8F"/>
    <w:rsid w:val="00515C74"/>
    <w:rsid w:val="0052007E"/>
    <w:rsid w:val="0052227C"/>
    <w:rsid w:val="0052337A"/>
    <w:rsid w:val="00525137"/>
    <w:rsid w:val="005251DD"/>
    <w:rsid w:val="005252C7"/>
    <w:rsid w:val="00530358"/>
    <w:rsid w:val="00532CE7"/>
    <w:rsid w:val="0053324C"/>
    <w:rsid w:val="00534A28"/>
    <w:rsid w:val="00536ED4"/>
    <w:rsid w:val="00541508"/>
    <w:rsid w:val="0055599F"/>
    <w:rsid w:val="00556D68"/>
    <w:rsid w:val="005647BF"/>
    <w:rsid w:val="0057104E"/>
    <w:rsid w:val="0057364B"/>
    <w:rsid w:val="00574773"/>
    <w:rsid w:val="00575CAF"/>
    <w:rsid w:val="00577ADE"/>
    <w:rsid w:val="00583FFD"/>
    <w:rsid w:val="00585EBD"/>
    <w:rsid w:val="005911BE"/>
    <w:rsid w:val="005919E3"/>
    <w:rsid w:val="00592E9D"/>
    <w:rsid w:val="00593152"/>
    <w:rsid w:val="00596AC3"/>
    <w:rsid w:val="005A10F2"/>
    <w:rsid w:val="005A21E0"/>
    <w:rsid w:val="005A28FF"/>
    <w:rsid w:val="005A3DF8"/>
    <w:rsid w:val="005A5549"/>
    <w:rsid w:val="005B121D"/>
    <w:rsid w:val="005C06ED"/>
    <w:rsid w:val="005D5802"/>
    <w:rsid w:val="005D7890"/>
    <w:rsid w:val="005E1EDF"/>
    <w:rsid w:val="005E3D36"/>
    <w:rsid w:val="005E3E25"/>
    <w:rsid w:val="005E7C78"/>
    <w:rsid w:val="005F103E"/>
    <w:rsid w:val="005F3EB1"/>
    <w:rsid w:val="005F5469"/>
    <w:rsid w:val="00604307"/>
    <w:rsid w:val="0060487F"/>
    <w:rsid w:val="00604EAD"/>
    <w:rsid w:val="006104FB"/>
    <w:rsid w:val="00610A12"/>
    <w:rsid w:val="0061298D"/>
    <w:rsid w:val="00612A2F"/>
    <w:rsid w:val="00616E05"/>
    <w:rsid w:val="00624093"/>
    <w:rsid w:val="006241DA"/>
    <w:rsid w:val="00625441"/>
    <w:rsid w:val="00635EFE"/>
    <w:rsid w:val="006404A7"/>
    <w:rsid w:val="00642E59"/>
    <w:rsid w:val="006451E4"/>
    <w:rsid w:val="00645B33"/>
    <w:rsid w:val="006516CB"/>
    <w:rsid w:val="00654624"/>
    <w:rsid w:val="00655FC0"/>
    <w:rsid w:val="00657E87"/>
    <w:rsid w:val="00664803"/>
    <w:rsid w:val="00664C0B"/>
    <w:rsid w:val="006650D4"/>
    <w:rsid w:val="00665BA4"/>
    <w:rsid w:val="00667AF2"/>
    <w:rsid w:val="006710C9"/>
    <w:rsid w:val="00674D89"/>
    <w:rsid w:val="00675E37"/>
    <w:rsid w:val="0068174E"/>
    <w:rsid w:val="00681DCE"/>
    <w:rsid w:val="0068260E"/>
    <w:rsid w:val="0068424C"/>
    <w:rsid w:val="006921DA"/>
    <w:rsid w:val="006923A5"/>
    <w:rsid w:val="00692CB8"/>
    <w:rsid w:val="00693373"/>
    <w:rsid w:val="00695BEF"/>
    <w:rsid w:val="0069600B"/>
    <w:rsid w:val="006977F6"/>
    <w:rsid w:val="00697A13"/>
    <w:rsid w:val="006A109C"/>
    <w:rsid w:val="006A43AD"/>
    <w:rsid w:val="006A5F3C"/>
    <w:rsid w:val="006B344A"/>
    <w:rsid w:val="006B78D8"/>
    <w:rsid w:val="006C113F"/>
    <w:rsid w:val="006C123E"/>
    <w:rsid w:val="006C1898"/>
    <w:rsid w:val="006C56D4"/>
    <w:rsid w:val="006C5C1A"/>
    <w:rsid w:val="006C6924"/>
    <w:rsid w:val="006C7220"/>
    <w:rsid w:val="006C7CA6"/>
    <w:rsid w:val="006D3E8A"/>
    <w:rsid w:val="006D4359"/>
    <w:rsid w:val="006D61F6"/>
    <w:rsid w:val="006E0D1C"/>
    <w:rsid w:val="006E279A"/>
    <w:rsid w:val="006E313B"/>
    <w:rsid w:val="006E3537"/>
    <w:rsid w:val="006E3FD7"/>
    <w:rsid w:val="006F0AA1"/>
    <w:rsid w:val="006F181D"/>
    <w:rsid w:val="006F265C"/>
    <w:rsid w:val="006F2E0F"/>
    <w:rsid w:val="006F4BEE"/>
    <w:rsid w:val="006F4DC1"/>
    <w:rsid w:val="006F5416"/>
    <w:rsid w:val="006F56C4"/>
    <w:rsid w:val="006F7137"/>
    <w:rsid w:val="00705950"/>
    <w:rsid w:val="00706AD4"/>
    <w:rsid w:val="007140BE"/>
    <w:rsid w:val="007211F5"/>
    <w:rsid w:val="00725BB5"/>
    <w:rsid w:val="00730AE8"/>
    <w:rsid w:val="00732FA7"/>
    <w:rsid w:val="00733B26"/>
    <w:rsid w:val="00741493"/>
    <w:rsid w:val="00752180"/>
    <w:rsid w:val="00755202"/>
    <w:rsid w:val="00755D3A"/>
    <w:rsid w:val="007578D3"/>
    <w:rsid w:val="007609C6"/>
    <w:rsid w:val="0076175D"/>
    <w:rsid w:val="0076343F"/>
    <w:rsid w:val="0076521E"/>
    <w:rsid w:val="007661E9"/>
    <w:rsid w:val="0077066B"/>
    <w:rsid w:val="00771A74"/>
    <w:rsid w:val="00772CBF"/>
    <w:rsid w:val="0077612E"/>
    <w:rsid w:val="00776169"/>
    <w:rsid w:val="00776527"/>
    <w:rsid w:val="00780EF1"/>
    <w:rsid w:val="00782D73"/>
    <w:rsid w:val="00784BF9"/>
    <w:rsid w:val="007852DA"/>
    <w:rsid w:val="00790764"/>
    <w:rsid w:val="00792DB1"/>
    <w:rsid w:val="0079453C"/>
    <w:rsid w:val="00794677"/>
    <w:rsid w:val="007970CB"/>
    <w:rsid w:val="007A3F91"/>
    <w:rsid w:val="007B6689"/>
    <w:rsid w:val="007B6B57"/>
    <w:rsid w:val="007D157D"/>
    <w:rsid w:val="007D40DF"/>
    <w:rsid w:val="007E466B"/>
    <w:rsid w:val="007E7E61"/>
    <w:rsid w:val="007F0845"/>
    <w:rsid w:val="007F41A4"/>
    <w:rsid w:val="00800269"/>
    <w:rsid w:val="00804953"/>
    <w:rsid w:val="00807C82"/>
    <w:rsid w:val="008115EF"/>
    <w:rsid w:val="00814F76"/>
    <w:rsid w:val="00816905"/>
    <w:rsid w:val="00821FF6"/>
    <w:rsid w:val="00825C4D"/>
    <w:rsid w:val="0083143E"/>
    <w:rsid w:val="00831CDE"/>
    <w:rsid w:val="00834304"/>
    <w:rsid w:val="00834FAA"/>
    <w:rsid w:val="00836086"/>
    <w:rsid w:val="00844EE4"/>
    <w:rsid w:val="0084708F"/>
    <w:rsid w:val="008477C8"/>
    <w:rsid w:val="0085114D"/>
    <w:rsid w:val="00852217"/>
    <w:rsid w:val="00855408"/>
    <w:rsid w:val="00856D65"/>
    <w:rsid w:val="00861B41"/>
    <w:rsid w:val="00863434"/>
    <w:rsid w:val="00865E4C"/>
    <w:rsid w:val="00866AAA"/>
    <w:rsid w:val="008701E4"/>
    <w:rsid w:val="008704B3"/>
    <w:rsid w:val="00871E3C"/>
    <w:rsid w:val="00875A32"/>
    <w:rsid w:val="00876086"/>
    <w:rsid w:val="008873D4"/>
    <w:rsid w:val="0089396E"/>
    <w:rsid w:val="00893E85"/>
    <w:rsid w:val="00894031"/>
    <w:rsid w:val="008968C0"/>
    <w:rsid w:val="008969B9"/>
    <w:rsid w:val="008A3E60"/>
    <w:rsid w:val="008A4F1C"/>
    <w:rsid w:val="008A7D68"/>
    <w:rsid w:val="008A7EAA"/>
    <w:rsid w:val="008B7C02"/>
    <w:rsid w:val="008B7D2B"/>
    <w:rsid w:val="008C0049"/>
    <w:rsid w:val="008C0E88"/>
    <w:rsid w:val="008C3137"/>
    <w:rsid w:val="008C45EF"/>
    <w:rsid w:val="008C5DD0"/>
    <w:rsid w:val="008D1E6A"/>
    <w:rsid w:val="008D2A16"/>
    <w:rsid w:val="008D4F48"/>
    <w:rsid w:val="008E2C57"/>
    <w:rsid w:val="008E31FF"/>
    <w:rsid w:val="008E4D08"/>
    <w:rsid w:val="008E6F06"/>
    <w:rsid w:val="008F029B"/>
    <w:rsid w:val="008F15F0"/>
    <w:rsid w:val="008F3FC9"/>
    <w:rsid w:val="008F585B"/>
    <w:rsid w:val="008F617E"/>
    <w:rsid w:val="009003A8"/>
    <w:rsid w:val="009006FA"/>
    <w:rsid w:val="00902500"/>
    <w:rsid w:val="0090250A"/>
    <w:rsid w:val="00902E03"/>
    <w:rsid w:val="00902EFF"/>
    <w:rsid w:val="00906275"/>
    <w:rsid w:val="00906401"/>
    <w:rsid w:val="00907C65"/>
    <w:rsid w:val="0091155E"/>
    <w:rsid w:val="00911ECD"/>
    <w:rsid w:val="00912A92"/>
    <w:rsid w:val="00914C76"/>
    <w:rsid w:val="0091728D"/>
    <w:rsid w:val="00917D79"/>
    <w:rsid w:val="0092180B"/>
    <w:rsid w:val="00921F14"/>
    <w:rsid w:val="00922620"/>
    <w:rsid w:val="00924AC8"/>
    <w:rsid w:val="0092597A"/>
    <w:rsid w:val="00925D42"/>
    <w:rsid w:val="00932443"/>
    <w:rsid w:val="00932EF4"/>
    <w:rsid w:val="00937AE2"/>
    <w:rsid w:val="00940D55"/>
    <w:rsid w:val="0094427A"/>
    <w:rsid w:val="00944594"/>
    <w:rsid w:val="00947FBF"/>
    <w:rsid w:val="009505C9"/>
    <w:rsid w:val="009519DD"/>
    <w:rsid w:val="00951D29"/>
    <w:rsid w:val="00961A70"/>
    <w:rsid w:val="00974923"/>
    <w:rsid w:val="00977C02"/>
    <w:rsid w:val="00980D3D"/>
    <w:rsid w:val="00987A30"/>
    <w:rsid w:val="00992CF3"/>
    <w:rsid w:val="00994790"/>
    <w:rsid w:val="009968D6"/>
    <w:rsid w:val="009969B5"/>
    <w:rsid w:val="009A1CAB"/>
    <w:rsid w:val="009A60D1"/>
    <w:rsid w:val="009A6EEA"/>
    <w:rsid w:val="009B6FD3"/>
    <w:rsid w:val="009C1750"/>
    <w:rsid w:val="009C2494"/>
    <w:rsid w:val="009C2E29"/>
    <w:rsid w:val="009C4063"/>
    <w:rsid w:val="009C554B"/>
    <w:rsid w:val="009C687D"/>
    <w:rsid w:val="009C6B38"/>
    <w:rsid w:val="009C719E"/>
    <w:rsid w:val="009D3ACD"/>
    <w:rsid w:val="009D4DBE"/>
    <w:rsid w:val="009E5273"/>
    <w:rsid w:val="009E5DDB"/>
    <w:rsid w:val="009F1A6F"/>
    <w:rsid w:val="009F1A9A"/>
    <w:rsid w:val="009F4CA7"/>
    <w:rsid w:val="00A0046C"/>
    <w:rsid w:val="00A02152"/>
    <w:rsid w:val="00A10D66"/>
    <w:rsid w:val="00A11CE9"/>
    <w:rsid w:val="00A14114"/>
    <w:rsid w:val="00A16413"/>
    <w:rsid w:val="00A238C2"/>
    <w:rsid w:val="00A23E43"/>
    <w:rsid w:val="00A2772B"/>
    <w:rsid w:val="00A30F65"/>
    <w:rsid w:val="00A344BE"/>
    <w:rsid w:val="00A418BC"/>
    <w:rsid w:val="00A44674"/>
    <w:rsid w:val="00A46DE0"/>
    <w:rsid w:val="00A502C3"/>
    <w:rsid w:val="00A50D73"/>
    <w:rsid w:val="00A52CAD"/>
    <w:rsid w:val="00A536A6"/>
    <w:rsid w:val="00A53FC7"/>
    <w:rsid w:val="00A5401F"/>
    <w:rsid w:val="00A62CE1"/>
    <w:rsid w:val="00A6719C"/>
    <w:rsid w:val="00A6741E"/>
    <w:rsid w:val="00A75E40"/>
    <w:rsid w:val="00A77D1D"/>
    <w:rsid w:val="00A808B2"/>
    <w:rsid w:val="00A857C0"/>
    <w:rsid w:val="00A939DE"/>
    <w:rsid w:val="00A97BBA"/>
    <w:rsid w:val="00AA2996"/>
    <w:rsid w:val="00AA2A0D"/>
    <w:rsid w:val="00AA4922"/>
    <w:rsid w:val="00AA508B"/>
    <w:rsid w:val="00AA52BF"/>
    <w:rsid w:val="00AA559A"/>
    <w:rsid w:val="00AB063A"/>
    <w:rsid w:val="00AB2AF1"/>
    <w:rsid w:val="00AB65CD"/>
    <w:rsid w:val="00AC0CBE"/>
    <w:rsid w:val="00AC0E34"/>
    <w:rsid w:val="00AC26F5"/>
    <w:rsid w:val="00AC27E7"/>
    <w:rsid w:val="00AC2D7F"/>
    <w:rsid w:val="00AC4EB9"/>
    <w:rsid w:val="00AC5216"/>
    <w:rsid w:val="00AD284D"/>
    <w:rsid w:val="00AD306C"/>
    <w:rsid w:val="00AD4C08"/>
    <w:rsid w:val="00AD6BF4"/>
    <w:rsid w:val="00AE09B3"/>
    <w:rsid w:val="00AE1A83"/>
    <w:rsid w:val="00AE6059"/>
    <w:rsid w:val="00AE7CE7"/>
    <w:rsid w:val="00AF411F"/>
    <w:rsid w:val="00B00913"/>
    <w:rsid w:val="00B01593"/>
    <w:rsid w:val="00B10A4D"/>
    <w:rsid w:val="00B149FD"/>
    <w:rsid w:val="00B17E71"/>
    <w:rsid w:val="00B17E8B"/>
    <w:rsid w:val="00B17FDE"/>
    <w:rsid w:val="00B206A6"/>
    <w:rsid w:val="00B219C0"/>
    <w:rsid w:val="00B2379C"/>
    <w:rsid w:val="00B2687D"/>
    <w:rsid w:val="00B327BB"/>
    <w:rsid w:val="00B32DDB"/>
    <w:rsid w:val="00B34528"/>
    <w:rsid w:val="00B37C4C"/>
    <w:rsid w:val="00B402FC"/>
    <w:rsid w:val="00B4133C"/>
    <w:rsid w:val="00B415F8"/>
    <w:rsid w:val="00B418A2"/>
    <w:rsid w:val="00B46604"/>
    <w:rsid w:val="00B530CD"/>
    <w:rsid w:val="00B55F5E"/>
    <w:rsid w:val="00B5752E"/>
    <w:rsid w:val="00B636DA"/>
    <w:rsid w:val="00B63A11"/>
    <w:rsid w:val="00B64886"/>
    <w:rsid w:val="00B64C24"/>
    <w:rsid w:val="00B6608F"/>
    <w:rsid w:val="00B679FB"/>
    <w:rsid w:val="00B72739"/>
    <w:rsid w:val="00B76D1E"/>
    <w:rsid w:val="00B77EA5"/>
    <w:rsid w:val="00B80EC6"/>
    <w:rsid w:val="00B814A3"/>
    <w:rsid w:val="00B84B23"/>
    <w:rsid w:val="00B92D1D"/>
    <w:rsid w:val="00B938C5"/>
    <w:rsid w:val="00B95940"/>
    <w:rsid w:val="00BA0D5C"/>
    <w:rsid w:val="00BB46F3"/>
    <w:rsid w:val="00BB4CB1"/>
    <w:rsid w:val="00BB4F98"/>
    <w:rsid w:val="00BC7154"/>
    <w:rsid w:val="00BD08CF"/>
    <w:rsid w:val="00BD15CA"/>
    <w:rsid w:val="00BD18BF"/>
    <w:rsid w:val="00BD2976"/>
    <w:rsid w:val="00BD366B"/>
    <w:rsid w:val="00BD6D50"/>
    <w:rsid w:val="00BE18B9"/>
    <w:rsid w:val="00BE2495"/>
    <w:rsid w:val="00BF1578"/>
    <w:rsid w:val="00BF653F"/>
    <w:rsid w:val="00C06B29"/>
    <w:rsid w:val="00C07A2D"/>
    <w:rsid w:val="00C21F94"/>
    <w:rsid w:val="00C27913"/>
    <w:rsid w:val="00C27ECC"/>
    <w:rsid w:val="00C33B68"/>
    <w:rsid w:val="00C36A79"/>
    <w:rsid w:val="00C405D4"/>
    <w:rsid w:val="00C4513B"/>
    <w:rsid w:val="00C4720E"/>
    <w:rsid w:val="00C54697"/>
    <w:rsid w:val="00C54F9B"/>
    <w:rsid w:val="00C635FD"/>
    <w:rsid w:val="00C73885"/>
    <w:rsid w:val="00C73AA9"/>
    <w:rsid w:val="00C747B1"/>
    <w:rsid w:val="00C82191"/>
    <w:rsid w:val="00C82BB1"/>
    <w:rsid w:val="00C90CF4"/>
    <w:rsid w:val="00C92EB6"/>
    <w:rsid w:val="00C93389"/>
    <w:rsid w:val="00CA6ECE"/>
    <w:rsid w:val="00CB3674"/>
    <w:rsid w:val="00CB4930"/>
    <w:rsid w:val="00CB67EE"/>
    <w:rsid w:val="00CB7412"/>
    <w:rsid w:val="00CC2E7D"/>
    <w:rsid w:val="00CC5F2F"/>
    <w:rsid w:val="00CD10A5"/>
    <w:rsid w:val="00CD2076"/>
    <w:rsid w:val="00CD2B68"/>
    <w:rsid w:val="00CD5780"/>
    <w:rsid w:val="00CE3A26"/>
    <w:rsid w:val="00CE670B"/>
    <w:rsid w:val="00CF51EC"/>
    <w:rsid w:val="00CF73AE"/>
    <w:rsid w:val="00CF751A"/>
    <w:rsid w:val="00D01961"/>
    <w:rsid w:val="00D03BB0"/>
    <w:rsid w:val="00D040DD"/>
    <w:rsid w:val="00D05C1C"/>
    <w:rsid w:val="00D13986"/>
    <w:rsid w:val="00D21DE0"/>
    <w:rsid w:val="00D235B7"/>
    <w:rsid w:val="00D25F28"/>
    <w:rsid w:val="00D27973"/>
    <w:rsid w:val="00D3473E"/>
    <w:rsid w:val="00D436D3"/>
    <w:rsid w:val="00D44E5A"/>
    <w:rsid w:val="00D50F46"/>
    <w:rsid w:val="00D66223"/>
    <w:rsid w:val="00D745F5"/>
    <w:rsid w:val="00D8084C"/>
    <w:rsid w:val="00D8166C"/>
    <w:rsid w:val="00D86BE2"/>
    <w:rsid w:val="00D947DD"/>
    <w:rsid w:val="00DA3268"/>
    <w:rsid w:val="00DA3410"/>
    <w:rsid w:val="00DA7C0C"/>
    <w:rsid w:val="00DB2EC8"/>
    <w:rsid w:val="00DC5B3B"/>
    <w:rsid w:val="00DD129F"/>
    <w:rsid w:val="00DF42FF"/>
    <w:rsid w:val="00E01C0E"/>
    <w:rsid w:val="00E022A3"/>
    <w:rsid w:val="00E03F9A"/>
    <w:rsid w:val="00E04694"/>
    <w:rsid w:val="00E12B1E"/>
    <w:rsid w:val="00E17262"/>
    <w:rsid w:val="00E17621"/>
    <w:rsid w:val="00E176D8"/>
    <w:rsid w:val="00E253A2"/>
    <w:rsid w:val="00E27C4A"/>
    <w:rsid w:val="00E3309D"/>
    <w:rsid w:val="00E33857"/>
    <w:rsid w:val="00E33E06"/>
    <w:rsid w:val="00E462B7"/>
    <w:rsid w:val="00E50156"/>
    <w:rsid w:val="00E50FF8"/>
    <w:rsid w:val="00E5165F"/>
    <w:rsid w:val="00E53470"/>
    <w:rsid w:val="00E539F6"/>
    <w:rsid w:val="00E55E47"/>
    <w:rsid w:val="00E6519D"/>
    <w:rsid w:val="00E67696"/>
    <w:rsid w:val="00E703C0"/>
    <w:rsid w:val="00E704A3"/>
    <w:rsid w:val="00E71A58"/>
    <w:rsid w:val="00E72A7A"/>
    <w:rsid w:val="00E75C94"/>
    <w:rsid w:val="00E80A44"/>
    <w:rsid w:val="00E82629"/>
    <w:rsid w:val="00E83F54"/>
    <w:rsid w:val="00E84D30"/>
    <w:rsid w:val="00E8785C"/>
    <w:rsid w:val="00E93820"/>
    <w:rsid w:val="00EA0C68"/>
    <w:rsid w:val="00EA308A"/>
    <w:rsid w:val="00EA32BC"/>
    <w:rsid w:val="00EB44D0"/>
    <w:rsid w:val="00EB4511"/>
    <w:rsid w:val="00EB6316"/>
    <w:rsid w:val="00EC03D7"/>
    <w:rsid w:val="00EC1062"/>
    <w:rsid w:val="00EC58D3"/>
    <w:rsid w:val="00EC67AA"/>
    <w:rsid w:val="00ED5565"/>
    <w:rsid w:val="00ED62C6"/>
    <w:rsid w:val="00ED64C1"/>
    <w:rsid w:val="00ED750A"/>
    <w:rsid w:val="00EE07CF"/>
    <w:rsid w:val="00EE3446"/>
    <w:rsid w:val="00EE3E78"/>
    <w:rsid w:val="00EE4666"/>
    <w:rsid w:val="00EE4B1B"/>
    <w:rsid w:val="00EE7F24"/>
    <w:rsid w:val="00EF150D"/>
    <w:rsid w:val="00EF1F5A"/>
    <w:rsid w:val="00EF47BF"/>
    <w:rsid w:val="00F04811"/>
    <w:rsid w:val="00F0488C"/>
    <w:rsid w:val="00F04FD7"/>
    <w:rsid w:val="00F05F5E"/>
    <w:rsid w:val="00F10F11"/>
    <w:rsid w:val="00F15AAA"/>
    <w:rsid w:val="00F15BEF"/>
    <w:rsid w:val="00F15D93"/>
    <w:rsid w:val="00F24407"/>
    <w:rsid w:val="00F24FAA"/>
    <w:rsid w:val="00F3364D"/>
    <w:rsid w:val="00F437CC"/>
    <w:rsid w:val="00F47067"/>
    <w:rsid w:val="00F525EB"/>
    <w:rsid w:val="00F55B0B"/>
    <w:rsid w:val="00F57304"/>
    <w:rsid w:val="00F63DDE"/>
    <w:rsid w:val="00F63FB7"/>
    <w:rsid w:val="00F64261"/>
    <w:rsid w:val="00F649D2"/>
    <w:rsid w:val="00F6602B"/>
    <w:rsid w:val="00F67E01"/>
    <w:rsid w:val="00F7260E"/>
    <w:rsid w:val="00F73A0C"/>
    <w:rsid w:val="00F74103"/>
    <w:rsid w:val="00F756DB"/>
    <w:rsid w:val="00F75D08"/>
    <w:rsid w:val="00F767F9"/>
    <w:rsid w:val="00F8446D"/>
    <w:rsid w:val="00F85066"/>
    <w:rsid w:val="00FA5D4D"/>
    <w:rsid w:val="00FB0EE2"/>
    <w:rsid w:val="00FB542E"/>
    <w:rsid w:val="00FC0E5F"/>
    <w:rsid w:val="00FC1A95"/>
    <w:rsid w:val="00FC2F5E"/>
    <w:rsid w:val="00FC49A2"/>
    <w:rsid w:val="00FC56DE"/>
    <w:rsid w:val="00FC684B"/>
    <w:rsid w:val="00FD3265"/>
    <w:rsid w:val="00FE07B0"/>
    <w:rsid w:val="00FE138E"/>
    <w:rsid w:val="00FE2F78"/>
    <w:rsid w:val="00FE5544"/>
    <w:rsid w:val="00FF1D87"/>
    <w:rsid w:val="00FF46A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2339644">
      <w:bodyDiv w:val="1"/>
      <w:marLeft w:val="0"/>
      <w:marRight w:val="0"/>
      <w:marTop w:val="0"/>
      <w:marBottom w:val="0"/>
      <w:divBdr>
        <w:top w:val="none" w:sz="0" w:space="0" w:color="auto"/>
        <w:left w:val="none" w:sz="0" w:space="0" w:color="auto"/>
        <w:bottom w:val="none" w:sz="0" w:space="0" w:color="auto"/>
        <w:right w:val="none" w:sz="0" w:space="0" w:color="auto"/>
      </w:divBdr>
      <w:divsChild>
        <w:div w:id="16589340">
          <w:marLeft w:val="0"/>
          <w:marRight w:val="0"/>
          <w:marTop w:val="0"/>
          <w:marBottom w:val="0"/>
          <w:divBdr>
            <w:top w:val="none" w:sz="0" w:space="0" w:color="auto"/>
            <w:left w:val="none" w:sz="0" w:space="0" w:color="auto"/>
            <w:bottom w:val="none" w:sz="0" w:space="0" w:color="auto"/>
            <w:right w:val="none" w:sz="0" w:space="0" w:color="auto"/>
          </w:divBdr>
        </w:div>
        <w:div w:id="17581461">
          <w:marLeft w:val="0"/>
          <w:marRight w:val="0"/>
          <w:marTop w:val="0"/>
          <w:marBottom w:val="0"/>
          <w:divBdr>
            <w:top w:val="none" w:sz="0" w:space="0" w:color="auto"/>
            <w:left w:val="none" w:sz="0" w:space="0" w:color="auto"/>
            <w:bottom w:val="none" w:sz="0" w:space="0" w:color="auto"/>
            <w:right w:val="none" w:sz="0" w:space="0" w:color="auto"/>
          </w:divBdr>
        </w:div>
        <w:div w:id="20713678">
          <w:marLeft w:val="0"/>
          <w:marRight w:val="0"/>
          <w:marTop w:val="0"/>
          <w:marBottom w:val="0"/>
          <w:divBdr>
            <w:top w:val="none" w:sz="0" w:space="0" w:color="auto"/>
            <w:left w:val="none" w:sz="0" w:space="0" w:color="auto"/>
            <w:bottom w:val="none" w:sz="0" w:space="0" w:color="auto"/>
            <w:right w:val="none" w:sz="0" w:space="0" w:color="auto"/>
          </w:divBdr>
        </w:div>
        <w:div w:id="28192721">
          <w:marLeft w:val="0"/>
          <w:marRight w:val="0"/>
          <w:marTop w:val="0"/>
          <w:marBottom w:val="0"/>
          <w:divBdr>
            <w:top w:val="none" w:sz="0" w:space="0" w:color="auto"/>
            <w:left w:val="none" w:sz="0" w:space="0" w:color="auto"/>
            <w:bottom w:val="none" w:sz="0" w:space="0" w:color="auto"/>
            <w:right w:val="none" w:sz="0" w:space="0" w:color="auto"/>
          </w:divBdr>
        </w:div>
        <w:div w:id="41099745">
          <w:marLeft w:val="0"/>
          <w:marRight w:val="0"/>
          <w:marTop w:val="0"/>
          <w:marBottom w:val="0"/>
          <w:divBdr>
            <w:top w:val="none" w:sz="0" w:space="0" w:color="auto"/>
            <w:left w:val="none" w:sz="0" w:space="0" w:color="auto"/>
            <w:bottom w:val="none" w:sz="0" w:space="0" w:color="auto"/>
            <w:right w:val="none" w:sz="0" w:space="0" w:color="auto"/>
          </w:divBdr>
        </w:div>
        <w:div w:id="42028469">
          <w:marLeft w:val="0"/>
          <w:marRight w:val="0"/>
          <w:marTop w:val="0"/>
          <w:marBottom w:val="0"/>
          <w:divBdr>
            <w:top w:val="none" w:sz="0" w:space="0" w:color="auto"/>
            <w:left w:val="none" w:sz="0" w:space="0" w:color="auto"/>
            <w:bottom w:val="none" w:sz="0" w:space="0" w:color="auto"/>
            <w:right w:val="none" w:sz="0" w:space="0" w:color="auto"/>
          </w:divBdr>
        </w:div>
        <w:div w:id="53312155">
          <w:marLeft w:val="0"/>
          <w:marRight w:val="0"/>
          <w:marTop w:val="0"/>
          <w:marBottom w:val="0"/>
          <w:divBdr>
            <w:top w:val="none" w:sz="0" w:space="0" w:color="auto"/>
            <w:left w:val="none" w:sz="0" w:space="0" w:color="auto"/>
            <w:bottom w:val="none" w:sz="0" w:space="0" w:color="auto"/>
            <w:right w:val="none" w:sz="0" w:space="0" w:color="auto"/>
          </w:divBdr>
        </w:div>
        <w:div w:id="57242944">
          <w:marLeft w:val="0"/>
          <w:marRight w:val="0"/>
          <w:marTop w:val="0"/>
          <w:marBottom w:val="0"/>
          <w:divBdr>
            <w:top w:val="none" w:sz="0" w:space="0" w:color="auto"/>
            <w:left w:val="none" w:sz="0" w:space="0" w:color="auto"/>
            <w:bottom w:val="none" w:sz="0" w:space="0" w:color="auto"/>
            <w:right w:val="none" w:sz="0" w:space="0" w:color="auto"/>
          </w:divBdr>
        </w:div>
        <w:div w:id="79758482">
          <w:marLeft w:val="0"/>
          <w:marRight w:val="0"/>
          <w:marTop w:val="0"/>
          <w:marBottom w:val="0"/>
          <w:divBdr>
            <w:top w:val="none" w:sz="0" w:space="0" w:color="auto"/>
            <w:left w:val="none" w:sz="0" w:space="0" w:color="auto"/>
            <w:bottom w:val="none" w:sz="0" w:space="0" w:color="auto"/>
            <w:right w:val="none" w:sz="0" w:space="0" w:color="auto"/>
          </w:divBdr>
        </w:div>
        <w:div w:id="81726152">
          <w:marLeft w:val="0"/>
          <w:marRight w:val="0"/>
          <w:marTop w:val="0"/>
          <w:marBottom w:val="0"/>
          <w:divBdr>
            <w:top w:val="none" w:sz="0" w:space="0" w:color="auto"/>
            <w:left w:val="none" w:sz="0" w:space="0" w:color="auto"/>
            <w:bottom w:val="none" w:sz="0" w:space="0" w:color="auto"/>
            <w:right w:val="none" w:sz="0" w:space="0" w:color="auto"/>
          </w:divBdr>
        </w:div>
        <w:div w:id="83193032">
          <w:marLeft w:val="0"/>
          <w:marRight w:val="0"/>
          <w:marTop w:val="0"/>
          <w:marBottom w:val="0"/>
          <w:divBdr>
            <w:top w:val="none" w:sz="0" w:space="0" w:color="auto"/>
            <w:left w:val="none" w:sz="0" w:space="0" w:color="auto"/>
            <w:bottom w:val="none" w:sz="0" w:space="0" w:color="auto"/>
            <w:right w:val="none" w:sz="0" w:space="0" w:color="auto"/>
          </w:divBdr>
        </w:div>
        <w:div w:id="104160522">
          <w:marLeft w:val="0"/>
          <w:marRight w:val="0"/>
          <w:marTop w:val="0"/>
          <w:marBottom w:val="0"/>
          <w:divBdr>
            <w:top w:val="none" w:sz="0" w:space="0" w:color="auto"/>
            <w:left w:val="none" w:sz="0" w:space="0" w:color="auto"/>
            <w:bottom w:val="none" w:sz="0" w:space="0" w:color="auto"/>
            <w:right w:val="none" w:sz="0" w:space="0" w:color="auto"/>
          </w:divBdr>
        </w:div>
        <w:div w:id="114376655">
          <w:marLeft w:val="0"/>
          <w:marRight w:val="0"/>
          <w:marTop w:val="0"/>
          <w:marBottom w:val="0"/>
          <w:divBdr>
            <w:top w:val="none" w:sz="0" w:space="0" w:color="auto"/>
            <w:left w:val="none" w:sz="0" w:space="0" w:color="auto"/>
            <w:bottom w:val="none" w:sz="0" w:space="0" w:color="auto"/>
            <w:right w:val="none" w:sz="0" w:space="0" w:color="auto"/>
          </w:divBdr>
        </w:div>
        <w:div w:id="115414961">
          <w:marLeft w:val="0"/>
          <w:marRight w:val="0"/>
          <w:marTop w:val="0"/>
          <w:marBottom w:val="0"/>
          <w:divBdr>
            <w:top w:val="none" w:sz="0" w:space="0" w:color="auto"/>
            <w:left w:val="none" w:sz="0" w:space="0" w:color="auto"/>
            <w:bottom w:val="none" w:sz="0" w:space="0" w:color="auto"/>
            <w:right w:val="none" w:sz="0" w:space="0" w:color="auto"/>
          </w:divBdr>
        </w:div>
        <w:div w:id="122040633">
          <w:marLeft w:val="0"/>
          <w:marRight w:val="0"/>
          <w:marTop w:val="0"/>
          <w:marBottom w:val="0"/>
          <w:divBdr>
            <w:top w:val="none" w:sz="0" w:space="0" w:color="auto"/>
            <w:left w:val="none" w:sz="0" w:space="0" w:color="auto"/>
            <w:bottom w:val="none" w:sz="0" w:space="0" w:color="auto"/>
            <w:right w:val="none" w:sz="0" w:space="0" w:color="auto"/>
          </w:divBdr>
        </w:div>
        <w:div w:id="125440342">
          <w:marLeft w:val="0"/>
          <w:marRight w:val="0"/>
          <w:marTop w:val="0"/>
          <w:marBottom w:val="0"/>
          <w:divBdr>
            <w:top w:val="none" w:sz="0" w:space="0" w:color="auto"/>
            <w:left w:val="none" w:sz="0" w:space="0" w:color="auto"/>
            <w:bottom w:val="none" w:sz="0" w:space="0" w:color="auto"/>
            <w:right w:val="none" w:sz="0" w:space="0" w:color="auto"/>
          </w:divBdr>
        </w:div>
        <w:div w:id="127357696">
          <w:marLeft w:val="0"/>
          <w:marRight w:val="0"/>
          <w:marTop w:val="0"/>
          <w:marBottom w:val="0"/>
          <w:divBdr>
            <w:top w:val="none" w:sz="0" w:space="0" w:color="auto"/>
            <w:left w:val="none" w:sz="0" w:space="0" w:color="auto"/>
            <w:bottom w:val="none" w:sz="0" w:space="0" w:color="auto"/>
            <w:right w:val="none" w:sz="0" w:space="0" w:color="auto"/>
          </w:divBdr>
        </w:div>
        <w:div w:id="147284572">
          <w:marLeft w:val="0"/>
          <w:marRight w:val="0"/>
          <w:marTop w:val="0"/>
          <w:marBottom w:val="0"/>
          <w:divBdr>
            <w:top w:val="none" w:sz="0" w:space="0" w:color="auto"/>
            <w:left w:val="none" w:sz="0" w:space="0" w:color="auto"/>
            <w:bottom w:val="none" w:sz="0" w:space="0" w:color="auto"/>
            <w:right w:val="none" w:sz="0" w:space="0" w:color="auto"/>
          </w:divBdr>
        </w:div>
        <w:div w:id="155265839">
          <w:marLeft w:val="0"/>
          <w:marRight w:val="0"/>
          <w:marTop w:val="0"/>
          <w:marBottom w:val="0"/>
          <w:divBdr>
            <w:top w:val="none" w:sz="0" w:space="0" w:color="auto"/>
            <w:left w:val="none" w:sz="0" w:space="0" w:color="auto"/>
            <w:bottom w:val="none" w:sz="0" w:space="0" w:color="auto"/>
            <w:right w:val="none" w:sz="0" w:space="0" w:color="auto"/>
          </w:divBdr>
        </w:div>
        <w:div w:id="159544699">
          <w:marLeft w:val="0"/>
          <w:marRight w:val="0"/>
          <w:marTop w:val="0"/>
          <w:marBottom w:val="0"/>
          <w:divBdr>
            <w:top w:val="none" w:sz="0" w:space="0" w:color="auto"/>
            <w:left w:val="none" w:sz="0" w:space="0" w:color="auto"/>
            <w:bottom w:val="none" w:sz="0" w:space="0" w:color="auto"/>
            <w:right w:val="none" w:sz="0" w:space="0" w:color="auto"/>
          </w:divBdr>
        </w:div>
        <w:div w:id="162742297">
          <w:marLeft w:val="0"/>
          <w:marRight w:val="0"/>
          <w:marTop w:val="0"/>
          <w:marBottom w:val="0"/>
          <w:divBdr>
            <w:top w:val="none" w:sz="0" w:space="0" w:color="auto"/>
            <w:left w:val="none" w:sz="0" w:space="0" w:color="auto"/>
            <w:bottom w:val="none" w:sz="0" w:space="0" w:color="auto"/>
            <w:right w:val="none" w:sz="0" w:space="0" w:color="auto"/>
          </w:divBdr>
        </w:div>
        <w:div w:id="185562269">
          <w:marLeft w:val="0"/>
          <w:marRight w:val="0"/>
          <w:marTop w:val="0"/>
          <w:marBottom w:val="0"/>
          <w:divBdr>
            <w:top w:val="none" w:sz="0" w:space="0" w:color="auto"/>
            <w:left w:val="none" w:sz="0" w:space="0" w:color="auto"/>
            <w:bottom w:val="none" w:sz="0" w:space="0" w:color="auto"/>
            <w:right w:val="none" w:sz="0" w:space="0" w:color="auto"/>
          </w:divBdr>
        </w:div>
        <w:div w:id="192963498">
          <w:marLeft w:val="0"/>
          <w:marRight w:val="0"/>
          <w:marTop w:val="0"/>
          <w:marBottom w:val="0"/>
          <w:divBdr>
            <w:top w:val="none" w:sz="0" w:space="0" w:color="auto"/>
            <w:left w:val="none" w:sz="0" w:space="0" w:color="auto"/>
            <w:bottom w:val="none" w:sz="0" w:space="0" w:color="auto"/>
            <w:right w:val="none" w:sz="0" w:space="0" w:color="auto"/>
          </w:divBdr>
        </w:div>
        <w:div w:id="202983831">
          <w:marLeft w:val="0"/>
          <w:marRight w:val="0"/>
          <w:marTop w:val="0"/>
          <w:marBottom w:val="0"/>
          <w:divBdr>
            <w:top w:val="none" w:sz="0" w:space="0" w:color="auto"/>
            <w:left w:val="none" w:sz="0" w:space="0" w:color="auto"/>
            <w:bottom w:val="none" w:sz="0" w:space="0" w:color="auto"/>
            <w:right w:val="none" w:sz="0" w:space="0" w:color="auto"/>
          </w:divBdr>
        </w:div>
        <w:div w:id="207694276">
          <w:marLeft w:val="0"/>
          <w:marRight w:val="0"/>
          <w:marTop w:val="0"/>
          <w:marBottom w:val="0"/>
          <w:divBdr>
            <w:top w:val="none" w:sz="0" w:space="0" w:color="auto"/>
            <w:left w:val="none" w:sz="0" w:space="0" w:color="auto"/>
            <w:bottom w:val="none" w:sz="0" w:space="0" w:color="auto"/>
            <w:right w:val="none" w:sz="0" w:space="0" w:color="auto"/>
          </w:divBdr>
        </w:div>
        <w:div w:id="213081013">
          <w:marLeft w:val="0"/>
          <w:marRight w:val="0"/>
          <w:marTop w:val="0"/>
          <w:marBottom w:val="0"/>
          <w:divBdr>
            <w:top w:val="none" w:sz="0" w:space="0" w:color="auto"/>
            <w:left w:val="none" w:sz="0" w:space="0" w:color="auto"/>
            <w:bottom w:val="none" w:sz="0" w:space="0" w:color="auto"/>
            <w:right w:val="none" w:sz="0" w:space="0" w:color="auto"/>
          </w:divBdr>
        </w:div>
        <w:div w:id="213542866">
          <w:marLeft w:val="0"/>
          <w:marRight w:val="0"/>
          <w:marTop w:val="0"/>
          <w:marBottom w:val="0"/>
          <w:divBdr>
            <w:top w:val="none" w:sz="0" w:space="0" w:color="auto"/>
            <w:left w:val="none" w:sz="0" w:space="0" w:color="auto"/>
            <w:bottom w:val="none" w:sz="0" w:space="0" w:color="auto"/>
            <w:right w:val="none" w:sz="0" w:space="0" w:color="auto"/>
          </w:divBdr>
        </w:div>
        <w:div w:id="229511475">
          <w:marLeft w:val="0"/>
          <w:marRight w:val="0"/>
          <w:marTop w:val="0"/>
          <w:marBottom w:val="0"/>
          <w:divBdr>
            <w:top w:val="none" w:sz="0" w:space="0" w:color="auto"/>
            <w:left w:val="none" w:sz="0" w:space="0" w:color="auto"/>
            <w:bottom w:val="none" w:sz="0" w:space="0" w:color="auto"/>
            <w:right w:val="none" w:sz="0" w:space="0" w:color="auto"/>
          </w:divBdr>
        </w:div>
        <w:div w:id="232667742">
          <w:marLeft w:val="0"/>
          <w:marRight w:val="0"/>
          <w:marTop w:val="0"/>
          <w:marBottom w:val="0"/>
          <w:divBdr>
            <w:top w:val="none" w:sz="0" w:space="0" w:color="auto"/>
            <w:left w:val="none" w:sz="0" w:space="0" w:color="auto"/>
            <w:bottom w:val="none" w:sz="0" w:space="0" w:color="auto"/>
            <w:right w:val="none" w:sz="0" w:space="0" w:color="auto"/>
          </w:divBdr>
        </w:div>
        <w:div w:id="233128577">
          <w:marLeft w:val="0"/>
          <w:marRight w:val="0"/>
          <w:marTop w:val="0"/>
          <w:marBottom w:val="0"/>
          <w:divBdr>
            <w:top w:val="none" w:sz="0" w:space="0" w:color="auto"/>
            <w:left w:val="none" w:sz="0" w:space="0" w:color="auto"/>
            <w:bottom w:val="none" w:sz="0" w:space="0" w:color="auto"/>
            <w:right w:val="none" w:sz="0" w:space="0" w:color="auto"/>
          </w:divBdr>
        </w:div>
        <w:div w:id="245966344">
          <w:marLeft w:val="0"/>
          <w:marRight w:val="0"/>
          <w:marTop w:val="0"/>
          <w:marBottom w:val="0"/>
          <w:divBdr>
            <w:top w:val="none" w:sz="0" w:space="0" w:color="auto"/>
            <w:left w:val="none" w:sz="0" w:space="0" w:color="auto"/>
            <w:bottom w:val="none" w:sz="0" w:space="0" w:color="auto"/>
            <w:right w:val="none" w:sz="0" w:space="0" w:color="auto"/>
          </w:divBdr>
        </w:div>
        <w:div w:id="256602021">
          <w:marLeft w:val="0"/>
          <w:marRight w:val="0"/>
          <w:marTop w:val="0"/>
          <w:marBottom w:val="0"/>
          <w:divBdr>
            <w:top w:val="none" w:sz="0" w:space="0" w:color="auto"/>
            <w:left w:val="none" w:sz="0" w:space="0" w:color="auto"/>
            <w:bottom w:val="none" w:sz="0" w:space="0" w:color="auto"/>
            <w:right w:val="none" w:sz="0" w:space="0" w:color="auto"/>
          </w:divBdr>
        </w:div>
        <w:div w:id="261376900">
          <w:marLeft w:val="0"/>
          <w:marRight w:val="0"/>
          <w:marTop w:val="0"/>
          <w:marBottom w:val="0"/>
          <w:divBdr>
            <w:top w:val="none" w:sz="0" w:space="0" w:color="auto"/>
            <w:left w:val="none" w:sz="0" w:space="0" w:color="auto"/>
            <w:bottom w:val="none" w:sz="0" w:space="0" w:color="auto"/>
            <w:right w:val="none" w:sz="0" w:space="0" w:color="auto"/>
          </w:divBdr>
        </w:div>
        <w:div w:id="264194576">
          <w:marLeft w:val="0"/>
          <w:marRight w:val="0"/>
          <w:marTop w:val="0"/>
          <w:marBottom w:val="0"/>
          <w:divBdr>
            <w:top w:val="none" w:sz="0" w:space="0" w:color="auto"/>
            <w:left w:val="none" w:sz="0" w:space="0" w:color="auto"/>
            <w:bottom w:val="none" w:sz="0" w:space="0" w:color="auto"/>
            <w:right w:val="none" w:sz="0" w:space="0" w:color="auto"/>
          </w:divBdr>
        </w:div>
        <w:div w:id="272439118">
          <w:marLeft w:val="0"/>
          <w:marRight w:val="0"/>
          <w:marTop w:val="0"/>
          <w:marBottom w:val="0"/>
          <w:divBdr>
            <w:top w:val="none" w:sz="0" w:space="0" w:color="auto"/>
            <w:left w:val="none" w:sz="0" w:space="0" w:color="auto"/>
            <w:bottom w:val="none" w:sz="0" w:space="0" w:color="auto"/>
            <w:right w:val="none" w:sz="0" w:space="0" w:color="auto"/>
          </w:divBdr>
        </w:div>
        <w:div w:id="274992559">
          <w:marLeft w:val="0"/>
          <w:marRight w:val="0"/>
          <w:marTop w:val="0"/>
          <w:marBottom w:val="0"/>
          <w:divBdr>
            <w:top w:val="none" w:sz="0" w:space="0" w:color="auto"/>
            <w:left w:val="none" w:sz="0" w:space="0" w:color="auto"/>
            <w:bottom w:val="none" w:sz="0" w:space="0" w:color="auto"/>
            <w:right w:val="none" w:sz="0" w:space="0" w:color="auto"/>
          </w:divBdr>
        </w:div>
        <w:div w:id="277221030">
          <w:marLeft w:val="0"/>
          <w:marRight w:val="0"/>
          <w:marTop w:val="0"/>
          <w:marBottom w:val="0"/>
          <w:divBdr>
            <w:top w:val="none" w:sz="0" w:space="0" w:color="auto"/>
            <w:left w:val="none" w:sz="0" w:space="0" w:color="auto"/>
            <w:bottom w:val="none" w:sz="0" w:space="0" w:color="auto"/>
            <w:right w:val="none" w:sz="0" w:space="0" w:color="auto"/>
          </w:divBdr>
        </w:div>
        <w:div w:id="279607568">
          <w:marLeft w:val="0"/>
          <w:marRight w:val="0"/>
          <w:marTop w:val="0"/>
          <w:marBottom w:val="0"/>
          <w:divBdr>
            <w:top w:val="none" w:sz="0" w:space="0" w:color="auto"/>
            <w:left w:val="none" w:sz="0" w:space="0" w:color="auto"/>
            <w:bottom w:val="none" w:sz="0" w:space="0" w:color="auto"/>
            <w:right w:val="none" w:sz="0" w:space="0" w:color="auto"/>
          </w:divBdr>
        </w:div>
        <w:div w:id="295765082">
          <w:marLeft w:val="0"/>
          <w:marRight w:val="0"/>
          <w:marTop w:val="0"/>
          <w:marBottom w:val="0"/>
          <w:divBdr>
            <w:top w:val="none" w:sz="0" w:space="0" w:color="auto"/>
            <w:left w:val="none" w:sz="0" w:space="0" w:color="auto"/>
            <w:bottom w:val="none" w:sz="0" w:space="0" w:color="auto"/>
            <w:right w:val="none" w:sz="0" w:space="0" w:color="auto"/>
          </w:divBdr>
        </w:div>
        <w:div w:id="301081863">
          <w:marLeft w:val="0"/>
          <w:marRight w:val="0"/>
          <w:marTop w:val="0"/>
          <w:marBottom w:val="0"/>
          <w:divBdr>
            <w:top w:val="none" w:sz="0" w:space="0" w:color="auto"/>
            <w:left w:val="none" w:sz="0" w:space="0" w:color="auto"/>
            <w:bottom w:val="none" w:sz="0" w:space="0" w:color="auto"/>
            <w:right w:val="none" w:sz="0" w:space="0" w:color="auto"/>
          </w:divBdr>
        </w:div>
        <w:div w:id="306011115">
          <w:marLeft w:val="0"/>
          <w:marRight w:val="0"/>
          <w:marTop w:val="0"/>
          <w:marBottom w:val="0"/>
          <w:divBdr>
            <w:top w:val="none" w:sz="0" w:space="0" w:color="auto"/>
            <w:left w:val="none" w:sz="0" w:space="0" w:color="auto"/>
            <w:bottom w:val="none" w:sz="0" w:space="0" w:color="auto"/>
            <w:right w:val="none" w:sz="0" w:space="0" w:color="auto"/>
          </w:divBdr>
        </w:div>
        <w:div w:id="313722629">
          <w:marLeft w:val="0"/>
          <w:marRight w:val="0"/>
          <w:marTop w:val="0"/>
          <w:marBottom w:val="0"/>
          <w:divBdr>
            <w:top w:val="none" w:sz="0" w:space="0" w:color="auto"/>
            <w:left w:val="none" w:sz="0" w:space="0" w:color="auto"/>
            <w:bottom w:val="none" w:sz="0" w:space="0" w:color="auto"/>
            <w:right w:val="none" w:sz="0" w:space="0" w:color="auto"/>
          </w:divBdr>
        </w:div>
        <w:div w:id="330523376">
          <w:marLeft w:val="0"/>
          <w:marRight w:val="0"/>
          <w:marTop w:val="0"/>
          <w:marBottom w:val="0"/>
          <w:divBdr>
            <w:top w:val="none" w:sz="0" w:space="0" w:color="auto"/>
            <w:left w:val="none" w:sz="0" w:space="0" w:color="auto"/>
            <w:bottom w:val="none" w:sz="0" w:space="0" w:color="auto"/>
            <w:right w:val="none" w:sz="0" w:space="0" w:color="auto"/>
          </w:divBdr>
        </w:div>
        <w:div w:id="338193013">
          <w:marLeft w:val="0"/>
          <w:marRight w:val="0"/>
          <w:marTop w:val="0"/>
          <w:marBottom w:val="0"/>
          <w:divBdr>
            <w:top w:val="none" w:sz="0" w:space="0" w:color="auto"/>
            <w:left w:val="none" w:sz="0" w:space="0" w:color="auto"/>
            <w:bottom w:val="none" w:sz="0" w:space="0" w:color="auto"/>
            <w:right w:val="none" w:sz="0" w:space="0" w:color="auto"/>
          </w:divBdr>
        </w:div>
        <w:div w:id="348531560">
          <w:marLeft w:val="0"/>
          <w:marRight w:val="0"/>
          <w:marTop w:val="0"/>
          <w:marBottom w:val="0"/>
          <w:divBdr>
            <w:top w:val="none" w:sz="0" w:space="0" w:color="auto"/>
            <w:left w:val="none" w:sz="0" w:space="0" w:color="auto"/>
            <w:bottom w:val="none" w:sz="0" w:space="0" w:color="auto"/>
            <w:right w:val="none" w:sz="0" w:space="0" w:color="auto"/>
          </w:divBdr>
        </w:div>
        <w:div w:id="353848554">
          <w:marLeft w:val="0"/>
          <w:marRight w:val="0"/>
          <w:marTop w:val="0"/>
          <w:marBottom w:val="0"/>
          <w:divBdr>
            <w:top w:val="none" w:sz="0" w:space="0" w:color="auto"/>
            <w:left w:val="none" w:sz="0" w:space="0" w:color="auto"/>
            <w:bottom w:val="none" w:sz="0" w:space="0" w:color="auto"/>
            <w:right w:val="none" w:sz="0" w:space="0" w:color="auto"/>
          </w:divBdr>
        </w:div>
        <w:div w:id="361706262">
          <w:marLeft w:val="0"/>
          <w:marRight w:val="0"/>
          <w:marTop w:val="0"/>
          <w:marBottom w:val="0"/>
          <w:divBdr>
            <w:top w:val="none" w:sz="0" w:space="0" w:color="auto"/>
            <w:left w:val="none" w:sz="0" w:space="0" w:color="auto"/>
            <w:bottom w:val="none" w:sz="0" w:space="0" w:color="auto"/>
            <w:right w:val="none" w:sz="0" w:space="0" w:color="auto"/>
          </w:divBdr>
        </w:div>
        <w:div w:id="364791505">
          <w:marLeft w:val="0"/>
          <w:marRight w:val="0"/>
          <w:marTop w:val="0"/>
          <w:marBottom w:val="0"/>
          <w:divBdr>
            <w:top w:val="none" w:sz="0" w:space="0" w:color="auto"/>
            <w:left w:val="none" w:sz="0" w:space="0" w:color="auto"/>
            <w:bottom w:val="none" w:sz="0" w:space="0" w:color="auto"/>
            <w:right w:val="none" w:sz="0" w:space="0" w:color="auto"/>
          </w:divBdr>
        </w:div>
        <w:div w:id="387844968">
          <w:marLeft w:val="0"/>
          <w:marRight w:val="0"/>
          <w:marTop w:val="0"/>
          <w:marBottom w:val="0"/>
          <w:divBdr>
            <w:top w:val="none" w:sz="0" w:space="0" w:color="auto"/>
            <w:left w:val="none" w:sz="0" w:space="0" w:color="auto"/>
            <w:bottom w:val="none" w:sz="0" w:space="0" w:color="auto"/>
            <w:right w:val="none" w:sz="0" w:space="0" w:color="auto"/>
          </w:divBdr>
        </w:div>
        <w:div w:id="388652422">
          <w:marLeft w:val="0"/>
          <w:marRight w:val="0"/>
          <w:marTop w:val="0"/>
          <w:marBottom w:val="0"/>
          <w:divBdr>
            <w:top w:val="none" w:sz="0" w:space="0" w:color="auto"/>
            <w:left w:val="none" w:sz="0" w:space="0" w:color="auto"/>
            <w:bottom w:val="none" w:sz="0" w:space="0" w:color="auto"/>
            <w:right w:val="none" w:sz="0" w:space="0" w:color="auto"/>
          </w:divBdr>
        </w:div>
        <w:div w:id="391124134">
          <w:marLeft w:val="0"/>
          <w:marRight w:val="0"/>
          <w:marTop w:val="0"/>
          <w:marBottom w:val="0"/>
          <w:divBdr>
            <w:top w:val="none" w:sz="0" w:space="0" w:color="auto"/>
            <w:left w:val="none" w:sz="0" w:space="0" w:color="auto"/>
            <w:bottom w:val="none" w:sz="0" w:space="0" w:color="auto"/>
            <w:right w:val="none" w:sz="0" w:space="0" w:color="auto"/>
          </w:divBdr>
        </w:div>
        <w:div w:id="425344521">
          <w:marLeft w:val="0"/>
          <w:marRight w:val="0"/>
          <w:marTop w:val="0"/>
          <w:marBottom w:val="0"/>
          <w:divBdr>
            <w:top w:val="none" w:sz="0" w:space="0" w:color="auto"/>
            <w:left w:val="none" w:sz="0" w:space="0" w:color="auto"/>
            <w:bottom w:val="none" w:sz="0" w:space="0" w:color="auto"/>
            <w:right w:val="none" w:sz="0" w:space="0" w:color="auto"/>
          </w:divBdr>
        </w:div>
        <w:div w:id="427894565">
          <w:marLeft w:val="0"/>
          <w:marRight w:val="0"/>
          <w:marTop w:val="0"/>
          <w:marBottom w:val="0"/>
          <w:divBdr>
            <w:top w:val="none" w:sz="0" w:space="0" w:color="auto"/>
            <w:left w:val="none" w:sz="0" w:space="0" w:color="auto"/>
            <w:bottom w:val="none" w:sz="0" w:space="0" w:color="auto"/>
            <w:right w:val="none" w:sz="0" w:space="0" w:color="auto"/>
          </w:divBdr>
        </w:div>
        <w:div w:id="441730872">
          <w:marLeft w:val="0"/>
          <w:marRight w:val="0"/>
          <w:marTop w:val="0"/>
          <w:marBottom w:val="0"/>
          <w:divBdr>
            <w:top w:val="none" w:sz="0" w:space="0" w:color="auto"/>
            <w:left w:val="none" w:sz="0" w:space="0" w:color="auto"/>
            <w:bottom w:val="none" w:sz="0" w:space="0" w:color="auto"/>
            <w:right w:val="none" w:sz="0" w:space="0" w:color="auto"/>
          </w:divBdr>
        </w:div>
        <w:div w:id="445077461">
          <w:marLeft w:val="0"/>
          <w:marRight w:val="0"/>
          <w:marTop w:val="0"/>
          <w:marBottom w:val="0"/>
          <w:divBdr>
            <w:top w:val="none" w:sz="0" w:space="0" w:color="auto"/>
            <w:left w:val="none" w:sz="0" w:space="0" w:color="auto"/>
            <w:bottom w:val="none" w:sz="0" w:space="0" w:color="auto"/>
            <w:right w:val="none" w:sz="0" w:space="0" w:color="auto"/>
          </w:divBdr>
        </w:div>
        <w:div w:id="455300718">
          <w:marLeft w:val="0"/>
          <w:marRight w:val="0"/>
          <w:marTop w:val="0"/>
          <w:marBottom w:val="0"/>
          <w:divBdr>
            <w:top w:val="none" w:sz="0" w:space="0" w:color="auto"/>
            <w:left w:val="none" w:sz="0" w:space="0" w:color="auto"/>
            <w:bottom w:val="none" w:sz="0" w:space="0" w:color="auto"/>
            <w:right w:val="none" w:sz="0" w:space="0" w:color="auto"/>
          </w:divBdr>
        </w:div>
        <w:div w:id="479855456">
          <w:marLeft w:val="0"/>
          <w:marRight w:val="0"/>
          <w:marTop w:val="0"/>
          <w:marBottom w:val="0"/>
          <w:divBdr>
            <w:top w:val="none" w:sz="0" w:space="0" w:color="auto"/>
            <w:left w:val="none" w:sz="0" w:space="0" w:color="auto"/>
            <w:bottom w:val="none" w:sz="0" w:space="0" w:color="auto"/>
            <w:right w:val="none" w:sz="0" w:space="0" w:color="auto"/>
          </w:divBdr>
        </w:div>
        <w:div w:id="484973970">
          <w:marLeft w:val="0"/>
          <w:marRight w:val="0"/>
          <w:marTop w:val="0"/>
          <w:marBottom w:val="0"/>
          <w:divBdr>
            <w:top w:val="none" w:sz="0" w:space="0" w:color="auto"/>
            <w:left w:val="none" w:sz="0" w:space="0" w:color="auto"/>
            <w:bottom w:val="none" w:sz="0" w:space="0" w:color="auto"/>
            <w:right w:val="none" w:sz="0" w:space="0" w:color="auto"/>
          </w:divBdr>
        </w:div>
        <w:div w:id="486240219">
          <w:marLeft w:val="0"/>
          <w:marRight w:val="0"/>
          <w:marTop w:val="0"/>
          <w:marBottom w:val="0"/>
          <w:divBdr>
            <w:top w:val="none" w:sz="0" w:space="0" w:color="auto"/>
            <w:left w:val="none" w:sz="0" w:space="0" w:color="auto"/>
            <w:bottom w:val="none" w:sz="0" w:space="0" w:color="auto"/>
            <w:right w:val="none" w:sz="0" w:space="0" w:color="auto"/>
          </w:divBdr>
        </w:div>
        <w:div w:id="489642419">
          <w:marLeft w:val="0"/>
          <w:marRight w:val="0"/>
          <w:marTop w:val="0"/>
          <w:marBottom w:val="0"/>
          <w:divBdr>
            <w:top w:val="none" w:sz="0" w:space="0" w:color="auto"/>
            <w:left w:val="none" w:sz="0" w:space="0" w:color="auto"/>
            <w:bottom w:val="none" w:sz="0" w:space="0" w:color="auto"/>
            <w:right w:val="none" w:sz="0" w:space="0" w:color="auto"/>
          </w:divBdr>
        </w:div>
        <w:div w:id="490027569">
          <w:marLeft w:val="0"/>
          <w:marRight w:val="0"/>
          <w:marTop w:val="0"/>
          <w:marBottom w:val="0"/>
          <w:divBdr>
            <w:top w:val="none" w:sz="0" w:space="0" w:color="auto"/>
            <w:left w:val="none" w:sz="0" w:space="0" w:color="auto"/>
            <w:bottom w:val="none" w:sz="0" w:space="0" w:color="auto"/>
            <w:right w:val="none" w:sz="0" w:space="0" w:color="auto"/>
          </w:divBdr>
        </w:div>
        <w:div w:id="495346538">
          <w:marLeft w:val="0"/>
          <w:marRight w:val="0"/>
          <w:marTop w:val="0"/>
          <w:marBottom w:val="0"/>
          <w:divBdr>
            <w:top w:val="none" w:sz="0" w:space="0" w:color="auto"/>
            <w:left w:val="none" w:sz="0" w:space="0" w:color="auto"/>
            <w:bottom w:val="none" w:sz="0" w:space="0" w:color="auto"/>
            <w:right w:val="none" w:sz="0" w:space="0" w:color="auto"/>
          </w:divBdr>
        </w:div>
        <w:div w:id="512958176">
          <w:marLeft w:val="0"/>
          <w:marRight w:val="0"/>
          <w:marTop w:val="0"/>
          <w:marBottom w:val="0"/>
          <w:divBdr>
            <w:top w:val="none" w:sz="0" w:space="0" w:color="auto"/>
            <w:left w:val="none" w:sz="0" w:space="0" w:color="auto"/>
            <w:bottom w:val="none" w:sz="0" w:space="0" w:color="auto"/>
            <w:right w:val="none" w:sz="0" w:space="0" w:color="auto"/>
          </w:divBdr>
        </w:div>
        <w:div w:id="526605234">
          <w:marLeft w:val="0"/>
          <w:marRight w:val="0"/>
          <w:marTop w:val="0"/>
          <w:marBottom w:val="0"/>
          <w:divBdr>
            <w:top w:val="none" w:sz="0" w:space="0" w:color="auto"/>
            <w:left w:val="none" w:sz="0" w:space="0" w:color="auto"/>
            <w:bottom w:val="none" w:sz="0" w:space="0" w:color="auto"/>
            <w:right w:val="none" w:sz="0" w:space="0" w:color="auto"/>
          </w:divBdr>
        </w:div>
        <w:div w:id="529223489">
          <w:marLeft w:val="0"/>
          <w:marRight w:val="0"/>
          <w:marTop w:val="0"/>
          <w:marBottom w:val="0"/>
          <w:divBdr>
            <w:top w:val="none" w:sz="0" w:space="0" w:color="auto"/>
            <w:left w:val="none" w:sz="0" w:space="0" w:color="auto"/>
            <w:bottom w:val="none" w:sz="0" w:space="0" w:color="auto"/>
            <w:right w:val="none" w:sz="0" w:space="0" w:color="auto"/>
          </w:divBdr>
        </w:div>
        <w:div w:id="552544669">
          <w:marLeft w:val="0"/>
          <w:marRight w:val="0"/>
          <w:marTop w:val="0"/>
          <w:marBottom w:val="0"/>
          <w:divBdr>
            <w:top w:val="none" w:sz="0" w:space="0" w:color="auto"/>
            <w:left w:val="none" w:sz="0" w:space="0" w:color="auto"/>
            <w:bottom w:val="none" w:sz="0" w:space="0" w:color="auto"/>
            <w:right w:val="none" w:sz="0" w:space="0" w:color="auto"/>
          </w:divBdr>
        </w:div>
        <w:div w:id="567690942">
          <w:marLeft w:val="0"/>
          <w:marRight w:val="0"/>
          <w:marTop w:val="0"/>
          <w:marBottom w:val="0"/>
          <w:divBdr>
            <w:top w:val="none" w:sz="0" w:space="0" w:color="auto"/>
            <w:left w:val="none" w:sz="0" w:space="0" w:color="auto"/>
            <w:bottom w:val="none" w:sz="0" w:space="0" w:color="auto"/>
            <w:right w:val="none" w:sz="0" w:space="0" w:color="auto"/>
          </w:divBdr>
        </w:div>
        <w:div w:id="581530665">
          <w:marLeft w:val="0"/>
          <w:marRight w:val="0"/>
          <w:marTop w:val="0"/>
          <w:marBottom w:val="0"/>
          <w:divBdr>
            <w:top w:val="none" w:sz="0" w:space="0" w:color="auto"/>
            <w:left w:val="none" w:sz="0" w:space="0" w:color="auto"/>
            <w:bottom w:val="none" w:sz="0" w:space="0" w:color="auto"/>
            <w:right w:val="none" w:sz="0" w:space="0" w:color="auto"/>
          </w:divBdr>
        </w:div>
        <w:div w:id="588004449">
          <w:marLeft w:val="0"/>
          <w:marRight w:val="0"/>
          <w:marTop w:val="0"/>
          <w:marBottom w:val="0"/>
          <w:divBdr>
            <w:top w:val="none" w:sz="0" w:space="0" w:color="auto"/>
            <w:left w:val="none" w:sz="0" w:space="0" w:color="auto"/>
            <w:bottom w:val="none" w:sz="0" w:space="0" w:color="auto"/>
            <w:right w:val="none" w:sz="0" w:space="0" w:color="auto"/>
          </w:divBdr>
        </w:div>
        <w:div w:id="594023040">
          <w:marLeft w:val="0"/>
          <w:marRight w:val="0"/>
          <w:marTop w:val="0"/>
          <w:marBottom w:val="0"/>
          <w:divBdr>
            <w:top w:val="none" w:sz="0" w:space="0" w:color="auto"/>
            <w:left w:val="none" w:sz="0" w:space="0" w:color="auto"/>
            <w:bottom w:val="none" w:sz="0" w:space="0" w:color="auto"/>
            <w:right w:val="none" w:sz="0" w:space="0" w:color="auto"/>
          </w:divBdr>
        </w:div>
        <w:div w:id="623117356">
          <w:marLeft w:val="0"/>
          <w:marRight w:val="0"/>
          <w:marTop w:val="0"/>
          <w:marBottom w:val="0"/>
          <w:divBdr>
            <w:top w:val="none" w:sz="0" w:space="0" w:color="auto"/>
            <w:left w:val="none" w:sz="0" w:space="0" w:color="auto"/>
            <w:bottom w:val="none" w:sz="0" w:space="0" w:color="auto"/>
            <w:right w:val="none" w:sz="0" w:space="0" w:color="auto"/>
          </w:divBdr>
        </w:div>
        <w:div w:id="624118383">
          <w:marLeft w:val="0"/>
          <w:marRight w:val="0"/>
          <w:marTop w:val="0"/>
          <w:marBottom w:val="0"/>
          <w:divBdr>
            <w:top w:val="none" w:sz="0" w:space="0" w:color="auto"/>
            <w:left w:val="none" w:sz="0" w:space="0" w:color="auto"/>
            <w:bottom w:val="none" w:sz="0" w:space="0" w:color="auto"/>
            <w:right w:val="none" w:sz="0" w:space="0" w:color="auto"/>
          </w:divBdr>
        </w:div>
        <w:div w:id="637104690">
          <w:marLeft w:val="0"/>
          <w:marRight w:val="0"/>
          <w:marTop w:val="0"/>
          <w:marBottom w:val="0"/>
          <w:divBdr>
            <w:top w:val="none" w:sz="0" w:space="0" w:color="auto"/>
            <w:left w:val="none" w:sz="0" w:space="0" w:color="auto"/>
            <w:bottom w:val="none" w:sz="0" w:space="0" w:color="auto"/>
            <w:right w:val="none" w:sz="0" w:space="0" w:color="auto"/>
          </w:divBdr>
        </w:div>
        <w:div w:id="640111719">
          <w:marLeft w:val="0"/>
          <w:marRight w:val="0"/>
          <w:marTop w:val="0"/>
          <w:marBottom w:val="0"/>
          <w:divBdr>
            <w:top w:val="none" w:sz="0" w:space="0" w:color="auto"/>
            <w:left w:val="none" w:sz="0" w:space="0" w:color="auto"/>
            <w:bottom w:val="none" w:sz="0" w:space="0" w:color="auto"/>
            <w:right w:val="none" w:sz="0" w:space="0" w:color="auto"/>
          </w:divBdr>
        </w:div>
        <w:div w:id="648558547">
          <w:marLeft w:val="0"/>
          <w:marRight w:val="0"/>
          <w:marTop w:val="0"/>
          <w:marBottom w:val="0"/>
          <w:divBdr>
            <w:top w:val="none" w:sz="0" w:space="0" w:color="auto"/>
            <w:left w:val="none" w:sz="0" w:space="0" w:color="auto"/>
            <w:bottom w:val="none" w:sz="0" w:space="0" w:color="auto"/>
            <w:right w:val="none" w:sz="0" w:space="0" w:color="auto"/>
          </w:divBdr>
        </w:div>
        <w:div w:id="684327752">
          <w:marLeft w:val="0"/>
          <w:marRight w:val="0"/>
          <w:marTop w:val="0"/>
          <w:marBottom w:val="0"/>
          <w:divBdr>
            <w:top w:val="none" w:sz="0" w:space="0" w:color="auto"/>
            <w:left w:val="none" w:sz="0" w:space="0" w:color="auto"/>
            <w:bottom w:val="none" w:sz="0" w:space="0" w:color="auto"/>
            <w:right w:val="none" w:sz="0" w:space="0" w:color="auto"/>
          </w:divBdr>
        </w:div>
        <w:div w:id="684405347">
          <w:marLeft w:val="0"/>
          <w:marRight w:val="0"/>
          <w:marTop w:val="0"/>
          <w:marBottom w:val="0"/>
          <w:divBdr>
            <w:top w:val="none" w:sz="0" w:space="0" w:color="auto"/>
            <w:left w:val="none" w:sz="0" w:space="0" w:color="auto"/>
            <w:bottom w:val="none" w:sz="0" w:space="0" w:color="auto"/>
            <w:right w:val="none" w:sz="0" w:space="0" w:color="auto"/>
          </w:divBdr>
        </w:div>
        <w:div w:id="690188635">
          <w:marLeft w:val="0"/>
          <w:marRight w:val="0"/>
          <w:marTop w:val="0"/>
          <w:marBottom w:val="0"/>
          <w:divBdr>
            <w:top w:val="none" w:sz="0" w:space="0" w:color="auto"/>
            <w:left w:val="none" w:sz="0" w:space="0" w:color="auto"/>
            <w:bottom w:val="none" w:sz="0" w:space="0" w:color="auto"/>
            <w:right w:val="none" w:sz="0" w:space="0" w:color="auto"/>
          </w:divBdr>
        </w:div>
        <w:div w:id="693384448">
          <w:marLeft w:val="0"/>
          <w:marRight w:val="0"/>
          <w:marTop w:val="0"/>
          <w:marBottom w:val="0"/>
          <w:divBdr>
            <w:top w:val="none" w:sz="0" w:space="0" w:color="auto"/>
            <w:left w:val="none" w:sz="0" w:space="0" w:color="auto"/>
            <w:bottom w:val="none" w:sz="0" w:space="0" w:color="auto"/>
            <w:right w:val="none" w:sz="0" w:space="0" w:color="auto"/>
          </w:divBdr>
        </w:div>
        <w:div w:id="693845556">
          <w:marLeft w:val="0"/>
          <w:marRight w:val="0"/>
          <w:marTop w:val="0"/>
          <w:marBottom w:val="0"/>
          <w:divBdr>
            <w:top w:val="none" w:sz="0" w:space="0" w:color="auto"/>
            <w:left w:val="none" w:sz="0" w:space="0" w:color="auto"/>
            <w:bottom w:val="none" w:sz="0" w:space="0" w:color="auto"/>
            <w:right w:val="none" w:sz="0" w:space="0" w:color="auto"/>
          </w:divBdr>
        </w:div>
        <w:div w:id="695737923">
          <w:marLeft w:val="0"/>
          <w:marRight w:val="0"/>
          <w:marTop w:val="0"/>
          <w:marBottom w:val="0"/>
          <w:divBdr>
            <w:top w:val="none" w:sz="0" w:space="0" w:color="auto"/>
            <w:left w:val="none" w:sz="0" w:space="0" w:color="auto"/>
            <w:bottom w:val="none" w:sz="0" w:space="0" w:color="auto"/>
            <w:right w:val="none" w:sz="0" w:space="0" w:color="auto"/>
          </w:divBdr>
        </w:div>
        <w:div w:id="700012445">
          <w:marLeft w:val="0"/>
          <w:marRight w:val="0"/>
          <w:marTop w:val="0"/>
          <w:marBottom w:val="0"/>
          <w:divBdr>
            <w:top w:val="none" w:sz="0" w:space="0" w:color="auto"/>
            <w:left w:val="none" w:sz="0" w:space="0" w:color="auto"/>
            <w:bottom w:val="none" w:sz="0" w:space="0" w:color="auto"/>
            <w:right w:val="none" w:sz="0" w:space="0" w:color="auto"/>
          </w:divBdr>
        </w:div>
        <w:div w:id="700201594">
          <w:marLeft w:val="0"/>
          <w:marRight w:val="0"/>
          <w:marTop w:val="0"/>
          <w:marBottom w:val="0"/>
          <w:divBdr>
            <w:top w:val="none" w:sz="0" w:space="0" w:color="auto"/>
            <w:left w:val="none" w:sz="0" w:space="0" w:color="auto"/>
            <w:bottom w:val="none" w:sz="0" w:space="0" w:color="auto"/>
            <w:right w:val="none" w:sz="0" w:space="0" w:color="auto"/>
          </w:divBdr>
        </w:div>
        <w:div w:id="701438002">
          <w:marLeft w:val="0"/>
          <w:marRight w:val="0"/>
          <w:marTop w:val="0"/>
          <w:marBottom w:val="0"/>
          <w:divBdr>
            <w:top w:val="none" w:sz="0" w:space="0" w:color="auto"/>
            <w:left w:val="none" w:sz="0" w:space="0" w:color="auto"/>
            <w:bottom w:val="none" w:sz="0" w:space="0" w:color="auto"/>
            <w:right w:val="none" w:sz="0" w:space="0" w:color="auto"/>
          </w:divBdr>
        </w:div>
        <w:div w:id="711610014">
          <w:marLeft w:val="0"/>
          <w:marRight w:val="0"/>
          <w:marTop w:val="0"/>
          <w:marBottom w:val="0"/>
          <w:divBdr>
            <w:top w:val="none" w:sz="0" w:space="0" w:color="auto"/>
            <w:left w:val="none" w:sz="0" w:space="0" w:color="auto"/>
            <w:bottom w:val="none" w:sz="0" w:space="0" w:color="auto"/>
            <w:right w:val="none" w:sz="0" w:space="0" w:color="auto"/>
          </w:divBdr>
        </w:div>
        <w:div w:id="713889893">
          <w:marLeft w:val="0"/>
          <w:marRight w:val="0"/>
          <w:marTop w:val="0"/>
          <w:marBottom w:val="0"/>
          <w:divBdr>
            <w:top w:val="none" w:sz="0" w:space="0" w:color="auto"/>
            <w:left w:val="none" w:sz="0" w:space="0" w:color="auto"/>
            <w:bottom w:val="none" w:sz="0" w:space="0" w:color="auto"/>
            <w:right w:val="none" w:sz="0" w:space="0" w:color="auto"/>
          </w:divBdr>
        </w:div>
        <w:div w:id="714044814">
          <w:marLeft w:val="0"/>
          <w:marRight w:val="0"/>
          <w:marTop w:val="0"/>
          <w:marBottom w:val="0"/>
          <w:divBdr>
            <w:top w:val="none" w:sz="0" w:space="0" w:color="auto"/>
            <w:left w:val="none" w:sz="0" w:space="0" w:color="auto"/>
            <w:bottom w:val="none" w:sz="0" w:space="0" w:color="auto"/>
            <w:right w:val="none" w:sz="0" w:space="0" w:color="auto"/>
          </w:divBdr>
        </w:div>
        <w:div w:id="715861602">
          <w:marLeft w:val="0"/>
          <w:marRight w:val="0"/>
          <w:marTop w:val="0"/>
          <w:marBottom w:val="0"/>
          <w:divBdr>
            <w:top w:val="none" w:sz="0" w:space="0" w:color="auto"/>
            <w:left w:val="none" w:sz="0" w:space="0" w:color="auto"/>
            <w:bottom w:val="none" w:sz="0" w:space="0" w:color="auto"/>
            <w:right w:val="none" w:sz="0" w:space="0" w:color="auto"/>
          </w:divBdr>
        </w:div>
        <w:div w:id="726992491">
          <w:marLeft w:val="0"/>
          <w:marRight w:val="0"/>
          <w:marTop w:val="0"/>
          <w:marBottom w:val="0"/>
          <w:divBdr>
            <w:top w:val="none" w:sz="0" w:space="0" w:color="auto"/>
            <w:left w:val="none" w:sz="0" w:space="0" w:color="auto"/>
            <w:bottom w:val="none" w:sz="0" w:space="0" w:color="auto"/>
            <w:right w:val="none" w:sz="0" w:space="0" w:color="auto"/>
          </w:divBdr>
        </w:div>
        <w:div w:id="727343909">
          <w:marLeft w:val="0"/>
          <w:marRight w:val="0"/>
          <w:marTop w:val="0"/>
          <w:marBottom w:val="0"/>
          <w:divBdr>
            <w:top w:val="none" w:sz="0" w:space="0" w:color="auto"/>
            <w:left w:val="none" w:sz="0" w:space="0" w:color="auto"/>
            <w:bottom w:val="none" w:sz="0" w:space="0" w:color="auto"/>
            <w:right w:val="none" w:sz="0" w:space="0" w:color="auto"/>
          </w:divBdr>
        </w:div>
        <w:div w:id="728041337">
          <w:marLeft w:val="0"/>
          <w:marRight w:val="0"/>
          <w:marTop w:val="0"/>
          <w:marBottom w:val="0"/>
          <w:divBdr>
            <w:top w:val="none" w:sz="0" w:space="0" w:color="auto"/>
            <w:left w:val="none" w:sz="0" w:space="0" w:color="auto"/>
            <w:bottom w:val="none" w:sz="0" w:space="0" w:color="auto"/>
            <w:right w:val="none" w:sz="0" w:space="0" w:color="auto"/>
          </w:divBdr>
        </w:div>
        <w:div w:id="736628990">
          <w:marLeft w:val="0"/>
          <w:marRight w:val="0"/>
          <w:marTop w:val="0"/>
          <w:marBottom w:val="0"/>
          <w:divBdr>
            <w:top w:val="none" w:sz="0" w:space="0" w:color="auto"/>
            <w:left w:val="none" w:sz="0" w:space="0" w:color="auto"/>
            <w:bottom w:val="none" w:sz="0" w:space="0" w:color="auto"/>
            <w:right w:val="none" w:sz="0" w:space="0" w:color="auto"/>
          </w:divBdr>
        </w:div>
        <w:div w:id="739140163">
          <w:marLeft w:val="0"/>
          <w:marRight w:val="0"/>
          <w:marTop w:val="0"/>
          <w:marBottom w:val="0"/>
          <w:divBdr>
            <w:top w:val="none" w:sz="0" w:space="0" w:color="auto"/>
            <w:left w:val="none" w:sz="0" w:space="0" w:color="auto"/>
            <w:bottom w:val="none" w:sz="0" w:space="0" w:color="auto"/>
            <w:right w:val="none" w:sz="0" w:space="0" w:color="auto"/>
          </w:divBdr>
        </w:div>
        <w:div w:id="739209453">
          <w:marLeft w:val="0"/>
          <w:marRight w:val="0"/>
          <w:marTop w:val="0"/>
          <w:marBottom w:val="0"/>
          <w:divBdr>
            <w:top w:val="none" w:sz="0" w:space="0" w:color="auto"/>
            <w:left w:val="none" w:sz="0" w:space="0" w:color="auto"/>
            <w:bottom w:val="none" w:sz="0" w:space="0" w:color="auto"/>
            <w:right w:val="none" w:sz="0" w:space="0" w:color="auto"/>
          </w:divBdr>
        </w:div>
        <w:div w:id="759789744">
          <w:marLeft w:val="0"/>
          <w:marRight w:val="0"/>
          <w:marTop w:val="0"/>
          <w:marBottom w:val="0"/>
          <w:divBdr>
            <w:top w:val="none" w:sz="0" w:space="0" w:color="auto"/>
            <w:left w:val="none" w:sz="0" w:space="0" w:color="auto"/>
            <w:bottom w:val="none" w:sz="0" w:space="0" w:color="auto"/>
            <w:right w:val="none" w:sz="0" w:space="0" w:color="auto"/>
          </w:divBdr>
        </w:div>
        <w:div w:id="760372371">
          <w:marLeft w:val="0"/>
          <w:marRight w:val="0"/>
          <w:marTop w:val="0"/>
          <w:marBottom w:val="0"/>
          <w:divBdr>
            <w:top w:val="none" w:sz="0" w:space="0" w:color="auto"/>
            <w:left w:val="none" w:sz="0" w:space="0" w:color="auto"/>
            <w:bottom w:val="none" w:sz="0" w:space="0" w:color="auto"/>
            <w:right w:val="none" w:sz="0" w:space="0" w:color="auto"/>
          </w:divBdr>
        </w:div>
        <w:div w:id="760905361">
          <w:marLeft w:val="0"/>
          <w:marRight w:val="0"/>
          <w:marTop w:val="0"/>
          <w:marBottom w:val="0"/>
          <w:divBdr>
            <w:top w:val="none" w:sz="0" w:space="0" w:color="auto"/>
            <w:left w:val="none" w:sz="0" w:space="0" w:color="auto"/>
            <w:bottom w:val="none" w:sz="0" w:space="0" w:color="auto"/>
            <w:right w:val="none" w:sz="0" w:space="0" w:color="auto"/>
          </w:divBdr>
        </w:div>
        <w:div w:id="766269157">
          <w:marLeft w:val="0"/>
          <w:marRight w:val="0"/>
          <w:marTop w:val="0"/>
          <w:marBottom w:val="0"/>
          <w:divBdr>
            <w:top w:val="none" w:sz="0" w:space="0" w:color="auto"/>
            <w:left w:val="none" w:sz="0" w:space="0" w:color="auto"/>
            <w:bottom w:val="none" w:sz="0" w:space="0" w:color="auto"/>
            <w:right w:val="none" w:sz="0" w:space="0" w:color="auto"/>
          </w:divBdr>
        </w:div>
        <w:div w:id="770249308">
          <w:marLeft w:val="0"/>
          <w:marRight w:val="0"/>
          <w:marTop w:val="0"/>
          <w:marBottom w:val="0"/>
          <w:divBdr>
            <w:top w:val="none" w:sz="0" w:space="0" w:color="auto"/>
            <w:left w:val="none" w:sz="0" w:space="0" w:color="auto"/>
            <w:bottom w:val="none" w:sz="0" w:space="0" w:color="auto"/>
            <w:right w:val="none" w:sz="0" w:space="0" w:color="auto"/>
          </w:divBdr>
        </w:div>
        <w:div w:id="774448390">
          <w:marLeft w:val="0"/>
          <w:marRight w:val="0"/>
          <w:marTop w:val="0"/>
          <w:marBottom w:val="0"/>
          <w:divBdr>
            <w:top w:val="none" w:sz="0" w:space="0" w:color="auto"/>
            <w:left w:val="none" w:sz="0" w:space="0" w:color="auto"/>
            <w:bottom w:val="none" w:sz="0" w:space="0" w:color="auto"/>
            <w:right w:val="none" w:sz="0" w:space="0" w:color="auto"/>
          </w:divBdr>
        </w:div>
        <w:div w:id="791048335">
          <w:marLeft w:val="0"/>
          <w:marRight w:val="0"/>
          <w:marTop w:val="0"/>
          <w:marBottom w:val="0"/>
          <w:divBdr>
            <w:top w:val="none" w:sz="0" w:space="0" w:color="auto"/>
            <w:left w:val="none" w:sz="0" w:space="0" w:color="auto"/>
            <w:bottom w:val="none" w:sz="0" w:space="0" w:color="auto"/>
            <w:right w:val="none" w:sz="0" w:space="0" w:color="auto"/>
          </w:divBdr>
        </w:div>
        <w:div w:id="791092538">
          <w:marLeft w:val="0"/>
          <w:marRight w:val="0"/>
          <w:marTop w:val="0"/>
          <w:marBottom w:val="0"/>
          <w:divBdr>
            <w:top w:val="none" w:sz="0" w:space="0" w:color="auto"/>
            <w:left w:val="none" w:sz="0" w:space="0" w:color="auto"/>
            <w:bottom w:val="none" w:sz="0" w:space="0" w:color="auto"/>
            <w:right w:val="none" w:sz="0" w:space="0" w:color="auto"/>
          </w:divBdr>
        </w:div>
        <w:div w:id="794055644">
          <w:marLeft w:val="0"/>
          <w:marRight w:val="0"/>
          <w:marTop w:val="0"/>
          <w:marBottom w:val="0"/>
          <w:divBdr>
            <w:top w:val="none" w:sz="0" w:space="0" w:color="auto"/>
            <w:left w:val="none" w:sz="0" w:space="0" w:color="auto"/>
            <w:bottom w:val="none" w:sz="0" w:space="0" w:color="auto"/>
            <w:right w:val="none" w:sz="0" w:space="0" w:color="auto"/>
          </w:divBdr>
        </w:div>
        <w:div w:id="799497897">
          <w:marLeft w:val="0"/>
          <w:marRight w:val="0"/>
          <w:marTop w:val="0"/>
          <w:marBottom w:val="0"/>
          <w:divBdr>
            <w:top w:val="none" w:sz="0" w:space="0" w:color="auto"/>
            <w:left w:val="none" w:sz="0" w:space="0" w:color="auto"/>
            <w:bottom w:val="none" w:sz="0" w:space="0" w:color="auto"/>
            <w:right w:val="none" w:sz="0" w:space="0" w:color="auto"/>
          </w:divBdr>
        </w:div>
        <w:div w:id="802769986">
          <w:marLeft w:val="0"/>
          <w:marRight w:val="0"/>
          <w:marTop w:val="0"/>
          <w:marBottom w:val="0"/>
          <w:divBdr>
            <w:top w:val="none" w:sz="0" w:space="0" w:color="auto"/>
            <w:left w:val="none" w:sz="0" w:space="0" w:color="auto"/>
            <w:bottom w:val="none" w:sz="0" w:space="0" w:color="auto"/>
            <w:right w:val="none" w:sz="0" w:space="0" w:color="auto"/>
          </w:divBdr>
        </w:div>
        <w:div w:id="806436082">
          <w:marLeft w:val="0"/>
          <w:marRight w:val="0"/>
          <w:marTop w:val="0"/>
          <w:marBottom w:val="0"/>
          <w:divBdr>
            <w:top w:val="none" w:sz="0" w:space="0" w:color="auto"/>
            <w:left w:val="none" w:sz="0" w:space="0" w:color="auto"/>
            <w:bottom w:val="none" w:sz="0" w:space="0" w:color="auto"/>
            <w:right w:val="none" w:sz="0" w:space="0" w:color="auto"/>
          </w:divBdr>
        </w:div>
        <w:div w:id="807936310">
          <w:marLeft w:val="0"/>
          <w:marRight w:val="0"/>
          <w:marTop w:val="0"/>
          <w:marBottom w:val="0"/>
          <w:divBdr>
            <w:top w:val="none" w:sz="0" w:space="0" w:color="auto"/>
            <w:left w:val="none" w:sz="0" w:space="0" w:color="auto"/>
            <w:bottom w:val="none" w:sz="0" w:space="0" w:color="auto"/>
            <w:right w:val="none" w:sz="0" w:space="0" w:color="auto"/>
          </w:divBdr>
        </w:div>
        <w:div w:id="819730085">
          <w:marLeft w:val="0"/>
          <w:marRight w:val="0"/>
          <w:marTop w:val="0"/>
          <w:marBottom w:val="0"/>
          <w:divBdr>
            <w:top w:val="none" w:sz="0" w:space="0" w:color="auto"/>
            <w:left w:val="none" w:sz="0" w:space="0" w:color="auto"/>
            <w:bottom w:val="none" w:sz="0" w:space="0" w:color="auto"/>
            <w:right w:val="none" w:sz="0" w:space="0" w:color="auto"/>
          </w:divBdr>
        </w:div>
        <w:div w:id="821772550">
          <w:marLeft w:val="0"/>
          <w:marRight w:val="0"/>
          <w:marTop w:val="0"/>
          <w:marBottom w:val="0"/>
          <w:divBdr>
            <w:top w:val="none" w:sz="0" w:space="0" w:color="auto"/>
            <w:left w:val="none" w:sz="0" w:space="0" w:color="auto"/>
            <w:bottom w:val="none" w:sz="0" w:space="0" w:color="auto"/>
            <w:right w:val="none" w:sz="0" w:space="0" w:color="auto"/>
          </w:divBdr>
        </w:div>
        <w:div w:id="826627472">
          <w:marLeft w:val="0"/>
          <w:marRight w:val="0"/>
          <w:marTop w:val="0"/>
          <w:marBottom w:val="0"/>
          <w:divBdr>
            <w:top w:val="none" w:sz="0" w:space="0" w:color="auto"/>
            <w:left w:val="none" w:sz="0" w:space="0" w:color="auto"/>
            <w:bottom w:val="none" w:sz="0" w:space="0" w:color="auto"/>
            <w:right w:val="none" w:sz="0" w:space="0" w:color="auto"/>
          </w:divBdr>
        </w:div>
        <w:div w:id="829247406">
          <w:marLeft w:val="0"/>
          <w:marRight w:val="0"/>
          <w:marTop w:val="0"/>
          <w:marBottom w:val="0"/>
          <w:divBdr>
            <w:top w:val="none" w:sz="0" w:space="0" w:color="auto"/>
            <w:left w:val="none" w:sz="0" w:space="0" w:color="auto"/>
            <w:bottom w:val="none" w:sz="0" w:space="0" w:color="auto"/>
            <w:right w:val="none" w:sz="0" w:space="0" w:color="auto"/>
          </w:divBdr>
        </w:div>
        <w:div w:id="830751903">
          <w:marLeft w:val="0"/>
          <w:marRight w:val="0"/>
          <w:marTop w:val="0"/>
          <w:marBottom w:val="0"/>
          <w:divBdr>
            <w:top w:val="none" w:sz="0" w:space="0" w:color="auto"/>
            <w:left w:val="none" w:sz="0" w:space="0" w:color="auto"/>
            <w:bottom w:val="none" w:sz="0" w:space="0" w:color="auto"/>
            <w:right w:val="none" w:sz="0" w:space="0" w:color="auto"/>
          </w:divBdr>
        </w:div>
        <w:div w:id="853881082">
          <w:marLeft w:val="0"/>
          <w:marRight w:val="0"/>
          <w:marTop w:val="0"/>
          <w:marBottom w:val="0"/>
          <w:divBdr>
            <w:top w:val="none" w:sz="0" w:space="0" w:color="auto"/>
            <w:left w:val="none" w:sz="0" w:space="0" w:color="auto"/>
            <w:bottom w:val="none" w:sz="0" w:space="0" w:color="auto"/>
            <w:right w:val="none" w:sz="0" w:space="0" w:color="auto"/>
          </w:divBdr>
        </w:div>
        <w:div w:id="867720481">
          <w:marLeft w:val="0"/>
          <w:marRight w:val="0"/>
          <w:marTop w:val="0"/>
          <w:marBottom w:val="0"/>
          <w:divBdr>
            <w:top w:val="none" w:sz="0" w:space="0" w:color="auto"/>
            <w:left w:val="none" w:sz="0" w:space="0" w:color="auto"/>
            <w:bottom w:val="none" w:sz="0" w:space="0" w:color="auto"/>
            <w:right w:val="none" w:sz="0" w:space="0" w:color="auto"/>
          </w:divBdr>
        </w:div>
        <w:div w:id="868180120">
          <w:marLeft w:val="0"/>
          <w:marRight w:val="0"/>
          <w:marTop w:val="0"/>
          <w:marBottom w:val="0"/>
          <w:divBdr>
            <w:top w:val="none" w:sz="0" w:space="0" w:color="auto"/>
            <w:left w:val="none" w:sz="0" w:space="0" w:color="auto"/>
            <w:bottom w:val="none" w:sz="0" w:space="0" w:color="auto"/>
            <w:right w:val="none" w:sz="0" w:space="0" w:color="auto"/>
          </w:divBdr>
        </w:div>
        <w:div w:id="869537683">
          <w:marLeft w:val="0"/>
          <w:marRight w:val="0"/>
          <w:marTop w:val="0"/>
          <w:marBottom w:val="0"/>
          <w:divBdr>
            <w:top w:val="none" w:sz="0" w:space="0" w:color="auto"/>
            <w:left w:val="none" w:sz="0" w:space="0" w:color="auto"/>
            <w:bottom w:val="none" w:sz="0" w:space="0" w:color="auto"/>
            <w:right w:val="none" w:sz="0" w:space="0" w:color="auto"/>
          </w:divBdr>
        </w:div>
        <w:div w:id="879363202">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02061094">
          <w:marLeft w:val="0"/>
          <w:marRight w:val="0"/>
          <w:marTop w:val="0"/>
          <w:marBottom w:val="0"/>
          <w:divBdr>
            <w:top w:val="none" w:sz="0" w:space="0" w:color="auto"/>
            <w:left w:val="none" w:sz="0" w:space="0" w:color="auto"/>
            <w:bottom w:val="none" w:sz="0" w:space="0" w:color="auto"/>
            <w:right w:val="none" w:sz="0" w:space="0" w:color="auto"/>
          </w:divBdr>
        </w:div>
        <w:div w:id="904921917">
          <w:marLeft w:val="0"/>
          <w:marRight w:val="0"/>
          <w:marTop w:val="0"/>
          <w:marBottom w:val="0"/>
          <w:divBdr>
            <w:top w:val="none" w:sz="0" w:space="0" w:color="auto"/>
            <w:left w:val="none" w:sz="0" w:space="0" w:color="auto"/>
            <w:bottom w:val="none" w:sz="0" w:space="0" w:color="auto"/>
            <w:right w:val="none" w:sz="0" w:space="0" w:color="auto"/>
          </w:divBdr>
        </w:div>
        <w:div w:id="908537545">
          <w:marLeft w:val="0"/>
          <w:marRight w:val="0"/>
          <w:marTop w:val="0"/>
          <w:marBottom w:val="0"/>
          <w:divBdr>
            <w:top w:val="none" w:sz="0" w:space="0" w:color="auto"/>
            <w:left w:val="none" w:sz="0" w:space="0" w:color="auto"/>
            <w:bottom w:val="none" w:sz="0" w:space="0" w:color="auto"/>
            <w:right w:val="none" w:sz="0" w:space="0" w:color="auto"/>
          </w:divBdr>
        </w:div>
        <w:div w:id="909001485">
          <w:marLeft w:val="0"/>
          <w:marRight w:val="0"/>
          <w:marTop w:val="0"/>
          <w:marBottom w:val="0"/>
          <w:divBdr>
            <w:top w:val="none" w:sz="0" w:space="0" w:color="auto"/>
            <w:left w:val="none" w:sz="0" w:space="0" w:color="auto"/>
            <w:bottom w:val="none" w:sz="0" w:space="0" w:color="auto"/>
            <w:right w:val="none" w:sz="0" w:space="0" w:color="auto"/>
          </w:divBdr>
        </w:div>
        <w:div w:id="910116611">
          <w:marLeft w:val="0"/>
          <w:marRight w:val="0"/>
          <w:marTop w:val="0"/>
          <w:marBottom w:val="0"/>
          <w:divBdr>
            <w:top w:val="none" w:sz="0" w:space="0" w:color="auto"/>
            <w:left w:val="none" w:sz="0" w:space="0" w:color="auto"/>
            <w:bottom w:val="none" w:sz="0" w:space="0" w:color="auto"/>
            <w:right w:val="none" w:sz="0" w:space="0" w:color="auto"/>
          </w:divBdr>
        </w:div>
        <w:div w:id="912591015">
          <w:marLeft w:val="0"/>
          <w:marRight w:val="0"/>
          <w:marTop w:val="0"/>
          <w:marBottom w:val="0"/>
          <w:divBdr>
            <w:top w:val="none" w:sz="0" w:space="0" w:color="auto"/>
            <w:left w:val="none" w:sz="0" w:space="0" w:color="auto"/>
            <w:bottom w:val="none" w:sz="0" w:space="0" w:color="auto"/>
            <w:right w:val="none" w:sz="0" w:space="0" w:color="auto"/>
          </w:divBdr>
        </w:div>
        <w:div w:id="924533289">
          <w:marLeft w:val="0"/>
          <w:marRight w:val="0"/>
          <w:marTop w:val="0"/>
          <w:marBottom w:val="0"/>
          <w:divBdr>
            <w:top w:val="none" w:sz="0" w:space="0" w:color="auto"/>
            <w:left w:val="none" w:sz="0" w:space="0" w:color="auto"/>
            <w:bottom w:val="none" w:sz="0" w:space="0" w:color="auto"/>
            <w:right w:val="none" w:sz="0" w:space="0" w:color="auto"/>
          </w:divBdr>
        </w:div>
        <w:div w:id="927036191">
          <w:marLeft w:val="0"/>
          <w:marRight w:val="0"/>
          <w:marTop w:val="0"/>
          <w:marBottom w:val="0"/>
          <w:divBdr>
            <w:top w:val="none" w:sz="0" w:space="0" w:color="auto"/>
            <w:left w:val="none" w:sz="0" w:space="0" w:color="auto"/>
            <w:bottom w:val="none" w:sz="0" w:space="0" w:color="auto"/>
            <w:right w:val="none" w:sz="0" w:space="0" w:color="auto"/>
          </w:divBdr>
        </w:div>
        <w:div w:id="932058122">
          <w:marLeft w:val="0"/>
          <w:marRight w:val="0"/>
          <w:marTop w:val="0"/>
          <w:marBottom w:val="0"/>
          <w:divBdr>
            <w:top w:val="none" w:sz="0" w:space="0" w:color="auto"/>
            <w:left w:val="none" w:sz="0" w:space="0" w:color="auto"/>
            <w:bottom w:val="none" w:sz="0" w:space="0" w:color="auto"/>
            <w:right w:val="none" w:sz="0" w:space="0" w:color="auto"/>
          </w:divBdr>
        </w:div>
        <w:div w:id="938567224">
          <w:marLeft w:val="0"/>
          <w:marRight w:val="0"/>
          <w:marTop w:val="0"/>
          <w:marBottom w:val="0"/>
          <w:divBdr>
            <w:top w:val="none" w:sz="0" w:space="0" w:color="auto"/>
            <w:left w:val="none" w:sz="0" w:space="0" w:color="auto"/>
            <w:bottom w:val="none" w:sz="0" w:space="0" w:color="auto"/>
            <w:right w:val="none" w:sz="0" w:space="0" w:color="auto"/>
          </w:divBdr>
        </w:div>
        <w:div w:id="941573536">
          <w:marLeft w:val="0"/>
          <w:marRight w:val="0"/>
          <w:marTop w:val="0"/>
          <w:marBottom w:val="0"/>
          <w:divBdr>
            <w:top w:val="none" w:sz="0" w:space="0" w:color="auto"/>
            <w:left w:val="none" w:sz="0" w:space="0" w:color="auto"/>
            <w:bottom w:val="none" w:sz="0" w:space="0" w:color="auto"/>
            <w:right w:val="none" w:sz="0" w:space="0" w:color="auto"/>
          </w:divBdr>
        </w:div>
        <w:div w:id="951010041">
          <w:marLeft w:val="0"/>
          <w:marRight w:val="0"/>
          <w:marTop w:val="0"/>
          <w:marBottom w:val="0"/>
          <w:divBdr>
            <w:top w:val="none" w:sz="0" w:space="0" w:color="auto"/>
            <w:left w:val="none" w:sz="0" w:space="0" w:color="auto"/>
            <w:bottom w:val="none" w:sz="0" w:space="0" w:color="auto"/>
            <w:right w:val="none" w:sz="0" w:space="0" w:color="auto"/>
          </w:divBdr>
        </w:div>
        <w:div w:id="990215410">
          <w:marLeft w:val="0"/>
          <w:marRight w:val="0"/>
          <w:marTop w:val="0"/>
          <w:marBottom w:val="0"/>
          <w:divBdr>
            <w:top w:val="none" w:sz="0" w:space="0" w:color="auto"/>
            <w:left w:val="none" w:sz="0" w:space="0" w:color="auto"/>
            <w:bottom w:val="none" w:sz="0" w:space="0" w:color="auto"/>
            <w:right w:val="none" w:sz="0" w:space="0" w:color="auto"/>
          </w:divBdr>
        </w:div>
        <w:div w:id="991565574">
          <w:marLeft w:val="0"/>
          <w:marRight w:val="0"/>
          <w:marTop w:val="0"/>
          <w:marBottom w:val="0"/>
          <w:divBdr>
            <w:top w:val="none" w:sz="0" w:space="0" w:color="auto"/>
            <w:left w:val="none" w:sz="0" w:space="0" w:color="auto"/>
            <w:bottom w:val="none" w:sz="0" w:space="0" w:color="auto"/>
            <w:right w:val="none" w:sz="0" w:space="0" w:color="auto"/>
          </w:divBdr>
        </w:div>
        <w:div w:id="1002701603">
          <w:marLeft w:val="0"/>
          <w:marRight w:val="0"/>
          <w:marTop w:val="0"/>
          <w:marBottom w:val="0"/>
          <w:divBdr>
            <w:top w:val="none" w:sz="0" w:space="0" w:color="auto"/>
            <w:left w:val="none" w:sz="0" w:space="0" w:color="auto"/>
            <w:bottom w:val="none" w:sz="0" w:space="0" w:color="auto"/>
            <w:right w:val="none" w:sz="0" w:space="0" w:color="auto"/>
          </w:divBdr>
        </w:div>
        <w:div w:id="1008022971">
          <w:marLeft w:val="0"/>
          <w:marRight w:val="0"/>
          <w:marTop w:val="0"/>
          <w:marBottom w:val="0"/>
          <w:divBdr>
            <w:top w:val="none" w:sz="0" w:space="0" w:color="auto"/>
            <w:left w:val="none" w:sz="0" w:space="0" w:color="auto"/>
            <w:bottom w:val="none" w:sz="0" w:space="0" w:color="auto"/>
            <w:right w:val="none" w:sz="0" w:space="0" w:color="auto"/>
          </w:divBdr>
        </w:div>
        <w:div w:id="1017467968">
          <w:marLeft w:val="0"/>
          <w:marRight w:val="0"/>
          <w:marTop w:val="0"/>
          <w:marBottom w:val="0"/>
          <w:divBdr>
            <w:top w:val="none" w:sz="0" w:space="0" w:color="auto"/>
            <w:left w:val="none" w:sz="0" w:space="0" w:color="auto"/>
            <w:bottom w:val="none" w:sz="0" w:space="0" w:color="auto"/>
            <w:right w:val="none" w:sz="0" w:space="0" w:color="auto"/>
          </w:divBdr>
        </w:div>
        <w:div w:id="1022895360">
          <w:marLeft w:val="0"/>
          <w:marRight w:val="0"/>
          <w:marTop w:val="0"/>
          <w:marBottom w:val="0"/>
          <w:divBdr>
            <w:top w:val="none" w:sz="0" w:space="0" w:color="auto"/>
            <w:left w:val="none" w:sz="0" w:space="0" w:color="auto"/>
            <w:bottom w:val="none" w:sz="0" w:space="0" w:color="auto"/>
            <w:right w:val="none" w:sz="0" w:space="0" w:color="auto"/>
          </w:divBdr>
        </w:div>
        <w:div w:id="1049375703">
          <w:marLeft w:val="0"/>
          <w:marRight w:val="0"/>
          <w:marTop w:val="0"/>
          <w:marBottom w:val="0"/>
          <w:divBdr>
            <w:top w:val="none" w:sz="0" w:space="0" w:color="auto"/>
            <w:left w:val="none" w:sz="0" w:space="0" w:color="auto"/>
            <w:bottom w:val="none" w:sz="0" w:space="0" w:color="auto"/>
            <w:right w:val="none" w:sz="0" w:space="0" w:color="auto"/>
          </w:divBdr>
        </w:div>
        <w:div w:id="1050111496">
          <w:marLeft w:val="0"/>
          <w:marRight w:val="0"/>
          <w:marTop w:val="0"/>
          <w:marBottom w:val="0"/>
          <w:divBdr>
            <w:top w:val="none" w:sz="0" w:space="0" w:color="auto"/>
            <w:left w:val="none" w:sz="0" w:space="0" w:color="auto"/>
            <w:bottom w:val="none" w:sz="0" w:space="0" w:color="auto"/>
            <w:right w:val="none" w:sz="0" w:space="0" w:color="auto"/>
          </w:divBdr>
        </w:div>
        <w:div w:id="1057127937">
          <w:marLeft w:val="0"/>
          <w:marRight w:val="0"/>
          <w:marTop w:val="0"/>
          <w:marBottom w:val="0"/>
          <w:divBdr>
            <w:top w:val="none" w:sz="0" w:space="0" w:color="auto"/>
            <w:left w:val="none" w:sz="0" w:space="0" w:color="auto"/>
            <w:bottom w:val="none" w:sz="0" w:space="0" w:color="auto"/>
            <w:right w:val="none" w:sz="0" w:space="0" w:color="auto"/>
          </w:divBdr>
        </w:div>
        <w:div w:id="1072122091">
          <w:marLeft w:val="0"/>
          <w:marRight w:val="0"/>
          <w:marTop w:val="0"/>
          <w:marBottom w:val="0"/>
          <w:divBdr>
            <w:top w:val="none" w:sz="0" w:space="0" w:color="auto"/>
            <w:left w:val="none" w:sz="0" w:space="0" w:color="auto"/>
            <w:bottom w:val="none" w:sz="0" w:space="0" w:color="auto"/>
            <w:right w:val="none" w:sz="0" w:space="0" w:color="auto"/>
          </w:divBdr>
        </w:div>
        <w:div w:id="1073626500">
          <w:marLeft w:val="0"/>
          <w:marRight w:val="0"/>
          <w:marTop w:val="0"/>
          <w:marBottom w:val="0"/>
          <w:divBdr>
            <w:top w:val="none" w:sz="0" w:space="0" w:color="auto"/>
            <w:left w:val="none" w:sz="0" w:space="0" w:color="auto"/>
            <w:bottom w:val="none" w:sz="0" w:space="0" w:color="auto"/>
            <w:right w:val="none" w:sz="0" w:space="0" w:color="auto"/>
          </w:divBdr>
        </w:div>
        <w:div w:id="1073702503">
          <w:marLeft w:val="0"/>
          <w:marRight w:val="0"/>
          <w:marTop w:val="0"/>
          <w:marBottom w:val="0"/>
          <w:divBdr>
            <w:top w:val="none" w:sz="0" w:space="0" w:color="auto"/>
            <w:left w:val="none" w:sz="0" w:space="0" w:color="auto"/>
            <w:bottom w:val="none" w:sz="0" w:space="0" w:color="auto"/>
            <w:right w:val="none" w:sz="0" w:space="0" w:color="auto"/>
          </w:divBdr>
        </w:div>
        <w:div w:id="1074934972">
          <w:marLeft w:val="0"/>
          <w:marRight w:val="0"/>
          <w:marTop w:val="0"/>
          <w:marBottom w:val="0"/>
          <w:divBdr>
            <w:top w:val="none" w:sz="0" w:space="0" w:color="auto"/>
            <w:left w:val="none" w:sz="0" w:space="0" w:color="auto"/>
            <w:bottom w:val="none" w:sz="0" w:space="0" w:color="auto"/>
            <w:right w:val="none" w:sz="0" w:space="0" w:color="auto"/>
          </w:divBdr>
        </w:div>
        <w:div w:id="1109204825">
          <w:marLeft w:val="0"/>
          <w:marRight w:val="0"/>
          <w:marTop w:val="0"/>
          <w:marBottom w:val="0"/>
          <w:divBdr>
            <w:top w:val="none" w:sz="0" w:space="0" w:color="auto"/>
            <w:left w:val="none" w:sz="0" w:space="0" w:color="auto"/>
            <w:bottom w:val="none" w:sz="0" w:space="0" w:color="auto"/>
            <w:right w:val="none" w:sz="0" w:space="0" w:color="auto"/>
          </w:divBdr>
        </w:div>
        <w:div w:id="1113213792">
          <w:marLeft w:val="0"/>
          <w:marRight w:val="0"/>
          <w:marTop w:val="0"/>
          <w:marBottom w:val="0"/>
          <w:divBdr>
            <w:top w:val="none" w:sz="0" w:space="0" w:color="auto"/>
            <w:left w:val="none" w:sz="0" w:space="0" w:color="auto"/>
            <w:bottom w:val="none" w:sz="0" w:space="0" w:color="auto"/>
            <w:right w:val="none" w:sz="0" w:space="0" w:color="auto"/>
          </w:divBdr>
        </w:div>
        <w:div w:id="1127047636">
          <w:marLeft w:val="0"/>
          <w:marRight w:val="0"/>
          <w:marTop w:val="0"/>
          <w:marBottom w:val="0"/>
          <w:divBdr>
            <w:top w:val="none" w:sz="0" w:space="0" w:color="auto"/>
            <w:left w:val="none" w:sz="0" w:space="0" w:color="auto"/>
            <w:bottom w:val="none" w:sz="0" w:space="0" w:color="auto"/>
            <w:right w:val="none" w:sz="0" w:space="0" w:color="auto"/>
          </w:divBdr>
        </w:div>
        <w:div w:id="1146775220">
          <w:marLeft w:val="0"/>
          <w:marRight w:val="0"/>
          <w:marTop w:val="0"/>
          <w:marBottom w:val="0"/>
          <w:divBdr>
            <w:top w:val="none" w:sz="0" w:space="0" w:color="auto"/>
            <w:left w:val="none" w:sz="0" w:space="0" w:color="auto"/>
            <w:bottom w:val="none" w:sz="0" w:space="0" w:color="auto"/>
            <w:right w:val="none" w:sz="0" w:space="0" w:color="auto"/>
          </w:divBdr>
        </w:div>
        <w:div w:id="1158618099">
          <w:marLeft w:val="0"/>
          <w:marRight w:val="0"/>
          <w:marTop w:val="0"/>
          <w:marBottom w:val="0"/>
          <w:divBdr>
            <w:top w:val="none" w:sz="0" w:space="0" w:color="auto"/>
            <w:left w:val="none" w:sz="0" w:space="0" w:color="auto"/>
            <w:bottom w:val="none" w:sz="0" w:space="0" w:color="auto"/>
            <w:right w:val="none" w:sz="0" w:space="0" w:color="auto"/>
          </w:divBdr>
        </w:div>
        <w:div w:id="1158885039">
          <w:marLeft w:val="0"/>
          <w:marRight w:val="0"/>
          <w:marTop w:val="0"/>
          <w:marBottom w:val="0"/>
          <w:divBdr>
            <w:top w:val="none" w:sz="0" w:space="0" w:color="auto"/>
            <w:left w:val="none" w:sz="0" w:space="0" w:color="auto"/>
            <w:bottom w:val="none" w:sz="0" w:space="0" w:color="auto"/>
            <w:right w:val="none" w:sz="0" w:space="0" w:color="auto"/>
          </w:divBdr>
        </w:div>
        <w:div w:id="1168062906">
          <w:marLeft w:val="0"/>
          <w:marRight w:val="0"/>
          <w:marTop w:val="0"/>
          <w:marBottom w:val="0"/>
          <w:divBdr>
            <w:top w:val="none" w:sz="0" w:space="0" w:color="auto"/>
            <w:left w:val="none" w:sz="0" w:space="0" w:color="auto"/>
            <w:bottom w:val="none" w:sz="0" w:space="0" w:color="auto"/>
            <w:right w:val="none" w:sz="0" w:space="0" w:color="auto"/>
          </w:divBdr>
        </w:div>
        <w:div w:id="1169519708">
          <w:marLeft w:val="0"/>
          <w:marRight w:val="0"/>
          <w:marTop w:val="0"/>
          <w:marBottom w:val="0"/>
          <w:divBdr>
            <w:top w:val="none" w:sz="0" w:space="0" w:color="auto"/>
            <w:left w:val="none" w:sz="0" w:space="0" w:color="auto"/>
            <w:bottom w:val="none" w:sz="0" w:space="0" w:color="auto"/>
            <w:right w:val="none" w:sz="0" w:space="0" w:color="auto"/>
          </w:divBdr>
        </w:div>
        <w:div w:id="1174418368">
          <w:marLeft w:val="0"/>
          <w:marRight w:val="0"/>
          <w:marTop w:val="0"/>
          <w:marBottom w:val="0"/>
          <w:divBdr>
            <w:top w:val="none" w:sz="0" w:space="0" w:color="auto"/>
            <w:left w:val="none" w:sz="0" w:space="0" w:color="auto"/>
            <w:bottom w:val="none" w:sz="0" w:space="0" w:color="auto"/>
            <w:right w:val="none" w:sz="0" w:space="0" w:color="auto"/>
          </w:divBdr>
        </w:div>
        <w:div w:id="1192380269">
          <w:marLeft w:val="0"/>
          <w:marRight w:val="0"/>
          <w:marTop w:val="0"/>
          <w:marBottom w:val="0"/>
          <w:divBdr>
            <w:top w:val="none" w:sz="0" w:space="0" w:color="auto"/>
            <w:left w:val="none" w:sz="0" w:space="0" w:color="auto"/>
            <w:bottom w:val="none" w:sz="0" w:space="0" w:color="auto"/>
            <w:right w:val="none" w:sz="0" w:space="0" w:color="auto"/>
          </w:divBdr>
        </w:div>
        <w:div w:id="1192567965">
          <w:marLeft w:val="0"/>
          <w:marRight w:val="0"/>
          <w:marTop w:val="0"/>
          <w:marBottom w:val="0"/>
          <w:divBdr>
            <w:top w:val="none" w:sz="0" w:space="0" w:color="auto"/>
            <w:left w:val="none" w:sz="0" w:space="0" w:color="auto"/>
            <w:bottom w:val="none" w:sz="0" w:space="0" w:color="auto"/>
            <w:right w:val="none" w:sz="0" w:space="0" w:color="auto"/>
          </w:divBdr>
        </w:div>
        <w:div w:id="1194734730">
          <w:marLeft w:val="0"/>
          <w:marRight w:val="0"/>
          <w:marTop w:val="0"/>
          <w:marBottom w:val="0"/>
          <w:divBdr>
            <w:top w:val="none" w:sz="0" w:space="0" w:color="auto"/>
            <w:left w:val="none" w:sz="0" w:space="0" w:color="auto"/>
            <w:bottom w:val="none" w:sz="0" w:space="0" w:color="auto"/>
            <w:right w:val="none" w:sz="0" w:space="0" w:color="auto"/>
          </w:divBdr>
        </w:div>
        <w:div w:id="1196503522">
          <w:marLeft w:val="0"/>
          <w:marRight w:val="0"/>
          <w:marTop w:val="0"/>
          <w:marBottom w:val="0"/>
          <w:divBdr>
            <w:top w:val="none" w:sz="0" w:space="0" w:color="auto"/>
            <w:left w:val="none" w:sz="0" w:space="0" w:color="auto"/>
            <w:bottom w:val="none" w:sz="0" w:space="0" w:color="auto"/>
            <w:right w:val="none" w:sz="0" w:space="0" w:color="auto"/>
          </w:divBdr>
        </w:div>
        <w:div w:id="1203131836">
          <w:marLeft w:val="0"/>
          <w:marRight w:val="0"/>
          <w:marTop w:val="0"/>
          <w:marBottom w:val="0"/>
          <w:divBdr>
            <w:top w:val="none" w:sz="0" w:space="0" w:color="auto"/>
            <w:left w:val="none" w:sz="0" w:space="0" w:color="auto"/>
            <w:bottom w:val="none" w:sz="0" w:space="0" w:color="auto"/>
            <w:right w:val="none" w:sz="0" w:space="0" w:color="auto"/>
          </w:divBdr>
        </w:div>
        <w:div w:id="1206521415">
          <w:marLeft w:val="0"/>
          <w:marRight w:val="0"/>
          <w:marTop w:val="0"/>
          <w:marBottom w:val="0"/>
          <w:divBdr>
            <w:top w:val="none" w:sz="0" w:space="0" w:color="auto"/>
            <w:left w:val="none" w:sz="0" w:space="0" w:color="auto"/>
            <w:bottom w:val="none" w:sz="0" w:space="0" w:color="auto"/>
            <w:right w:val="none" w:sz="0" w:space="0" w:color="auto"/>
          </w:divBdr>
        </w:div>
        <w:div w:id="1210067279">
          <w:marLeft w:val="0"/>
          <w:marRight w:val="0"/>
          <w:marTop w:val="0"/>
          <w:marBottom w:val="0"/>
          <w:divBdr>
            <w:top w:val="none" w:sz="0" w:space="0" w:color="auto"/>
            <w:left w:val="none" w:sz="0" w:space="0" w:color="auto"/>
            <w:bottom w:val="none" w:sz="0" w:space="0" w:color="auto"/>
            <w:right w:val="none" w:sz="0" w:space="0" w:color="auto"/>
          </w:divBdr>
        </w:div>
        <w:div w:id="1225020306">
          <w:marLeft w:val="0"/>
          <w:marRight w:val="0"/>
          <w:marTop w:val="0"/>
          <w:marBottom w:val="0"/>
          <w:divBdr>
            <w:top w:val="none" w:sz="0" w:space="0" w:color="auto"/>
            <w:left w:val="none" w:sz="0" w:space="0" w:color="auto"/>
            <w:bottom w:val="none" w:sz="0" w:space="0" w:color="auto"/>
            <w:right w:val="none" w:sz="0" w:space="0" w:color="auto"/>
          </w:divBdr>
        </w:div>
        <w:div w:id="1225144961">
          <w:marLeft w:val="0"/>
          <w:marRight w:val="0"/>
          <w:marTop w:val="0"/>
          <w:marBottom w:val="0"/>
          <w:divBdr>
            <w:top w:val="none" w:sz="0" w:space="0" w:color="auto"/>
            <w:left w:val="none" w:sz="0" w:space="0" w:color="auto"/>
            <w:bottom w:val="none" w:sz="0" w:space="0" w:color="auto"/>
            <w:right w:val="none" w:sz="0" w:space="0" w:color="auto"/>
          </w:divBdr>
        </w:div>
        <w:div w:id="1235358667">
          <w:marLeft w:val="0"/>
          <w:marRight w:val="0"/>
          <w:marTop w:val="0"/>
          <w:marBottom w:val="0"/>
          <w:divBdr>
            <w:top w:val="none" w:sz="0" w:space="0" w:color="auto"/>
            <w:left w:val="none" w:sz="0" w:space="0" w:color="auto"/>
            <w:bottom w:val="none" w:sz="0" w:space="0" w:color="auto"/>
            <w:right w:val="none" w:sz="0" w:space="0" w:color="auto"/>
          </w:divBdr>
        </w:div>
        <w:div w:id="1245607158">
          <w:marLeft w:val="0"/>
          <w:marRight w:val="0"/>
          <w:marTop w:val="0"/>
          <w:marBottom w:val="0"/>
          <w:divBdr>
            <w:top w:val="none" w:sz="0" w:space="0" w:color="auto"/>
            <w:left w:val="none" w:sz="0" w:space="0" w:color="auto"/>
            <w:bottom w:val="none" w:sz="0" w:space="0" w:color="auto"/>
            <w:right w:val="none" w:sz="0" w:space="0" w:color="auto"/>
          </w:divBdr>
        </w:div>
        <w:div w:id="1259874875">
          <w:marLeft w:val="0"/>
          <w:marRight w:val="0"/>
          <w:marTop w:val="0"/>
          <w:marBottom w:val="0"/>
          <w:divBdr>
            <w:top w:val="none" w:sz="0" w:space="0" w:color="auto"/>
            <w:left w:val="none" w:sz="0" w:space="0" w:color="auto"/>
            <w:bottom w:val="none" w:sz="0" w:space="0" w:color="auto"/>
            <w:right w:val="none" w:sz="0" w:space="0" w:color="auto"/>
          </w:divBdr>
        </w:div>
        <w:div w:id="1271209057">
          <w:marLeft w:val="0"/>
          <w:marRight w:val="0"/>
          <w:marTop w:val="0"/>
          <w:marBottom w:val="0"/>
          <w:divBdr>
            <w:top w:val="none" w:sz="0" w:space="0" w:color="auto"/>
            <w:left w:val="none" w:sz="0" w:space="0" w:color="auto"/>
            <w:bottom w:val="none" w:sz="0" w:space="0" w:color="auto"/>
            <w:right w:val="none" w:sz="0" w:space="0" w:color="auto"/>
          </w:divBdr>
        </w:div>
        <w:div w:id="1280844158">
          <w:marLeft w:val="0"/>
          <w:marRight w:val="0"/>
          <w:marTop w:val="0"/>
          <w:marBottom w:val="0"/>
          <w:divBdr>
            <w:top w:val="none" w:sz="0" w:space="0" w:color="auto"/>
            <w:left w:val="none" w:sz="0" w:space="0" w:color="auto"/>
            <w:bottom w:val="none" w:sz="0" w:space="0" w:color="auto"/>
            <w:right w:val="none" w:sz="0" w:space="0" w:color="auto"/>
          </w:divBdr>
        </w:div>
        <w:div w:id="1291010692">
          <w:marLeft w:val="0"/>
          <w:marRight w:val="0"/>
          <w:marTop w:val="0"/>
          <w:marBottom w:val="0"/>
          <w:divBdr>
            <w:top w:val="none" w:sz="0" w:space="0" w:color="auto"/>
            <w:left w:val="none" w:sz="0" w:space="0" w:color="auto"/>
            <w:bottom w:val="none" w:sz="0" w:space="0" w:color="auto"/>
            <w:right w:val="none" w:sz="0" w:space="0" w:color="auto"/>
          </w:divBdr>
        </w:div>
        <w:div w:id="1292052982">
          <w:marLeft w:val="0"/>
          <w:marRight w:val="0"/>
          <w:marTop w:val="0"/>
          <w:marBottom w:val="0"/>
          <w:divBdr>
            <w:top w:val="none" w:sz="0" w:space="0" w:color="auto"/>
            <w:left w:val="none" w:sz="0" w:space="0" w:color="auto"/>
            <w:bottom w:val="none" w:sz="0" w:space="0" w:color="auto"/>
            <w:right w:val="none" w:sz="0" w:space="0" w:color="auto"/>
          </w:divBdr>
        </w:div>
        <w:div w:id="1318849773">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320499499">
          <w:marLeft w:val="0"/>
          <w:marRight w:val="0"/>
          <w:marTop w:val="0"/>
          <w:marBottom w:val="0"/>
          <w:divBdr>
            <w:top w:val="none" w:sz="0" w:space="0" w:color="auto"/>
            <w:left w:val="none" w:sz="0" w:space="0" w:color="auto"/>
            <w:bottom w:val="none" w:sz="0" w:space="0" w:color="auto"/>
            <w:right w:val="none" w:sz="0" w:space="0" w:color="auto"/>
          </w:divBdr>
        </w:div>
        <w:div w:id="1325277967">
          <w:marLeft w:val="0"/>
          <w:marRight w:val="0"/>
          <w:marTop w:val="0"/>
          <w:marBottom w:val="0"/>
          <w:divBdr>
            <w:top w:val="none" w:sz="0" w:space="0" w:color="auto"/>
            <w:left w:val="none" w:sz="0" w:space="0" w:color="auto"/>
            <w:bottom w:val="none" w:sz="0" w:space="0" w:color="auto"/>
            <w:right w:val="none" w:sz="0" w:space="0" w:color="auto"/>
          </w:divBdr>
        </w:div>
        <w:div w:id="1331442416">
          <w:marLeft w:val="0"/>
          <w:marRight w:val="0"/>
          <w:marTop w:val="0"/>
          <w:marBottom w:val="0"/>
          <w:divBdr>
            <w:top w:val="none" w:sz="0" w:space="0" w:color="auto"/>
            <w:left w:val="none" w:sz="0" w:space="0" w:color="auto"/>
            <w:bottom w:val="none" w:sz="0" w:space="0" w:color="auto"/>
            <w:right w:val="none" w:sz="0" w:space="0" w:color="auto"/>
          </w:divBdr>
        </w:div>
        <w:div w:id="1349865082">
          <w:marLeft w:val="0"/>
          <w:marRight w:val="0"/>
          <w:marTop w:val="0"/>
          <w:marBottom w:val="0"/>
          <w:divBdr>
            <w:top w:val="none" w:sz="0" w:space="0" w:color="auto"/>
            <w:left w:val="none" w:sz="0" w:space="0" w:color="auto"/>
            <w:bottom w:val="none" w:sz="0" w:space="0" w:color="auto"/>
            <w:right w:val="none" w:sz="0" w:space="0" w:color="auto"/>
          </w:divBdr>
        </w:div>
        <w:div w:id="1364672201">
          <w:marLeft w:val="0"/>
          <w:marRight w:val="0"/>
          <w:marTop w:val="0"/>
          <w:marBottom w:val="0"/>
          <w:divBdr>
            <w:top w:val="none" w:sz="0" w:space="0" w:color="auto"/>
            <w:left w:val="none" w:sz="0" w:space="0" w:color="auto"/>
            <w:bottom w:val="none" w:sz="0" w:space="0" w:color="auto"/>
            <w:right w:val="none" w:sz="0" w:space="0" w:color="auto"/>
          </w:divBdr>
        </w:div>
        <w:div w:id="1371762772">
          <w:marLeft w:val="0"/>
          <w:marRight w:val="0"/>
          <w:marTop w:val="0"/>
          <w:marBottom w:val="0"/>
          <w:divBdr>
            <w:top w:val="none" w:sz="0" w:space="0" w:color="auto"/>
            <w:left w:val="none" w:sz="0" w:space="0" w:color="auto"/>
            <w:bottom w:val="none" w:sz="0" w:space="0" w:color="auto"/>
            <w:right w:val="none" w:sz="0" w:space="0" w:color="auto"/>
          </w:divBdr>
        </w:div>
        <w:div w:id="1372342042">
          <w:marLeft w:val="0"/>
          <w:marRight w:val="0"/>
          <w:marTop w:val="0"/>
          <w:marBottom w:val="0"/>
          <w:divBdr>
            <w:top w:val="none" w:sz="0" w:space="0" w:color="auto"/>
            <w:left w:val="none" w:sz="0" w:space="0" w:color="auto"/>
            <w:bottom w:val="none" w:sz="0" w:space="0" w:color="auto"/>
            <w:right w:val="none" w:sz="0" w:space="0" w:color="auto"/>
          </w:divBdr>
        </w:div>
        <w:div w:id="1376735040">
          <w:marLeft w:val="0"/>
          <w:marRight w:val="0"/>
          <w:marTop w:val="0"/>
          <w:marBottom w:val="0"/>
          <w:divBdr>
            <w:top w:val="none" w:sz="0" w:space="0" w:color="auto"/>
            <w:left w:val="none" w:sz="0" w:space="0" w:color="auto"/>
            <w:bottom w:val="none" w:sz="0" w:space="0" w:color="auto"/>
            <w:right w:val="none" w:sz="0" w:space="0" w:color="auto"/>
          </w:divBdr>
        </w:div>
        <w:div w:id="1389499615">
          <w:marLeft w:val="0"/>
          <w:marRight w:val="0"/>
          <w:marTop w:val="0"/>
          <w:marBottom w:val="0"/>
          <w:divBdr>
            <w:top w:val="none" w:sz="0" w:space="0" w:color="auto"/>
            <w:left w:val="none" w:sz="0" w:space="0" w:color="auto"/>
            <w:bottom w:val="none" w:sz="0" w:space="0" w:color="auto"/>
            <w:right w:val="none" w:sz="0" w:space="0" w:color="auto"/>
          </w:divBdr>
        </w:div>
        <w:div w:id="1395934115">
          <w:marLeft w:val="0"/>
          <w:marRight w:val="0"/>
          <w:marTop w:val="0"/>
          <w:marBottom w:val="0"/>
          <w:divBdr>
            <w:top w:val="none" w:sz="0" w:space="0" w:color="auto"/>
            <w:left w:val="none" w:sz="0" w:space="0" w:color="auto"/>
            <w:bottom w:val="none" w:sz="0" w:space="0" w:color="auto"/>
            <w:right w:val="none" w:sz="0" w:space="0" w:color="auto"/>
          </w:divBdr>
        </w:div>
        <w:div w:id="1396051399">
          <w:marLeft w:val="0"/>
          <w:marRight w:val="0"/>
          <w:marTop w:val="0"/>
          <w:marBottom w:val="0"/>
          <w:divBdr>
            <w:top w:val="none" w:sz="0" w:space="0" w:color="auto"/>
            <w:left w:val="none" w:sz="0" w:space="0" w:color="auto"/>
            <w:bottom w:val="none" w:sz="0" w:space="0" w:color="auto"/>
            <w:right w:val="none" w:sz="0" w:space="0" w:color="auto"/>
          </w:divBdr>
        </w:div>
        <w:div w:id="1401950198">
          <w:marLeft w:val="0"/>
          <w:marRight w:val="0"/>
          <w:marTop w:val="0"/>
          <w:marBottom w:val="0"/>
          <w:divBdr>
            <w:top w:val="none" w:sz="0" w:space="0" w:color="auto"/>
            <w:left w:val="none" w:sz="0" w:space="0" w:color="auto"/>
            <w:bottom w:val="none" w:sz="0" w:space="0" w:color="auto"/>
            <w:right w:val="none" w:sz="0" w:space="0" w:color="auto"/>
          </w:divBdr>
        </w:div>
        <w:div w:id="1416434502">
          <w:marLeft w:val="0"/>
          <w:marRight w:val="0"/>
          <w:marTop w:val="0"/>
          <w:marBottom w:val="0"/>
          <w:divBdr>
            <w:top w:val="none" w:sz="0" w:space="0" w:color="auto"/>
            <w:left w:val="none" w:sz="0" w:space="0" w:color="auto"/>
            <w:bottom w:val="none" w:sz="0" w:space="0" w:color="auto"/>
            <w:right w:val="none" w:sz="0" w:space="0" w:color="auto"/>
          </w:divBdr>
        </w:div>
        <w:div w:id="1421486604">
          <w:marLeft w:val="0"/>
          <w:marRight w:val="0"/>
          <w:marTop w:val="0"/>
          <w:marBottom w:val="0"/>
          <w:divBdr>
            <w:top w:val="none" w:sz="0" w:space="0" w:color="auto"/>
            <w:left w:val="none" w:sz="0" w:space="0" w:color="auto"/>
            <w:bottom w:val="none" w:sz="0" w:space="0" w:color="auto"/>
            <w:right w:val="none" w:sz="0" w:space="0" w:color="auto"/>
          </w:divBdr>
        </w:div>
        <w:div w:id="1423146249">
          <w:marLeft w:val="0"/>
          <w:marRight w:val="0"/>
          <w:marTop w:val="0"/>
          <w:marBottom w:val="0"/>
          <w:divBdr>
            <w:top w:val="none" w:sz="0" w:space="0" w:color="auto"/>
            <w:left w:val="none" w:sz="0" w:space="0" w:color="auto"/>
            <w:bottom w:val="none" w:sz="0" w:space="0" w:color="auto"/>
            <w:right w:val="none" w:sz="0" w:space="0" w:color="auto"/>
          </w:divBdr>
        </w:div>
        <w:div w:id="1430850652">
          <w:marLeft w:val="0"/>
          <w:marRight w:val="0"/>
          <w:marTop w:val="0"/>
          <w:marBottom w:val="0"/>
          <w:divBdr>
            <w:top w:val="none" w:sz="0" w:space="0" w:color="auto"/>
            <w:left w:val="none" w:sz="0" w:space="0" w:color="auto"/>
            <w:bottom w:val="none" w:sz="0" w:space="0" w:color="auto"/>
            <w:right w:val="none" w:sz="0" w:space="0" w:color="auto"/>
          </w:divBdr>
        </w:div>
        <w:div w:id="1432821151">
          <w:marLeft w:val="0"/>
          <w:marRight w:val="0"/>
          <w:marTop w:val="0"/>
          <w:marBottom w:val="0"/>
          <w:divBdr>
            <w:top w:val="none" w:sz="0" w:space="0" w:color="auto"/>
            <w:left w:val="none" w:sz="0" w:space="0" w:color="auto"/>
            <w:bottom w:val="none" w:sz="0" w:space="0" w:color="auto"/>
            <w:right w:val="none" w:sz="0" w:space="0" w:color="auto"/>
          </w:divBdr>
        </w:div>
        <w:div w:id="1433894050">
          <w:marLeft w:val="0"/>
          <w:marRight w:val="0"/>
          <w:marTop w:val="0"/>
          <w:marBottom w:val="0"/>
          <w:divBdr>
            <w:top w:val="none" w:sz="0" w:space="0" w:color="auto"/>
            <w:left w:val="none" w:sz="0" w:space="0" w:color="auto"/>
            <w:bottom w:val="none" w:sz="0" w:space="0" w:color="auto"/>
            <w:right w:val="none" w:sz="0" w:space="0" w:color="auto"/>
          </w:divBdr>
        </w:div>
        <w:div w:id="1436292556">
          <w:marLeft w:val="0"/>
          <w:marRight w:val="0"/>
          <w:marTop w:val="0"/>
          <w:marBottom w:val="0"/>
          <w:divBdr>
            <w:top w:val="none" w:sz="0" w:space="0" w:color="auto"/>
            <w:left w:val="none" w:sz="0" w:space="0" w:color="auto"/>
            <w:bottom w:val="none" w:sz="0" w:space="0" w:color="auto"/>
            <w:right w:val="none" w:sz="0" w:space="0" w:color="auto"/>
          </w:divBdr>
        </w:div>
        <w:div w:id="1447433037">
          <w:marLeft w:val="0"/>
          <w:marRight w:val="0"/>
          <w:marTop w:val="0"/>
          <w:marBottom w:val="0"/>
          <w:divBdr>
            <w:top w:val="none" w:sz="0" w:space="0" w:color="auto"/>
            <w:left w:val="none" w:sz="0" w:space="0" w:color="auto"/>
            <w:bottom w:val="none" w:sz="0" w:space="0" w:color="auto"/>
            <w:right w:val="none" w:sz="0" w:space="0" w:color="auto"/>
          </w:divBdr>
        </w:div>
        <w:div w:id="1451511452">
          <w:marLeft w:val="0"/>
          <w:marRight w:val="0"/>
          <w:marTop w:val="0"/>
          <w:marBottom w:val="0"/>
          <w:divBdr>
            <w:top w:val="none" w:sz="0" w:space="0" w:color="auto"/>
            <w:left w:val="none" w:sz="0" w:space="0" w:color="auto"/>
            <w:bottom w:val="none" w:sz="0" w:space="0" w:color="auto"/>
            <w:right w:val="none" w:sz="0" w:space="0" w:color="auto"/>
          </w:divBdr>
        </w:div>
        <w:div w:id="1454709625">
          <w:marLeft w:val="0"/>
          <w:marRight w:val="0"/>
          <w:marTop w:val="0"/>
          <w:marBottom w:val="0"/>
          <w:divBdr>
            <w:top w:val="none" w:sz="0" w:space="0" w:color="auto"/>
            <w:left w:val="none" w:sz="0" w:space="0" w:color="auto"/>
            <w:bottom w:val="none" w:sz="0" w:space="0" w:color="auto"/>
            <w:right w:val="none" w:sz="0" w:space="0" w:color="auto"/>
          </w:divBdr>
        </w:div>
        <w:div w:id="1482192018">
          <w:marLeft w:val="0"/>
          <w:marRight w:val="0"/>
          <w:marTop w:val="0"/>
          <w:marBottom w:val="0"/>
          <w:divBdr>
            <w:top w:val="none" w:sz="0" w:space="0" w:color="auto"/>
            <w:left w:val="none" w:sz="0" w:space="0" w:color="auto"/>
            <w:bottom w:val="none" w:sz="0" w:space="0" w:color="auto"/>
            <w:right w:val="none" w:sz="0" w:space="0" w:color="auto"/>
          </w:divBdr>
        </w:div>
        <w:div w:id="1490096092">
          <w:marLeft w:val="0"/>
          <w:marRight w:val="0"/>
          <w:marTop w:val="0"/>
          <w:marBottom w:val="0"/>
          <w:divBdr>
            <w:top w:val="none" w:sz="0" w:space="0" w:color="auto"/>
            <w:left w:val="none" w:sz="0" w:space="0" w:color="auto"/>
            <w:bottom w:val="none" w:sz="0" w:space="0" w:color="auto"/>
            <w:right w:val="none" w:sz="0" w:space="0" w:color="auto"/>
          </w:divBdr>
        </w:div>
        <w:div w:id="1497725772">
          <w:marLeft w:val="0"/>
          <w:marRight w:val="0"/>
          <w:marTop w:val="0"/>
          <w:marBottom w:val="0"/>
          <w:divBdr>
            <w:top w:val="none" w:sz="0" w:space="0" w:color="auto"/>
            <w:left w:val="none" w:sz="0" w:space="0" w:color="auto"/>
            <w:bottom w:val="none" w:sz="0" w:space="0" w:color="auto"/>
            <w:right w:val="none" w:sz="0" w:space="0" w:color="auto"/>
          </w:divBdr>
        </w:div>
        <w:div w:id="1506355867">
          <w:marLeft w:val="0"/>
          <w:marRight w:val="0"/>
          <w:marTop w:val="0"/>
          <w:marBottom w:val="0"/>
          <w:divBdr>
            <w:top w:val="none" w:sz="0" w:space="0" w:color="auto"/>
            <w:left w:val="none" w:sz="0" w:space="0" w:color="auto"/>
            <w:bottom w:val="none" w:sz="0" w:space="0" w:color="auto"/>
            <w:right w:val="none" w:sz="0" w:space="0" w:color="auto"/>
          </w:divBdr>
        </w:div>
        <w:div w:id="1517887780">
          <w:marLeft w:val="0"/>
          <w:marRight w:val="0"/>
          <w:marTop w:val="0"/>
          <w:marBottom w:val="0"/>
          <w:divBdr>
            <w:top w:val="none" w:sz="0" w:space="0" w:color="auto"/>
            <w:left w:val="none" w:sz="0" w:space="0" w:color="auto"/>
            <w:bottom w:val="none" w:sz="0" w:space="0" w:color="auto"/>
            <w:right w:val="none" w:sz="0" w:space="0" w:color="auto"/>
          </w:divBdr>
        </w:div>
        <w:div w:id="1519851464">
          <w:marLeft w:val="0"/>
          <w:marRight w:val="0"/>
          <w:marTop w:val="0"/>
          <w:marBottom w:val="0"/>
          <w:divBdr>
            <w:top w:val="none" w:sz="0" w:space="0" w:color="auto"/>
            <w:left w:val="none" w:sz="0" w:space="0" w:color="auto"/>
            <w:bottom w:val="none" w:sz="0" w:space="0" w:color="auto"/>
            <w:right w:val="none" w:sz="0" w:space="0" w:color="auto"/>
          </w:divBdr>
        </w:div>
        <w:div w:id="1529835502">
          <w:marLeft w:val="0"/>
          <w:marRight w:val="0"/>
          <w:marTop w:val="0"/>
          <w:marBottom w:val="0"/>
          <w:divBdr>
            <w:top w:val="none" w:sz="0" w:space="0" w:color="auto"/>
            <w:left w:val="none" w:sz="0" w:space="0" w:color="auto"/>
            <w:bottom w:val="none" w:sz="0" w:space="0" w:color="auto"/>
            <w:right w:val="none" w:sz="0" w:space="0" w:color="auto"/>
          </w:divBdr>
        </w:div>
        <w:div w:id="1533494690">
          <w:marLeft w:val="0"/>
          <w:marRight w:val="0"/>
          <w:marTop w:val="0"/>
          <w:marBottom w:val="0"/>
          <w:divBdr>
            <w:top w:val="none" w:sz="0" w:space="0" w:color="auto"/>
            <w:left w:val="none" w:sz="0" w:space="0" w:color="auto"/>
            <w:bottom w:val="none" w:sz="0" w:space="0" w:color="auto"/>
            <w:right w:val="none" w:sz="0" w:space="0" w:color="auto"/>
          </w:divBdr>
        </w:div>
        <w:div w:id="1533837272">
          <w:marLeft w:val="0"/>
          <w:marRight w:val="0"/>
          <w:marTop w:val="0"/>
          <w:marBottom w:val="0"/>
          <w:divBdr>
            <w:top w:val="none" w:sz="0" w:space="0" w:color="auto"/>
            <w:left w:val="none" w:sz="0" w:space="0" w:color="auto"/>
            <w:bottom w:val="none" w:sz="0" w:space="0" w:color="auto"/>
            <w:right w:val="none" w:sz="0" w:space="0" w:color="auto"/>
          </w:divBdr>
        </w:div>
        <w:div w:id="1538468601">
          <w:marLeft w:val="0"/>
          <w:marRight w:val="0"/>
          <w:marTop w:val="0"/>
          <w:marBottom w:val="0"/>
          <w:divBdr>
            <w:top w:val="none" w:sz="0" w:space="0" w:color="auto"/>
            <w:left w:val="none" w:sz="0" w:space="0" w:color="auto"/>
            <w:bottom w:val="none" w:sz="0" w:space="0" w:color="auto"/>
            <w:right w:val="none" w:sz="0" w:space="0" w:color="auto"/>
          </w:divBdr>
        </w:div>
        <w:div w:id="1543324178">
          <w:marLeft w:val="0"/>
          <w:marRight w:val="0"/>
          <w:marTop w:val="0"/>
          <w:marBottom w:val="0"/>
          <w:divBdr>
            <w:top w:val="none" w:sz="0" w:space="0" w:color="auto"/>
            <w:left w:val="none" w:sz="0" w:space="0" w:color="auto"/>
            <w:bottom w:val="none" w:sz="0" w:space="0" w:color="auto"/>
            <w:right w:val="none" w:sz="0" w:space="0" w:color="auto"/>
          </w:divBdr>
        </w:div>
        <w:div w:id="1544630440">
          <w:marLeft w:val="0"/>
          <w:marRight w:val="0"/>
          <w:marTop w:val="0"/>
          <w:marBottom w:val="0"/>
          <w:divBdr>
            <w:top w:val="none" w:sz="0" w:space="0" w:color="auto"/>
            <w:left w:val="none" w:sz="0" w:space="0" w:color="auto"/>
            <w:bottom w:val="none" w:sz="0" w:space="0" w:color="auto"/>
            <w:right w:val="none" w:sz="0" w:space="0" w:color="auto"/>
          </w:divBdr>
        </w:div>
        <w:div w:id="1555463547">
          <w:marLeft w:val="0"/>
          <w:marRight w:val="0"/>
          <w:marTop w:val="0"/>
          <w:marBottom w:val="0"/>
          <w:divBdr>
            <w:top w:val="none" w:sz="0" w:space="0" w:color="auto"/>
            <w:left w:val="none" w:sz="0" w:space="0" w:color="auto"/>
            <w:bottom w:val="none" w:sz="0" w:space="0" w:color="auto"/>
            <w:right w:val="none" w:sz="0" w:space="0" w:color="auto"/>
          </w:divBdr>
        </w:div>
        <w:div w:id="1562055771">
          <w:marLeft w:val="0"/>
          <w:marRight w:val="0"/>
          <w:marTop w:val="0"/>
          <w:marBottom w:val="0"/>
          <w:divBdr>
            <w:top w:val="none" w:sz="0" w:space="0" w:color="auto"/>
            <w:left w:val="none" w:sz="0" w:space="0" w:color="auto"/>
            <w:bottom w:val="none" w:sz="0" w:space="0" w:color="auto"/>
            <w:right w:val="none" w:sz="0" w:space="0" w:color="auto"/>
          </w:divBdr>
        </w:div>
        <w:div w:id="1562910216">
          <w:marLeft w:val="0"/>
          <w:marRight w:val="0"/>
          <w:marTop w:val="0"/>
          <w:marBottom w:val="0"/>
          <w:divBdr>
            <w:top w:val="none" w:sz="0" w:space="0" w:color="auto"/>
            <w:left w:val="none" w:sz="0" w:space="0" w:color="auto"/>
            <w:bottom w:val="none" w:sz="0" w:space="0" w:color="auto"/>
            <w:right w:val="none" w:sz="0" w:space="0" w:color="auto"/>
          </w:divBdr>
        </w:div>
        <w:div w:id="1599095283">
          <w:marLeft w:val="0"/>
          <w:marRight w:val="0"/>
          <w:marTop w:val="0"/>
          <w:marBottom w:val="0"/>
          <w:divBdr>
            <w:top w:val="none" w:sz="0" w:space="0" w:color="auto"/>
            <w:left w:val="none" w:sz="0" w:space="0" w:color="auto"/>
            <w:bottom w:val="none" w:sz="0" w:space="0" w:color="auto"/>
            <w:right w:val="none" w:sz="0" w:space="0" w:color="auto"/>
          </w:divBdr>
        </w:div>
        <w:div w:id="1601723336">
          <w:marLeft w:val="0"/>
          <w:marRight w:val="0"/>
          <w:marTop w:val="0"/>
          <w:marBottom w:val="0"/>
          <w:divBdr>
            <w:top w:val="none" w:sz="0" w:space="0" w:color="auto"/>
            <w:left w:val="none" w:sz="0" w:space="0" w:color="auto"/>
            <w:bottom w:val="none" w:sz="0" w:space="0" w:color="auto"/>
            <w:right w:val="none" w:sz="0" w:space="0" w:color="auto"/>
          </w:divBdr>
        </w:div>
        <w:div w:id="1608542850">
          <w:marLeft w:val="0"/>
          <w:marRight w:val="0"/>
          <w:marTop w:val="0"/>
          <w:marBottom w:val="0"/>
          <w:divBdr>
            <w:top w:val="none" w:sz="0" w:space="0" w:color="auto"/>
            <w:left w:val="none" w:sz="0" w:space="0" w:color="auto"/>
            <w:bottom w:val="none" w:sz="0" w:space="0" w:color="auto"/>
            <w:right w:val="none" w:sz="0" w:space="0" w:color="auto"/>
          </w:divBdr>
        </w:div>
        <w:div w:id="1628008459">
          <w:marLeft w:val="0"/>
          <w:marRight w:val="0"/>
          <w:marTop w:val="0"/>
          <w:marBottom w:val="0"/>
          <w:divBdr>
            <w:top w:val="none" w:sz="0" w:space="0" w:color="auto"/>
            <w:left w:val="none" w:sz="0" w:space="0" w:color="auto"/>
            <w:bottom w:val="none" w:sz="0" w:space="0" w:color="auto"/>
            <w:right w:val="none" w:sz="0" w:space="0" w:color="auto"/>
          </w:divBdr>
        </w:div>
        <w:div w:id="1629121994">
          <w:marLeft w:val="0"/>
          <w:marRight w:val="0"/>
          <w:marTop w:val="0"/>
          <w:marBottom w:val="0"/>
          <w:divBdr>
            <w:top w:val="none" w:sz="0" w:space="0" w:color="auto"/>
            <w:left w:val="none" w:sz="0" w:space="0" w:color="auto"/>
            <w:bottom w:val="none" w:sz="0" w:space="0" w:color="auto"/>
            <w:right w:val="none" w:sz="0" w:space="0" w:color="auto"/>
          </w:divBdr>
        </w:div>
        <w:div w:id="1636056951">
          <w:marLeft w:val="0"/>
          <w:marRight w:val="0"/>
          <w:marTop w:val="0"/>
          <w:marBottom w:val="0"/>
          <w:divBdr>
            <w:top w:val="none" w:sz="0" w:space="0" w:color="auto"/>
            <w:left w:val="none" w:sz="0" w:space="0" w:color="auto"/>
            <w:bottom w:val="none" w:sz="0" w:space="0" w:color="auto"/>
            <w:right w:val="none" w:sz="0" w:space="0" w:color="auto"/>
          </w:divBdr>
        </w:div>
        <w:div w:id="1645694802">
          <w:marLeft w:val="0"/>
          <w:marRight w:val="0"/>
          <w:marTop w:val="0"/>
          <w:marBottom w:val="0"/>
          <w:divBdr>
            <w:top w:val="none" w:sz="0" w:space="0" w:color="auto"/>
            <w:left w:val="none" w:sz="0" w:space="0" w:color="auto"/>
            <w:bottom w:val="none" w:sz="0" w:space="0" w:color="auto"/>
            <w:right w:val="none" w:sz="0" w:space="0" w:color="auto"/>
          </w:divBdr>
        </w:div>
        <w:div w:id="1649357920">
          <w:marLeft w:val="0"/>
          <w:marRight w:val="0"/>
          <w:marTop w:val="0"/>
          <w:marBottom w:val="0"/>
          <w:divBdr>
            <w:top w:val="none" w:sz="0" w:space="0" w:color="auto"/>
            <w:left w:val="none" w:sz="0" w:space="0" w:color="auto"/>
            <w:bottom w:val="none" w:sz="0" w:space="0" w:color="auto"/>
            <w:right w:val="none" w:sz="0" w:space="0" w:color="auto"/>
          </w:divBdr>
        </w:div>
        <w:div w:id="1659262037">
          <w:marLeft w:val="0"/>
          <w:marRight w:val="0"/>
          <w:marTop w:val="0"/>
          <w:marBottom w:val="0"/>
          <w:divBdr>
            <w:top w:val="none" w:sz="0" w:space="0" w:color="auto"/>
            <w:left w:val="none" w:sz="0" w:space="0" w:color="auto"/>
            <w:bottom w:val="none" w:sz="0" w:space="0" w:color="auto"/>
            <w:right w:val="none" w:sz="0" w:space="0" w:color="auto"/>
          </w:divBdr>
        </w:div>
        <w:div w:id="1660160409">
          <w:marLeft w:val="0"/>
          <w:marRight w:val="0"/>
          <w:marTop w:val="0"/>
          <w:marBottom w:val="0"/>
          <w:divBdr>
            <w:top w:val="none" w:sz="0" w:space="0" w:color="auto"/>
            <w:left w:val="none" w:sz="0" w:space="0" w:color="auto"/>
            <w:bottom w:val="none" w:sz="0" w:space="0" w:color="auto"/>
            <w:right w:val="none" w:sz="0" w:space="0" w:color="auto"/>
          </w:divBdr>
        </w:div>
        <w:div w:id="1662342748">
          <w:marLeft w:val="0"/>
          <w:marRight w:val="0"/>
          <w:marTop w:val="0"/>
          <w:marBottom w:val="0"/>
          <w:divBdr>
            <w:top w:val="none" w:sz="0" w:space="0" w:color="auto"/>
            <w:left w:val="none" w:sz="0" w:space="0" w:color="auto"/>
            <w:bottom w:val="none" w:sz="0" w:space="0" w:color="auto"/>
            <w:right w:val="none" w:sz="0" w:space="0" w:color="auto"/>
          </w:divBdr>
        </w:div>
        <w:div w:id="1662729405">
          <w:marLeft w:val="0"/>
          <w:marRight w:val="0"/>
          <w:marTop w:val="0"/>
          <w:marBottom w:val="0"/>
          <w:divBdr>
            <w:top w:val="none" w:sz="0" w:space="0" w:color="auto"/>
            <w:left w:val="none" w:sz="0" w:space="0" w:color="auto"/>
            <w:bottom w:val="none" w:sz="0" w:space="0" w:color="auto"/>
            <w:right w:val="none" w:sz="0" w:space="0" w:color="auto"/>
          </w:divBdr>
        </w:div>
        <w:div w:id="1663771307">
          <w:marLeft w:val="0"/>
          <w:marRight w:val="0"/>
          <w:marTop w:val="0"/>
          <w:marBottom w:val="0"/>
          <w:divBdr>
            <w:top w:val="none" w:sz="0" w:space="0" w:color="auto"/>
            <w:left w:val="none" w:sz="0" w:space="0" w:color="auto"/>
            <w:bottom w:val="none" w:sz="0" w:space="0" w:color="auto"/>
            <w:right w:val="none" w:sz="0" w:space="0" w:color="auto"/>
          </w:divBdr>
        </w:div>
        <w:div w:id="1666131208">
          <w:marLeft w:val="0"/>
          <w:marRight w:val="0"/>
          <w:marTop w:val="0"/>
          <w:marBottom w:val="0"/>
          <w:divBdr>
            <w:top w:val="none" w:sz="0" w:space="0" w:color="auto"/>
            <w:left w:val="none" w:sz="0" w:space="0" w:color="auto"/>
            <w:bottom w:val="none" w:sz="0" w:space="0" w:color="auto"/>
            <w:right w:val="none" w:sz="0" w:space="0" w:color="auto"/>
          </w:divBdr>
        </w:div>
        <w:div w:id="1687751806">
          <w:marLeft w:val="0"/>
          <w:marRight w:val="0"/>
          <w:marTop w:val="0"/>
          <w:marBottom w:val="0"/>
          <w:divBdr>
            <w:top w:val="none" w:sz="0" w:space="0" w:color="auto"/>
            <w:left w:val="none" w:sz="0" w:space="0" w:color="auto"/>
            <w:bottom w:val="none" w:sz="0" w:space="0" w:color="auto"/>
            <w:right w:val="none" w:sz="0" w:space="0" w:color="auto"/>
          </w:divBdr>
        </w:div>
        <w:div w:id="1692104615">
          <w:marLeft w:val="0"/>
          <w:marRight w:val="0"/>
          <w:marTop w:val="0"/>
          <w:marBottom w:val="0"/>
          <w:divBdr>
            <w:top w:val="none" w:sz="0" w:space="0" w:color="auto"/>
            <w:left w:val="none" w:sz="0" w:space="0" w:color="auto"/>
            <w:bottom w:val="none" w:sz="0" w:space="0" w:color="auto"/>
            <w:right w:val="none" w:sz="0" w:space="0" w:color="auto"/>
          </w:divBdr>
        </w:div>
        <w:div w:id="1701978074">
          <w:marLeft w:val="0"/>
          <w:marRight w:val="0"/>
          <w:marTop w:val="0"/>
          <w:marBottom w:val="0"/>
          <w:divBdr>
            <w:top w:val="none" w:sz="0" w:space="0" w:color="auto"/>
            <w:left w:val="none" w:sz="0" w:space="0" w:color="auto"/>
            <w:bottom w:val="none" w:sz="0" w:space="0" w:color="auto"/>
            <w:right w:val="none" w:sz="0" w:space="0" w:color="auto"/>
          </w:divBdr>
        </w:div>
        <w:div w:id="1710256876">
          <w:marLeft w:val="0"/>
          <w:marRight w:val="0"/>
          <w:marTop w:val="0"/>
          <w:marBottom w:val="0"/>
          <w:divBdr>
            <w:top w:val="none" w:sz="0" w:space="0" w:color="auto"/>
            <w:left w:val="none" w:sz="0" w:space="0" w:color="auto"/>
            <w:bottom w:val="none" w:sz="0" w:space="0" w:color="auto"/>
            <w:right w:val="none" w:sz="0" w:space="0" w:color="auto"/>
          </w:divBdr>
        </w:div>
        <w:div w:id="1710379384">
          <w:marLeft w:val="0"/>
          <w:marRight w:val="0"/>
          <w:marTop w:val="0"/>
          <w:marBottom w:val="0"/>
          <w:divBdr>
            <w:top w:val="none" w:sz="0" w:space="0" w:color="auto"/>
            <w:left w:val="none" w:sz="0" w:space="0" w:color="auto"/>
            <w:bottom w:val="none" w:sz="0" w:space="0" w:color="auto"/>
            <w:right w:val="none" w:sz="0" w:space="0" w:color="auto"/>
          </w:divBdr>
        </w:div>
        <w:div w:id="1710908254">
          <w:marLeft w:val="0"/>
          <w:marRight w:val="0"/>
          <w:marTop w:val="0"/>
          <w:marBottom w:val="0"/>
          <w:divBdr>
            <w:top w:val="none" w:sz="0" w:space="0" w:color="auto"/>
            <w:left w:val="none" w:sz="0" w:space="0" w:color="auto"/>
            <w:bottom w:val="none" w:sz="0" w:space="0" w:color="auto"/>
            <w:right w:val="none" w:sz="0" w:space="0" w:color="auto"/>
          </w:divBdr>
        </w:div>
        <w:div w:id="1725061020">
          <w:marLeft w:val="0"/>
          <w:marRight w:val="0"/>
          <w:marTop w:val="0"/>
          <w:marBottom w:val="0"/>
          <w:divBdr>
            <w:top w:val="none" w:sz="0" w:space="0" w:color="auto"/>
            <w:left w:val="none" w:sz="0" w:space="0" w:color="auto"/>
            <w:bottom w:val="none" w:sz="0" w:space="0" w:color="auto"/>
            <w:right w:val="none" w:sz="0" w:space="0" w:color="auto"/>
          </w:divBdr>
        </w:div>
        <w:div w:id="1728341010">
          <w:marLeft w:val="0"/>
          <w:marRight w:val="0"/>
          <w:marTop w:val="0"/>
          <w:marBottom w:val="0"/>
          <w:divBdr>
            <w:top w:val="none" w:sz="0" w:space="0" w:color="auto"/>
            <w:left w:val="none" w:sz="0" w:space="0" w:color="auto"/>
            <w:bottom w:val="none" w:sz="0" w:space="0" w:color="auto"/>
            <w:right w:val="none" w:sz="0" w:space="0" w:color="auto"/>
          </w:divBdr>
        </w:div>
        <w:div w:id="1729912238">
          <w:marLeft w:val="0"/>
          <w:marRight w:val="0"/>
          <w:marTop w:val="0"/>
          <w:marBottom w:val="0"/>
          <w:divBdr>
            <w:top w:val="none" w:sz="0" w:space="0" w:color="auto"/>
            <w:left w:val="none" w:sz="0" w:space="0" w:color="auto"/>
            <w:bottom w:val="none" w:sz="0" w:space="0" w:color="auto"/>
            <w:right w:val="none" w:sz="0" w:space="0" w:color="auto"/>
          </w:divBdr>
        </w:div>
        <w:div w:id="1730422697">
          <w:marLeft w:val="0"/>
          <w:marRight w:val="0"/>
          <w:marTop w:val="0"/>
          <w:marBottom w:val="0"/>
          <w:divBdr>
            <w:top w:val="none" w:sz="0" w:space="0" w:color="auto"/>
            <w:left w:val="none" w:sz="0" w:space="0" w:color="auto"/>
            <w:bottom w:val="none" w:sz="0" w:space="0" w:color="auto"/>
            <w:right w:val="none" w:sz="0" w:space="0" w:color="auto"/>
          </w:divBdr>
        </w:div>
        <w:div w:id="1745565697">
          <w:marLeft w:val="0"/>
          <w:marRight w:val="0"/>
          <w:marTop w:val="0"/>
          <w:marBottom w:val="0"/>
          <w:divBdr>
            <w:top w:val="none" w:sz="0" w:space="0" w:color="auto"/>
            <w:left w:val="none" w:sz="0" w:space="0" w:color="auto"/>
            <w:bottom w:val="none" w:sz="0" w:space="0" w:color="auto"/>
            <w:right w:val="none" w:sz="0" w:space="0" w:color="auto"/>
          </w:divBdr>
        </w:div>
        <w:div w:id="1769303832">
          <w:marLeft w:val="0"/>
          <w:marRight w:val="0"/>
          <w:marTop w:val="0"/>
          <w:marBottom w:val="0"/>
          <w:divBdr>
            <w:top w:val="none" w:sz="0" w:space="0" w:color="auto"/>
            <w:left w:val="none" w:sz="0" w:space="0" w:color="auto"/>
            <w:bottom w:val="none" w:sz="0" w:space="0" w:color="auto"/>
            <w:right w:val="none" w:sz="0" w:space="0" w:color="auto"/>
          </w:divBdr>
        </w:div>
        <w:div w:id="1771126937">
          <w:marLeft w:val="0"/>
          <w:marRight w:val="0"/>
          <w:marTop w:val="0"/>
          <w:marBottom w:val="0"/>
          <w:divBdr>
            <w:top w:val="none" w:sz="0" w:space="0" w:color="auto"/>
            <w:left w:val="none" w:sz="0" w:space="0" w:color="auto"/>
            <w:bottom w:val="none" w:sz="0" w:space="0" w:color="auto"/>
            <w:right w:val="none" w:sz="0" w:space="0" w:color="auto"/>
          </w:divBdr>
        </w:div>
        <w:div w:id="1778259450">
          <w:marLeft w:val="0"/>
          <w:marRight w:val="0"/>
          <w:marTop w:val="0"/>
          <w:marBottom w:val="0"/>
          <w:divBdr>
            <w:top w:val="none" w:sz="0" w:space="0" w:color="auto"/>
            <w:left w:val="none" w:sz="0" w:space="0" w:color="auto"/>
            <w:bottom w:val="none" w:sz="0" w:space="0" w:color="auto"/>
            <w:right w:val="none" w:sz="0" w:space="0" w:color="auto"/>
          </w:divBdr>
        </w:div>
        <w:div w:id="1779136642">
          <w:marLeft w:val="0"/>
          <w:marRight w:val="0"/>
          <w:marTop w:val="0"/>
          <w:marBottom w:val="0"/>
          <w:divBdr>
            <w:top w:val="none" w:sz="0" w:space="0" w:color="auto"/>
            <w:left w:val="none" w:sz="0" w:space="0" w:color="auto"/>
            <w:bottom w:val="none" w:sz="0" w:space="0" w:color="auto"/>
            <w:right w:val="none" w:sz="0" w:space="0" w:color="auto"/>
          </w:divBdr>
        </w:div>
        <w:div w:id="1781878561">
          <w:marLeft w:val="0"/>
          <w:marRight w:val="0"/>
          <w:marTop w:val="0"/>
          <w:marBottom w:val="0"/>
          <w:divBdr>
            <w:top w:val="none" w:sz="0" w:space="0" w:color="auto"/>
            <w:left w:val="none" w:sz="0" w:space="0" w:color="auto"/>
            <w:bottom w:val="none" w:sz="0" w:space="0" w:color="auto"/>
            <w:right w:val="none" w:sz="0" w:space="0" w:color="auto"/>
          </w:divBdr>
        </w:div>
        <w:div w:id="1783066142">
          <w:marLeft w:val="0"/>
          <w:marRight w:val="0"/>
          <w:marTop w:val="0"/>
          <w:marBottom w:val="0"/>
          <w:divBdr>
            <w:top w:val="none" w:sz="0" w:space="0" w:color="auto"/>
            <w:left w:val="none" w:sz="0" w:space="0" w:color="auto"/>
            <w:bottom w:val="none" w:sz="0" w:space="0" w:color="auto"/>
            <w:right w:val="none" w:sz="0" w:space="0" w:color="auto"/>
          </w:divBdr>
        </w:div>
        <w:div w:id="1784574550">
          <w:marLeft w:val="0"/>
          <w:marRight w:val="0"/>
          <w:marTop w:val="0"/>
          <w:marBottom w:val="0"/>
          <w:divBdr>
            <w:top w:val="none" w:sz="0" w:space="0" w:color="auto"/>
            <w:left w:val="none" w:sz="0" w:space="0" w:color="auto"/>
            <w:bottom w:val="none" w:sz="0" w:space="0" w:color="auto"/>
            <w:right w:val="none" w:sz="0" w:space="0" w:color="auto"/>
          </w:divBdr>
        </w:div>
        <w:div w:id="1788086138">
          <w:marLeft w:val="0"/>
          <w:marRight w:val="0"/>
          <w:marTop w:val="0"/>
          <w:marBottom w:val="0"/>
          <w:divBdr>
            <w:top w:val="none" w:sz="0" w:space="0" w:color="auto"/>
            <w:left w:val="none" w:sz="0" w:space="0" w:color="auto"/>
            <w:bottom w:val="none" w:sz="0" w:space="0" w:color="auto"/>
            <w:right w:val="none" w:sz="0" w:space="0" w:color="auto"/>
          </w:divBdr>
        </w:div>
        <w:div w:id="1798253267">
          <w:marLeft w:val="0"/>
          <w:marRight w:val="0"/>
          <w:marTop w:val="0"/>
          <w:marBottom w:val="0"/>
          <w:divBdr>
            <w:top w:val="none" w:sz="0" w:space="0" w:color="auto"/>
            <w:left w:val="none" w:sz="0" w:space="0" w:color="auto"/>
            <w:bottom w:val="none" w:sz="0" w:space="0" w:color="auto"/>
            <w:right w:val="none" w:sz="0" w:space="0" w:color="auto"/>
          </w:divBdr>
        </w:div>
        <w:div w:id="1803814297">
          <w:marLeft w:val="0"/>
          <w:marRight w:val="0"/>
          <w:marTop w:val="0"/>
          <w:marBottom w:val="0"/>
          <w:divBdr>
            <w:top w:val="none" w:sz="0" w:space="0" w:color="auto"/>
            <w:left w:val="none" w:sz="0" w:space="0" w:color="auto"/>
            <w:bottom w:val="none" w:sz="0" w:space="0" w:color="auto"/>
            <w:right w:val="none" w:sz="0" w:space="0" w:color="auto"/>
          </w:divBdr>
        </w:div>
        <w:div w:id="1826044196">
          <w:marLeft w:val="0"/>
          <w:marRight w:val="0"/>
          <w:marTop w:val="0"/>
          <w:marBottom w:val="0"/>
          <w:divBdr>
            <w:top w:val="none" w:sz="0" w:space="0" w:color="auto"/>
            <w:left w:val="none" w:sz="0" w:space="0" w:color="auto"/>
            <w:bottom w:val="none" w:sz="0" w:space="0" w:color="auto"/>
            <w:right w:val="none" w:sz="0" w:space="0" w:color="auto"/>
          </w:divBdr>
        </w:div>
        <w:div w:id="182828061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836990726">
          <w:marLeft w:val="0"/>
          <w:marRight w:val="0"/>
          <w:marTop w:val="0"/>
          <w:marBottom w:val="0"/>
          <w:divBdr>
            <w:top w:val="none" w:sz="0" w:space="0" w:color="auto"/>
            <w:left w:val="none" w:sz="0" w:space="0" w:color="auto"/>
            <w:bottom w:val="none" w:sz="0" w:space="0" w:color="auto"/>
            <w:right w:val="none" w:sz="0" w:space="0" w:color="auto"/>
          </w:divBdr>
        </w:div>
        <w:div w:id="1840651888">
          <w:marLeft w:val="0"/>
          <w:marRight w:val="0"/>
          <w:marTop w:val="0"/>
          <w:marBottom w:val="0"/>
          <w:divBdr>
            <w:top w:val="none" w:sz="0" w:space="0" w:color="auto"/>
            <w:left w:val="none" w:sz="0" w:space="0" w:color="auto"/>
            <w:bottom w:val="none" w:sz="0" w:space="0" w:color="auto"/>
            <w:right w:val="none" w:sz="0" w:space="0" w:color="auto"/>
          </w:divBdr>
        </w:div>
        <w:div w:id="1841579357">
          <w:marLeft w:val="0"/>
          <w:marRight w:val="0"/>
          <w:marTop w:val="0"/>
          <w:marBottom w:val="0"/>
          <w:divBdr>
            <w:top w:val="none" w:sz="0" w:space="0" w:color="auto"/>
            <w:left w:val="none" w:sz="0" w:space="0" w:color="auto"/>
            <w:bottom w:val="none" w:sz="0" w:space="0" w:color="auto"/>
            <w:right w:val="none" w:sz="0" w:space="0" w:color="auto"/>
          </w:divBdr>
        </w:div>
        <w:div w:id="1844541170">
          <w:marLeft w:val="0"/>
          <w:marRight w:val="0"/>
          <w:marTop w:val="0"/>
          <w:marBottom w:val="0"/>
          <w:divBdr>
            <w:top w:val="none" w:sz="0" w:space="0" w:color="auto"/>
            <w:left w:val="none" w:sz="0" w:space="0" w:color="auto"/>
            <w:bottom w:val="none" w:sz="0" w:space="0" w:color="auto"/>
            <w:right w:val="none" w:sz="0" w:space="0" w:color="auto"/>
          </w:divBdr>
        </w:div>
        <w:div w:id="1847939485">
          <w:marLeft w:val="0"/>
          <w:marRight w:val="0"/>
          <w:marTop w:val="0"/>
          <w:marBottom w:val="0"/>
          <w:divBdr>
            <w:top w:val="none" w:sz="0" w:space="0" w:color="auto"/>
            <w:left w:val="none" w:sz="0" w:space="0" w:color="auto"/>
            <w:bottom w:val="none" w:sz="0" w:space="0" w:color="auto"/>
            <w:right w:val="none" w:sz="0" w:space="0" w:color="auto"/>
          </w:divBdr>
        </w:div>
        <w:div w:id="1849518479">
          <w:marLeft w:val="0"/>
          <w:marRight w:val="0"/>
          <w:marTop w:val="0"/>
          <w:marBottom w:val="0"/>
          <w:divBdr>
            <w:top w:val="none" w:sz="0" w:space="0" w:color="auto"/>
            <w:left w:val="none" w:sz="0" w:space="0" w:color="auto"/>
            <w:bottom w:val="none" w:sz="0" w:space="0" w:color="auto"/>
            <w:right w:val="none" w:sz="0" w:space="0" w:color="auto"/>
          </w:divBdr>
        </w:div>
        <w:div w:id="1857423626">
          <w:marLeft w:val="0"/>
          <w:marRight w:val="0"/>
          <w:marTop w:val="0"/>
          <w:marBottom w:val="0"/>
          <w:divBdr>
            <w:top w:val="none" w:sz="0" w:space="0" w:color="auto"/>
            <w:left w:val="none" w:sz="0" w:space="0" w:color="auto"/>
            <w:bottom w:val="none" w:sz="0" w:space="0" w:color="auto"/>
            <w:right w:val="none" w:sz="0" w:space="0" w:color="auto"/>
          </w:divBdr>
        </w:div>
        <w:div w:id="1866093120">
          <w:marLeft w:val="0"/>
          <w:marRight w:val="0"/>
          <w:marTop w:val="0"/>
          <w:marBottom w:val="0"/>
          <w:divBdr>
            <w:top w:val="none" w:sz="0" w:space="0" w:color="auto"/>
            <w:left w:val="none" w:sz="0" w:space="0" w:color="auto"/>
            <w:bottom w:val="none" w:sz="0" w:space="0" w:color="auto"/>
            <w:right w:val="none" w:sz="0" w:space="0" w:color="auto"/>
          </w:divBdr>
        </w:div>
        <w:div w:id="1868248034">
          <w:marLeft w:val="0"/>
          <w:marRight w:val="0"/>
          <w:marTop w:val="0"/>
          <w:marBottom w:val="0"/>
          <w:divBdr>
            <w:top w:val="none" w:sz="0" w:space="0" w:color="auto"/>
            <w:left w:val="none" w:sz="0" w:space="0" w:color="auto"/>
            <w:bottom w:val="none" w:sz="0" w:space="0" w:color="auto"/>
            <w:right w:val="none" w:sz="0" w:space="0" w:color="auto"/>
          </w:divBdr>
        </w:div>
        <w:div w:id="1868563505">
          <w:marLeft w:val="0"/>
          <w:marRight w:val="0"/>
          <w:marTop w:val="0"/>
          <w:marBottom w:val="0"/>
          <w:divBdr>
            <w:top w:val="none" w:sz="0" w:space="0" w:color="auto"/>
            <w:left w:val="none" w:sz="0" w:space="0" w:color="auto"/>
            <w:bottom w:val="none" w:sz="0" w:space="0" w:color="auto"/>
            <w:right w:val="none" w:sz="0" w:space="0" w:color="auto"/>
          </w:divBdr>
        </w:div>
        <w:div w:id="1871718754">
          <w:marLeft w:val="0"/>
          <w:marRight w:val="0"/>
          <w:marTop w:val="0"/>
          <w:marBottom w:val="0"/>
          <w:divBdr>
            <w:top w:val="none" w:sz="0" w:space="0" w:color="auto"/>
            <w:left w:val="none" w:sz="0" w:space="0" w:color="auto"/>
            <w:bottom w:val="none" w:sz="0" w:space="0" w:color="auto"/>
            <w:right w:val="none" w:sz="0" w:space="0" w:color="auto"/>
          </w:divBdr>
        </w:div>
        <w:div w:id="1872375318">
          <w:marLeft w:val="0"/>
          <w:marRight w:val="0"/>
          <w:marTop w:val="0"/>
          <w:marBottom w:val="0"/>
          <w:divBdr>
            <w:top w:val="none" w:sz="0" w:space="0" w:color="auto"/>
            <w:left w:val="none" w:sz="0" w:space="0" w:color="auto"/>
            <w:bottom w:val="none" w:sz="0" w:space="0" w:color="auto"/>
            <w:right w:val="none" w:sz="0" w:space="0" w:color="auto"/>
          </w:divBdr>
        </w:div>
        <w:div w:id="1873493971">
          <w:marLeft w:val="0"/>
          <w:marRight w:val="0"/>
          <w:marTop w:val="0"/>
          <w:marBottom w:val="0"/>
          <w:divBdr>
            <w:top w:val="none" w:sz="0" w:space="0" w:color="auto"/>
            <w:left w:val="none" w:sz="0" w:space="0" w:color="auto"/>
            <w:bottom w:val="none" w:sz="0" w:space="0" w:color="auto"/>
            <w:right w:val="none" w:sz="0" w:space="0" w:color="auto"/>
          </w:divBdr>
        </w:div>
        <w:div w:id="1875917847">
          <w:marLeft w:val="0"/>
          <w:marRight w:val="0"/>
          <w:marTop w:val="0"/>
          <w:marBottom w:val="0"/>
          <w:divBdr>
            <w:top w:val="none" w:sz="0" w:space="0" w:color="auto"/>
            <w:left w:val="none" w:sz="0" w:space="0" w:color="auto"/>
            <w:bottom w:val="none" w:sz="0" w:space="0" w:color="auto"/>
            <w:right w:val="none" w:sz="0" w:space="0" w:color="auto"/>
          </w:divBdr>
        </w:div>
        <w:div w:id="1889029433">
          <w:marLeft w:val="0"/>
          <w:marRight w:val="0"/>
          <w:marTop w:val="0"/>
          <w:marBottom w:val="0"/>
          <w:divBdr>
            <w:top w:val="none" w:sz="0" w:space="0" w:color="auto"/>
            <w:left w:val="none" w:sz="0" w:space="0" w:color="auto"/>
            <w:bottom w:val="none" w:sz="0" w:space="0" w:color="auto"/>
            <w:right w:val="none" w:sz="0" w:space="0" w:color="auto"/>
          </w:divBdr>
        </w:div>
        <w:div w:id="1891381538">
          <w:marLeft w:val="0"/>
          <w:marRight w:val="0"/>
          <w:marTop w:val="0"/>
          <w:marBottom w:val="0"/>
          <w:divBdr>
            <w:top w:val="none" w:sz="0" w:space="0" w:color="auto"/>
            <w:left w:val="none" w:sz="0" w:space="0" w:color="auto"/>
            <w:bottom w:val="none" w:sz="0" w:space="0" w:color="auto"/>
            <w:right w:val="none" w:sz="0" w:space="0" w:color="auto"/>
          </w:divBdr>
        </w:div>
        <w:div w:id="1912812445">
          <w:marLeft w:val="0"/>
          <w:marRight w:val="0"/>
          <w:marTop w:val="0"/>
          <w:marBottom w:val="0"/>
          <w:divBdr>
            <w:top w:val="none" w:sz="0" w:space="0" w:color="auto"/>
            <w:left w:val="none" w:sz="0" w:space="0" w:color="auto"/>
            <w:bottom w:val="none" w:sz="0" w:space="0" w:color="auto"/>
            <w:right w:val="none" w:sz="0" w:space="0" w:color="auto"/>
          </w:divBdr>
        </w:div>
        <w:div w:id="1925917003">
          <w:marLeft w:val="0"/>
          <w:marRight w:val="0"/>
          <w:marTop w:val="0"/>
          <w:marBottom w:val="0"/>
          <w:divBdr>
            <w:top w:val="none" w:sz="0" w:space="0" w:color="auto"/>
            <w:left w:val="none" w:sz="0" w:space="0" w:color="auto"/>
            <w:bottom w:val="none" w:sz="0" w:space="0" w:color="auto"/>
            <w:right w:val="none" w:sz="0" w:space="0" w:color="auto"/>
          </w:divBdr>
        </w:div>
        <w:div w:id="1928607896">
          <w:marLeft w:val="0"/>
          <w:marRight w:val="0"/>
          <w:marTop w:val="0"/>
          <w:marBottom w:val="0"/>
          <w:divBdr>
            <w:top w:val="none" w:sz="0" w:space="0" w:color="auto"/>
            <w:left w:val="none" w:sz="0" w:space="0" w:color="auto"/>
            <w:bottom w:val="none" w:sz="0" w:space="0" w:color="auto"/>
            <w:right w:val="none" w:sz="0" w:space="0" w:color="auto"/>
          </w:divBdr>
        </w:div>
        <w:div w:id="1932617484">
          <w:marLeft w:val="0"/>
          <w:marRight w:val="0"/>
          <w:marTop w:val="0"/>
          <w:marBottom w:val="0"/>
          <w:divBdr>
            <w:top w:val="none" w:sz="0" w:space="0" w:color="auto"/>
            <w:left w:val="none" w:sz="0" w:space="0" w:color="auto"/>
            <w:bottom w:val="none" w:sz="0" w:space="0" w:color="auto"/>
            <w:right w:val="none" w:sz="0" w:space="0" w:color="auto"/>
          </w:divBdr>
        </w:div>
        <w:div w:id="1943224345">
          <w:marLeft w:val="0"/>
          <w:marRight w:val="0"/>
          <w:marTop w:val="0"/>
          <w:marBottom w:val="0"/>
          <w:divBdr>
            <w:top w:val="none" w:sz="0" w:space="0" w:color="auto"/>
            <w:left w:val="none" w:sz="0" w:space="0" w:color="auto"/>
            <w:bottom w:val="none" w:sz="0" w:space="0" w:color="auto"/>
            <w:right w:val="none" w:sz="0" w:space="0" w:color="auto"/>
          </w:divBdr>
        </w:div>
        <w:div w:id="1949387781">
          <w:marLeft w:val="0"/>
          <w:marRight w:val="0"/>
          <w:marTop w:val="0"/>
          <w:marBottom w:val="0"/>
          <w:divBdr>
            <w:top w:val="none" w:sz="0" w:space="0" w:color="auto"/>
            <w:left w:val="none" w:sz="0" w:space="0" w:color="auto"/>
            <w:bottom w:val="none" w:sz="0" w:space="0" w:color="auto"/>
            <w:right w:val="none" w:sz="0" w:space="0" w:color="auto"/>
          </w:divBdr>
        </w:div>
        <w:div w:id="1975868132">
          <w:marLeft w:val="0"/>
          <w:marRight w:val="0"/>
          <w:marTop w:val="0"/>
          <w:marBottom w:val="0"/>
          <w:divBdr>
            <w:top w:val="none" w:sz="0" w:space="0" w:color="auto"/>
            <w:left w:val="none" w:sz="0" w:space="0" w:color="auto"/>
            <w:bottom w:val="none" w:sz="0" w:space="0" w:color="auto"/>
            <w:right w:val="none" w:sz="0" w:space="0" w:color="auto"/>
          </w:divBdr>
        </w:div>
        <w:div w:id="1978755936">
          <w:marLeft w:val="0"/>
          <w:marRight w:val="0"/>
          <w:marTop w:val="0"/>
          <w:marBottom w:val="0"/>
          <w:divBdr>
            <w:top w:val="none" w:sz="0" w:space="0" w:color="auto"/>
            <w:left w:val="none" w:sz="0" w:space="0" w:color="auto"/>
            <w:bottom w:val="none" w:sz="0" w:space="0" w:color="auto"/>
            <w:right w:val="none" w:sz="0" w:space="0" w:color="auto"/>
          </w:divBdr>
        </w:div>
        <w:div w:id="1982071916">
          <w:marLeft w:val="0"/>
          <w:marRight w:val="0"/>
          <w:marTop w:val="0"/>
          <w:marBottom w:val="0"/>
          <w:divBdr>
            <w:top w:val="none" w:sz="0" w:space="0" w:color="auto"/>
            <w:left w:val="none" w:sz="0" w:space="0" w:color="auto"/>
            <w:bottom w:val="none" w:sz="0" w:space="0" w:color="auto"/>
            <w:right w:val="none" w:sz="0" w:space="0" w:color="auto"/>
          </w:divBdr>
        </w:div>
        <w:div w:id="1982417751">
          <w:marLeft w:val="0"/>
          <w:marRight w:val="0"/>
          <w:marTop w:val="0"/>
          <w:marBottom w:val="0"/>
          <w:divBdr>
            <w:top w:val="none" w:sz="0" w:space="0" w:color="auto"/>
            <w:left w:val="none" w:sz="0" w:space="0" w:color="auto"/>
            <w:bottom w:val="none" w:sz="0" w:space="0" w:color="auto"/>
            <w:right w:val="none" w:sz="0" w:space="0" w:color="auto"/>
          </w:divBdr>
        </w:div>
        <w:div w:id="1990819715">
          <w:marLeft w:val="0"/>
          <w:marRight w:val="0"/>
          <w:marTop w:val="0"/>
          <w:marBottom w:val="0"/>
          <w:divBdr>
            <w:top w:val="none" w:sz="0" w:space="0" w:color="auto"/>
            <w:left w:val="none" w:sz="0" w:space="0" w:color="auto"/>
            <w:bottom w:val="none" w:sz="0" w:space="0" w:color="auto"/>
            <w:right w:val="none" w:sz="0" w:space="0" w:color="auto"/>
          </w:divBdr>
        </w:div>
        <w:div w:id="1996299323">
          <w:marLeft w:val="0"/>
          <w:marRight w:val="0"/>
          <w:marTop w:val="0"/>
          <w:marBottom w:val="0"/>
          <w:divBdr>
            <w:top w:val="none" w:sz="0" w:space="0" w:color="auto"/>
            <w:left w:val="none" w:sz="0" w:space="0" w:color="auto"/>
            <w:bottom w:val="none" w:sz="0" w:space="0" w:color="auto"/>
            <w:right w:val="none" w:sz="0" w:space="0" w:color="auto"/>
          </w:divBdr>
        </w:div>
        <w:div w:id="2014795451">
          <w:marLeft w:val="0"/>
          <w:marRight w:val="0"/>
          <w:marTop w:val="0"/>
          <w:marBottom w:val="0"/>
          <w:divBdr>
            <w:top w:val="none" w:sz="0" w:space="0" w:color="auto"/>
            <w:left w:val="none" w:sz="0" w:space="0" w:color="auto"/>
            <w:bottom w:val="none" w:sz="0" w:space="0" w:color="auto"/>
            <w:right w:val="none" w:sz="0" w:space="0" w:color="auto"/>
          </w:divBdr>
        </w:div>
        <w:div w:id="2015111189">
          <w:marLeft w:val="0"/>
          <w:marRight w:val="0"/>
          <w:marTop w:val="0"/>
          <w:marBottom w:val="0"/>
          <w:divBdr>
            <w:top w:val="none" w:sz="0" w:space="0" w:color="auto"/>
            <w:left w:val="none" w:sz="0" w:space="0" w:color="auto"/>
            <w:bottom w:val="none" w:sz="0" w:space="0" w:color="auto"/>
            <w:right w:val="none" w:sz="0" w:space="0" w:color="auto"/>
          </w:divBdr>
        </w:div>
        <w:div w:id="2018656030">
          <w:marLeft w:val="0"/>
          <w:marRight w:val="0"/>
          <w:marTop w:val="0"/>
          <w:marBottom w:val="0"/>
          <w:divBdr>
            <w:top w:val="none" w:sz="0" w:space="0" w:color="auto"/>
            <w:left w:val="none" w:sz="0" w:space="0" w:color="auto"/>
            <w:bottom w:val="none" w:sz="0" w:space="0" w:color="auto"/>
            <w:right w:val="none" w:sz="0" w:space="0" w:color="auto"/>
          </w:divBdr>
        </w:div>
        <w:div w:id="2035424024">
          <w:marLeft w:val="0"/>
          <w:marRight w:val="0"/>
          <w:marTop w:val="0"/>
          <w:marBottom w:val="0"/>
          <w:divBdr>
            <w:top w:val="none" w:sz="0" w:space="0" w:color="auto"/>
            <w:left w:val="none" w:sz="0" w:space="0" w:color="auto"/>
            <w:bottom w:val="none" w:sz="0" w:space="0" w:color="auto"/>
            <w:right w:val="none" w:sz="0" w:space="0" w:color="auto"/>
          </w:divBdr>
        </w:div>
        <w:div w:id="2037151051">
          <w:marLeft w:val="0"/>
          <w:marRight w:val="0"/>
          <w:marTop w:val="0"/>
          <w:marBottom w:val="0"/>
          <w:divBdr>
            <w:top w:val="none" w:sz="0" w:space="0" w:color="auto"/>
            <w:left w:val="none" w:sz="0" w:space="0" w:color="auto"/>
            <w:bottom w:val="none" w:sz="0" w:space="0" w:color="auto"/>
            <w:right w:val="none" w:sz="0" w:space="0" w:color="auto"/>
          </w:divBdr>
        </w:div>
        <w:div w:id="2044743513">
          <w:marLeft w:val="0"/>
          <w:marRight w:val="0"/>
          <w:marTop w:val="0"/>
          <w:marBottom w:val="0"/>
          <w:divBdr>
            <w:top w:val="none" w:sz="0" w:space="0" w:color="auto"/>
            <w:left w:val="none" w:sz="0" w:space="0" w:color="auto"/>
            <w:bottom w:val="none" w:sz="0" w:space="0" w:color="auto"/>
            <w:right w:val="none" w:sz="0" w:space="0" w:color="auto"/>
          </w:divBdr>
        </w:div>
        <w:div w:id="2052266903">
          <w:marLeft w:val="0"/>
          <w:marRight w:val="0"/>
          <w:marTop w:val="0"/>
          <w:marBottom w:val="0"/>
          <w:divBdr>
            <w:top w:val="none" w:sz="0" w:space="0" w:color="auto"/>
            <w:left w:val="none" w:sz="0" w:space="0" w:color="auto"/>
            <w:bottom w:val="none" w:sz="0" w:space="0" w:color="auto"/>
            <w:right w:val="none" w:sz="0" w:space="0" w:color="auto"/>
          </w:divBdr>
        </w:div>
        <w:div w:id="2059159593">
          <w:marLeft w:val="0"/>
          <w:marRight w:val="0"/>
          <w:marTop w:val="0"/>
          <w:marBottom w:val="0"/>
          <w:divBdr>
            <w:top w:val="none" w:sz="0" w:space="0" w:color="auto"/>
            <w:left w:val="none" w:sz="0" w:space="0" w:color="auto"/>
            <w:bottom w:val="none" w:sz="0" w:space="0" w:color="auto"/>
            <w:right w:val="none" w:sz="0" w:space="0" w:color="auto"/>
          </w:divBdr>
        </w:div>
        <w:div w:id="2060978746">
          <w:marLeft w:val="0"/>
          <w:marRight w:val="0"/>
          <w:marTop w:val="0"/>
          <w:marBottom w:val="0"/>
          <w:divBdr>
            <w:top w:val="none" w:sz="0" w:space="0" w:color="auto"/>
            <w:left w:val="none" w:sz="0" w:space="0" w:color="auto"/>
            <w:bottom w:val="none" w:sz="0" w:space="0" w:color="auto"/>
            <w:right w:val="none" w:sz="0" w:space="0" w:color="auto"/>
          </w:divBdr>
        </w:div>
        <w:div w:id="2088262410">
          <w:marLeft w:val="0"/>
          <w:marRight w:val="0"/>
          <w:marTop w:val="0"/>
          <w:marBottom w:val="0"/>
          <w:divBdr>
            <w:top w:val="none" w:sz="0" w:space="0" w:color="auto"/>
            <w:left w:val="none" w:sz="0" w:space="0" w:color="auto"/>
            <w:bottom w:val="none" w:sz="0" w:space="0" w:color="auto"/>
            <w:right w:val="none" w:sz="0" w:space="0" w:color="auto"/>
          </w:divBdr>
        </w:div>
        <w:div w:id="2093047204">
          <w:marLeft w:val="0"/>
          <w:marRight w:val="0"/>
          <w:marTop w:val="0"/>
          <w:marBottom w:val="0"/>
          <w:divBdr>
            <w:top w:val="none" w:sz="0" w:space="0" w:color="auto"/>
            <w:left w:val="none" w:sz="0" w:space="0" w:color="auto"/>
            <w:bottom w:val="none" w:sz="0" w:space="0" w:color="auto"/>
            <w:right w:val="none" w:sz="0" w:space="0" w:color="auto"/>
          </w:divBdr>
        </w:div>
        <w:div w:id="2097750044">
          <w:marLeft w:val="0"/>
          <w:marRight w:val="0"/>
          <w:marTop w:val="0"/>
          <w:marBottom w:val="0"/>
          <w:divBdr>
            <w:top w:val="none" w:sz="0" w:space="0" w:color="auto"/>
            <w:left w:val="none" w:sz="0" w:space="0" w:color="auto"/>
            <w:bottom w:val="none" w:sz="0" w:space="0" w:color="auto"/>
            <w:right w:val="none" w:sz="0" w:space="0" w:color="auto"/>
          </w:divBdr>
        </w:div>
        <w:div w:id="2098359855">
          <w:marLeft w:val="0"/>
          <w:marRight w:val="0"/>
          <w:marTop w:val="0"/>
          <w:marBottom w:val="0"/>
          <w:divBdr>
            <w:top w:val="none" w:sz="0" w:space="0" w:color="auto"/>
            <w:left w:val="none" w:sz="0" w:space="0" w:color="auto"/>
            <w:bottom w:val="none" w:sz="0" w:space="0" w:color="auto"/>
            <w:right w:val="none" w:sz="0" w:space="0" w:color="auto"/>
          </w:divBdr>
        </w:div>
        <w:div w:id="2122995611">
          <w:marLeft w:val="0"/>
          <w:marRight w:val="0"/>
          <w:marTop w:val="0"/>
          <w:marBottom w:val="0"/>
          <w:divBdr>
            <w:top w:val="none" w:sz="0" w:space="0" w:color="auto"/>
            <w:left w:val="none" w:sz="0" w:space="0" w:color="auto"/>
            <w:bottom w:val="none" w:sz="0" w:space="0" w:color="auto"/>
            <w:right w:val="none" w:sz="0" w:space="0" w:color="auto"/>
          </w:divBdr>
        </w:div>
        <w:div w:id="2123527134">
          <w:marLeft w:val="0"/>
          <w:marRight w:val="0"/>
          <w:marTop w:val="0"/>
          <w:marBottom w:val="0"/>
          <w:divBdr>
            <w:top w:val="none" w:sz="0" w:space="0" w:color="auto"/>
            <w:left w:val="none" w:sz="0" w:space="0" w:color="auto"/>
            <w:bottom w:val="none" w:sz="0" w:space="0" w:color="auto"/>
            <w:right w:val="none" w:sz="0" w:space="0" w:color="auto"/>
          </w:divBdr>
        </w:div>
        <w:div w:id="2131316677">
          <w:marLeft w:val="0"/>
          <w:marRight w:val="0"/>
          <w:marTop w:val="0"/>
          <w:marBottom w:val="0"/>
          <w:divBdr>
            <w:top w:val="none" w:sz="0" w:space="0" w:color="auto"/>
            <w:left w:val="none" w:sz="0" w:space="0" w:color="auto"/>
            <w:bottom w:val="none" w:sz="0" w:space="0" w:color="auto"/>
            <w:right w:val="none" w:sz="0" w:space="0" w:color="auto"/>
          </w:divBdr>
        </w:div>
        <w:div w:id="2144541966">
          <w:marLeft w:val="0"/>
          <w:marRight w:val="0"/>
          <w:marTop w:val="0"/>
          <w:marBottom w:val="0"/>
          <w:divBdr>
            <w:top w:val="none" w:sz="0" w:space="0" w:color="auto"/>
            <w:left w:val="none" w:sz="0" w:space="0" w:color="auto"/>
            <w:bottom w:val="none" w:sz="0" w:space="0" w:color="auto"/>
            <w:right w:val="none" w:sz="0" w:space="0" w:color="auto"/>
          </w:divBdr>
        </w:div>
      </w:divsChild>
    </w:div>
    <w:div w:id="6364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117593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44186688">
      <w:bodyDiv w:val="1"/>
      <w:marLeft w:val="0"/>
      <w:marRight w:val="0"/>
      <w:marTop w:val="0"/>
      <w:marBottom w:val="0"/>
      <w:divBdr>
        <w:top w:val="none" w:sz="0" w:space="0" w:color="auto"/>
        <w:left w:val="none" w:sz="0" w:space="0" w:color="auto"/>
        <w:bottom w:val="none" w:sz="0" w:space="0" w:color="auto"/>
        <w:right w:val="none" w:sz="0" w:space="0" w:color="auto"/>
      </w:divBdr>
    </w:div>
    <w:div w:id="886070546">
      <w:bodyDiv w:val="1"/>
      <w:marLeft w:val="0"/>
      <w:marRight w:val="0"/>
      <w:marTop w:val="0"/>
      <w:marBottom w:val="0"/>
      <w:divBdr>
        <w:top w:val="none" w:sz="0" w:space="0" w:color="auto"/>
        <w:left w:val="none" w:sz="0" w:space="0" w:color="auto"/>
        <w:bottom w:val="none" w:sz="0" w:space="0" w:color="auto"/>
        <w:right w:val="none" w:sz="0" w:space="0" w:color="auto"/>
      </w:divBdr>
    </w:div>
    <w:div w:id="949748763">
      <w:bodyDiv w:val="1"/>
      <w:marLeft w:val="0"/>
      <w:marRight w:val="0"/>
      <w:marTop w:val="0"/>
      <w:marBottom w:val="0"/>
      <w:divBdr>
        <w:top w:val="none" w:sz="0" w:space="0" w:color="auto"/>
        <w:left w:val="none" w:sz="0" w:space="0" w:color="auto"/>
        <w:bottom w:val="none" w:sz="0" w:space="0" w:color="auto"/>
        <w:right w:val="none" w:sz="0" w:space="0" w:color="auto"/>
      </w:divBdr>
    </w:div>
    <w:div w:id="120097439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0554023">
      <w:bodyDiv w:val="1"/>
      <w:marLeft w:val="0"/>
      <w:marRight w:val="0"/>
      <w:marTop w:val="0"/>
      <w:marBottom w:val="0"/>
      <w:divBdr>
        <w:top w:val="none" w:sz="0" w:space="0" w:color="auto"/>
        <w:left w:val="none" w:sz="0" w:space="0" w:color="auto"/>
        <w:bottom w:val="none" w:sz="0" w:space="0" w:color="auto"/>
        <w:right w:val="none" w:sz="0" w:space="0" w:color="auto"/>
      </w:divBdr>
    </w:div>
    <w:div w:id="13190744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8671195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802110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1"/>
          <c:tx>
            <c:strRef>
              <c:f>'G26'!$O$3</c:f>
              <c:strCache>
                <c:ptCount val="1"/>
                <c:pt idx="0">
                  <c:v> účastnil se vzdělávání, ale chtěl se vzdělávat více</c:v>
                </c:pt>
              </c:strCache>
            </c:strRef>
          </c:tx>
          <c:spPr>
            <a:solidFill>
              <a:schemeClr val="accent2">
                <a:lumMod val="50000"/>
              </a:schemeClr>
            </a:solidFill>
            <a:ln>
              <a:solidFill>
                <a:schemeClr val="accent2">
                  <a:lumMod val="50000"/>
                </a:schemeClr>
              </a:solidFill>
            </a:ln>
          </c:spPr>
          <c:invertIfNegative val="0"/>
          <c:dPt>
            <c:idx val="10"/>
            <c:invertIfNegative val="0"/>
            <c:bubble3D val="0"/>
            <c:spPr>
              <a:solidFill>
                <a:schemeClr val="accent2">
                  <a:lumMod val="5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'G26'!$O$4:$O$27</c:f>
              <c:numCache>
                <c:formatCode>0</c:formatCode>
                <c:ptCount val="24"/>
                <c:pt idx="0">
                  <c:v>23.8</c:v>
                </c:pt>
                <c:pt idx="1">
                  <c:v>14.7</c:v>
                </c:pt>
                <c:pt idx="2">
                  <c:v>19.5</c:v>
                </c:pt>
                <c:pt idx="3">
                  <c:v>21.5</c:v>
                </c:pt>
                <c:pt idx="4">
                  <c:v>15</c:v>
                </c:pt>
                <c:pt idx="5">
                  <c:v>25.8</c:v>
                </c:pt>
                <c:pt idx="6">
                  <c:v>9.1999999999999993</c:v>
                </c:pt>
                <c:pt idx="7">
                  <c:v>32.700000000000003</c:v>
                </c:pt>
                <c:pt idx="8">
                  <c:v>27.399999999999995</c:v>
                </c:pt>
                <c:pt idx="9">
                  <c:v>24.5</c:v>
                </c:pt>
                <c:pt idx="10">
                  <c:v>7.1</c:v>
                </c:pt>
                <c:pt idx="11">
                  <c:v>26.5</c:v>
                </c:pt>
                <c:pt idx="12">
                  <c:v>21.7</c:v>
                </c:pt>
                <c:pt idx="13">
                  <c:v>11.5</c:v>
                </c:pt>
                <c:pt idx="14">
                  <c:v>9.1999999999999993</c:v>
                </c:pt>
                <c:pt idx="15">
                  <c:v>13.100000000000001</c:v>
                </c:pt>
                <c:pt idx="16">
                  <c:v>9.6999999999999993</c:v>
                </c:pt>
                <c:pt idx="17">
                  <c:v>4.5999999999999996</c:v>
                </c:pt>
                <c:pt idx="18">
                  <c:v>12.4</c:v>
                </c:pt>
                <c:pt idx="19">
                  <c:v>4.5999999999999996</c:v>
                </c:pt>
                <c:pt idx="20">
                  <c:v>10</c:v>
                </c:pt>
                <c:pt idx="21">
                  <c:v>5.5</c:v>
                </c:pt>
                <c:pt idx="22">
                  <c:v>5.9</c:v>
                </c:pt>
                <c:pt idx="23">
                  <c:v>2.9</c:v>
                </c:pt>
              </c:numCache>
            </c:numRef>
          </c:val>
        </c:ser>
        <c:ser>
          <c:idx val="2"/>
          <c:order val="2"/>
          <c:tx>
            <c:strRef>
              <c:f>'G26'!$P$3</c:f>
              <c:strCache>
                <c:ptCount val="1"/>
                <c:pt idx="0">
                  <c:v> účastnil se vzdělávání a nechtěl se účastnit více</c:v>
                </c:pt>
              </c:strCache>
            </c:strRef>
          </c:tx>
          <c:spPr>
            <a:solidFill>
              <a:schemeClr val="accent2"/>
            </a:solidFill>
            <a:ln>
              <a:solidFill>
                <a:schemeClr val="accent2"/>
              </a:solidFill>
            </a:ln>
          </c:spPr>
          <c:invertIfNegative val="0"/>
          <c:dPt>
            <c:idx val="10"/>
            <c:invertIfNegative val="0"/>
            <c:bubble3D val="0"/>
            <c:spPr>
              <a:solidFill>
                <a:schemeClr val="accent2"/>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'G26'!$P$4:$P$27</c:f>
              <c:numCache>
                <c:formatCode>0</c:formatCode>
                <c:ptCount val="24"/>
                <c:pt idx="0">
                  <c:v>45</c:v>
                </c:pt>
                <c:pt idx="1">
                  <c:v>49.2</c:v>
                </c:pt>
                <c:pt idx="2">
                  <c:v>42.5</c:v>
                </c:pt>
                <c:pt idx="3">
                  <c:v>38.4</c:v>
                </c:pt>
                <c:pt idx="4">
                  <c:v>38.5</c:v>
                </c:pt>
                <c:pt idx="5">
                  <c:v>26</c:v>
                </c:pt>
                <c:pt idx="6">
                  <c:v>42</c:v>
                </c:pt>
                <c:pt idx="7">
                  <c:v>15.4</c:v>
                </c:pt>
                <c:pt idx="8">
                  <c:v>20.5</c:v>
                </c:pt>
                <c:pt idx="9">
                  <c:v>22.7</c:v>
                </c:pt>
                <c:pt idx="10">
                  <c:v>39</c:v>
                </c:pt>
                <c:pt idx="11">
                  <c:v>19.600000000000001</c:v>
                </c:pt>
                <c:pt idx="12">
                  <c:v>23.2</c:v>
                </c:pt>
                <c:pt idx="13">
                  <c:v>34.5</c:v>
                </c:pt>
                <c:pt idx="14">
                  <c:v>33.299999999999997</c:v>
                </c:pt>
                <c:pt idx="15">
                  <c:v>18.899999999999999</c:v>
                </c:pt>
                <c:pt idx="16">
                  <c:v>22.1</c:v>
                </c:pt>
                <c:pt idx="17">
                  <c:v>23.3</c:v>
                </c:pt>
                <c:pt idx="18">
                  <c:v>12.3</c:v>
                </c:pt>
                <c:pt idx="19">
                  <c:v>19.600000000000001</c:v>
                </c:pt>
                <c:pt idx="20">
                  <c:v>9.6999999999999993</c:v>
                </c:pt>
                <c:pt idx="21">
                  <c:v>10.199999999999999</c:v>
                </c:pt>
                <c:pt idx="22">
                  <c:v>5.0999999999999996</c:v>
                </c:pt>
                <c:pt idx="23">
                  <c:v>4.0999999999999996</c:v>
                </c:pt>
              </c:numCache>
            </c:numRef>
          </c:val>
        </c:ser>
        <c:ser>
          <c:idx val="3"/>
          <c:order val="3"/>
          <c:tx>
            <c:strRef>
              <c:f>'G26'!$Q$3</c:f>
              <c:strCache>
                <c:ptCount val="1"/>
                <c:pt idx="0">
                  <c:v> neúčastnil se vzdělávání, ale chtěl se účastnit</c:v>
                </c:pt>
              </c:strCache>
            </c:strRef>
          </c:tx>
          <c:spPr>
            <a:solidFill>
              <a:schemeClr val="accent2">
                <a:lumMod val="20000"/>
                <a:lumOff val="80000"/>
              </a:schemeClr>
            </a:solidFill>
            <a:ln>
              <a:solidFill>
                <a:schemeClr val="accent2"/>
              </a:solidFill>
            </a:ln>
          </c:spPr>
          <c:invertIfNegative val="0"/>
          <c:dPt>
            <c:idx val="10"/>
            <c:invertIfNegative val="0"/>
            <c:bubble3D val="0"/>
            <c:spPr>
              <a:solidFill>
                <a:schemeClr val="accent2">
                  <a:lumMod val="20000"/>
                  <a:lumOff val="8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'G26'!$Q$4:$Q$27</c:f>
              <c:numCache>
                <c:formatCode>0</c:formatCode>
                <c:ptCount val="24"/>
                <c:pt idx="0">
                  <c:v>9.3000000000000007</c:v>
                </c:pt>
                <c:pt idx="1">
                  <c:v>7.1</c:v>
                </c:pt>
                <c:pt idx="2">
                  <c:v>10.199999999999999</c:v>
                </c:pt>
                <c:pt idx="3">
                  <c:v>10.3</c:v>
                </c:pt>
                <c:pt idx="4">
                  <c:v>12.5</c:v>
                </c:pt>
                <c:pt idx="5">
                  <c:v>16.899999999999999</c:v>
                </c:pt>
                <c:pt idx="6">
                  <c:v>5.6</c:v>
                </c:pt>
                <c:pt idx="7">
                  <c:v>27.399999999999995</c:v>
                </c:pt>
                <c:pt idx="8">
                  <c:v>14.400000000000002</c:v>
                </c:pt>
                <c:pt idx="9">
                  <c:v>16.899999999999999</c:v>
                </c:pt>
                <c:pt idx="10">
                  <c:v>5.6</c:v>
                </c:pt>
                <c:pt idx="11">
                  <c:v>21.1</c:v>
                </c:pt>
                <c:pt idx="12">
                  <c:v>5.7</c:v>
                </c:pt>
                <c:pt idx="13">
                  <c:v>8</c:v>
                </c:pt>
                <c:pt idx="14">
                  <c:v>9.8000000000000007</c:v>
                </c:pt>
                <c:pt idx="15">
                  <c:v>16.5</c:v>
                </c:pt>
                <c:pt idx="16">
                  <c:v>14.099999999999998</c:v>
                </c:pt>
                <c:pt idx="17">
                  <c:v>5.0999999999999996</c:v>
                </c:pt>
                <c:pt idx="18">
                  <c:v>12.9</c:v>
                </c:pt>
                <c:pt idx="19">
                  <c:v>5.0999999999999996</c:v>
                </c:pt>
                <c:pt idx="20">
                  <c:v>24.6</c:v>
                </c:pt>
                <c:pt idx="21">
                  <c:v>12.5</c:v>
                </c:pt>
                <c:pt idx="22">
                  <c:v>14.7</c:v>
                </c:pt>
                <c:pt idx="23">
                  <c:v>17.899999999999999</c:v>
                </c:pt>
              </c:numCache>
            </c:numRef>
          </c:val>
        </c:ser>
        <c:ser>
          <c:idx val="4"/>
          <c:order val="4"/>
          <c:tx>
            <c:strRef>
              <c:f>'G26'!$R$3</c:f>
              <c:strCache>
                <c:ptCount val="1"/>
                <c:pt idx="0">
                  <c:v> neúčastnil se vzdělávání ani se nechtěl účastnit</c:v>
                </c:pt>
              </c:strCache>
            </c:strRef>
          </c:tx>
          <c:spPr>
            <a:solidFill>
              <a:schemeClr val="accent6">
                <a:lumMod val="20000"/>
                <a:lumOff val="80000"/>
              </a:schemeClr>
            </a:solidFill>
            <a:ln>
              <a:solidFill>
                <a:schemeClr val="accent6"/>
              </a:solidFill>
            </a:ln>
          </c:spPr>
          <c:invertIfNegative val="0"/>
          <c:dPt>
            <c:idx val="10"/>
            <c:invertIfNegative val="0"/>
            <c:bubble3D val="0"/>
            <c:spPr>
              <a:solidFill>
                <a:schemeClr val="accent6">
                  <a:lumMod val="20000"/>
                  <a:lumOff val="8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'G26'!$R$4:$R$27</c:f>
              <c:numCache>
                <c:formatCode>0</c:formatCode>
                <c:ptCount val="24"/>
                <c:pt idx="0">
                  <c:v>21.4</c:v>
                </c:pt>
                <c:pt idx="1">
                  <c:v>26.700000000000003</c:v>
                </c:pt>
                <c:pt idx="2">
                  <c:v>24.8</c:v>
                </c:pt>
                <c:pt idx="3">
                  <c:v>29.7</c:v>
                </c:pt>
                <c:pt idx="4">
                  <c:v>32.4</c:v>
                </c:pt>
                <c:pt idx="5">
                  <c:v>30.599999999999998</c:v>
                </c:pt>
                <c:pt idx="6">
                  <c:v>42.1</c:v>
                </c:pt>
                <c:pt idx="7">
                  <c:v>24.4</c:v>
                </c:pt>
                <c:pt idx="8">
                  <c:v>34.299999999999997</c:v>
                </c:pt>
                <c:pt idx="9">
                  <c:v>35.1</c:v>
                </c:pt>
                <c:pt idx="10">
                  <c:v>48.3</c:v>
                </c:pt>
                <c:pt idx="11">
                  <c:v>32.9</c:v>
                </c:pt>
                <c:pt idx="12">
                  <c:v>47.8</c:v>
                </c:pt>
                <c:pt idx="13">
                  <c:v>45.9</c:v>
                </c:pt>
                <c:pt idx="14">
                  <c:v>44.6</c:v>
                </c:pt>
                <c:pt idx="15">
                  <c:v>46.7</c:v>
                </c:pt>
                <c:pt idx="16">
                  <c:v>54.1</c:v>
                </c:pt>
                <c:pt idx="17">
                  <c:v>67</c:v>
                </c:pt>
                <c:pt idx="18">
                  <c:v>62.4</c:v>
                </c:pt>
                <c:pt idx="19">
                  <c:v>68.7</c:v>
                </c:pt>
                <c:pt idx="20">
                  <c:v>55.600000000000009</c:v>
                </c:pt>
                <c:pt idx="21">
                  <c:v>69.7</c:v>
                </c:pt>
                <c:pt idx="22">
                  <c:v>72</c:v>
                </c:pt>
                <c:pt idx="23">
                  <c:v>75.2</c:v>
                </c:pt>
              </c:numCache>
            </c:numRef>
          </c:val>
        </c:ser>
        <c:ser>
          <c:idx val="5"/>
          <c:order val="5"/>
          <c:tx>
            <c:strRef>
              <c:f>'G26'!$S$3</c:f>
              <c:strCache>
                <c:ptCount val="1"/>
                <c:pt idx="0">
                  <c:v> bez odpovědi</c:v>
                </c:pt>
              </c:strCache>
            </c:strRef>
          </c:tx>
          <c:spPr>
            <a:solidFill>
              <a:schemeClr val="bg1">
                <a:lumMod val="50000"/>
              </a:schemeClr>
            </a:solidFill>
            <a:ln>
              <a:solidFill>
                <a:schemeClr val="bg1">
                  <a:lumMod val="50000"/>
                </a:schemeClr>
              </a:solidFill>
            </a:ln>
          </c:spPr>
          <c:invertIfNegative val="0"/>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'G26'!$S$4:$S$27</c:f>
              <c:numCache>
                <c:formatCode>0</c:formatCode>
                <c:ptCount val="24"/>
                <c:pt idx="0">
                  <c:v>0.4</c:v>
                </c:pt>
                <c:pt idx="1">
                  <c:v>2.2999999999999998</c:v>
                </c:pt>
                <c:pt idx="2">
                  <c:v>2.9</c:v>
                </c:pt>
                <c:pt idx="3">
                  <c:v>0</c:v>
                </c:pt>
                <c:pt idx="4">
                  <c:v>1.7000000000000002</c:v>
                </c:pt>
                <c:pt idx="5">
                  <c:v>0.7</c:v>
                </c:pt>
                <c:pt idx="6">
                  <c:v>1.1000000000000001</c:v>
                </c:pt>
                <c:pt idx="7">
                  <c:v>0</c:v>
                </c:pt>
                <c:pt idx="8">
                  <c:v>3.4000000000000004</c:v>
                </c:pt>
                <c:pt idx="9">
                  <c:v>0.8</c:v>
                </c:pt>
                <c:pt idx="10">
                  <c:v>0</c:v>
                </c:pt>
                <c:pt idx="11">
                  <c:v>0</c:v>
                </c:pt>
                <c:pt idx="12">
                  <c:v>1.7000000000000002</c:v>
                </c:pt>
                <c:pt idx="13">
                  <c:v>0</c:v>
                </c:pt>
                <c:pt idx="14">
                  <c:v>3.2</c:v>
                </c:pt>
                <c:pt idx="15">
                  <c:v>4.9000000000000004</c:v>
                </c:pt>
                <c:pt idx="16">
                  <c:v>0</c:v>
                </c:pt>
                <c:pt idx="17">
                  <c:v>0</c:v>
                </c:pt>
                <c:pt idx="18">
                  <c:v>0</c:v>
                </c:pt>
                <c:pt idx="19">
                  <c:v>2</c:v>
                </c:pt>
                <c:pt idx="20">
                  <c:v>0</c:v>
                </c:pt>
                <c:pt idx="21">
                  <c:v>2.1</c:v>
                </c:pt>
                <c:pt idx="22">
                  <c:v>2.2999999999999998</c:v>
                </c:pt>
                <c:pt idx="23">
                  <c:v>0</c:v>
                </c:pt>
              </c:numCache>
            </c:numRef>
          </c:val>
        </c:ser>
        <c:dLbls>
          <c:showLegendKey val="0"/>
          <c:showVal val="0"/>
          <c:showCatName val="0"/>
          <c:showSerName val="0"/>
          <c:showPercent val="0"/>
          <c:showBubbleSize val="0"/>
        </c:dLbls>
        <c:gapWidth val="150"/>
        <c:overlap val="100"/>
        <c:axId val="464166400"/>
        <c:axId val="377780416"/>
      </c:barChart>
      <c:scatterChart>
        <c:scatterStyle val="lineMarker"/>
        <c:varyColors val="0"/>
        <c:ser>
          <c:idx val="0"/>
          <c:order val="0"/>
          <c:tx>
            <c:strRef>
              <c:f>'G26'!$N$3</c:f>
              <c:strCache>
                <c:ptCount val="1"/>
                <c:pt idx="0">
                  <c:v> celková účast ve vzdělávání (FV i NFV)</c:v>
                </c:pt>
              </c:strCache>
            </c:strRef>
          </c:tx>
          <c:spPr>
            <a:ln w="28575">
              <a:noFill/>
            </a:ln>
          </c:spPr>
          <c:marker>
            <c:symbol val="circle"/>
            <c:size val="7"/>
            <c:spPr>
              <a:solidFill>
                <a:schemeClr val="tx1"/>
              </a:solidFill>
              <a:ln>
                <a:solidFill>
                  <a:schemeClr val="tx1"/>
                </a:solidFill>
              </a:ln>
            </c:spPr>
          </c:marker>
          <c:xVal>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xVal>
          <c:yVal>
            <c:numRef>
              <c:f>'G26'!$N$4:$N$27</c:f>
              <c:numCache>
                <c:formatCode>0</c:formatCode>
                <c:ptCount val="24"/>
                <c:pt idx="0">
                  <c:v>0.69099999999999995</c:v>
                </c:pt>
                <c:pt idx="1">
                  <c:v>0.6409999999999999</c:v>
                </c:pt>
                <c:pt idx="2">
                  <c:v>0.63800000000000001</c:v>
                </c:pt>
                <c:pt idx="3">
                  <c:v>0.59899999999999998</c:v>
                </c:pt>
                <c:pt idx="4">
                  <c:v>0.53799999999999992</c:v>
                </c:pt>
                <c:pt idx="5">
                  <c:v>0.52100000000000002</c:v>
                </c:pt>
                <c:pt idx="6">
                  <c:v>0.52</c:v>
                </c:pt>
                <c:pt idx="7">
                  <c:v>0.48100000000000004</c:v>
                </c:pt>
                <c:pt idx="8">
                  <c:v>0.48100000000000004</c:v>
                </c:pt>
                <c:pt idx="9">
                  <c:v>0.47499999999999998</c:v>
                </c:pt>
                <c:pt idx="10">
                  <c:v>0.46100000000000002</c:v>
                </c:pt>
                <c:pt idx="11">
                  <c:v>0.46100000000000002</c:v>
                </c:pt>
                <c:pt idx="12">
                  <c:v>0.46100000000000002</c:v>
                </c:pt>
                <c:pt idx="13">
                  <c:v>0.46100000000000002</c:v>
                </c:pt>
                <c:pt idx="14">
                  <c:v>0.434</c:v>
                </c:pt>
                <c:pt idx="15">
                  <c:v>0.36299999999999999</c:v>
                </c:pt>
                <c:pt idx="16">
                  <c:v>0.318</c:v>
                </c:pt>
                <c:pt idx="17">
                  <c:v>0.27899999999999997</c:v>
                </c:pt>
                <c:pt idx="18">
                  <c:v>0.247</c:v>
                </c:pt>
                <c:pt idx="19">
                  <c:v>0.24600000000000002</c:v>
                </c:pt>
                <c:pt idx="20">
                  <c:v>0.19800000000000001</c:v>
                </c:pt>
                <c:pt idx="21">
                  <c:v>0.16699999999999998</c:v>
                </c:pt>
                <c:pt idx="22">
                  <c:v>0.127</c:v>
                </c:pt>
                <c:pt idx="23">
                  <c:v>7.0000000000000007E-2</c:v>
                </c:pt>
              </c:numCache>
            </c:numRef>
          </c:yVal>
          <c:smooth val="0"/>
        </c:ser>
        <c:dLbls>
          <c:showLegendKey val="0"/>
          <c:showVal val="0"/>
          <c:showCatName val="0"/>
          <c:showSerName val="0"/>
          <c:showPercent val="0"/>
          <c:showBubbleSize val="0"/>
        </c:dLbls>
        <c:axId val="377781568"/>
        <c:axId val="377780992"/>
      </c:scatterChart>
      <c:catAx>
        <c:axId val="464166400"/>
        <c:scaling>
          <c:orientation val="minMax"/>
        </c:scaling>
        <c:delete val="0"/>
        <c:axPos val="b"/>
        <c:majorTickMark val="none"/>
        <c:minorTickMark val="none"/>
        <c:tickLblPos val="nextTo"/>
        <c:crossAx val="377780416"/>
        <c:crosses val="autoZero"/>
        <c:auto val="1"/>
        <c:lblAlgn val="ctr"/>
        <c:lblOffset val="100"/>
        <c:noMultiLvlLbl val="0"/>
      </c:catAx>
      <c:valAx>
        <c:axId val="377780416"/>
        <c:scaling>
          <c:orientation val="minMax"/>
        </c:scaling>
        <c:delete val="0"/>
        <c:axPos val="l"/>
        <c:majorGridlines/>
        <c:title>
          <c:tx>
            <c:rich>
              <a:bodyPr rot="-5400000" vert="horz"/>
              <a:lstStyle/>
              <a:p>
                <a:pPr>
                  <a:defRPr/>
                </a:pPr>
                <a:r>
                  <a:rPr lang="cs-CZ" b="0"/>
                  <a:t>vůle k</a:t>
                </a:r>
                <a:r>
                  <a:rPr lang="cs-CZ" b="0" baseline="0"/>
                  <a:t> dalšímu vzdělávání</a:t>
                </a:r>
                <a:endParaRPr lang="cs-CZ" b="0"/>
              </a:p>
            </c:rich>
          </c:tx>
          <c:layout>
            <c:manualLayout>
              <c:xMode val="edge"/>
              <c:yMode val="edge"/>
              <c:x val="1.2861710043253939E-2"/>
              <c:y val="0.20367525005320281"/>
            </c:manualLayout>
          </c:layout>
          <c:overlay val="0"/>
        </c:title>
        <c:numFmt formatCode="0%" sourceLinked="1"/>
        <c:majorTickMark val="out"/>
        <c:minorTickMark val="none"/>
        <c:tickLblPos val="nextTo"/>
        <c:crossAx val="464166400"/>
        <c:crosses val="autoZero"/>
        <c:crossBetween val="between"/>
      </c:valAx>
      <c:valAx>
        <c:axId val="377780992"/>
        <c:scaling>
          <c:orientation val="minMax"/>
        </c:scaling>
        <c:delete val="0"/>
        <c:axPos val="r"/>
        <c:title>
          <c:tx>
            <c:rich>
              <a:bodyPr rot="-5400000" vert="horz"/>
              <a:lstStyle/>
              <a:p>
                <a:pPr>
                  <a:defRPr/>
                </a:pPr>
                <a:r>
                  <a:rPr lang="cs-CZ" b="0"/>
                  <a:t>účast ve vzdělávání</a:t>
                </a:r>
              </a:p>
            </c:rich>
          </c:tx>
          <c:layout>
            <c:manualLayout>
              <c:xMode val="edge"/>
              <c:yMode val="edge"/>
              <c:x val="0.96099672120424195"/>
              <c:y val="0.24277080229836137"/>
            </c:manualLayout>
          </c:layout>
          <c:overlay val="0"/>
        </c:title>
        <c:numFmt formatCode="0%" sourceLinked="0"/>
        <c:majorTickMark val="out"/>
        <c:minorTickMark val="none"/>
        <c:tickLblPos val="nextTo"/>
        <c:crossAx val="377781568"/>
        <c:crosses val="max"/>
        <c:crossBetween val="midCat"/>
      </c:valAx>
      <c:valAx>
        <c:axId val="377781568"/>
        <c:scaling>
          <c:orientation val="minMax"/>
        </c:scaling>
        <c:delete val="1"/>
        <c:axPos val="b"/>
        <c:majorTickMark val="out"/>
        <c:minorTickMark val="none"/>
        <c:tickLblPos val="nextTo"/>
        <c:crossAx val="377780992"/>
        <c:crosses val="autoZero"/>
        <c:crossBetween val="midCat"/>
      </c:valAx>
    </c:plotArea>
    <c:legend>
      <c:legendPos val="b"/>
      <c:layout>
        <c:manualLayout>
          <c:xMode val="edge"/>
          <c:yMode val="edge"/>
          <c:x val="1.2190701042752434E-2"/>
          <c:y val="0.85283038944456269"/>
          <c:w val="0.96914490951788923"/>
          <c:h val="0.1214461705800288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77258354516713"/>
          <c:y val="2.0009095043201454E-2"/>
          <c:w val="0.78966052865439063"/>
          <c:h val="0.83468247915122451"/>
        </c:manualLayout>
      </c:layout>
      <c:barChart>
        <c:barDir val="bar"/>
        <c:grouping val="percentStacked"/>
        <c:varyColors val="0"/>
        <c:ser>
          <c:idx val="0"/>
          <c:order val="0"/>
          <c:tx>
            <c:strRef>
              <c:f>'G27'!$E$3</c:f>
              <c:strCache>
                <c:ptCount val="1"/>
                <c:pt idx="0">
                  <c:v> účastnili se vzdělávání a nechtěli se účastnit více</c:v>
                </c:pt>
              </c:strCache>
            </c:strRef>
          </c:tx>
          <c:spPr>
            <a:solidFill>
              <a:schemeClr val="accent2">
                <a:lumMod val="50000"/>
              </a:schemeClr>
            </a:solidFill>
            <a:ln>
              <a:solidFill>
                <a:srgbClr val="002060"/>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'G27'!$E$4:$E$26</c:f>
              <c:numCache>
                <c:formatCode>0%</c:formatCode>
                <c:ptCount val="23"/>
                <c:pt idx="0">
                  <c:v>0.38700000000000001</c:v>
                </c:pt>
                <c:pt idx="1">
                  <c:v>0.68322372446672086</c:v>
                </c:pt>
                <c:pt idx="2">
                  <c:v>0.42769950039865184</c:v>
                </c:pt>
                <c:pt idx="3">
                  <c:v>0.42059123991121816</c:v>
                </c:pt>
                <c:pt idx="4">
                  <c:v>0.43167262026531544</c:v>
                </c:pt>
                <c:pt idx="5">
                  <c:v>0.26046712734138855</c:v>
                </c:pt>
                <c:pt idx="6">
                  <c:v>7.4570669514039831E-2</c:v>
                </c:pt>
                <c:pt idx="8">
                  <c:v>0.42799999999999999</c:v>
                </c:pt>
                <c:pt idx="9">
                  <c:v>0.68529984398571375</c:v>
                </c:pt>
                <c:pt idx="10">
                  <c:v>0.52170258683461934</c:v>
                </c:pt>
                <c:pt idx="11">
                  <c:v>0.46746972153077815</c:v>
                </c:pt>
                <c:pt idx="12">
                  <c:v>0.46368614891009025</c:v>
                </c:pt>
                <c:pt idx="13">
                  <c:v>0.28869943878578552</c:v>
                </c:pt>
                <c:pt idx="14">
                  <c:v>5.7768887553598304E-2</c:v>
                </c:pt>
                <c:pt idx="16">
                  <c:v>0.34499999999999997</c:v>
                </c:pt>
                <c:pt idx="17">
                  <c:v>0.6810118166157938</c:v>
                </c:pt>
                <c:pt idx="18">
                  <c:v>0.33053395170134836</c:v>
                </c:pt>
                <c:pt idx="19">
                  <c:v>0.37337806867641754</c:v>
                </c:pt>
                <c:pt idx="20">
                  <c:v>0.39881258669697045</c:v>
                </c:pt>
                <c:pt idx="21">
                  <c:v>0.2322019959547465</c:v>
                </c:pt>
                <c:pt idx="22">
                  <c:v>9.0225342359796401E-2</c:v>
                </c:pt>
              </c:numCache>
            </c:numRef>
          </c:val>
        </c:ser>
        <c:ser>
          <c:idx val="1"/>
          <c:order val="1"/>
          <c:tx>
            <c:strRef>
              <c:f>'G27'!$F$3</c:f>
              <c:strCache>
                <c:ptCount val="1"/>
                <c:pt idx="0">
                  <c:v> účastnili se vzdělávání a chtěli se účastnit více</c:v>
                </c:pt>
              </c:strCache>
            </c:strRef>
          </c:tx>
          <c:spPr>
            <a:ln>
              <a:solidFill>
                <a:schemeClr val="accent2">
                  <a:lumMod val="75000"/>
                </a:schemeClr>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'G27'!$F$4:$F$26</c:f>
              <c:numCache>
                <c:formatCode>0%</c:formatCode>
                <c:ptCount val="23"/>
                <c:pt idx="0">
                  <c:v>6.9000000000000006E-2</c:v>
                </c:pt>
                <c:pt idx="1">
                  <c:v>0.11280800889640898</c:v>
                </c:pt>
                <c:pt idx="2">
                  <c:v>9.0859487737666653E-2</c:v>
                </c:pt>
                <c:pt idx="3">
                  <c:v>9.0279317947580595E-2</c:v>
                </c:pt>
                <c:pt idx="4">
                  <c:v>6.0931279210662971E-2</c:v>
                </c:pt>
                <c:pt idx="5">
                  <c:v>3.0839290106071546E-2</c:v>
                </c:pt>
                <c:pt idx="6">
                  <c:v>1.5438101412246249E-2</c:v>
                </c:pt>
                <c:pt idx="8">
                  <c:v>5.3999999999999999E-2</c:v>
                </c:pt>
                <c:pt idx="9">
                  <c:v>0.10130871488066841</c:v>
                </c:pt>
                <c:pt idx="10">
                  <c:v>7.0772832619275805E-2</c:v>
                </c:pt>
                <c:pt idx="11">
                  <c:v>7.0223213982921515E-2</c:v>
                </c:pt>
                <c:pt idx="12">
                  <c:v>4.4134426914756004E-2</c:v>
                </c:pt>
                <c:pt idx="13">
                  <c:v>2.0686746051757302E-2</c:v>
                </c:pt>
                <c:pt idx="14">
                  <c:v>8.9315127700339714E-3</c:v>
                </c:pt>
                <c:pt idx="16">
                  <c:v>8.4000000000000005E-2</c:v>
                </c:pt>
                <c:pt idx="17">
                  <c:v>0.12505941276831906</c:v>
                </c:pt>
                <c:pt idx="18">
                  <c:v>0.11162163905753833</c:v>
                </c:pt>
                <c:pt idx="19">
                  <c:v>0.11047861276414554</c:v>
                </c:pt>
                <c:pt idx="20">
                  <c:v>7.8171858942489014E-2</c:v>
                </c:pt>
                <c:pt idx="21">
                  <c:v>4.1003438782994693E-2</c:v>
                </c:pt>
                <c:pt idx="22">
                  <c:v>2.1498009807315956E-2</c:v>
                </c:pt>
              </c:numCache>
            </c:numRef>
          </c:val>
        </c:ser>
        <c:ser>
          <c:idx val="2"/>
          <c:order val="2"/>
          <c:tx>
            <c:strRef>
              <c:f>'G27'!$G$3</c:f>
              <c:strCache>
                <c:ptCount val="1"/>
                <c:pt idx="0">
                  <c:v> neúčastnili se vzdělávání, ale chtěli se účastnit</c:v>
                </c:pt>
              </c:strCache>
            </c:strRef>
          </c:tx>
          <c:spPr>
            <a:solidFill>
              <a:schemeClr val="accent2">
                <a:lumMod val="20000"/>
                <a:lumOff val="80000"/>
              </a:schemeClr>
            </a:solidFill>
            <a:ln>
              <a:solidFill>
                <a:schemeClr val="accent2">
                  <a:lumMod val="75000"/>
                </a:schemeClr>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'G27'!$G$4:$G$26</c:f>
              <c:numCache>
                <c:formatCode>0%</c:formatCode>
                <c:ptCount val="23"/>
                <c:pt idx="0">
                  <c:v>0.05</c:v>
                </c:pt>
                <c:pt idx="1">
                  <c:v>2.486817671503291E-2</c:v>
                </c:pt>
                <c:pt idx="2">
                  <c:v>7.671104826048919E-2</c:v>
                </c:pt>
                <c:pt idx="3">
                  <c:v>6.6854682402963633E-2</c:v>
                </c:pt>
                <c:pt idx="4">
                  <c:v>3.8429680537097097E-2</c:v>
                </c:pt>
                <c:pt idx="5">
                  <c:v>3.4886193245376729E-2</c:v>
                </c:pt>
                <c:pt idx="6">
                  <c:v>3.7266267525963209E-2</c:v>
                </c:pt>
                <c:pt idx="8">
                  <c:v>0.03</c:v>
                </c:pt>
                <c:pt idx="9">
                  <c:v>2.8268241422437689E-2</c:v>
                </c:pt>
                <c:pt idx="10">
                  <c:v>3.7971031779605188E-2</c:v>
                </c:pt>
                <c:pt idx="11">
                  <c:v>3.7038418669216908E-2</c:v>
                </c:pt>
                <c:pt idx="12">
                  <c:v>2.5568679285782877E-2</c:v>
                </c:pt>
                <c:pt idx="13">
                  <c:v>2.389323133475104E-2</c:v>
                </c:pt>
                <c:pt idx="14">
                  <c:v>2.2627904586459628E-2</c:v>
                </c:pt>
                <c:pt idx="16">
                  <c:v>7.0999999999999994E-2</c:v>
                </c:pt>
                <c:pt idx="17">
                  <c:v>2.1245731209767596E-2</c:v>
                </c:pt>
                <c:pt idx="18">
                  <c:v>0.11675543162708682</c:v>
                </c:pt>
                <c:pt idx="19">
                  <c:v>9.6883819794136961E-2</c:v>
                </c:pt>
                <c:pt idx="20">
                  <c:v>5.163044659901464E-2</c:v>
                </c:pt>
                <c:pt idx="21">
                  <c:v>4.5891718026144911E-2</c:v>
                </c:pt>
                <c:pt idx="22">
                  <c:v>5.0907680105685242E-2</c:v>
                </c:pt>
              </c:numCache>
            </c:numRef>
          </c:val>
        </c:ser>
        <c:ser>
          <c:idx val="3"/>
          <c:order val="3"/>
          <c:tx>
            <c:strRef>
              <c:f>'G27'!$H$3</c:f>
              <c:strCache>
                <c:ptCount val="1"/>
                <c:pt idx="0">
                  <c:v> neúčastnili se vzdělávání a ani se nechtěli účastnit</c:v>
                </c:pt>
              </c:strCache>
            </c:strRef>
          </c:tx>
          <c:spPr>
            <a:solidFill>
              <a:schemeClr val="accent6">
                <a:lumMod val="20000"/>
                <a:lumOff val="80000"/>
              </a:schemeClr>
            </a:solidFill>
            <a:ln>
              <a:solidFill>
                <a:schemeClr val="accent6">
                  <a:lumMod val="75000"/>
                </a:schemeClr>
              </a:solidFill>
            </a:ln>
          </c:spPr>
          <c:invertIfNegative val="0"/>
          <c:dLbls>
            <c:dLblPos val="inEnd"/>
            <c:showLegendKey val="0"/>
            <c:showVal val="1"/>
            <c:showCatName val="0"/>
            <c:showSerName val="0"/>
            <c:showPercent val="0"/>
            <c:showBubbleSize val="0"/>
            <c:showLeaderLines val="0"/>
          </c:dLbls>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'G27'!$H$4:$H$26</c:f>
              <c:numCache>
                <c:formatCode>0%</c:formatCode>
                <c:ptCount val="23"/>
                <c:pt idx="0">
                  <c:v>0.49399999999999999</c:v>
                </c:pt>
                <c:pt idx="1">
                  <c:v>0.17910008992183715</c:v>
                </c:pt>
                <c:pt idx="2">
                  <c:v>0.4047299636031923</c:v>
                </c:pt>
                <c:pt idx="3">
                  <c:v>0.42227475973823764</c:v>
                </c:pt>
                <c:pt idx="4">
                  <c:v>0.46896641998692451</c:v>
                </c:pt>
                <c:pt idx="5">
                  <c:v>0.67380738930716322</c:v>
                </c:pt>
                <c:pt idx="6">
                  <c:v>0.8727249615477507</c:v>
                </c:pt>
                <c:pt idx="8">
                  <c:v>0.48799999999999999</c:v>
                </c:pt>
                <c:pt idx="9">
                  <c:v>0.18512319971118019</c:v>
                </c:pt>
                <c:pt idx="10">
                  <c:v>0.36955354876649971</c:v>
                </c:pt>
                <c:pt idx="11">
                  <c:v>0.42526864581708346</c:v>
                </c:pt>
                <c:pt idx="12">
                  <c:v>0.46661074488937088</c:v>
                </c:pt>
                <c:pt idx="13">
                  <c:v>0.66672058382770616</c:v>
                </c:pt>
                <c:pt idx="14">
                  <c:v>0.9106716950899082</c:v>
                </c:pt>
                <c:pt idx="16">
                  <c:v>0.5</c:v>
                </c:pt>
                <c:pt idx="17">
                  <c:v>0.17268303940611957</c:v>
                </c:pt>
                <c:pt idx="18">
                  <c:v>0.44108897761402655</c:v>
                </c:pt>
                <c:pt idx="19">
                  <c:v>0.4192594987653</c:v>
                </c:pt>
                <c:pt idx="20">
                  <c:v>0.47138510776152592</c:v>
                </c:pt>
                <c:pt idx="21">
                  <c:v>0.68090284723611394</c:v>
                </c:pt>
                <c:pt idx="22">
                  <c:v>0.83736896772720248</c:v>
                </c:pt>
              </c:numCache>
            </c:numRef>
          </c:val>
        </c:ser>
        <c:dLbls>
          <c:showLegendKey val="0"/>
          <c:showVal val="0"/>
          <c:showCatName val="0"/>
          <c:showSerName val="0"/>
          <c:showPercent val="0"/>
          <c:showBubbleSize val="0"/>
        </c:dLbls>
        <c:gapWidth val="57"/>
        <c:overlap val="100"/>
        <c:axId val="464162816"/>
        <c:axId val="377779264"/>
      </c:barChart>
      <c:catAx>
        <c:axId val="464162816"/>
        <c:scaling>
          <c:orientation val="minMax"/>
        </c:scaling>
        <c:delete val="0"/>
        <c:axPos val="l"/>
        <c:majorTickMark val="out"/>
        <c:minorTickMark val="none"/>
        <c:tickLblPos val="nextTo"/>
        <c:spPr>
          <a:ln>
            <a:noFill/>
          </a:ln>
        </c:spPr>
        <c:crossAx val="377779264"/>
        <c:crosses val="autoZero"/>
        <c:auto val="1"/>
        <c:lblAlgn val="ctr"/>
        <c:lblOffset val="100"/>
        <c:noMultiLvlLbl val="0"/>
      </c:catAx>
      <c:valAx>
        <c:axId val="377779264"/>
        <c:scaling>
          <c:orientation val="minMax"/>
        </c:scaling>
        <c:delete val="0"/>
        <c:axPos val="b"/>
        <c:majorGridlines>
          <c:spPr>
            <a:ln>
              <a:prstDash val="sysDot"/>
            </a:ln>
          </c:spPr>
        </c:majorGridlines>
        <c:numFmt formatCode="0%" sourceLinked="1"/>
        <c:majorTickMark val="none"/>
        <c:minorTickMark val="none"/>
        <c:tickLblPos val="nextTo"/>
        <c:crossAx val="464162816"/>
        <c:crosses val="autoZero"/>
        <c:crossBetween val="between"/>
      </c:valAx>
    </c:plotArea>
    <c:legend>
      <c:legendPos val="b"/>
      <c:layout>
        <c:manualLayout>
          <c:xMode val="edge"/>
          <c:yMode val="edge"/>
          <c:x val="4.1722280777894895E-2"/>
          <c:y val="0.92323443440537689"/>
          <c:w val="0.94385202637071963"/>
          <c:h val="6.403247981099137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27775204570017"/>
          <c:y val="0"/>
          <c:w val="0.75409479697390769"/>
          <c:h val="0.86261686215776701"/>
        </c:manualLayout>
      </c:layout>
      <c:barChart>
        <c:barDir val="bar"/>
        <c:grouping val="percentStacked"/>
        <c:varyColors val="0"/>
        <c:ser>
          <c:idx val="0"/>
          <c:order val="0"/>
          <c:tx>
            <c:strRef>
              <c:f>'G28'!$D$3</c:f>
              <c:strCache>
                <c:ptCount val="1"/>
                <c:pt idx="0">
                  <c:v> účastnili se vzdělávání a nechtěli se účastnit více</c:v>
                </c:pt>
              </c:strCache>
            </c:strRef>
          </c:tx>
          <c:spPr>
            <a:solidFill>
              <a:schemeClr val="accent2">
                <a:lumMod val="50000"/>
              </a:schemeClr>
            </a:solidFill>
            <a:ln>
              <a:solidFill>
                <a:schemeClr val="tx1">
                  <a:lumMod val="95000"/>
                  <a:lumOff val="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'G28'!$D$4:$D$21</c:f>
              <c:numCache>
                <c:formatCode>####%</c:formatCode>
                <c:ptCount val="18"/>
                <c:pt idx="0">
                  <c:v>0.4591132554984898</c:v>
                </c:pt>
                <c:pt idx="1">
                  <c:v>0.19542805372764885</c:v>
                </c:pt>
                <c:pt idx="2">
                  <c:v>0.87058548732215768</c:v>
                </c:pt>
                <c:pt idx="3">
                  <c:v>7.4005980884349079E-2</c:v>
                </c:pt>
                <c:pt idx="4">
                  <c:v>5.1878114861022846E-2</c:v>
                </c:pt>
                <c:pt idx="6">
                  <c:v>0.48625328391860845</c:v>
                </c:pt>
                <c:pt idx="7">
                  <c:v>0.20236662462329458</c:v>
                </c:pt>
                <c:pt idx="8">
                  <c:v>0.863996634785689</c:v>
                </c:pt>
                <c:pt idx="9">
                  <c:v>4.8058696612307779E-2</c:v>
                </c:pt>
                <c:pt idx="10">
                  <c:v>3.2232082297083429E-2</c:v>
                </c:pt>
                <c:pt idx="12">
                  <c:v>0.42346010655766575</c:v>
                </c:pt>
                <c:pt idx="13">
                  <c:v>0.1904034592181888</c:v>
                </c:pt>
                <c:pt idx="14">
                  <c:v>0.87645175787871865</c:v>
                </c:pt>
                <c:pt idx="15">
                  <c:v>9.2449256401436572E-2</c:v>
                </c:pt>
                <c:pt idx="16">
                  <c:v>7.3680578969240296E-2</c:v>
                </c:pt>
                <c:pt idx="17">
                  <c:v>0.14315369346908421</c:v>
                </c:pt>
              </c:numCache>
            </c:numRef>
          </c:val>
        </c:ser>
        <c:ser>
          <c:idx val="1"/>
          <c:order val="1"/>
          <c:tx>
            <c:strRef>
              <c:f>'G28'!$E$3</c:f>
              <c:strCache>
                <c:ptCount val="1"/>
                <c:pt idx="0">
                  <c:v> účastnili se vzdělávání a chtěli se účastnit více</c:v>
                </c:pt>
              </c:strCache>
            </c:strRef>
          </c:tx>
          <c:spPr>
            <a:ln>
              <a:solidFill>
                <a:schemeClr val="accent2">
                  <a:lumMod val="50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'G28'!$E$4:$E$21</c:f>
              <c:numCache>
                <c:formatCode>####%</c:formatCode>
                <c:ptCount val="18"/>
                <c:pt idx="0">
                  <c:v>7.7994479395654695E-2</c:v>
                </c:pt>
                <c:pt idx="1">
                  <c:v>7.6830052538554558E-2</c:v>
                </c:pt>
                <c:pt idx="2">
                  <c:v>0.12941451267784224</c:v>
                </c:pt>
                <c:pt idx="3">
                  <c:v>1.3930227698553595E-2</c:v>
                </c:pt>
                <c:pt idx="4">
                  <c:v>2.8241406607128917E-2</c:v>
                </c:pt>
                <c:pt idx="6">
                  <c:v>5.7284656278656733E-2</c:v>
                </c:pt>
                <c:pt idx="7">
                  <c:v>5.2830225012276022E-2</c:v>
                </c:pt>
                <c:pt idx="8">
                  <c:v>0.136003365214311</c:v>
                </c:pt>
                <c:pt idx="9">
                  <c:v>5.1393347181924419E-3</c:v>
                </c:pt>
                <c:pt idx="10">
                  <c:v>1.7253560931494459E-2</c:v>
                </c:pt>
                <c:pt idx="12">
                  <c:v>0.10520070708445699</c:v>
                </c:pt>
                <c:pt idx="13">
                  <c:v>9.4207901802838501E-2</c:v>
                </c:pt>
                <c:pt idx="14">
                  <c:v>0.12354824212128142</c:v>
                </c:pt>
                <c:pt idx="15">
                  <c:v>2.0178776085281389E-2</c:v>
                </c:pt>
                <c:pt idx="16">
                  <c:v>4.0435324650885625E-2</c:v>
                </c:pt>
                <c:pt idx="17">
                  <c:v>6.5442911332131329E-2</c:v>
                </c:pt>
              </c:numCache>
            </c:numRef>
          </c:val>
        </c:ser>
        <c:ser>
          <c:idx val="2"/>
          <c:order val="2"/>
          <c:tx>
            <c:strRef>
              <c:f>'G28'!$F$3</c:f>
              <c:strCache>
                <c:ptCount val="1"/>
                <c:pt idx="0">
                  <c:v> neúčastnili se vzdělávání, ale chtěli se účastnit</c:v>
                </c:pt>
              </c:strCache>
            </c:strRef>
          </c:tx>
          <c:spPr>
            <a:solidFill>
              <a:schemeClr val="accent2">
                <a:lumMod val="20000"/>
                <a:lumOff val="80000"/>
              </a:schemeClr>
            </a:solidFill>
            <a:ln>
              <a:solidFill>
                <a:schemeClr val="accent2">
                  <a:lumMod val="7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'G28'!$F$4:$F$21</c:f>
              <c:numCache>
                <c:formatCode>####%</c:formatCode>
                <c:ptCount val="18"/>
                <c:pt idx="0">
                  <c:v>4.0476340355255706E-2</c:v>
                </c:pt>
                <c:pt idx="1">
                  <c:v>0.13219169494473137</c:v>
                </c:pt>
                <c:pt idx="3">
                  <c:v>3.6931873056344287E-2</c:v>
                </c:pt>
                <c:pt idx="4">
                  <c:v>0.10439546145469818</c:v>
                </c:pt>
                <c:pt idx="6">
                  <c:v>2.9196305417202136E-2</c:v>
                </c:pt>
                <c:pt idx="7">
                  <c:v>0.10039379555367269</c:v>
                </c:pt>
                <c:pt idx="9">
                  <c:v>1.6134383459456947E-2</c:v>
                </c:pt>
                <c:pt idx="10">
                  <c:v>0.1004550079131811</c:v>
                </c:pt>
                <c:pt idx="12">
                  <c:v>5.5294518572390004E-2</c:v>
                </c:pt>
                <c:pt idx="13">
                  <c:v>0.15523241622205949</c:v>
                </c:pt>
                <c:pt idx="15">
                  <c:v>5.1714685264266265E-2</c:v>
                </c:pt>
                <c:pt idx="16">
                  <c:v>0.10876843582646605</c:v>
                </c:pt>
                <c:pt idx="17">
                  <c:v>0.19473171723440569</c:v>
                </c:pt>
              </c:numCache>
            </c:numRef>
          </c:val>
        </c:ser>
        <c:ser>
          <c:idx val="3"/>
          <c:order val="3"/>
          <c:tx>
            <c:strRef>
              <c:f>'G28'!$G$3</c:f>
              <c:strCache>
                <c:ptCount val="1"/>
                <c:pt idx="0">
                  <c:v> neúčastnili se vzdělávání a ani se nechtěli účastnit</c:v>
                </c:pt>
              </c:strCache>
            </c:strRef>
          </c:tx>
          <c:spPr>
            <a:solidFill>
              <a:schemeClr val="accent6">
                <a:lumMod val="20000"/>
                <a:lumOff val="80000"/>
              </a:schemeClr>
            </a:solidFill>
            <a:ln>
              <a:solidFill>
                <a:schemeClr val="accent6">
                  <a:lumMod val="7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'G28'!$G$4:$G$21</c:f>
              <c:numCache>
                <c:formatCode>####%</c:formatCode>
                <c:ptCount val="18"/>
                <c:pt idx="0">
                  <c:v>0.42241592475059975</c:v>
                </c:pt>
                <c:pt idx="1">
                  <c:v>0.59555019878906523</c:v>
                </c:pt>
                <c:pt idx="3">
                  <c:v>0.8751319183607531</c:v>
                </c:pt>
                <c:pt idx="4">
                  <c:v>0.81548501707715004</c:v>
                </c:pt>
                <c:pt idx="6">
                  <c:v>0.42726575438553271</c:v>
                </c:pt>
                <c:pt idx="7">
                  <c:v>0.64440935481075667</c:v>
                </c:pt>
                <c:pt idx="9">
                  <c:v>0.93066758521004289</c:v>
                </c:pt>
                <c:pt idx="10">
                  <c:v>0.85005934885824108</c:v>
                </c:pt>
                <c:pt idx="12">
                  <c:v>0.41604466778548727</c:v>
                </c:pt>
                <c:pt idx="13">
                  <c:v>0.56015622275691324</c:v>
                </c:pt>
                <c:pt idx="15">
                  <c:v>0.83565728224901581</c:v>
                </c:pt>
                <c:pt idx="16">
                  <c:v>0.77711566055340797</c:v>
                </c:pt>
                <c:pt idx="17">
                  <c:v>0.59667167796437881</c:v>
                </c:pt>
              </c:numCache>
            </c:numRef>
          </c:val>
        </c:ser>
        <c:dLbls>
          <c:showLegendKey val="0"/>
          <c:showVal val="0"/>
          <c:showCatName val="0"/>
          <c:showSerName val="0"/>
          <c:showPercent val="0"/>
          <c:showBubbleSize val="0"/>
        </c:dLbls>
        <c:gapWidth val="61"/>
        <c:overlap val="100"/>
        <c:axId val="464163840"/>
        <c:axId val="389080768"/>
      </c:barChart>
      <c:catAx>
        <c:axId val="464163840"/>
        <c:scaling>
          <c:orientation val="minMax"/>
        </c:scaling>
        <c:delete val="0"/>
        <c:axPos val="l"/>
        <c:majorTickMark val="out"/>
        <c:minorTickMark val="none"/>
        <c:tickLblPos val="nextTo"/>
        <c:spPr>
          <a:ln>
            <a:noFill/>
          </a:ln>
        </c:spPr>
        <c:crossAx val="389080768"/>
        <c:crosses val="autoZero"/>
        <c:auto val="1"/>
        <c:lblAlgn val="ctr"/>
        <c:lblOffset val="100"/>
        <c:noMultiLvlLbl val="0"/>
      </c:catAx>
      <c:valAx>
        <c:axId val="389080768"/>
        <c:scaling>
          <c:orientation val="minMax"/>
        </c:scaling>
        <c:delete val="0"/>
        <c:axPos val="b"/>
        <c:majorGridlines>
          <c:spPr>
            <a:ln>
              <a:prstDash val="sysDot"/>
            </a:ln>
          </c:spPr>
        </c:majorGridlines>
        <c:numFmt formatCode="0%" sourceLinked="1"/>
        <c:majorTickMark val="none"/>
        <c:minorTickMark val="none"/>
        <c:tickLblPos val="nextTo"/>
        <c:crossAx val="464163840"/>
        <c:crosses val="autoZero"/>
        <c:crossBetween val="between"/>
      </c:valAx>
    </c:plotArea>
    <c:legend>
      <c:legendPos val="b"/>
      <c:layout>
        <c:manualLayout>
          <c:xMode val="edge"/>
          <c:yMode val="edge"/>
          <c:x val="8.9571868032625068E-2"/>
          <c:y val="0.92921235128094826"/>
          <c:w val="0.83109675806653205"/>
          <c:h val="7.078764871905138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D62B-C47E-42F4-94D8-0A092420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1633</Words>
  <Characters>9635</Characters>
  <Application>Microsoft Office Word</Application>
  <DocSecurity>0</DocSecurity>
  <Lines>80</Lines>
  <Paragraphs>22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Alena Kotrbatá</cp:lastModifiedBy>
  <cp:revision>2</cp:revision>
  <cp:lastPrinted>2018-02-22T15:17:00Z</cp:lastPrinted>
  <dcterms:created xsi:type="dcterms:W3CDTF">2018-02-23T07:48:00Z</dcterms:created>
  <dcterms:modified xsi:type="dcterms:W3CDTF">2018-02-23T07:48:00Z</dcterms:modified>
</cp:coreProperties>
</file>