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8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9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10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11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12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13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14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15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charts/chart16.xml" ContentType="application/vnd.openxmlformats-officedocument.drawingml.chart+xml"/>
  <Override PartName="/word/charts/style15.xml" ContentType="application/vnd.ms-office.chartstyle+xml"/>
  <Override PartName="/word/charts/colors15.xml" ContentType="application/vnd.ms-office.chartcolorstyle+xml"/>
  <Override PartName="/word/charts/chart17.xml" ContentType="application/vnd.openxmlformats-officedocument.drawingml.chart+xml"/>
  <Override PartName="/word/charts/style16.xml" ContentType="application/vnd.ms-office.chartstyle+xml"/>
  <Override PartName="/word/charts/colors16.xml" ContentType="application/vnd.ms-office.chartcolorstyle+xml"/>
  <Override PartName="/word/charts/chart18.xml" ContentType="application/vnd.openxmlformats-officedocument.drawingml.chart+xml"/>
  <Override PartName="/word/charts/style17.xml" ContentType="application/vnd.ms-office.chartstyle+xml"/>
  <Override PartName="/word/charts/colors17.xml" ContentType="application/vnd.ms-office.chartcolorstyle+xml"/>
  <Override PartName="/word/charts/chart19.xml" ContentType="application/vnd.openxmlformats-officedocument.drawingml.chart+xml"/>
  <Override PartName="/word/charts/style18.xml" ContentType="application/vnd.ms-office.chartstyle+xml"/>
  <Override PartName="/word/charts/colors18.xml" ContentType="application/vnd.ms-office.chartcolorstyle+xml"/>
  <Override PartName="/word/charts/chart20.xml" ContentType="application/vnd.openxmlformats-officedocument.drawingml.chart+xml"/>
  <Override PartName="/word/charts/style19.xml" ContentType="application/vnd.ms-office.chartstyle+xml"/>
  <Override PartName="/word/charts/colors19.xml" ContentType="application/vnd.ms-office.chartcolorstyle+xml"/>
  <Override PartName="/word/charts/chart21.xml" ContentType="application/vnd.openxmlformats-officedocument.drawingml.chart+xml"/>
  <Override PartName="/word/charts/style20.xml" ContentType="application/vnd.ms-office.chartstyle+xml"/>
  <Override PartName="/word/charts/colors20.xml" ContentType="application/vnd.ms-office.chartcolorstyle+xml"/>
  <Override PartName="/word/charts/chart22.xml" ContentType="application/vnd.openxmlformats-officedocument.drawingml.chart+xml"/>
  <Override PartName="/word/charts/style21.xml" ContentType="application/vnd.ms-office.chartstyle+xml"/>
  <Override PartName="/word/charts/colors21.xml" ContentType="application/vnd.ms-office.chartcolorstyle+xml"/>
  <Override PartName="/word/charts/chart23.xml" ContentType="application/vnd.openxmlformats-officedocument.drawingml.chart+xml"/>
  <Override PartName="/word/charts/style22.xml" ContentType="application/vnd.ms-office.chartstyle+xml"/>
  <Override PartName="/word/charts/colors22.xml" ContentType="application/vnd.ms-office.chartcolorstyle+xml"/>
  <Override PartName="/word/charts/chart24.xml" ContentType="application/vnd.openxmlformats-officedocument.drawingml.chart+xml"/>
  <Override PartName="/word/charts/style23.xml" ContentType="application/vnd.ms-office.chartstyle+xml"/>
  <Override PartName="/word/charts/colors23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87F93C3" w14:textId="77777777" w:rsidR="00796E73" w:rsidRDefault="003C629F" w:rsidP="00796E73">
      <w:pPr>
        <w:pStyle w:val="Nadpis1"/>
      </w:pPr>
      <w:bookmarkStart w:id="0" w:name="_Toc41558313"/>
      <w:r>
        <w:t>4</w:t>
      </w:r>
      <w:r w:rsidR="00796E73">
        <w:t xml:space="preserve">. </w:t>
      </w:r>
      <w:r>
        <w:t>Analytická část</w:t>
      </w:r>
      <w:bookmarkEnd w:id="0"/>
    </w:p>
    <w:p w14:paraId="244DB189" w14:textId="5D82AD1F" w:rsidR="00EE4B1B" w:rsidRDefault="003C629F" w:rsidP="00294951">
      <w:pPr>
        <w:pStyle w:val="Nadpis2"/>
      </w:pPr>
      <w:bookmarkStart w:id="1" w:name="_Toc41558314"/>
      <w:r>
        <w:t>4.1 Nemocensky pojištěné osoby</w:t>
      </w:r>
      <w:bookmarkEnd w:id="1"/>
    </w:p>
    <w:p w14:paraId="547536EC" w14:textId="77777777" w:rsidR="00F60790" w:rsidRPr="00B55F4A" w:rsidRDefault="00F60790" w:rsidP="00294951">
      <w:pPr>
        <w:spacing w:after="120"/>
        <w:jc w:val="both"/>
      </w:pPr>
      <w:r w:rsidRPr="00B55F4A">
        <w:t>Základním ukazatelem</w:t>
      </w:r>
      <w:r>
        <w:t>, ke kterému se vztahují údaje o pracovní neschopnosti, je ukazatel průměrného počtu nemocensky pojištěných osob.</w:t>
      </w:r>
    </w:p>
    <w:p w14:paraId="6D7E379F" w14:textId="5FB82F1D" w:rsidR="00294951" w:rsidRPr="005F2E14" w:rsidRDefault="00972D12" w:rsidP="00144900">
      <w:pPr>
        <w:pStyle w:val="Box1"/>
        <w:spacing w:before="120"/>
        <w:ind w:left="0"/>
        <w:jc w:val="both"/>
        <w:rPr>
          <w:i/>
        </w:rPr>
      </w:pPr>
      <w:r w:rsidRPr="00972D12">
        <w:rPr>
          <w:b/>
          <w:i/>
        </w:rPr>
        <w:t xml:space="preserve">Průměrný počet nemocensky pojištěných </w:t>
      </w:r>
      <w:r w:rsidR="00977F2A" w:rsidRPr="00F46EA8">
        <w:rPr>
          <w:i/>
        </w:rPr>
        <w:t xml:space="preserve">– </w:t>
      </w:r>
      <w:r>
        <w:rPr>
          <w:i/>
        </w:rPr>
        <w:t>u</w:t>
      </w:r>
      <w:r w:rsidRPr="00972D12">
        <w:rPr>
          <w:i/>
        </w:rPr>
        <w:t xml:space="preserve">kazatel </w:t>
      </w:r>
      <w:r>
        <w:rPr>
          <w:i/>
        </w:rPr>
        <w:t>udává</w:t>
      </w:r>
      <w:r w:rsidRPr="00972D12">
        <w:rPr>
          <w:i/>
        </w:rPr>
        <w:t xml:space="preserve"> průměrný počet osob, které jsou </w:t>
      </w:r>
      <w:r w:rsidR="00532E6C">
        <w:rPr>
          <w:i/>
        </w:rPr>
        <w:t xml:space="preserve">povinně či dobrovolně </w:t>
      </w:r>
      <w:r w:rsidRPr="00972D12">
        <w:rPr>
          <w:i/>
        </w:rPr>
        <w:t>nemocensky pojištěn</w:t>
      </w:r>
      <w:r w:rsidR="00532E6C">
        <w:rPr>
          <w:i/>
        </w:rPr>
        <w:t>é</w:t>
      </w:r>
      <w:r w:rsidRPr="00972D12">
        <w:rPr>
          <w:i/>
        </w:rPr>
        <w:t xml:space="preserve"> podle zákona č. </w:t>
      </w:r>
      <w:r w:rsidR="00532E6C">
        <w:rPr>
          <w:i/>
        </w:rPr>
        <w:t>187</w:t>
      </w:r>
      <w:r w:rsidRPr="00972D12">
        <w:rPr>
          <w:i/>
        </w:rPr>
        <w:t>/</w:t>
      </w:r>
      <w:r w:rsidR="00532E6C">
        <w:rPr>
          <w:i/>
        </w:rPr>
        <w:t>2006</w:t>
      </w:r>
      <w:r w:rsidRPr="00972D12">
        <w:rPr>
          <w:i/>
        </w:rPr>
        <w:t xml:space="preserve"> Sb., o nemocenském pojištění, ve znění pozdějších předpisů. Zahrnuje </w:t>
      </w:r>
      <w:r w:rsidR="00532E6C">
        <w:rPr>
          <w:i/>
        </w:rPr>
        <w:t>všechny</w:t>
      </w:r>
      <w:r w:rsidRPr="00972D12">
        <w:rPr>
          <w:i/>
        </w:rPr>
        <w:t xml:space="preserve"> osob</w:t>
      </w:r>
      <w:r w:rsidR="00532E6C">
        <w:rPr>
          <w:i/>
        </w:rPr>
        <w:t>y</w:t>
      </w:r>
      <w:r w:rsidRPr="00972D12">
        <w:rPr>
          <w:i/>
        </w:rPr>
        <w:t xml:space="preserve">, které byly alespoň po </w:t>
      </w:r>
      <w:r w:rsidR="00532E6C">
        <w:rPr>
          <w:i/>
        </w:rPr>
        <w:t>jeden</w:t>
      </w:r>
      <w:r w:rsidRPr="00972D12">
        <w:rPr>
          <w:i/>
        </w:rPr>
        <w:t xml:space="preserve"> den </w:t>
      </w:r>
      <w:r w:rsidR="00294951">
        <w:rPr>
          <w:i/>
        </w:rPr>
        <w:t>ve sledovaném roce</w:t>
      </w:r>
      <w:r w:rsidRPr="00972D12">
        <w:rPr>
          <w:i/>
        </w:rPr>
        <w:t xml:space="preserve"> nemocensky pojištěné. </w:t>
      </w:r>
      <w:r w:rsidR="00294951" w:rsidRPr="00783112">
        <w:rPr>
          <w:i/>
        </w:rPr>
        <w:t>V případě více překrývajících se pojistných vztahů pojištěnce v rámci jednoho zaměstnavatele a</w:t>
      </w:r>
      <w:r w:rsidR="00294951">
        <w:rPr>
          <w:i/>
        </w:rPr>
        <w:t> </w:t>
      </w:r>
      <w:r w:rsidR="00294951" w:rsidRPr="00783112">
        <w:rPr>
          <w:i/>
        </w:rPr>
        <w:t>jedné mzdové účtárny se započítává pojištěnec pouze jedenkrát. V ostatních případech je pojištěnec započítáván tolikrát, kolik má pracovně</w:t>
      </w:r>
      <w:r w:rsidR="00294951">
        <w:rPr>
          <w:i/>
        </w:rPr>
        <w:t xml:space="preserve"> </w:t>
      </w:r>
      <w:r w:rsidR="00294951" w:rsidRPr="00783112">
        <w:rPr>
          <w:i/>
        </w:rPr>
        <w:t>právních pojistných vztahů.</w:t>
      </w:r>
      <w:r w:rsidR="00294951" w:rsidRPr="005F2E14">
        <w:rPr>
          <w:i/>
        </w:rPr>
        <w:t xml:space="preserve">  </w:t>
      </w:r>
    </w:p>
    <w:p w14:paraId="4E1F0695" w14:textId="762B1CF3" w:rsidR="00294951" w:rsidRPr="00294951" w:rsidRDefault="00294951" w:rsidP="00294951">
      <w:pPr>
        <w:pStyle w:val="Box1"/>
        <w:spacing w:before="120"/>
        <w:ind w:left="0"/>
        <w:jc w:val="both"/>
        <w:rPr>
          <w:i/>
          <w:u w:val="single"/>
        </w:rPr>
      </w:pPr>
      <w:r w:rsidRPr="00294951">
        <w:rPr>
          <w:i/>
          <w:u w:val="single"/>
        </w:rPr>
        <w:t>Pozn</w:t>
      </w:r>
      <w:r>
        <w:rPr>
          <w:i/>
          <w:u w:val="single"/>
        </w:rPr>
        <w:t>ámka</w:t>
      </w:r>
      <w:r w:rsidRPr="00294951">
        <w:rPr>
          <w:i/>
          <w:u w:val="single"/>
        </w:rPr>
        <w:t>:</w:t>
      </w:r>
    </w:p>
    <w:p w14:paraId="53A09A61" w14:textId="5D48D4F8" w:rsidR="00972D12" w:rsidRPr="00972D12" w:rsidRDefault="00972D12" w:rsidP="00294951">
      <w:pPr>
        <w:pStyle w:val="Box1"/>
        <w:spacing w:before="120"/>
        <w:ind w:left="0"/>
        <w:jc w:val="both"/>
        <w:rPr>
          <w:i/>
        </w:rPr>
      </w:pPr>
      <w:r w:rsidRPr="00972D12">
        <w:rPr>
          <w:i/>
        </w:rPr>
        <w:t xml:space="preserve">Do průměrného počtu nemocensky pojištěných nejsou započteni </w:t>
      </w:r>
      <w:r w:rsidR="00043077" w:rsidRPr="00972D12">
        <w:rPr>
          <w:i/>
        </w:rPr>
        <w:t>vojáci z</w:t>
      </w:r>
      <w:r w:rsidR="0080345D">
        <w:rPr>
          <w:i/>
        </w:rPr>
        <w:t> </w:t>
      </w:r>
      <w:r w:rsidR="00043077" w:rsidRPr="00972D12">
        <w:rPr>
          <w:i/>
        </w:rPr>
        <w:t>povolání</w:t>
      </w:r>
      <w:r w:rsidR="0080345D">
        <w:rPr>
          <w:i/>
        </w:rPr>
        <w:t xml:space="preserve">, </w:t>
      </w:r>
      <w:r w:rsidRPr="00972D12">
        <w:rPr>
          <w:i/>
        </w:rPr>
        <w:t>příslušníci Policie ČR, Hasičského záchranného sboru</w:t>
      </w:r>
      <w:r w:rsidR="00043077">
        <w:rPr>
          <w:i/>
        </w:rPr>
        <w:t xml:space="preserve"> ČR</w:t>
      </w:r>
      <w:r w:rsidRPr="00972D12">
        <w:rPr>
          <w:i/>
        </w:rPr>
        <w:t>, Celní správy</w:t>
      </w:r>
      <w:r w:rsidR="00043077">
        <w:rPr>
          <w:i/>
        </w:rPr>
        <w:t xml:space="preserve"> ČR</w:t>
      </w:r>
      <w:r w:rsidRPr="00972D12">
        <w:rPr>
          <w:i/>
        </w:rPr>
        <w:t>, Vězeňské služby</w:t>
      </w:r>
      <w:r w:rsidR="00043077">
        <w:rPr>
          <w:i/>
        </w:rPr>
        <w:t xml:space="preserve"> ČR</w:t>
      </w:r>
      <w:r w:rsidRPr="00972D12">
        <w:rPr>
          <w:i/>
        </w:rPr>
        <w:t>, Generální inspekce bezpečnostních sborů, Bezpečnostní informační služby a Úřadu pr</w:t>
      </w:r>
      <w:r w:rsidR="00043077">
        <w:rPr>
          <w:i/>
        </w:rPr>
        <w:t>o zahraniční styky a</w:t>
      </w:r>
      <w:r w:rsidR="0080345D">
        <w:rPr>
          <w:i/>
        </w:rPr>
        <w:t> </w:t>
      </w:r>
      <w:r w:rsidR="00043077">
        <w:rPr>
          <w:i/>
        </w:rPr>
        <w:t>informace</w:t>
      </w:r>
      <w:r w:rsidRPr="00972D12">
        <w:rPr>
          <w:i/>
        </w:rPr>
        <w:t xml:space="preserve">. </w:t>
      </w:r>
    </w:p>
    <w:p w14:paraId="25C05EFE" w14:textId="77777777" w:rsidR="00972D12" w:rsidRPr="00972D12" w:rsidRDefault="00972D12" w:rsidP="0080345D">
      <w:pPr>
        <w:pStyle w:val="Box1"/>
        <w:ind w:left="0"/>
        <w:jc w:val="both"/>
        <w:rPr>
          <w:i/>
          <w:u w:val="single"/>
        </w:rPr>
      </w:pPr>
      <w:r w:rsidRPr="00972D12">
        <w:rPr>
          <w:i/>
          <w:u w:val="single"/>
        </w:rPr>
        <w:t>Způsob výpočtu:</w:t>
      </w:r>
    </w:p>
    <w:p w14:paraId="6008FC2E" w14:textId="77777777" w:rsidR="00977F2A" w:rsidRPr="00F46EA8" w:rsidRDefault="00972D12" w:rsidP="006624D2">
      <w:pPr>
        <w:pStyle w:val="Box1"/>
        <w:spacing w:after="120"/>
        <w:ind w:left="0"/>
        <w:jc w:val="both"/>
        <w:rPr>
          <w:i/>
        </w:rPr>
      </w:pPr>
      <w:r w:rsidRPr="00972D12">
        <w:rPr>
          <w:i/>
        </w:rPr>
        <w:t>Průměrný počet nemocensky pojištěných osob = počet dní nemocenského pojištění jednotlivých pojištěných osob ve vykazovaném období / počet kalendářních dní ve vykazovaném období.</w:t>
      </w:r>
    </w:p>
    <w:p w14:paraId="1BBA9808" w14:textId="4CCF79F4" w:rsidR="0080345D" w:rsidRDefault="00F60790" w:rsidP="00B05D12">
      <w:pPr>
        <w:spacing w:after="120"/>
        <w:jc w:val="both"/>
      </w:pPr>
      <w:r>
        <w:t>V roce 201</w:t>
      </w:r>
      <w:r w:rsidR="003C3394">
        <w:t>9</w:t>
      </w:r>
      <w:r>
        <w:t xml:space="preserve"> </w:t>
      </w:r>
      <w:r w:rsidR="00AC42E0">
        <w:t xml:space="preserve">činil </w:t>
      </w:r>
      <w:r w:rsidR="00AC42E0" w:rsidRPr="00294951">
        <w:rPr>
          <w:b/>
          <w:bCs/>
        </w:rPr>
        <w:t>průměrný počet nemocensky pojištěných</w:t>
      </w:r>
      <w:r>
        <w:t xml:space="preserve"> </w:t>
      </w:r>
      <w:r w:rsidR="00294951" w:rsidRPr="00294951">
        <w:rPr>
          <w:b/>
          <w:bCs/>
        </w:rPr>
        <w:t>celkem</w:t>
      </w:r>
      <w:r w:rsidR="00294951">
        <w:t xml:space="preserve"> </w:t>
      </w:r>
      <w:r>
        <w:t>4</w:t>
      </w:r>
      <w:r w:rsidR="000672E0">
        <w:t> 73</w:t>
      </w:r>
      <w:r w:rsidR="00294951">
        <w:t>3</w:t>
      </w:r>
      <w:r>
        <w:t xml:space="preserve"> </w:t>
      </w:r>
      <w:r w:rsidR="000672E0">
        <w:t>tis</w:t>
      </w:r>
      <w:r w:rsidR="00A67A2F">
        <w:t>.</w:t>
      </w:r>
      <w:r>
        <w:t xml:space="preserve"> osob</w:t>
      </w:r>
      <w:r w:rsidR="00294951">
        <w:t>, tj. téměř stejně jako v roce předchozím</w:t>
      </w:r>
      <w:r w:rsidR="003C3394">
        <w:t>.</w:t>
      </w:r>
      <w:r w:rsidR="00294951">
        <w:t xml:space="preserve"> </w:t>
      </w:r>
      <w:r w:rsidR="000672E0">
        <w:t>Bylo mezi nimi 50,</w:t>
      </w:r>
      <w:r w:rsidR="003C3394">
        <w:t>4</w:t>
      </w:r>
      <w:r w:rsidR="000672E0">
        <w:t xml:space="preserve"> % mužů</w:t>
      </w:r>
      <w:r w:rsidR="00B05D12">
        <w:t xml:space="preserve">. </w:t>
      </w:r>
      <w:r w:rsidR="00A67A2F">
        <w:t>V roce 2019 bylo nemocensky pojištěných 2 385 tis. mužů a</w:t>
      </w:r>
      <w:r w:rsidR="00B05D12">
        <w:t> </w:t>
      </w:r>
      <w:r w:rsidR="00A67A2F">
        <w:t xml:space="preserve">2 348 tis. žen. </w:t>
      </w:r>
      <w:r w:rsidR="000672E0">
        <w:t xml:space="preserve">Počty nemocensky pojištěných </w:t>
      </w:r>
      <w:r w:rsidR="000672E0" w:rsidRPr="00B05D12">
        <w:rPr>
          <w:b/>
          <w:bCs/>
        </w:rPr>
        <w:t>podle pohlaví</w:t>
      </w:r>
      <w:r w:rsidR="000672E0">
        <w:t xml:space="preserve"> se k sobě již od roku 2016 neustále přibližují. </w:t>
      </w:r>
      <w:r w:rsidR="00B05D12">
        <w:t>V roce 2019 se p</w:t>
      </w:r>
      <w:r w:rsidR="008D0795">
        <w:t>očet pojištěných žen meziročně zvýšil o 6,7 tis. (v relativním vyjádření o 0,3 %). Naopak pokles v obdobné výši (6,5 tis., 0,3</w:t>
      </w:r>
      <w:r w:rsidR="00A67A2F">
        <w:t> </w:t>
      </w:r>
      <w:r w:rsidR="008D0795">
        <w:t>%) byl zaznamenán u mužů.</w:t>
      </w:r>
    </w:p>
    <w:p w14:paraId="60673B87" w14:textId="53EDF78F" w:rsidR="0080345D" w:rsidRPr="00BC3FF5" w:rsidRDefault="0080345D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bookmarkStart w:id="2" w:name="_Toc10112619"/>
      <w:r w:rsidRPr="00BC3FF5">
        <w:rPr>
          <w:b/>
          <w:i w:val="0"/>
          <w:color w:val="auto"/>
          <w:sz w:val="20"/>
        </w:rPr>
        <w:t>Tab</w:t>
      </w:r>
      <w:r>
        <w:rPr>
          <w:b/>
          <w:i w:val="0"/>
          <w:color w:val="auto"/>
          <w:sz w:val="20"/>
        </w:rPr>
        <w:t>.</w:t>
      </w:r>
      <w:r w:rsidRPr="00BC3FF5">
        <w:rPr>
          <w:b/>
          <w:i w:val="0"/>
          <w:color w:val="auto"/>
          <w:sz w:val="20"/>
        </w:rPr>
        <w:t xml:space="preserve"> </w:t>
      </w:r>
      <w:r w:rsidRPr="00BC3FF5">
        <w:rPr>
          <w:b/>
          <w:i w:val="0"/>
          <w:color w:val="auto"/>
          <w:sz w:val="20"/>
        </w:rPr>
        <w:fldChar w:fldCharType="begin"/>
      </w:r>
      <w:r w:rsidRPr="00BC3FF5">
        <w:rPr>
          <w:b/>
          <w:i w:val="0"/>
          <w:color w:val="auto"/>
          <w:sz w:val="20"/>
        </w:rPr>
        <w:instrText xml:space="preserve"> SEQ Tabulka \* ARABIC </w:instrText>
      </w:r>
      <w:r w:rsidRPr="00BC3FF5">
        <w:rPr>
          <w:b/>
          <w:i w:val="0"/>
          <w:color w:val="auto"/>
          <w:sz w:val="20"/>
        </w:rPr>
        <w:fldChar w:fldCharType="separate"/>
      </w:r>
      <w:r w:rsidR="00FF7036">
        <w:rPr>
          <w:b/>
          <w:i w:val="0"/>
          <w:noProof/>
          <w:color w:val="auto"/>
          <w:sz w:val="20"/>
        </w:rPr>
        <w:t>1</w:t>
      </w:r>
      <w:r w:rsidRPr="00BC3FF5">
        <w:rPr>
          <w:b/>
          <w:i w:val="0"/>
          <w:color w:val="auto"/>
          <w:sz w:val="20"/>
        </w:rPr>
        <w:fldChar w:fldCharType="end"/>
      </w:r>
      <w:r w:rsidRPr="00BC3FF5">
        <w:rPr>
          <w:b/>
          <w:i w:val="0"/>
          <w:color w:val="auto"/>
          <w:sz w:val="20"/>
        </w:rPr>
        <w:t xml:space="preserve">.1: </w:t>
      </w:r>
      <w:r w:rsidR="00B05D12">
        <w:rPr>
          <w:b/>
          <w:i w:val="0"/>
          <w:color w:val="auto"/>
          <w:sz w:val="20"/>
        </w:rPr>
        <w:t>Průměrný počet n</w:t>
      </w:r>
      <w:r w:rsidRPr="00BC3FF5">
        <w:rPr>
          <w:b/>
          <w:i w:val="0"/>
          <w:color w:val="auto"/>
          <w:sz w:val="20"/>
        </w:rPr>
        <w:t>emocensky pojištěn</w:t>
      </w:r>
      <w:r w:rsidR="00B05D12">
        <w:rPr>
          <w:b/>
          <w:i w:val="0"/>
          <w:color w:val="auto"/>
          <w:sz w:val="20"/>
        </w:rPr>
        <w:t>ých</w:t>
      </w:r>
      <w:r w:rsidRPr="00BC3FF5">
        <w:rPr>
          <w:b/>
          <w:i w:val="0"/>
          <w:color w:val="auto"/>
          <w:sz w:val="20"/>
        </w:rPr>
        <w:t xml:space="preserve"> osob</w:t>
      </w:r>
      <w:r w:rsidR="00E90DD3">
        <w:rPr>
          <w:b/>
          <w:i w:val="0"/>
          <w:color w:val="auto"/>
          <w:sz w:val="20"/>
        </w:rPr>
        <w:t>,</w:t>
      </w:r>
      <w:r>
        <w:rPr>
          <w:b/>
          <w:i w:val="0"/>
          <w:color w:val="auto"/>
          <w:sz w:val="20"/>
        </w:rPr>
        <w:t xml:space="preserve"> </w:t>
      </w:r>
      <w:r w:rsidRPr="00BC3FF5">
        <w:rPr>
          <w:b/>
          <w:i w:val="0"/>
          <w:color w:val="auto"/>
          <w:sz w:val="20"/>
        </w:rPr>
        <w:t>200</w:t>
      </w:r>
      <w:r>
        <w:rPr>
          <w:b/>
          <w:i w:val="0"/>
          <w:color w:val="auto"/>
          <w:sz w:val="20"/>
        </w:rPr>
        <w:t>9</w:t>
      </w:r>
      <w:r w:rsidRPr="00BC3FF5">
        <w:rPr>
          <w:b/>
          <w:i w:val="0"/>
          <w:color w:val="auto"/>
          <w:sz w:val="20"/>
        </w:rPr>
        <w:t>–201</w:t>
      </w:r>
      <w:r>
        <w:rPr>
          <w:b/>
          <w:i w:val="0"/>
          <w:color w:val="auto"/>
          <w:sz w:val="20"/>
        </w:rPr>
        <w:t>9</w:t>
      </w:r>
      <w:r w:rsidRPr="00BC3FF5">
        <w:rPr>
          <w:b/>
          <w:i w:val="0"/>
          <w:color w:val="auto"/>
          <w:sz w:val="20"/>
        </w:rPr>
        <w:t xml:space="preserve"> (</w:t>
      </w:r>
      <w:r>
        <w:rPr>
          <w:b/>
          <w:i w:val="0"/>
          <w:color w:val="auto"/>
          <w:sz w:val="20"/>
        </w:rPr>
        <w:t xml:space="preserve">v </w:t>
      </w:r>
      <w:r w:rsidRPr="00BC3FF5">
        <w:rPr>
          <w:b/>
          <w:i w:val="0"/>
          <w:color w:val="auto"/>
          <w:sz w:val="20"/>
        </w:rPr>
        <w:t>tis</w:t>
      </w:r>
      <w:r>
        <w:rPr>
          <w:b/>
          <w:i w:val="0"/>
          <w:color w:val="auto"/>
          <w:sz w:val="20"/>
        </w:rPr>
        <w:t>.</w:t>
      </w:r>
      <w:r w:rsidRPr="00BC3FF5">
        <w:rPr>
          <w:b/>
          <w:i w:val="0"/>
          <w:color w:val="auto"/>
          <w:sz w:val="20"/>
        </w:rPr>
        <w:t>)</w:t>
      </w:r>
      <w:bookmarkEnd w:id="2"/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7"/>
        <w:gridCol w:w="953"/>
        <w:gridCol w:w="949"/>
        <w:gridCol w:w="949"/>
        <w:gridCol w:w="1056"/>
        <w:gridCol w:w="949"/>
        <w:gridCol w:w="949"/>
        <w:gridCol w:w="952"/>
        <w:gridCol w:w="949"/>
        <w:gridCol w:w="947"/>
      </w:tblGrid>
      <w:tr w:rsidR="00766174" w:rsidRPr="007806F2" w14:paraId="137279D7" w14:textId="77777777" w:rsidTr="00AB06D1">
        <w:trPr>
          <w:trHeight w:val="340"/>
        </w:trPr>
        <w:tc>
          <w:tcPr>
            <w:tcW w:w="949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16A8CFD" w14:textId="61FDF188" w:rsidR="00766174" w:rsidRPr="007806F2" w:rsidRDefault="00766174" w:rsidP="0076617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Rok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3FAF8C45" w14:textId="77777777" w:rsidR="00766174" w:rsidRPr="00B05D12" w:rsidRDefault="00766174" w:rsidP="00101F03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B05D12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9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4CA4FC0C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103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0662F0C" w14:textId="0E6EDFBB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Z</w:t>
            </w:r>
            <w:r w:rsidRPr="007806F2">
              <w:rPr>
                <w:rFonts w:cs="Arial"/>
                <w:color w:val="000000"/>
                <w:sz w:val="16"/>
                <w:szCs w:val="16"/>
              </w:rPr>
              <w:t>aměstnanci</w:t>
            </w:r>
          </w:p>
        </w:tc>
        <w:tc>
          <w:tcPr>
            <w:tcW w:w="19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1B27E5A2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9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4A13E82" w14:textId="4E89D2F6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OSVČ</w:t>
            </w:r>
          </w:p>
        </w:tc>
        <w:tc>
          <w:tcPr>
            <w:tcW w:w="1900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18E7E615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</w:tr>
      <w:tr w:rsidR="00766174" w:rsidRPr="007806F2" w14:paraId="37A55E76" w14:textId="77777777" w:rsidTr="00AB06D1">
        <w:trPr>
          <w:trHeight w:val="340"/>
        </w:trPr>
        <w:tc>
          <w:tcPr>
            <w:tcW w:w="949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9B8E827" w14:textId="77777777" w:rsidR="00766174" w:rsidRPr="007806F2" w:rsidRDefault="00766174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5AED8BD" w14:textId="77777777" w:rsidR="00766174" w:rsidRPr="007806F2" w:rsidRDefault="00766174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FBDA9D3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A28AAFD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1039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534939D" w14:textId="77777777" w:rsidR="00766174" w:rsidRPr="007806F2" w:rsidRDefault="00766174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D0FB07F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DF2D665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9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817CDDD" w14:textId="77777777" w:rsidR="00766174" w:rsidRPr="007806F2" w:rsidRDefault="00766174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9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44163C9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94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3B9E0151" w14:textId="77777777" w:rsidR="00766174" w:rsidRPr="007806F2" w:rsidRDefault="00766174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</w:tr>
      <w:tr w:rsidR="0080345D" w:rsidRPr="007806F2" w14:paraId="262F74F3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E25AD2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6FCA2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4 253,1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AAA4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2 234,1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35378E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2 019,0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118B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4 079,2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2E218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2 121,5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62C964A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1 957,7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82DD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173,9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74828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112,6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BF551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61,3</w:t>
            </w:r>
          </w:p>
        </w:tc>
      </w:tr>
      <w:tr w:rsidR="0080345D" w:rsidRPr="007806F2" w14:paraId="2026C737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A646D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F8D1F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4 311,0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9CCAF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2 234,1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4239A2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2 076,8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DDD95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4 132,8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8566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2 121,9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472E7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2 010,9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E79E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178,2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27515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112,2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680F7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66,0</w:t>
            </w:r>
          </w:p>
        </w:tc>
      </w:tr>
      <w:tr w:rsidR="0080345D" w:rsidRPr="007806F2" w14:paraId="77770D35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5412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923E0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4 211,5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6274D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2 148,4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298EA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2 063,2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2BD7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4 061,8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3B506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2 053,8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789496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2 008,0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1CC2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149,7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920F4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94,6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0A3C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55,2</w:t>
            </w:r>
          </w:p>
        </w:tc>
      </w:tr>
      <w:tr w:rsidR="0080345D" w:rsidRPr="007806F2" w14:paraId="341792C9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42B24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BD0EC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4 471,9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EDA83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2 281,4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D5BF70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2 190,5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20198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4 366,2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8088B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2 216,3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0AB10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2 149,9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6F2E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113DB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65,1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797F5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</w:tr>
      <w:tr w:rsidR="0080345D" w:rsidRPr="007806F2" w14:paraId="243A4B13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6702D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E5839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4 440,3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F6379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2 260,7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C029E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2 179,6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4285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4 331,2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B2AA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2 194,2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3810FB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2 136,9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454D73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109,2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930C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66,5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5915A1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</w:tr>
      <w:tr w:rsidR="0080345D" w:rsidRPr="007806F2" w14:paraId="5321F433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5ED12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8A6FF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4 464,1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5B2B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2 272,9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D4FBF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2 191,2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D3915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4 358,3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7BA98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2 207,8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242BC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2 150,6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AFB1C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105,7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4311C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65,1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0CEE6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</w:tr>
      <w:tr w:rsidR="0080345D" w:rsidRPr="007806F2" w14:paraId="79C38006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A2371F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297DFF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4 507,0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D3826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2 301,3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3E1F9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2 205,7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F38B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4 417,6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4012F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2 252,8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25181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2 164,8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1A6D0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89,4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52F0F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7B2EE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40,9</w:t>
            </w:r>
          </w:p>
        </w:tc>
      </w:tr>
      <w:tr w:rsidR="0080345D" w:rsidRPr="007806F2" w14:paraId="187E223C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136F3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9EC01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4 571,3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3BF8C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2 328,5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C42D55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2 242,8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0BE873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4 481,8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E1641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2 273,5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87CF3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2 208,3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E468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89,5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94712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C4A86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</w:tr>
      <w:tr w:rsidR="0080345D" w:rsidRPr="007806F2" w14:paraId="074F81C1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F419F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94B4C0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4 671,8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7276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2 370,0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DF8BB6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2 301,8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FF912B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4 582,2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71067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2 315,8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D12205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2 266,4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70191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89,7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EDBD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C3F30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35,4</w:t>
            </w:r>
          </w:p>
        </w:tc>
      </w:tr>
      <w:tr w:rsidR="0080345D" w:rsidRPr="007806F2" w14:paraId="6F535EE8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3188A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449B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4 732,7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9C72D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2 391,4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EE1332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2 341,3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63396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4 641,5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9D44B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2 336,8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2BBEF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2 304,6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D09F4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91,3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87B76E1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8C7AE3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</w:tr>
      <w:tr w:rsidR="0080345D" w:rsidRPr="007806F2" w14:paraId="4010D73F" w14:textId="77777777" w:rsidTr="009E5E57">
        <w:trPr>
          <w:trHeight w:val="340"/>
        </w:trPr>
        <w:tc>
          <w:tcPr>
            <w:tcW w:w="94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6CE1A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19380E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4 732,9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884514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2 384,9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CF01DC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2 348,0</w:t>
            </w:r>
          </w:p>
        </w:tc>
        <w:tc>
          <w:tcPr>
            <w:tcW w:w="10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87167D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4 638,5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766A6A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2 329,4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DD366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2 309,1</w:t>
            </w:r>
          </w:p>
        </w:tc>
        <w:tc>
          <w:tcPr>
            <w:tcW w:w="9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7CFBB7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94,4</w:t>
            </w:r>
          </w:p>
        </w:tc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D15D58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9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F6C5D9" w14:textId="77777777" w:rsidR="0080345D" w:rsidRPr="007806F2" w:rsidRDefault="0080345D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7806F2">
              <w:rPr>
                <w:rFonts w:cs="Arial"/>
                <w:color w:val="000000"/>
                <w:sz w:val="16"/>
                <w:szCs w:val="16"/>
              </w:rPr>
              <w:t>39,0</w:t>
            </w:r>
          </w:p>
        </w:tc>
      </w:tr>
    </w:tbl>
    <w:p w14:paraId="53BF5C9B" w14:textId="12101101" w:rsidR="00977F2A" w:rsidRPr="0080345D" w:rsidRDefault="0080345D" w:rsidP="009E5E57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  <w:r w:rsidR="008D0795">
        <w:t xml:space="preserve"> </w:t>
      </w:r>
    </w:p>
    <w:p w14:paraId="2CAD1253" w14:textId="06B16889" w:rsidR="00BE67B3" w:rsidRDefault="001E1D5E" w:rsidP="006624D2">
      <w:pPr>
        <w:spacing w:after="120"/>
        <w:jc w:val="both"/>
      </w:pPr>
      <w:r>
        <w:t xml:space="preserve">Počet </w:t>
      </w:r>
      <w:r w:rsidRPr="009E5E57">
        <w:rPr>
          <w:b/>
          <w:bCs/>
        </w:rPr>
        <w:t>dobrovolně nemocensky pojištěných</w:t>
      </w:r>
      <w:r>
        <w:t xml:space="preserve"> – tedy </w:t>
      </w:r>
      <w:r w:rsidRPr="006F687C">
        <w:rPr>
          <w:b/>
        </w:rPr>
        <w:t>OSVČ</w:t>
      </w:r>
      <w:r>
        <w:t xml:space="preserve"> – </w:t>
      </w:r>
      <w:r w:rsidR="00A67A2F">
        <w:t>pokračoval v rostoucím trendu nastoleném od roku 2016</w:t>
      </w:r>
      <w:r w:rsidR="00D071D7">
        <w:t>.</w:t>
      </w:r>
      <w:r>
        <w:t xml:space="preserve"> </w:t>
      </w:r>
      <w:r w:rsidR="009E5E57">
        <w:t>Jejich počet</w:t>
      </w:r>
      <w:r>
        <w:t xml:space="preserve"> </w:t>
      </w:r>
      <w:r w:rsidR="00D071D7">
        <w:t>v roce 201</w:t>
      </w:r>
      <w:r w:rsidR="00A67A2F">
        <w:t>9</w:t>
      </w:r>
      <w:r w:rsidR="00D071D7">
        <w:t xml:space="preserve"> </w:t>
      </w:r>
      <w:r>
        <w:t>dosáhl 9</w:t>
      </w:r>
      <w:r w:rsidR="00A67A2F">
        <w:t>4</w:t>
      </w:r>
      <w:r>
        <w:t>,</w:t>
      </w:r>
      <w:r w:rsidR="00A67A2F">
        <w:t>4</w:t>
      </w:r>
      <w:r>
        <w:t xml:space="preserve"> tis</w:t>
      </w:r>
      <w:r w:rsidR="009E5E57">
        <w:t>. osob, meziročně o 3,4 % více</w:t>
      </w:r>
      <w:r>
        <w:t xml:space="preserve">. </w:t>
      </w:r>
      <w:r w:rsidR="00BE67B3">
        <w:t xml:space="preserve">Přesto podíl těchto pojištěných OSVČ na celkovém počtu osob samostatně výdělečně činných na hlavní </w:t>
      </w:r>
      <w:r w:rsidR="003909B9">
        <w:t>činnost</w:t>
      </w:r>
      <w:r w:rsidR="00BE67B3">
        <w:t xml:space="preserve"> dosáhl necelých </w:t>
      </w:r>
      <w:r w:rsidR="003909B9" w:rsidRPr="003909B9">
        <w:t>16</w:t>
      </w:r>
      <w:r w:rsidR="00BE67B3" w:rsidRPr="003909B9">
        <w:t> %</w:t>
      </w:r>
      <w:r w:rsidR="00BE67B3">
        <w:t xml:space="preserve">. </w:t>
      </w:r>
      <w:r>
        <w:t xml:space="preserve">Muži se na počtu </w:t>
      </w:r>
      <w:r w:rsidR="00144900">
        <w:t xml:space="preserve">nemocensky pojištěných OSVČ </w:t>
      </w:r>
      <w:r>
        <w:t>podíleli z </w:t>
      </w:r>
      <w:r w:rsidR="00A67A2F">
        <w:t>59</w:t>
      </w:r>
      <w:r>
        <w:t xml:space="preserve"> %, žen bylo 4</w:t>
      </w:r>
      <w:r w:rsidR="00A67A2F">
        <w:t>1</w:t>
      </w:r>
      <w:r>
        <w:t xml:space="preserve"> %.</w:t>
      </w:r>
      <w:r w:rsidR="00BE67B3">
        <w:t xml:space="preserve"> Je však třeba zdůraznit, že i přes výše uvedený nárůst, </w:t>
      </w:r>
      <w:r w:rsidR="00E41A30">
        <w:t xml:space="preserve">počet </w:t>
      </w:r>
      <w:r w:rsidR="00144900">
        <w:t>pojištěnců v rámci</w:t>
      </w:r>
      <w:r w:rsidR="00E41A30">
        <w:t xml:space="preserve"> OSVČ </w:t>
      </w:r>
      <w:r w:rsidR="00BE67B3">
        <w:t>stále nedosahuje hodnot z minulosti, kdy např.</w:t>
      </w:r>
      <w:r w:rsidR="00144900">
        <w:t> </w:t>
      </w:r>
      <w:r w:rsidR="00BE67B3">
        <w:t xml:space="preserve">před deseti lety jich bylo takto pojištěno o </w:t>
      </w:r>
      <w:r w:rsidR="00A67A2F">
        <w:t>8</w:t>
      </w:r>
      <w:r w:rsidR="00BE67B3">
        <w:t>0 tis</w:t>
      </w:r>
      <w:r w:rsidR="009E5E57">
        <w:t>.</w:t>
      </w:r>
      <w:r w:rsidR="00BE67B3">
        <w:t xml:space="preserve"> více než v roce 201</w:t>
      </w:r>
      <w:r w:rsidR="00A67A2F">
        <w:t>9</w:t>
      </w:r>
      <w:r w:rsidR="00BE67B3">
        <w:t>.</w:t>
      </w:r>
      <w:bookmarkStart w:id="3" w:name="_GoBack"/>
      <w:bookmarkEnd w:id="3"/>
    </w:p>
    <w:p w14:paraId="522750EC" w14:textId="575E7EFE" w:rsidR="00BE67B3" w:rsidRDefault="00BE67B3" w:rsidP="009E5E57">
      <w:pPr>
        <w:spacing w:after="120"/>
        <w:jc w:val="both"/>
      </w:pPr>
      <w:r>
        <w:lastRenderedPageBreak/>
        <w:t>S</w:t>
      </w:r>
      <w:r w:rsidR="00E41A30">
        <w:t> </w:t>
      </w:r>
      <w:r>
        <w:t>tím</w:t>
      </w:r>
      <w:r w:rsidR="00E41A30">
        <w:t>,</w:t>
      </w:r>
      <w:r>
        <w:t xml:space="preserve"> jak v posledních letech v České republice </w:t>
      </w:r>
      <w:r w:rsidR="005D57C0">
        <w:t xml:space="preserve">rostl </w:t>
      </w:r>
      <w:r>
        <w:t>počet zaměstnanců, rost</w:t>
      </w:r>
      <w:r w:rsidR="005D57C0">
        <w:t>l</w:t>
      </w:r>
      <w:r>
        <w:t xml:space="preserve"> od roku 201</w:t>
      </w:r>
      <w:r w:rsidR="005D57C0">
        <w:t>4</w:t>
      </w:r>
      <w:r>
        <w:t xml:space="preserve"> </w:t>
      </w:r>
      <w:r w:rsidR="004F7F82">
        <w:t xml:space="preserve">kontinuálně </w:t>
      </w:r>
      <w:r>
        <w:t>i</w:t>
      </w:r>
      <w:r w:rsidR="0080345D">
        <w:t> </w:t>
      </w:r>
      <w:r>
        <w:t xml:space="preserve">průměrný počet nemocensky pojištěných. </w:t>
      </w:r>
      <w:r w:rsidR="009E5E57">
        <w:t>D</w:t>
      </w:r>
      <w:r w:rsidR="005D57C0">
        <w:t>o roku 201</w:t>
      </w:r>
      <w:r w:rsidR="00561BFE">
        <w:t>9</w:t>
      </w:r>
      <w:r>
        <w:t xml:space="preserve"> </w:t>
      </w:r>
      <w:r w:rsidR="004F7F82">
        <w:t>se</w:t>
      </w:r>
      <w:r>
        <w:t xml:space="preserve"> tento ukazatel </w:t>
      </w:r>
      <w:r w:rsidR="004F7F82">
        <w:t xml:space="preserve">zvýšil </w:t>
      </w:r>
      <w:r>
        <w:t xml:space="preserve">o </w:t>
      </w:r>
      <w:r w:rsidR="006D09A9">
        <w:t>6</w:t>
      </w:r>
      <w:r w:rsidR="005D57C0">
        <w:t>,</w:t>
      </w:r>
      <w:r w:rsidR="0026045A">
        <w:t xml:space="preserve">0 </w:t>
      </w:r>
      <w:r>
        <w:t>% (</w:t>
      </w:r>
      <w:r w:rsidR="006D09A9">
        <w:t>2</w:t>
      </w:r>
      <w:r w:rsidR="005D57C0">
        <w:t>70</w:t>
      </w:r>
      <w:r w:rsidR="0080345D">
        <w:t> </w:t>
      </w:r>
      <w:r>
        <w:t>tis</w:t>
      </w:r>
      <w:r w:rsidR="009E5E57">
        <w:t>.</w:t>
      </w:r>
      <w:r>
        <w:t>) na</w:t>
      </w:r>
      <w:r w:rsidR="00F547BE">
        <w:t> </w:t>
      </w:r>
      <w:r w:rsidR="009E5E57">
        <w:t xml:space="preserve">výše zmíněnou hodnotu </w:t>
      </w:r>
      <w:r w:rsidR="006D09A9">
        <w:t>4 733</w:t>
      </w:r>
      <w:r>
        <w:t xml:space="preserve"> tis.</w:t>
      </w:r>
      <w:r w:rsidR="005D57C0">
        <w:t xml:space="preserve"> </w:t>
      </w:r>
      <w:r w:rsidR="009E5E57">
        <w:t xml:space="preserve">nemocensky pojištěných osob. </w:t>
      </w:r>
      <w:r w:rsidR="004F7F82">
        <w:t>Na tomto nárůstu se podílely především ženy</w:t>
      </w:r>
      <w:r w:rsidR="009E5E57">
        <w:t xml:space="preserve">. Za pět let </w:t>
      </w:r>
      <w:r w:rsidR="004F7F82">
        <w:t xml:space="preserve">vzrostl </w:t>
      </w:r>
      <w:r w:rsidR="004F7F82" w:rsidRPr="009E5E57">
        <w:rPr>
          <w:b/>
          <w:bCs/>
        </w:rPr>
        <w:t>počet nemocensky pojištěných žen</w:t>
      </w:r>
      <w:r w:rsidR="004F7F82">
        <w:t xml:space="preserve"> o </w:t>
      </w:r>
      <w:r w:rsidR="009E5E57">
        <w:t>7,2 % (</w:t>
      </w:r>
      <w:r w:rsidR="004F7F82">
        <w:t>15</w:t>
      </w:r>
      <w:r w:rsidR="00561BFE">
        <w:t>7</w:t>
      </w:r>
      <w:r w:rsidR="004F7F82">
        <w:t xml:space="preserve"> tis.</w:t>
      </w:r>
      <w:r w:rsidR="009E5E57">
        <w:t>).</w:t>
      </w:r>
      <w:r w:rsidR="00561BFE">
        <w:t xml:space="preserve"> Ve srovnání se situací před 10 lety, tj.</w:t>
      </w:r>
      <w:r w:rsidR="005311E0">
        <w:t> </w:t>
      </w:r>
      <w:r w:rsidR="00561BFE">
        <w:t>v roce 2009, je pojištěných žen dokonce o </w:t>
      </w:r>
      <w:r w:rsidR="009E5E57">
        <w:t>cca šestinu (</w:t>
      </w:r>
      <w:r w:rsidR="00561BFE">
        <w:t>330</w:t>
      </w:r>
      <w:r w:rsidR="00812420">
        <w:t> </w:t>
      </w:r>
      <w:r w:rsidR="00561BFE">
        <w:t>tis</w:t>
      </w:r>
      <w:r w:rsidR="009E5E57">
        <w:t>.)</w:t>
      </w:r>
      <w:r w:rsidR="00561BFE">
        <w:t xml:space="preserve"> více.</w:t>
      </w:r>
    </w:p>
    <w:p w14:paraId="525A7968" w14:textId="6358159E" w:rsidR="00287970" w:rsidRDefault="00D071D7" w:rsidP="00EA4997">
      <w:pPr>
        <w:spacing w:after="120"/>
        <w:jc w:val="both"/>
      </w:pPr>
      <w:r>
        <w:t>Z </w:t>
      </w:r>
      <w:r w:rsidRPr="006D09A9">
        <w:rPr>
          <w:b/>
        </w:rPr>
        <w:t>regionálního pohledu</w:t>
      </w:r>
      <w:r>
        <w:t xml:space="preserve"> je nejvyšší </w:t>
      </w:r>
      <w:r w:rsidR="00475D16">
        <w:t xml:space="preserve">průměrný </w:t>
      </w:r>
      <w:r>
        <w:t>počet nemocensky pojištěných v hlavním městě</w:t>
      </w:r>
      <w:r w:rsidR="00475D16">
        <w:t xml:space="preserve"> Praze</w:t>
      </w:r>
      <w:r>
        <w:t>,</w:t>
      </w:r>
      <w:r w:rsidR="00475D16">
        <w:t xml:space="preserve"> a to</w:t>
      </w:r>
      <w:r>
        <w:t xml:space="preserve"> 1 26</w:t>
      </w:r>
      <w:r w:rsidR="005D57C0">
        <w:t>2</w:t>
      </w:r>
      <w:r>
        <w:t xml:space="preserve"> tis</w:t>
      </w:r>
      <w:r w:rsidR="009E5E57">
        <w:t xml:space="preserve">. </w:t>
      </w:r>
      <w:r w:rsidR="00475D16">
        <w:t>(26,</w:t>
      </w:r>
      <w:r w:rsidR="005D57C0">
        <w:t>7</w:t>
      </w:r>
      <w:r w:rsidR="00475D16">
        <w:t xml:space="preserve"> % republikové hodnoty)</w:t>
      </w:r>
      <w:r>
        <w:t xml:space="preserve">. </w:t>
      </w:r>
      <w:r w:rsidR="00475D16">
        <w:t>Zásadní roli zde sehrává skutečnost, že data v krajském třídění jsou zpracována podle sídla zaměstnavatele, resp. jeho mzdové účtárny, a není výjimkou, aby firma se sídlem v Praze působila v jiných regionech či dokonce celorepublikově. Druhé a třetí místo obsadily Jihomoravský kraj s 50</w:t>
      </w:r>
      <w:r w:rsidR="005D57C0">
        <w:t>7</w:t>
      </w:r>
      <w:r w:rsidR="00475D16">
        <w:t xml:space="preserve"> tis. pojištěnců a Moravskoslezský kraj s 47</w:t>
      </w:r>
      <w:r w:rsidR="005D57C0">
        <w:t>6</w:t>
      </w:r>
      <w:r w:rsidR="00475D16">
        <w:t xml:space="preserve"> tis</w:t>
      </w:r>
      <w:r w:rsidR="009E5E57">
        <w:t>.</w:t>
      </w:r>
      <w:r w:rsidR="00475D16">
        <w:t xml:space="preserve"> pojištěnců</w:t>
      </w:r>
      <w:r w:rsidR="009E5E57">
        <w:t xml:space="preserve">. </w:t>
      </w:r>
      <w:r w:rsidR="00144900">
        <w:t xml:space="preserve">Každý z těchto krajů se na celkovém počtu nemocensky pojištěných v Česku podílí přibližně z jedné desetiny. </w:t>
      </w:r>
      <w:r w:rsidR="009A38E3">
        <w:t>Středočeský kraj, jakožto nejlidnatější kraj ČR, se umístil až na čtvrté příčce s 4</w:t>
      </w:r>
      <w:r w:rsidR="005D57C0">
        <w:t>52</w:t>
      </w:r>
      <w:r w:rsidR="009A38E3">
        <w:t xml:space="preserve"> tis. pojištěnců (9,</w:t>
      </w:r>
      <w:r w:rsidR="005D57C0">
        <w:t>6</w:t>
      </w:r>
      <w:r w:rsidR="00F547BE">
        <w:t> </w:t>
      </w:r>
      <w:r w:rsidR="009A38E3">
        <w:t>%). Jedním z faktorů, který toto ovlivňuje, je bezesporu dojíždění Středočechů za zaměstnáním do</w:t>
      </w:r>
      <w:r w:rsidR="00F547BE">
        <w:t> </w:t>
      </w:r>
      <w:r w:rsidR="009A38E3">
        <w:t>Prahy.</w:t>
      </w:r>
    </w:p>
    <w:p w14:paraId="200F127A" w14:textId="0BFF30CA" w:rsidR="00EA4997" w:rsidRDefault="0075508B" w:rsidP="00EA4997">
      <w:pPr>
        <w:spacing w:after="120"/>
        <w:jc w:val="both"/>
      </w:pPr>
      <w:r>
        <w:t xml:space="preserve">Z hlediska </w:t>
      </w:r>
      <w:r w:rsidRPr="0080345D">
        <w:rPr>
          <w:b/>
        </w:rPr>
        <w:t>velikosti ekonomických subjektů</w:t>
      </w:r>
      <w:r>
        <w:t>, t</w:t>
      </w:r>
      <w:r w:rsidR="00D23A2A">
        <w:t xml:space="preserve">řetina nemocensky </w:t>
      </w:r>
      <w:r w:rsidR="0030013F">
        <w:t xml:space="preserve">pojištěných osob </w:t>
      </w:r>
      <w:r w:rsidR="00BF1975">
        <w:t xml:space="preserve">(1 </w:t>
      </w:r>
      <w:r w:rsidR="0026045A">
        <w:t>547</w:t>
      </w:r>
      <w:r w:rsidR="00BF1975">
        <w:t>,</w:t>
      </w:r>
      <w:r w:rsidR="00741ABE">
        <w:t>5</w:t>
      </w:r>
      <w:r w:rsidR="00BF1975">
        <w:t xml:space="preserve"> tis.) </w:t>
      </w:r>
      <w:r w:rsidR="00D23A2A">
        <w:t>pracuje ve velkých firmách s </w:t>
      </w:r>
      <w:r w:rsidR="00C30020">
        <w:t xml:space="preserve">500 a více </w:t>
      </w:r>
      <w:r w:rsidR="00D23A2A">
        <w:t xml:space="preserve">zaměstnanci, </w:t>
      </w:r>
      <w:r w:rsidR="00EA4997">
        <w:t>obdobný podíl připadá i na subjekty do 50 zaměstnanců, kde v roce 2019 pracovalo 1,5 mil. nemocensky pojištěných osob. Nejnižší podíl mezi nemocensky pojištěnými osobami představují OSVČ, které jsou pojištěny dobrovolně. V roce 2019 na ně připadla jen 2 % z celkového počtu nemocensky pojištěných osob v Česku. Před deseti lety byl jejich podíl dvojnásobný. Za posledních deset let vzrostl počet nemocensky pojištěných v subjektech s 250 a více zaměstnanci o více než 400 tis. osob.</w:t>
      </w:r>
    </w:p>
    <w:p w14:paraId="497EA9A4" w14:textId="5B0CC2A3" w:rsidR="00EA4997" w:rsidRDefault="008D4AF8" w:rsidP="006624D2">
      <w:pPr>
        <w:spacing w:after="60" w:line="240" w:lineRule="auto"/>
        <w:jc w:val="both"/>
        <w:rPr>
          <w:sz w:val="18"/>
        </w:rPr>
      </w:pPr>
      <w:r>
        <w:rPr>
          <w:noProof/>
        </w:rPr>
        <w:drawing>
          <wp:anchor distT="0" distB="0" distL="114300" distR="114300" simplePos="0" relativeHeight="251673088" behindDoc="1" locked="0" layoutInCell="1" allowOverlap="1" wp14:anchorId="4475CCE8" wp14:editId="7794CEFB">
            <wp:simplePos x="0" y="0"/>
            <wp:positionH relativeFrom="column">
              <wp:posOffset>3457575</wp:posOffset>
            </wp:positionH>
            <wp:positionV relativeFrom="paragraph">
              <wp:posOffset>365760</wp:posOffset>
            </wp:positionV>
            <wp:extent cx="2743200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450" y="21501"/>
                <wp:lineTo x="21450" y="0"/>
                <wp:lineTo x="0" y="0"/>
              </wp:wrapPolygon>
            </wp:wrapTight>
            <wp:docPr id="4" name="Graf 4">
              <a:extLst xmlns:a="http://schemas.openxmlformats.org/drawingml/2006/main">
                <a:ext uri="{FF2B5EF4-FFF2-40B4-BE49-F238E27FC236}">
                  <a16:creationId xmlns:a16="http://schemas.microsoft.com/office/drawing/2014/main" id="{AD75D1DD-BC5B-4010-8AFE-152B34137B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064" behindDoc="1" locked="0" layoutInCell="1" allowOverlap="1" wp14:anchorId="569C27B4" wp14:editId="4CE917E8">
            <wp:simplePos x="0" y="0"/>
            <wp:positionH relativeFrom="column">
              <wp:posOffset>133350</wp:posOffset>
            </wp:positionH>
            <wp:positionV relativeFrom="paragraph">
              <wp:posOffset>358140</wp:posOffset>
            </wp:positionV>
            <wp:extent cx="3324225" cy="2487930"/>
            <wp:effectExtent l="0" t="0" r="0" b="7620"/>
            <wp:wrapTight wrapText="bothSides">
              <wp:wrapPolygon edited="0">
                <wp:start x="0" y="0"/>
                <wp:lineTo x="0" y="21501"/>
                <wp:lineTo x="21414" y="21501"/>
                <wp:lineTo x="21414" y="0"/>
                <wp:lineTo x="0" y="0"/>
              </wp:wrapPolygon>
            </wp:wrapTight>
            <wp:docPr id="2" name="Graf 2">
              <a:extLst xmlns:a="http://schemas.openxmlformats.org/drawingml/2006/main">
                <a:ext uri="{FF2B5EF4-FFF2-40B4-BE49-F238E27FC236}">
                  <a16:creationId xmlns:a16="http://schemas.microsoft.com/office/drawing/2014/main" id="{AD75D1DD-BC5B-4010-8AFE-152B34137BE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4997" w:rsidRPr="00910FDC">
        <w:rPr>
          <w:b/>
          <w:iCs/>
        </w:rPr>
        <w:t>Graf 1.</w:t>
      </w:r>
      <w:r w:rsidR="00EA4997">
        <w:rPr>
          <w:b/>
          <w:iCs/>
        </w:rPr>
        <w:t>1</w:t>
      </w:r>
      <w:r w:rsidR="00EA4997" w:rsidRPr="00910FDC">
        <w:rPr>
          <w:b/>
          <w:iCs/>
        </w:rPr>
        <w:t xml:space="preserve">: </w:t>
      </w:r>
      <w:r>
        <w:rPr>
          <w:b/>
          <w:iCs/>
        </w:rPr>
        <w:t>Průměrný počet nemocensky pojištěných osob</w:t>
      </w:r>
      <w:r w:rsidR="00EA4997" w:rsidRPr="00910FDC">
        <w:rPr>
          <w:b/>
          <w:iCs/>
        </w:rPr>
        <w:t xml:space="preserve"> podle velikosti subjektu, 2009, 2014, 2019 (v</w:t>
      </w:r>
      <w:r>
        <w:rPr>
          <w:b/>
          <w:iCs/>
        </w:rPr>
        <w:t> %</w:t>
      </w:r>
      <w:r w:rsidR="00EA4997" w:rsidRPr="00910FDC">
        <w:rPr>
          <w:b/>
          <w:iCs/>
        </w:rPr>
        <w:t xml:space="preserve"> a v</w:t>
      </w:r>
      <w:r>
        <w:rPr>
          <w:b/>
          <w:iCs/>
        </w:rPr>
        <w:t> tis.</w:t>
      </w:r>
      <w:r w:rsidR="00EA4997" w:rsidRPr="00910FDC">
        <w:rPr>
          <w:b/>
          <w:iCs/>
        </w:rPr>
        <w:t>)</w:t>
      </w:r>
    </w:p>
    <w:p w14:paraId="1B3EE321" w14:textId="52DDADC1" w:rsidR="00EA4997" w:rsidRPr="00CF263C" w:rsidRDefault="00EA4997" w:rsidP="006624D2">
      <w:pPr>
        <w:spacing w:after="120"/>
      </w:pPr>
      <w:r w:rsidRPr="00BC3FF5">
        <w:rPr>
          <w:sz w:val="18"/>
        </w:rPr>
        <w:t>Zdroj: ČSÚ</w:t>
      </w:r>
    </w:p>
    <w:p w14:paraId="1F02D673" w14:textId="28F4D9E8" w:rsidR="00FE54D3" w:rsidRDefault="00FE54D3" w:rsidP="001A58D9">
      <w:pPr>
        <w:spacing w:after="120"/>
        <w:jc w:val="both"/>
      </w:pPr>
      <w:r w:rsidRPr="007A3D44">
        <w:t xml:space="preserve">Nejvíce zastoupenými </w:t>
      </w:r>
      <w:r w:rsidRPr="00766174">
        <w:rPr>
          <w:b/>
        </w:rPr>
        <w:t>odvětvími</w:t>
      </w:r>
      <w:r>
        <w:t>,</w:t>
      </w:r>
      <w:r w:rsidRPr="007A3D44">
        <w:t xml:space="preserve"> co do počtu nemocensky pojištěných</w:t>
      </w:r>
      <w:r>
        <w:t>,</w:t>
      </w:r>
      <w:r w:rsidRPr="007A3D44">
        <w:t xml:space="preserve"> jsou </w:t>
      </w:r>
      <w:r w:rsidR="00EA4997">
        <w:t xml:space="preserve">sekce </w:t>
      </w:r>
      <w:r w:rsidRPr="00EA4997">
        <w:rPr>
          <w:b/>
          <w:bCs/>
        </w:rPr>
        <w:t>Zpracovatelský průmysl</w:t>
      </w:r>
      <w:r w:rsidR="00EA4997">
        <w:t>)</w:t>
      </w:r>
      <w:r w:rsidRPr="007A3D44">
        <w:t xml:space="preserve"> a</w:t>
      </w:r>
      <w:r>
        <w:t> </w:t>
      </w:r>
      <w:r w:rsidRPr="00144900">
        <w:rPr>
          <w:b/>
        </w:rPr>
        <w:t>Velkoobchod a maloobchod</w:t>
      </w:r>
      <w:r w:rsidR="00144900" w:rsidRPr="00144900">
        <w:rPr>
          <w:b/>
        </w:rPr>
        <w:t>, opravy a údržba motorových vozidel</w:t>
      </w:r>
      <w:r>
        <w:t>, což odráží strukturu české ekonomiky</w:t>
      </w:r>
      <w:r w:rsidRPr="007A3D44">
        <w:t xml:space="preserve">. Tato dvě odvětví dohromady zaměstnávají </w:t>
      </w:r>
      <w:r>
        <w:t xml:space="preserve">téměř </w:t>
      </w:r>
      <w:r w:rsidRPr="007A3D44">
        <w:t>40 % všech nemocensky pojištěných osob</w:t>
      </w:r>
      <w:r w:rsidR="00EA4997">
        <w:t>, přičemž na podniky s převažující ekonomickou činností ve zpracovatelském průmyslu připadá 26 %</w:t>
      </w:r>
      <w:r>
        <w:t>.</w:t>
      </w:r>
      <w:r w:rsidR="001A58D9">
        <w:t xml:space="preserve"> V rámci zpracovatelského průmyslu působilo nejvíce nemocensky pojištěných osob v automobilovém průmyslu </w:t>
      </w:r>
      <w:r w:rsidR="00144900">
        <w:br/>
      </w:r>
      <w:r w:rsidR="001A58D9">
        <w:t>(CZ-NACE oddíl 29), kde bylo v roce 2019 zaměstnáno 15,</w:t>
      </w:r>
      <w:r w:rsidR="005A232E">
        <w:t>3</w:t>
      </w:r>
      <w:r w:rsidR="001A58D9">
        <w:t> % ze všech nemocensky pojištěných osob v této odvětvové sekci. S menším odstupem následovaly kovozpracující (oddíl 25) a strojírenský průmysl (oddíl 28), na které připadlo 13,</w:t>
      </w:r>
      <w:r w:rsidR="005A232E">
        <w:t>5</w:t>
      </w:r>
      <w:r w:rsidR="001A58D9">
        <w:t>, resp. 10,</w:t>
      </w:r>
      <w:r w:rsidR="005A232E">
        <w:t>4</w:t>
      </w:r>
      <w:r w:rsidR="001A58D9">
        <w:t> % ze všech nemocensky pojištěných osob ve zpracovatelském průmyslu.</w:t>
      </w:r>
    </w:p>
    <w:p w14:paraId="1F994FA4" w14:textId="652C5376" w:rsidR="001A58D9" w:rsidRDefault="001A58D9" w:rsidP="008D4AF8">
      <w:pPr>
        <w:spacing w:after="120"/>
        <w:jc w:val="both"/>
      </w:pPr>
      <w:r>
        <w:lastRenderedPageBreak/>
        <w:t>V odvětvových sekcích Veřejná správa, Vzdělávání a Zdravotní a sociální péče byl</w:t>
      </w:r>
      <w:r w:rsidR="005071B3">
        <w:t>a</w:t>
      </w:r>
      <w:r>
        <w:t xml:space="preserve"> v roce 2019 dohromady zaměst</w:t>
      </w:r>
      <w:r w:rsidR="008D4AF8">
        <w:t>n</w:t>
      </w:r>
      <w:r>
        <w:t>ána více než pětina (22 %) ze všech nemocensky pojištěných</w:t>
      </w:r>
      <w:r w:rsidR="008D4AF8">
        <w:rPr>
          <w:rStyle w:val="Znakapoznpodarou"/>
        </w:rPr>
        <w:footnoteReference w:id="1"/>
      </w:r>
      <w:r w:rsidR="008D4AF8">
        <w:t>. Jde o odvětvové sekce, kde v roce 2019 na 100 nemocensky pojištěných připadalo 76 žen.</w:t>
      </w:r>
      <w:r>
        <w:t xml:space="preserve"> </w:t>
      </w:r>
    </w:p>
    <w:p w14:paraId="691108D6" w14:textId="266665A4" w:rsidR="005F0113" w:rsidRDefault="005F0113" w:rsidP="006624D2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6D26BD">
        <w:rPr>
          <w:b/>
          <w:i w:val="0"/>
          <w:color w:val="auto"/>
          <w:sz w:val="20"/>
        </w:rPr>
        <w:t xml:space="preserve">Graf </w:t>
      </w:r>
      <w:r w:rsidR="00812420">
        <w:rPr>
          <w:b/>
          <w:i w:val="0"/>
          <w:color w:val="auto"/>
          <w:sz w:val="20"/>
        </w:rPr>
        <w:t>1</w:t>
      </w:r>
      <w:r w:rsidRPr="006D26BD">
        <w:rPr>
          <w:b/>
          <w:i w:val="0"/>
          <w:color w:val="auto"/>
          <w:sz w:val="20"/>
        </w:rPr>
        <w:t>.</w:t>
      </w:r>
      <w:r w:rsidR="008D4AF8">
        <w:rPr>
          <w:b/>
          <w:i w:val="0"/>
          <w:color w:val="auto"/>
          <w:sz w:val="20"/>
        </w:rPr>
        <w:t>2</w:t>
      </w:r>
      <w:r w:rsidRPr="006D26BD">
        <w:rPr>
          <w:b/>
          <w:i w:val="0"/>
          <w:color w:val="auto"/>
          <w:sz w:val="20"/>
        </w:rPr>
        <w:t xml:space="preserve">: </w:t>
      </w:r>
      <w:r w:rsidR="008D4AF8">
        <w:rPr>
          <w:b/>
          <w:i w:val="0"/>
          <w:color w:val="auto"/>
          <w:sz w:val="20"/>
        </w:rPr>
        <w:t>Průměrný počet nemocensky pojištěných osob</w:t>
      </w:r>
      <w:r w:rsidRPr="005F0113">
        <w:rPr>
          <w:b/>
          <w:i w:val="0"/>
          <w:color w:val="auto"/>
          <w:sz w:val="20"/>
        </w:rPr>
        <w:t xml:space="preserve"> ve vybraných </w:t>
      </w:r>
      <w:r w:rsidR="001E197F">
        <w:rPr>
          <w:b/>
          <w:i w:val="0"/>
          <w:color w:val="auto"/>
          <w:sz w:val="20"/>
        </w:rPr>
        <w:t>odvětvích</w:t>
      </w:r>
      <w:r w:rsidR="008D4AF8">
        <w:rPr>
          <w:b/>
          <w:i w:val="0"/>
          <w:color w:val="auto"/>
          <w:sz w:val="20"/>
        </w:rPr>
        <w:t xml:space="preserve"> </w:t>
      </w:r>
      <w:r w:rsidR="00821D69">
        <w:rPr>
          <w:b/>
          <w:i w:val="0"/>
          <w:color w:val="auto"/>
          <w:sz w:val="20"/>
        </w:rPr>
        <w:t>(sekc</w:t>
      </w:r>
      <w:r w:rsidR="008D4AF8">
        <w:rPr>
          <w:b/>
          <w:i w:val="0"/>
          <w:color w:val="auto"/>
          <w:sz w:val="20"/>
        </w:rPr>
        <w:t>e</w:t>
      </w:r>
      <w:r w:rsidR="00D107CC">
        <w:rPr>
          <w:b/>
          <w:i w:val="0"/>
          <w:color w:val="auto"/>
          <w:sz w:val="20"/>
        </w:rPr>
        <w:t xml:space="preserve"> </w:t>
      </w:r>
      <w:r w:rsidR="00821D69">
        <w:rPr>
          <w:b/>
          <w:i w:val="0"/>
          <w:color w:val="auto"/>
          <w:sz w:val="20"/>
        </w:rPr>
        <w:t>CZ-</w:t>
      </w:r>
      <w:r w:rsidR="001E197F">
        <w:rPr>
          <w:b/>
          <w:i w:val="0"/>
          <w:color w:val="auto"/>
          <w:sz w:val="20"/>
        </w:rPr>
        <w:t>NACE)</w:t>
      </w:r>
      <w:r w:rsidR="00E90DD3">
        <w:rPr>
          <w:b/>
          <w:i w:val="0"/>
          <w:color w:val="auto"/>
          <w:sz w:val="20"/>
        </w:rPr>
        <w:t>,</w:t>
      </w:r>
      <w:r w:rsidRPr="005F0113">
        <w:rPr>
          <w:b/>
          <w:i w:val="0"/>
          <w:color w:val="auto"/>
          <w:sz w:val="20"/>
        </w:rPr>
        <w:t xml:space="preserve"> </w:t>
      </w:r>
      <w:r w:rsidR="008D4AF8">
        <w:rPr>
          <w:b/>
          <w:i w:val="0"/>
          <w:color w:val="auto"/>
          <w:sz w:val="20"/>
        </w:rPr>
        <w:t>2</w:t>
      </w:r>
      <w:r w:rsidRPr="005F0113">
        <w:rPr>
          <w:b/>
          <w:i w:val="0"/>
          <w:color w:val="auto"/>
          <w:sz w:val="20"/>
        </w:rPr>
        <w:t>009 a 2019 (v tis.)</w:t>
      </w:r>
    </w:p>
    <w:p w14:paraId="4A64552D" w14:textId="28F7CB0F" w:rsidR="001E197F" w:rsidRPr="00CF263C" w:rsidRDefault="00821D69" w:rsidP="009636BA">
      <w:pPr>
        <w:spacing w:before="120" w:after="1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ACA3E45" wp14:editId="2E1030F3">
                <wp:simplePos x="0" y="0"/>
                <wp:positionH relativeFrom="column">
                  <wp:posOffset>5772150</wp:posOffset>
                </wp:positionH>
                <wp:positionV relativeFrom="paragraph">
                  <wp:posOffset>161595</wp:posOffset>
                </wp:positionV>
                <wp:extent cx="485775" cy="289560"/>
                <wp:effectExtent l="0" t="0" r="0" b="0"/>
                <wp:wrapNone/>
                <wp:docPr id="54" name="Textové po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895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A4A72B" w14:textId="31DC5213" w:rsidR="00175193" w:rsidRPr="00C70335" w:rsidRDefault="00175193">
                            <w:pPr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</w:pPr>
                            <w:r w:rsidRPr="00C70335">
                              <w:rPr>
                                <w:b/>
                                <w:color w:val="FFFFFF" w:themeColor="background1"/>
                                <w:sz w:val="32"/>
                              </w:rPr>
                              <w:t>//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A3E45" id="_x0000_t202" coordsize="21600,21600" o:spt="202" path="m,l,21600r21600,l21600,xe">
                <v:stroke joinstyle="miter"/>
                <v:path gradientshapeok="t" o:connecttype="rect"/>
              </v:shapetype>
              <v:shape id="Textové pole 54" o:spid="_x0000_s1026" type="#_x0000_t202" style="position:absolute;margin-left:454.5pt;margin-top:12.7pt;width:38.25pt;height:22.8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BEgPAIAAF4EAAAOAAAAZHJzL2Uyb0RvYy54bWysVMGO2jAQvVfqP1i+lwAlwEaEFd0VVaXV&#10;7kpQ7dk4NonkeFzbkNA/6nf0x3bsEBZte6p6ccYz4/G898ZZ3La1IkdhXQU6p6PBkBKhORSV3uf0&#10;+3b9aU6J80wXTIEWOT0JR2+XHz8sGpOJMZSgCmEJFtEua0xOS+9NliSOl6JmbgBGaAxKsDXzuLX7&#10;pLCsweq1SsbD4TRpwBbGAhfOofe+C9JlrC+l4P5JSic8UTnF3nxcbVx3YU2WC5btLTNlxc9tsH/o&#10;omaVxksvpe6ZZ+Rgqz9K1RW34ED6AYc6ASkrLiIGRDMavkOzKZkREQuS48yFJvf/yvLH47MlVZHT&#10;dEKJZjVqtBWth+PvX8SAEgT9SFJjXIa5G4PZvv0CLYrd+x06A/ZW2jp8ERXBONJ9ulCMJQlH52Se&#10;zmYpJRxD4/lNOo0SJG+HjXX+q4CaBCOnFhWMxLLjg/PYCKb2KeEuDetKqaii0qTJ6fRzOowHLhE8&#10;oTQeDBC6VoPl210bcc96GDsoTojOQjckzvB1hT08MOefmcWpQEA46f4JF6kA74KzRUkJ9uff/CEf&#10;xcIoJQ1OWU7djwOzghL1TaOMN6PJJIxl3EzS2Rg39jqyu47oQ30HOMgjfFOGRzPke9Wb0kL9gg9i&#10;FW7FENMc786p7807380+PiguVquYhINomH/QG8ND6cBqYHjbvjBrzjJ41O8R+nlk2Ts1utxOj9XB&#10;g6yiVIHnjtUz/TjEUcHzgwuv5Hofs95+C8tXAAAA//8DAFBLAwQUAAYACAAAACEARdCVA+EAAAAJ&#10;AQAADwAAAGRycy9kb3ducmV2LnhtbEyPMU/DMBSEdyT+g/WQ2KjdiEAS4lRVpAoJwdDShc2JX5MI&#10;+znEbhv49ZipjKc73X1XrmZr2AknPziSsFwIYEit0wN1Evbvm7sMmA+KtDKOUMI3elhV11elKrQ7&#10;0xZPu9CxWEK+UBL6EMaCc9/2aJVfuBEpegc3WRWinDquJ3WO5dbwRIgHbtVAcaFXI9Y9tp+7o5Xw&#10;Um/e1LZJbPZj6ufXw3r82n+kUt7ezOsnYAHncAnDH35EhyoyNe5I2jMjIRd5/BIkJOk9sBjIszQF&#10;1kh4XArgVcn/P6h+AQAA//8DAFBLAQItABQABgAIAAAAIQC2gziS/gAAAOEBAAATAAAAAAAAAAAA&#10;AAAAAAAAAABbQ29udGVudF9UeXBlc10ueG1sUEsBAi0AFAAGAAgAAAAhADj9If/WAAAAlAEAAAsA&#10;AAAAAAAAAAAAAAAALwEAAF9yZWxzLy5yZWxzUEsBAi0AFAAGAAgAAAAhABKYESA8AgAAXgQAAA4A&#10;AAAAAAAAAAAAAAAALgIAAGRycy9lMm9Eb2MueG1sUEsBAi0AFAAGAAgAAAAhAEXQlQPhAAAACQEA&#10;AA8AAAAAAAAAAAAAAAAAlgQAAGRycy9kb3ducmV2LnhtbFBLBQYAAAAABAAEAPMAAACkBQAAAAA=&#10;" filled="f" stroked="f" strokeweight=".5pt">
                <v:textbox>
                  <w:txbxContent>
                    <w:p w14:paraId="66A4A72B" w14:textId="31DC5213" w:rsidR="00175193" w:rsidRPr="00C70335" w:rsidRDefault="00175193">
                      <w:pPr>
                        <w:rPr>
                          <w:b/>
                          <w:color w:val="FFFFFF" w:themeColor="background1"/>
                          <w:sz w:val="44"/>
                        </w:rPr>
                      </w:pPr>
                      <w:r w:rsidRPr="00C70335">
                        <w:rPr>
                          <w:b/>
                          <w:color w:val="FFFFFF" w:themeColor="background1"/>
                          <w:sz w:val="32"/>
                        </w:rPr>
                        <w:t>//</w:t>
                      </w:r>
                    </w:p>
                  </w:txbxContent>
                </v:textbox>
              </v:shape>
            </w:pict>
          </mc:Fallback>
        </mc:AlternateContent>
      </w:r>
      <w:r w:rsidR="001E197F">
        <w:rPr>
          <w:noProof/>
        </w:rPr>
        <w:drawing>
          <wp:inline distT="0" distB="0" distL="0" distR="0" wp14:anchorId="1B6325E4" wp14:editId="08F76689">
            <wp:extent cx="6309360" cy="4373880"/>
            <wp:effectExtent l="0" t="0" r="15240" b="7620"/>
            <wp:docPr id="32" name="Graf 32">
              <a:extLst xmlns:a="http://schemas.openxmlformats.org/drawingml/2006/main">
                <a:ext uri="{FF2B5EF4-FFF2-40B4-BE49-F238E27FC236}">
                  <a16:creationId xmlns:a16="http://schemas.microsoft.com/office/drawing/2014/main" id="{973DECB1-B98E-495D-818B-6E436C3D1E3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1E197F" w:rsidRPr="00821D69">
        <w:rPr>
          <w:sz w:val="18"/>
        </w:rPr>
        <w:t>Zdroj: ČSÚ</w:t>
      </w:r>
    </w:p>
    <w:p w14:paraId="6848BFBF" w14:textId="35633BD2" w:rsidR="002E5FCA" w:rsidRDefault="00974E58" w:rsidP="002E5FCA">
      <w:pPr>
        <w:spacing w:after="120"/>
        <w:jc w:val="both"/>
      </w:pPr>
      <w:r>
        <w:t>Mezi roky 2009 a 2019 došlo k nárůstu počtu nemocensky pojištěných téměř o 0,5 mil. Nejvíce pojištěnců</w:t>
      </w:r>
      <w:r w:rsidR="008D4AF8">
        <w:t xml:space="preserve">, téměř 100 tisíc, </w:t>
      </w:r>
      <w:r>
        <w:t>přibylo ve Zpracovatelském průmyslu</w:t>
      </w:r>
      <w:r w:rsidR="008D4AF8">
        <w:t>.</w:t>
      </w:r>
      <w:r>
        <w:t xml:space="preserve"> </w:t>
      </w:r>
      <w:r w:rsidR="008D4AF8">
        <w:t xml:space="preserve">Odvětvovou sekcí s druhým nejvyšším absolutním </w:t>
      </w:r>
      <w:r w:rsidR="00144900">
        <w:t>přírůstkem</w:t>
      </w:r>
      <w:r w:rsidR="008D4AF8">
        <w:t xml:space="preserve"> byly </w:t>
      </w:r>
      <w:r w:rsidRPr="002E5FCA">
        <w:rPr>
          <w:b/>
          <w:bCs/>
        </w:rPr>
        <w:t>Administrativní a podpůrné činnosti</w:t>
      </w:r>
      <w:r w:rsidR="008D4AF8">
        <w:t xml:space="preserve">. Zde vzrostl počet nemocensky pojištěných o </w:t>
      </w:r>
      <w:r>
        <w:t>85 tis.</w:t>
      </w:r>
      <w:r w:rsidR="008D4AF8">
        <w:t>, tj. téměř o polovinu. V tomto případě je však potřeba upozornit na skutečnost, že v této sekci jsou zařaz</w:t>
      </w:r>
      <w:r w:rsidR="002E5FCA">
        <w:t>e</w:t>
      </w:r>
      <w:r w:rsidR="008D4AF8">
        <w:t>ny i</w:t>
      </w:r>
      <w:r w:rsidR="00144900">
        <w:t> </w:t>
      </w:r>
      <w:r w:rsidR="008D4AF8">
        <w:t xml:space="preserve">subjekty, které poskytují tzv. </w:t>
      </w:r>
      <w:r w:rsidR="008D4AF8" w:rsidRPr="002E5FCA">
        <w:rPr>
          <w:b/>
          <w:bCs/>
        </w:rPr>
        <w:t>agenturní pracovníky</w:t>
      </w:r>
      <w:r w:rsidR="008D4AF8">
        <w:t xml:space="preserve"> jiným firmám</w:t>
      </w:r>
      <w:r w:rsidR="002E5FCA">
        <w:t xml:space="preserve"> </w:t>
      </w:r>
      <w:r w:rsidR="008D4AF8">
        <w:t>často působící</w:t>
      </w:r>
      <w:r w:rsidR="002E5FCA">
        <w:t>m</w:t>
      </w:r>
      <w:r w:rsidR="008D4AF8">
        <w:t xml:space="preserve"> např.</w:t>
      </w:r>
      <w:r w:rsidR="005311E0">
        <w:t> </w:t>
      </w:r>
      <w:r w:rsidR="008D4AF8">
        <w:t>ve výše uvedeném Zpracovatelském průmyslu. Patří sem i subjekty poskytující bezpe</w:t>
      </w:r>
      <w:r w:rsidR="002E5FCA">
        <w:t>č</w:t>
      </w:r>
      <w:r w:rsidR="008D4AF8">
        <w:t>nostní a úklidové činnosti.</w:t>
      </w:r>
    </w:p>
    <w:p w14:paraId="7426B287" w14:textId="72D38E4F" w:rsidR="002E5FCA" w:rsidRDefault="002E5FCA" w:rsidP="002E5FCA">
      <w:pPr>
        <w:spacing w:after="120"/>
        <w:jc w:val="both"/>
      </w:pPr>
      <w:r>
        <w:t xml:space="preserve">Ve výše uvedených odvětvových sekcích Vzdělávání a Zdravotní a sociální péče vzrostl počet nemocensky pojištěných osob za posledních deset let v obou odvětvích o cca pětinu, v případě zde zaměstnaných žen dokonce o čtvrtinu. V absolutním vyjádření </w:t>
      </w:r>
      <w:r w:rsidR="005071B3">
        <w:t xml:space="preserve">se </w:t>
      </w:r>
      <w:r>
        <w:t xml:space="preserve">v oblasti vzdělávání jednalo o nárůst </w:t>
      </w:r>
      <w:r w:rsidR="007F3530">
        <w:t xml:space="preserve">počtu pojištěnců </w:t>
      </w:r>
      <w:r>
        <w:t>o 62 tis. a v oblasti zdravotní a sociální péče o 67 tis. osob.</w:t>
      </w:r>
    </w:p>
    <w:p w14:paraId="12D5A4D0" w14:textId="1D0A504C" w:rsidR="005F0113" w:rsidRPr="002E5FCA" w:rsidRDefault="002E5FCA" w:rsidP="002E5FCA">
      <w:pPr>
        <w:spacing w:after="120"/>
        <w:jc w:val="both"/>
      </w:pPr>
      <w:r>
        <w:t>Výrazný nárůst byl zaznamenán i v odvětvové sekci Inf</w:t>
      </w:r>
      <w:r w:rsidR="00144900">
        <w:t>ormační a komunikační činnosti</w:t>
      </w:r>
      <w:r>
        <w:t xml:space="preserve">, kde počet nemocensky pojištěných osob za posledních deset let vzrostl o 40 tis. osob, tj. téměř o 40 %. </w:t>
      </w:r>
      <w:r w:rsidR="00974E58">
        <w:t xml:space="preserve">Naopak odvětvími, která </w:t>
      </w:r>
      <w:r w:rsidR="00974E58">
        <w:lastRenderedPageBreak/>
        <w:t>v roce 2019 měla méně pojištěnců než v roce 2009, byly Stavebnictví (</w:t>
      </w:r>
      <w:r w:rsidR="00144900">
        <w:t>–</w:t>
      </w:r>
      <w:r w:rsidR="00974E58">
        <w:t>52</w:t>
      </w:r>
      <w:r w:rsidR="00D107CC">
        <w:t> </w:t>
      </w:r>
      <w:r w:rsidR="00974E58">
        <w:t>tis.), Těžba a</w:t>
      </w:r>
      <w:r>
        <w:t> </w:t>
      </w:r>
      <w:r w:rsidR="00974E58">
        <w:t>dobývání (</w:t>
      </w:r>
      <w:r w:rsidR="00144900">
        <w:t>–</w:t>
      </w:r>
      <w:r w:rsidR="00974E58">
        <w:t>15 tis.) a</w:t>
      </w:r>
      <w:r w:rsidR="00144900">
        <w:t> </w:t>
      </w:r>
      <w:r w:rsidR="00974E58">
        <w:t>Zemědělství, lesnictví a rybářství (</w:t>
      </w:r>
      <w:r w:rsidR="00144900">
        <w:t>–</w:t>
      </w:r>
      <w:r w:rsidR="00974E58">
        <w:t>13 tis.). V odvětví těžby došlo k poklesu počtu pojištěnců o 39 %.</w:t>
      </w:r>
    </w:p>
    <w:p w14:paraId="2203DCC9" w14:textId="4242071A" w:rsidR="00493A71" w:rsidRPr="008E048A" w:rsidRDefault="00493A71" w:rsidP="006624D2">
      <w:pPr>
        <w:pStyle w:val="Box1"/>
        <w:spacing w:before="120"/>
        <w:ind w:left="0"/>
        <w:jc w:val="both"/>
        <w:rPr>
          <w:i/>
        </w:rPr>
      </w:pPr>
      <w:r w:rsidRPr="008E048A">
        <w:rPr>
          <w:b/>
          <w:i/>
        </w:rPr>
        <w:t xml:space="preserve">Průměrný počet nemocensky pojištěných mladistvých </w:t>
      </w:r>
      <w:r w:rsidRPr="00F46EA8">
        <w:rPr>
          <w:i/>
        </w:rPr>
        <w:t xml:space="preserve">– </w:t>
      </w:r>
      <w:r>
        <w:rPr>
          <w:i/>
        </w:rPr>
        <w:t>u</w:t>
      </w:r>
      <w:r w:rsidRPr="008E048A">
        <w:rPr>
          <w:i/>
        </w:rPr>
        <w:t xml:space="preserve">kazatel </w:t>
      </w:r>
      <w:r>
        <w:rPr>
          <w:i/>
        </w:rPr>
        <w:t>udává</w:t>
      </w:r>
      <w:r w:rsidRPr="008E048A">
        <w:rPr>
          <w:i/>
        </w:rPr>
        <w:t xml:space="preserve"> průměrný počet nemocensky pojištěných </w:t>
      </w:r>
      <w:r>
        <w:rPr>
          <w:i/>
        </w:rPr>
        <w:t xml:space="preserve">osob mladších </w:t>
      </w:r>
      <w:r w:rsidRPr="008E048A">
        <w:rPr>
          <w:i/>
        </w:rPr>
        <w:t xml:space="preserve">18 let </w:t>
      </w:r>
      <w:r w:rsidRPr="002C394F">
        <w:rPr>
          <w:i/>
        </w:rPr>
        <w:t>(</w:t>
      </w:r>
      <w:r>
        <w:rPr>
          <w:i/>
        </w:rPr>
        <w:t xml:space="preserve">viz </w:t>
      </w:r>
      <w:r w:rsidRPr="002C394F">
        <w:rPr>
          <w:i/>
        </w:rPr>
        <w:t>§ 350 odst. 2 zákona č. 262/2006 Sb., zákoník práce, ve znění pozdějších předpisů).</w:t>
      </w:r>
    </w:p>
    <w:p w14:paraId="0939CDC9" w14:textId="77777777" w:rsidR="00493A71" w:rsidRPr="008E048A" w:rsidRDefault="00493A71" w:rsidP="005E6145">
      <w:pPr>
        <w:pStyle w:val="Box1"/>
        <w:ind w:left="0"/>
        <w:jc w:val="both"/>
        <w:rPr>
          <w:i/>
          <w:u w:val="single"/>
        </w:rPr>
      </w:pPr>
      <w:r w:rsidRPr="008E048A">
        <w:rPr>
          <w:i/>
          <w:u w:val="single"/>
        </w:rPr>
        <w:t>Způsob výpočtu:</w:t>
      </w:r>
    </w:p>
    <w:p w14:paraId="0998456E" w14:textId="00D5EB90" w:rsidR="00493A71" w:rsidRPr="00F46EA8" w:rsidRDefault="00493A71" w:rsidP="006624D2">
      <w:pPr>
        <w:pStyle w:val="Box1"/>
        <w:spacing w:after="120"/>
        <w:ind w:left="0"/>
        <w:jc w:val="both"/>
        <w:rPr>
          <w:i/>
        </w:rPr>
      </w:pPr>
      <w:r w:rsidRPr="008E048A">
        <w:rPr>
          <w:i/>
        </w:rPr>
        <w:t xml:space="preserve">Průměrný počet nemocensky pojištěných mladistvých = počet dní nemocenského pojištění </w:t>
      </w:r>
      <w:r>
        <w:rPr>
          <w:i/>
        </w:rPr>
        <w:t xml:space="preserve">jednotlivých pojištěných </w:t>
      </w:r>
      <w:r w:rsidRPr="008E048A">
        <w:rPr>
          <w:i/>
        </w:rPr>
        <w:t>mladistvých ve vykazovaném období / počet kalendářních dní ve</w:t>
      </w:r>
      <w:r w:rsidR="00F547BE">
        <w:rPr>
          <w:i/>
        </w:rPr>
        <w:t> </w:t>
      </w:r>
      <w:r w:rsidRPr="008E048A">
        <w:rPr>
          <w:i/>
        </w:rPr>
        <w:t>vykazovaném období.</w:t>
      </w:r>
    </w:p>
    <w:p w14:paraId="5F87ABF6" w14:textId="77777777" w:rsidR="002E5FCA" w:rsidRDefault="00493A71" w:rsidP="006624D2">
      <w:pPr>
        <w:spacing w:after="120"/>
        <w:jc w:val="both"/>
      </w:pPr>
      <w:r w:rsidRPr="00493A71">
        <w:t>V roce 201</w:t>
      </w:r>
      <w:r w:rsidR="00741ABE">
        <w:t>9</w:t>
      </w:r>
      <w:r w:rsidRPr="00493A71">
        <w:t xml:space="preserve"> bylo </w:t>
      </w:r>
      <w:r>
        <w:t xml:space="preserve">evidováno </w:t>
      </w:r>
      <w:r w:rsidRPr="00493A71">
        <w:t>1</w:t>
      </w:r>
      <w:r w:rsidR="00741ABE">
        <w:t>1,6</w:t>
      </w:r>
      <w:r w:rsidRPr="00493A71">
        <w:t xml:space="preserve"> tis. nemocensky pojištěných mladistvých,</w:t>
      </w:r>
      <w:r>
        <w:t xml:space="preserve"> tedy osob mladších 18 let. Na</w:t>
      </w:r>
      <w:r w:rsidR="00F547BE">
        <w:t> </w:t>
      </w:r>
      <w:r>
        <w:t>celkovém počtu pojištěnců se podíleli 0,2</w:t>
      </w:r>
      <w:r w:rsidR="00741ABE">
        <w:t>5</w:t>
      </w:r>
      <w:r>
        <w:t xml:space="preserve"> %. </w:t>
      </w:r>
      <w:r w:rsidR="000D281A">
        <w:t xml:space="preserve">Jejich počet meziročně </w:t>
      </w:r>
      <w:r w:rsidR="00741ABE">
        <w:t>klesl</w:t>
      </w:r>
      <w:r w:rsidR="000D281A">
        <w:t xml:space="preserve"> z</w:t>
      </w:r>
      <w:r w:rsidR="005E6145">
        <w:t> </w:t>
      </w:r>
      <w:r w:rsidR="000D281A">
        <w:t>1</w:t>
      </w:r>
      <w:r w:rsidR="005E6145">
        <w:t>2,7</w:t>
      </w:r>
      <w:r w:rsidR="000D281A">
        <w:t xml:space="preserve"> tisíc o 1,</w:t>
      </w:r>
      <w:r w:rsidR="00741ABE">
        <w:t>1</w:t>
      </w:r>
      <w:r w:rsidR="000D281A">
        <w:t xml:space="preserve"> tisíc, tj. o </w:t>
      </w:r>
      <w:r w:rsidR="006D26BD">
        <w:t>8,6</w:t>
      </w:r>
      <w:r w:rsidR="000D281A">
        <w:t> </w:t>
      </w:r>
      <w:r w:rsidR="00CB7336">
        <w:t>%</w:t>
      </w:r>
      <w:r w:rsidR="000D281A">
        <w:t>.</w:t>
      </w:r>
    </w:p>
    <w:p w14:paraId="1F0F4A0A" w14:textId="77777777" w:rsidR="002E5FCA" w:rsidRDefault="002E5FCA">
      <w:pPr>
        <w:spacing w:after="0" w:line="240" w:lineRule="auto"/>
      </w:pPr>
      <w:r>
        <w:br w:type="page"/>
      </w:r>
    </w:p>
    <w:p w14:paraId="442FA1CB" w14:textId="6009C109" w:rsidR="003C629F" w:rsidRDefault="003C629F" w:rsidP="002E5FCA">
      <w:pPr>
        <w:pStyle w:val="Nadpis2"/>
      </w:pPr>
      <w:bookmarkStart w:id="4" w:name="_Toc444112496"/>
      <w:bookmarkStart w:id="5" w:name="_Toc41558315"/>
      <w:r>
        <w:lastRenderedPageBreak/>
        <w:t>4.2 Nově hlášené případy dočasné pracovní neschopnosti</w:t>
      </w:r>
      <w:bookmarkEnd w:id="5"/>
    </w:p>
    <w:p w14:paraId="7E4F96EB" w14:textId="278FF6B2" w:rsidR="000D281A" w:rsidRDefault="000D281A" w:rsidP="00E438BC">
      <w:pPr>
        <w:spacing w:after="120"/>
        <w:jc w:val="both"/>
        <w:rPr>
          <w:rFonts w:cs="Arial"/>
        </w:rPr>
      </w:pPr>
      <w:r>
        <w:rPr>
          <w:rFonts w:cs="Arial"/>
        </w:rPr>
        <w:t>Vstupním zdrojem a podkladem pro zpracování dat této kapitoly jsou údaje o dočasné pracovní neschopnosti pro nemoc a úraz nahlášené České správě sociálního zabezpečení prostřednictvím</w:t>
      </w:r>
      <w:r w:rsidR="005E6145">
        <w:rPr>
          <w:rFonts w:cs="Arial"/>
        </w:rPr>
        <w:t xml:space="preserve"> </w:t>
      </w:r>
      <w:r>
        <w:rPr>
          <w:rFonts w:cs="Arial"/>
        </w:rPr>
        <w:t>„</w:t>
      </w:r>
      <w:r>
        <w:rPr>
          <w:rFonts w:cs="Arial"/>
          <w:i/>
        </w:rPr>
        <w:t>Rozhodnutí o dočasné pracovní neschopnosti</w:t>
      </w:r>
      <w:r>
        <w:rPr>
          <w:rFonts w:cs="Arial"/>
        </w:rPr>
        <w:t>“ (tzv. „neschopenka“</w:t>
      </w:r>
      <w:r w:rsidR="00CC0827">
        <w:rPr>
          <w:rFonts w:cs="Arial"/>
        </w:rPr>
        <w:t xml:space="preserve"> nebo eNeschopenka</w:t>
      </w:r>
      <w:r>
        <w:rPr>
          <w:rFonts w:cs="Arial"/>
        </w:rPr>
        <w:t>), kter</w:t>
      </w:r>
      <w:r w:rsidR="007716E5">
        <w:rPr>
          <w:rFonts w:cs="Arial"/>
        </w:rPr>
        <w:t>é</w:t>
      </w:r>
      <w:r>
        <w:rPr>
          <w:rFonts w:cs="Arial"/>
        </w:rPr>
        <w:t xml:space="preserve"> vyplňuje ošetřující lékař. </w:t>
      </w:r>
    </w:p>
    <w:p w14:paraId="7DB8AFE6" w14:textId="6F06D7F2" w:rsidR="00EE4B1B" w:rsidRDefault="003C629F" w:rsidP="00E438BC">
      <w:pPr>
        <w:pStyle w:val="Nadpis3"/>
      </w:pPr>
      <w:bookmarkStart w:id="6" w:name="_Toc41558316"/>
      <w:bookmarkEnd w:id="4"/>
      <w:r>
        <w:t>4.2.1 Počet případů dočasné pracovní neschopnosti</w:t>
      </w:r>
      <w:bookmarkEnd w:id="6"/>
    </w:p>
    <w:p w14:paraId="5C8B9C92" w14:textId="32F65E0D" w:rsidR="00E70927" w:rsidRDefault="00E70927" w:rsidP="00E438BC">
      <w:pPr>
        <w:spacing w:after="120"/>
        <w:jc w:val="both"/>
        <w:rPr>
          <w:bCs/>
        </w:rPr>
      </w:pPr>
      <w:r w:rsidRPr="00E438BC">
        <w:rPr>
          <w:b/>
        </w:rPr>
        <w:t xml:space="preserve">Četnost výskytu dočasné pracovní neschopnosti </w:t>
      </w:r>
      <w:r w:rsidR="005A6E76" w:rsidRPr="00E438BC">
        <w:rPr>
          <w:b/>
        </w:rPr>
        <w:t>(DPN)</w:t>
      </w:r>
      <w:r w:rsidR="005A6E76">
        <w:rPr>
          <w:bCs/>
        </w:rPr>
        <w:t xml:space="preserve"> </w:t>
      </w:r>
      <w:r>
        <w:rPr>
          <w:bCs/>
        </w:rPr>
        <w:t xml:space="preserve">odráží ukazatel počet nově hlášených případů pracovní neschopnosti. Tento absolutní ukazatel je rovněž vhodný pro posouzení trendů vývoje pracovní neschopnosti. Avšak z pohledu porovnání regionů, jednotlivých odvětví ekonomických činností či velikosti </w:t>
      </w:r>
      <w:r w:rsidR="00302114">
        <w:rPr>
          <w:bCs/>
        </w:rPr>
        <w:t xml:space="preserve">podniku </w:t>
      </w:r>
      <w:r>
        <w:rPr>
          <w:bCs/>
        </w:rPr>
        <w:t xml:space="preserve">má vyšší vypovídací schopnost </w:t>
      </w:r>
      <w:r w:rsidRPr="00E438BC">
        <w:rPr>
          <w:b/>
        </w:rPr>
        <w:t>ukazatel relativní</w:t>
      </w:r>
      <w:r>
        <w:rPr>
          <w:bCs/>
        </w:rPr>
        <w:t xml:space="preserve"> – počet nově hlášených případů pracovní neschopnosti na 100 pojištěnců</w:t>
      </w:r>
      <w:r w:rsidR="006D3235">
        <w:rPr>
          <w:bCs/>
        </w:rPr>
        <w:t xml:space="preserve"> v dané kategorii, např. ve zpracovatelském průmyslu, v malých podnicích</w:t>
      </w:r>
      <w:r w:rsidR="00302114">
        <w:rPr>
          <w:bCs/>
        </w:rPr>
        <w:t xml:space="preserve"> či konkrétním kraji</w:t>
      </w:r>
      <w:r>
        <w:rPr>
          <w:bCs/>
        </w:rPr>
        <w:t>.</w:t>
      </w:r>
    </w:p>
    <w:p w14:paraId="22F14055" w14:textId="1C3DC0C4" w:rsidR="00E438BC" w:rsidRPr="00E438BC" w:rsidRDefault="00A2036D" w:rsidP="006624D2">
      <w:pPr>
        <w:pStyle w:val="Box1"/>
        <w:spacing w:before="120" w:after="120"/>
        <w:ind w:left="0"/>
        <w:jc w:val="both"/>
        <w:rPr>
          <w:i/>
        </w:rPr>
      </w:pPr>
      <w:r w:rsidRPr="00A2036D">
        <w:rPr>
          <w:b/>
          <w:i/>
        </w:rPr>
        <w:t xml:space="preserve">Počet nově hlášených případů dočasné pracovní neschopnosti </w:t>
      </w:r>
      <w:r w:rsidR="003C629F" w:rsidRPr="00F46EA8">
        <w:rPr>
          <w:i/>
        </w:rPr>
        <w:t xml:space="preserve">– </w:t>
      </w:r>
      <w:r w:rsidR="00C53647">
        <w:rPr>
          <w:i/>
        </w:rPr>
        <w:t>ukazatel zahrnuje</w:t>
      </w:r>
      <w:r w:rsidRPr="00A2036D">
        <w:rPr>
          <w:i/>
        </w:rPr>
        <w:t xml:space="preserve"> nově hlášené případy pracovní neschopnosti ve sledovaném období na základě hlášení o vzniku pracovní neschopnosti nemocensky pojištěných osob.</w:t>
      </w:r>
    </w:p>
    <w:p w14:paraId="3E98C961" w14:textId="77777777" w:rsidR="00E438BC" w:rsidRPr="00E438BC" w:rsidRDefault="00E438BC" w:rsidP="00E438BC">
      <w:pPr>
        <w:pStyle w:val="Box1"/>
        <w:spacing w:before="120" w:after="60"/>
        <w:ind w:left="0"/>
        <w:jc w:val="both"/>
        <w:rPr>
          <w:b/>
          <w:i/>
          <w:sz w:val="16"/>
          <w:szCs w:val="16"/>
        </w:rPr>
      </w:pPr>
    </w:p>
    <w:p w14:paraId="45BF65D9" w14:textId="0818E869" w:rsidR="00A2036D" w:rsidRPr="00A2036D" w:rsidRDefault="00A2036D" w:rsidP="00E438BC">
      <w:pPr>
        <w:pStyle w:val="Box1"/>
        <w:spacing w:before="120" w:after="120"/>
        <w:ind w:left="0"/>
        <w:jc w:val="both"/>
        <w:rPr>
          <w:i/>
        </w:rPr>
      </w:pPr>
      <w:r w:rsidRPr="00A2036D">
        <w:rPr>
          <w:b/>
          <w:i/>
        </w:rPr>
        <w:t xml:space="preserve">Počet případů pracovní neschopnosti na 100 pojištěnců </w:t>
      </w:r>
      <w:r>
        <w:rPr>
          <w:i/>
        </w:rPr>
        <w:t>– u</w:t>
      </w:r>
      <w:r w:rsidRPr="00A2036D">
        <w:rPr>
          <w:i/>
        </w:rPr>
        <w:t>kazatel vyjadřuje počet nově hlášených případů pracovní neschopnosti, které připadají v průměru na 100 nemocensky pojištěných</w:t>
      </w:r>
      <w:r>
        <w:rPr>
          <w:i/>
        </w:rPr>
        <w:t xml:space="preserve"> osob</w:t>
      </w:r>
      <w:r w:rsidRPr="00A2036D">
        <w:rPr>
          <w:i/>
        </w:rPr>
        <w:t xml:space="preserve">. </w:t>
      </w:r>
    </w:p>
    <w:p w14:paraId="3F270437" w14:textId="4BD3BB46" w:rsidR="00E438BC" w:rsidRDefault="00C25159" w:rsidP="00E438BC">
      <w:pPr>
        <w:pStyle w:val="Titulek"/>
        <w:keepNext/>
        <w:spacing w:after="120" w:line="288" w:lineRule="auto"/>
        <w:jc w:val="both"/>
        <w:rPr>
          <w:i w:val="0"/>
          <w:color w:val="auto"/>
          <w:sz w:val="20"/>
        </w:rPr>
      </w:pPr>
      <w:r w:rsidRPr="00C25159">
        <w:rPr>
          <w:i w:val="0"/>
          <w:color w:val="auto"/>
          <w:sz w:val="20"/>
        </w:rPr>
        <w:t>V</w:t>
      </w:r>
      <w:r w:rsidR="00667CC8">
        <w:rPr>
          <w:i w:val="0"/>
          <w:color w:val="auto"/>
          <w:sz w:val="20"/>
        </w:rPr>
        <w:t> roce 201</w:t>
      </w:r>
      <w:r w:rsidR="00840BCB">
        <w:rPr>
          <w:i w:val="0"/>
          <w:color w:val="auto"/>
          <w:sz w:val="20"/>
        </w:rPr>
        <w:t>9</w:t>
      </w:r>
      <w:r w:rsidR="00667CC8">
        <w:rPr>
          <w:i w:val="0"/>
          <w:color w:val="auto"/>
          <w:sz w:val="20"/>
        </w:rPr>
        <w:t xml:space="preserve"> bylo zaznamenáno nejvíce případů pracovní neschopnosti za posledních deset let, a sice </w:t>
      </w:r>
      <w:r w:rsidR="00D1564B">
        <w:rPr>
          <w:i w:val="0"/>
          <w:color w:val="auto"/>
          <w:sz w:val="20"/>
        </w:rPr>
        <w:t>1 914,8</w:t>
      </w:r>
      <w:r w:rsidR="00812420">
        <w:rPr>
          <w:i w:val="0"/>
          <w:color w:val="auto"/>
          <w:sz w:val="20"/>
        </w:rPr>
        <w:t> </w:t>
      </w:r>
      <w:r w:rsidR="00667CC8">
        <w:rPr>
          <w:i w:val="0"/>
          <w:color w:val="auto"/>
          <w:sz w:val="20"/>
        </w:rPr>
        <w:t xml:space="preserve">tis. </w:t>
      </w:r>
      <w:r w:rsidR="00786ED5">
        <w:rPr>
          <w:i w:val="0"/>
          <w:color w:val="auto"/>
          <w:sz w:val="20"/>
        </w:rPr>
        <w:t>Meziročně d</w:t>
      </w:r>
      <w:r w:rsidR="00667CC8">
        <w:rPr>
          <w:i w:val="0"/>
          <w:color w:val="auto"/>
          <w:sz w:val="20"/>
        </w:rPr>
        <w:t xml:space="preserve">ošlo k nárůstu o </w:t>
      </w:r>
      <w:r w:rsidR="00D1564B">
        <w:rPr>
          <w:i w:val="0"/>
          <w:color w:val="auto"/>
          <w:sz w:val="20"/>
        </w:rPr>
        <w:t>65,3</w:t>
      </w:r>
      <w:r w:rsidR="00667CC8">
        <w:rPr>
          <w:i w:val="0"/>
          <w:color w:val="auto"/>
          <w:sz w:val="20"/>
        </w:rPr>
        <w:t xml:space="preserve"> tis, v relativním vyjádření o </w:t>
      </w:r>
      <w:r w:rsidR="00C334FD">
        <w:rPr>
          <w:i w:val="0"/>
          <w:color w:val="auto"/>
          <w:sz w:val="20"/>
        </w:rPr>
        <w:t>3,5</w:t>
      </w:r>
      <w:r w:rsidR="00667CC8">
        <w:rPr>
          <w:i w:val="0"/>
          <w:color w:val="auto"/>
          <w:sz w:val="20"/>
        </w:rPr>
        <w:t xml:space="preserve"> %. V</w:t>
      </w:r>
      <w:r w:rsidR="00E438BC">
        <w:rPr>
          <w:i w:val="0"/>
          <w:color w:val="auto"/>
          <w:sz w:val="20"/>
        </w:rPr>
        <w:t> 90 %</w:t>
      </w:r>
      <w:r w:rsidR="00667CC8">
        <w:rPr>
          <w:i w:val="0"/>
          <w:color w:val="auto"/>
          <w:sz w:val="20"/>
        </w:rPr>
        <w:t xml:space="preserve"> případů se jednalo o</w:t>
      </w:r>
      <w:r w:rsidR="00E438BC">
        <w:rPr>
          <w:i w:val="0"/>
          <w:color w:val="auto"/>
          <w:sz w:val="20"/>
        </w:rPr>
        <w:t> </w:t>
      </w:r>
      <w:r w:rsidR="00667CC8">
        <w:rPr>
          <w:i w:val="0"/>
          <w:color w:val="auto"/>
          <w:sz w:val="20"/>
        </w:rPr>
        <w:t xml:space="preserve">pracovní neschopnost z důvodu </w:t>
      </w:r>
      <w:r w:rsidR="00667CC8" w:rsidRPr="00E438BC">
        <w:rPr>
          <w:b/>
          <w:bCs/>
          <w:i w:val="0"/>
          <w:color w:val="auto"/>
          <w:sz w:val="20"/>
        </w:rPr>
        <w:t>nemoci</w:t>
      </w:r>
      <w:r w:rsidR="00E438BC" w:rsidRPr="00E438BC">
        <w:rPr>
          <w:i w:val="0"/>
          <w:color w:val="auto"/>
          <w:sz w:val="20"/>
        </w:rPr>
        <w:t>.</w:t>
      </w:r>
      <w:r w:rsidR="00667CC8" w:rsidRPr="00E438BC">
        <w:rPr>
          <w:i w:val="0"/>
          <w:color w:val="auto"/>
          <w:sz w:val="20"/>
        </w:rPr>
        <w:t xml:space="preserve"> </w:t>
      </w:r>
      <w:r w:rsidR="00E438BC">
        <w:rPr>
          <w:i w:val="0"/>
          <w:color w:val="auto"/>
          <w:sz w:val="20"/>
        </w:rPr>
        <w:t>V roce 2019 poprvé za posledních deset let překonal počet nahlášených pracovních neschopností pro nemoc hodnotu 1,7 mil. případů.</w:t>
      </w:r>
      <w:r w:rsidR="00667CC8">
        <w:rPr>
          <w:i w:val="0"/>
          <w:color w:val="auto"/>
          <w:sz w:val="20"/>
        </w:rPr>
        <w:t xml:space="preserve"> </w:t>
      </w:r>
      <w:r w:rsidR="00E438BC">
        <w:rPr>
          <w:i w:val="0"/>
          <w:color w:val="auto"/>
          <w:sz w:val="20"/>
        </w:rPr>
        <w:t xml:space="preserve">Meziročně jejich počet vzrostl o 3,7 %, což v absolutním vyjádření představuje nárůst o 60,9 tis. případů. </w:t>
      </w:r>
    </w:p>
    <w:p w14:paraId="69283CA9" w14:textId="46C32E04" w:rsidR="00667CC8" w:rsidRDefault="00744A49" w:rsidP="00E438BC">
      <w:pPr>
        <w:pStyle w:val="Titulek"/>
        <w:keepNext/>
        <w:spacing w:after="120" w:line="288" w:lineRule="auto"/>
        <w:jc w:val="both"/>
        <w:rPr>
          <w:i w:val="0"/>
          <w:color w:val="auto"/>
          <w:sz w:val="20"/>
        </w:rPr>
      </w:pPr>
      <w:r>
        <w:rPr>
          <w:i w:val="0"/>
          <w:color w:val="auto"/>
          <w:sz w:val="20"/>
        </w:rPr>
        <w:t>Oproti roku 201</w:t>
      </w:r>
      <w:r w:rsidR="00D1564B">
        <w:rPr>
          <w:i w:val="0"/>
          <w:color w:val="auto"/>
          <w:sz w:val="20"/>
        </w:rPr>
        <w:t>8</w:t>
      </w:r>
      <w:r>
        <w:rPr>
          <w:i w:val="0"/>
          <w:color w:val="auto"/>
          <w:sz w:val="20"/>
        </w:rPr>
        <w:t xml:space="preserve"> ubylo </w:t>
      </w:r>
      <w:r w:rsidR="00C334FD">
        <w:rPr>
          <w:i w:val="0"/>
          <w:color w:val="auto"/>
          <w:sz w:val="20"/>
        </w:rPr>
        <w:t xml:space="preserve">o 1,6 tis. (3,5 %) </w:t>
      </w:r>
      <w:r w:rsidRPr="00E438BC">
        <w:rPr>
          <w:b/>
          <w:bCs/>
          <w:i w:val="0"/>
          <w:color w:val="auto"/>
          <w:sz w:val="20"/>
        </w:rPr>
        <w:t>p</w:t>
      </w:r>
      <w:r w:rsidR="00667CC8" w:rsidRPr="00E438BC">
        <w:rPr>
          <w:b/>
          <w:bCs/>
          <w:i w:val="0"/>
          <w:color w:val="auto"/>
          <w:sz w:val="20"/>
        </w:rPr>
        <w:t xml:space="preserve">racovních </w:t>
      </w:r>
      <w:r w:rsidRPr="00E438BC">
        <w:rPr>
          <w:b/>
          <w:bCs/>
          <w:i w:val="0"/>
          <w:color w:val="auto"/>
          <w:sz w:val="20"/>
        </w:rPr>
        <w:t>úrazů</w:t>
      </w:r>
      <w:r>
        <w:rPr>
          <w:i w:val="0"/>
          <w:color w:val="auto"/>
          <w:sz w:val="20"/>
        </w:rPr>
        <w:t xml:space="preserve"> na </w:t>
      </w:r>
      <w:r w:rsidR="00D1564B">
        <w:rPr>
          <w:i w:val="0"/>
          <w:color w:val="auto"/>
          <w:sz w:val="20"/>
        </w:rPr>
        <w:t>44,6</w:t>
      </w:r>
      <w:r>
        <w:rPr>
          <w:i w:val="0"/>
          <w:color w:val="auto"/>
          <w:sz w:val="20"/>
        </w:rPr>
        <w:t xml:space="preserve"> tis.</w:t>
      </w:r>
      <w:r w:rsidR="00513C1E">
        <w:rPr>
          <w:i w:val="0"/>
          <w:color w:val="auto"/>
          <w:sz w:val="20"/>
        </w:rPr>
        <w:t xml:space="preserve"> </w:t>
      </w:r>
      <w:r w:rsidR="00C334FD">
        <w:rPr>
          <w:i w:val="0"/>
          <w:color w:val="auto"/>
          <w:sz w:val="20"/>
        </w:rPr>
        <w:t xml:space="preserve">Tyto úrazy tak v roce 2019 tvořily </w:t>
      </w:r>
      <w:r w:rsidR="00513C1E">
        <w:rPr>
          <w:i w:val="0"/>
          <w:color w:val="auto"/>
          <w:sz w:val="20"/>
        </w:rPr>
        <w:t>2</w:t>
      </w:r>
      <w:r w:rsidR="00C334FD">
        <w:rPr>
          <w:i w:val="0"/>
          <w:color w:val="auto"/>
          <w:sz w:val="20"/>
        </w:rPr>
        <w:t>,3</w:t>
      </w:r>
      <w:r w:rsidR="00E438BC">
        <w:rPr>
          <w:i w:val="0"/>
          <w:color w:val="auto"/>
          <w:sz w:val="20"/>
        </w:rPr>
        <w:t> </w:t>
      </w:r>
      <w:r w:rsidR="00513C1E">
        <w:rPr>
          <w:i w:val="0"/>
          <w:color w:val="auto"/>
          <w:sz w:val="20"/>
        </w:rPr>
        <w:t xml:space="preserve">% všech </w:t>
      </w:r>
      <w:r w:rsidR="00C334FD">
        <w:rPr>
          <w:i w:val="0"/>
          <w:color w:val="auto"/>
          <w:sz w:val="20"/>
        </w:rPr>
        <w:t xml:space="preserve">nově hlášených </w:t>
      </w:r>
      <w:r w:rsidR="00513C1E">
        <w:rPr>
          <w:i w:val="0"/>
          <w:color w:val="auto"/>
          <w:sz w:val="20"/>
        </w:rPr>
        <w:t>případů</w:t>
      </w:r>
      <w:r w:rsidR="00C334FD">
        <w:rPr>
          <w:i w:val="0"/>
          <w:color w:val="auto"/>
          <w:sz w:val="20"/>
        </w:rPr>
        <w:t xml:space="preserve"> dočasné pracovní neschopnosti</w:t>
      </w:r>
      <w:r w:rsidR="00513C1E">
        <w:rPr>
          <w:i w:val="0"/>
          <w:color w:val="auto"/>
          <w:sz w:val="20"/>
        </w:rPr>
        <w:t xml:space="preserve">. </w:t>
      </w:r>
      <w:r>
        <w:rPr>
          <w:i w:val="0"/>
          <w:color w:val="auto"/>
          <w:sz w:val="20"/>
        </w:rPr>
        <w:t xml:space="preserve">Naopak </w:t>
      </w:r>
      <w:r w:rsidR="00C334FD">
        <w:rPr>
          <w:i w:val="0"/>
          <w:color w:val="auto"/>
          <w:sz w:val="20"/>
        </w:rPr>
        <w:t xml:space="preserve">meziročně o 3,9 % </w:t>
      </w:r>
      <w:r>
        <w:rPr>
          <w:i w:val="0"/>
          <w:color w:val="auto"/>
          <w:sz w:val="20"/>
        </w:rPr>
        <w:t xml:space="preserve">vzrostl počet </w:t>
      </w:r>
      <w:r w:rsidR="001033B0">
        <w:rPr>
          <w:i w:val="0"/>
          <w:color w:val="auto"/>
          <w:sz w:val="20"/>
        </w:rPr>
        <w:t>ne</w:t>
      </w:r>
      <w:r w:rsidR="00017063">
        <w:rPr>
          <w:i w:val="0"/>
          <w:color w:val="auto"/>
          <w:sz w:val="20"/>
        </w:rPr>
        <w:t>pracovních úrazů</w:t>
      </w:r>
      <w:r>
        <w:rPr>
          <w:i w:val="0"/>
          <w:color w:val="auto"/>
          <w:sz w:val="20"/>
        </w:rPr>
        <w:t>, ze 1</w:t>
      </w:r>
      <w:r w:rsidR="00D1564B">
        <w:rPr>
          <w:i w:val="0"/>
          <w:color w:val="auto"/>
          <w:sz w:val="20"/>
        </w:rPr>
        <w:t>53</w:t>
      </w:r>
      <w:r w:rsidR="00812420">
        <w:rPr>
          <w:i w:val="0"/>
          <w:color w:val="auto"/>
          <w:sz w:val="20"/>
        </w:rPr>
        <w:t> </w:t>
      </w:r>
      <w:r>
        <w:rPr>
          <w:i w:val="0"/>
          <w:color w:val="auto"/>
          <w:sz w:val="20"/>
        </w:rPr>
        <w:t>tis. na 15</w:t>
      </w:r>
      <w:r w:rsidR="00D1564B">
        <w:rPr>
          <w:i w:val="0"/>
          <w:color w:val="auto"/>
          <w:sz w:val="20"/>
        </w:rPr>
        <w:t>9</w:t>
      </w:r>
      <w:r>
        <w:rPr>
          <w:i w:val="0"/>
          <w:color w:val="auto"/>
          <w:sz w:val="20"/>
        </w:rPr>
        <w:t xml:space="preserve"> tis.</w:t>
      </w:r>
      <w:r w:rsidR="00C334FD">
        <w:rPr>
          <w:i w:val="0"/>
          <w:color w:val="auto"/>
          <w:sz w:val="20"/>
        </w:rPr>
        <w:t xml:space="preserve"> V roce 2019 nepracovní úrazy</w:t>
      </w:r>
      <w:r w:rsidR="0045021E">
        <w:rPr>
          <w:i w:val="0"/>
          <w:color w:val="auto"/>
          <w:sz w:val="20"/>
        </w:rPr>
        <w:t xml:space="preserve"> představovaly</w:t>
      </w:r>
      <w:r w:rsidR="00875B30">
        <w:rPr>
          <w:i w:val="0"/>
          <w:color w:val="auto"/>
          <w:sz w:val="20"/>
        </w:rPr>
        <w:t xml:space="preserve"> příčinu</w:t>
      </w:r>
      <w:r w:rsidR="00C334FD">
        <w:rPr>
          <w:i w:val="0"/>
          <w:color w:val="auto"/>
          <w:sz w:val="20"/>
        </w:rPr>
        <w:t xml:space="preserve"> 8,3 %</w:t>
      </w:r>
      <w:r w:rsidR="00513C1E">
        <w:rPr>
          <w:i w:val="0"/>
          <w:color w:val="auto"/>
          <w:sz w:val="20"/>
        </w:rPr>
        <w:t xml:space="preserve"> ze všech pracovních neschopností</w:t>
      </w:r>
      <w:r w:rsidR="00C334FD">
        <w:rPr>
          <w:i w:val="0"/>
          <w:color w:val="auto"/>
          <w:sz w:val="20"/>
        </w:rPr>
        <w:t xml:space="preserve"> </w:t>
      </w:r>
      <w:r w:rsidR="00875B30">
        <w:rPr>
          <w:i w:val="0"/>
          <w:color w:val="auto"/>
          <w:sz w:val="20"/>
        </w:rPr>
        <w:t>(</w:t>
      </w:r>
      <w:r w:rsidR="00C334FD">
        <w:rPr>
          <w:i w:val="0"/>
          <w:color w:val="auto"/>
          <w:sz w:val="20"/>
        </w:rPr>
        <w:t>v roce 2010 to bylo 6,</w:t>
      </w:r>
      <w:r w:rsidR="0045021E">
        <w:rPr>
          <w:i w:val="0"/>
          <w:color w:val="auto"/>
          <w:sz w:val="20"/>
        </w:rPr>
        <w:t>4</w:t>
      </w:r>
      <w:r w:rsidR="00C334FD">
        <w:rPr>
          <w:i w:val="0"/>
          <w:color w:val="auto"/>
          <w:sz w:val="20"/>
        </w:rPr>
        <w:t> %</w:t>
      </w:r>
      <w:r w:rsidR="00875B30">
        <w:rPr>
          <w:i w:val="0"/>
          <w:color w:val="auto"/>
          <w:sz w:val="20"/>
        </w:rPr>
        <w:t>)</w:t>
      </w:r>
      <w:r w:rsidR="00513C1E">
        <w:rPr>
          <w:i w:val="0"/>
          <w:color w:val="auto"/>
          <w:sz w:val="20"/>
        </w:rPr>
        <w:t>.</w:t>
      </w:r>
    </w:p>
    <w:p w14:paraId="50F421AF" w14:textId="64EA7112" w:rsidR="0045021E" w:rsidRPr="00E438BC" w:rsidRDefault="0045021E" w:rsidP="00CA6C66">
      <w:pPr>
        <w:pStyle w:val="Titulek"/>
        <w:keepNext/>
        <w:spacing w:after="60"/>
        <w:jc w:val="both"/>
        <w:rPr>
          <w:b/>
          <w:i w:val="0"/>
          <w:color w:val="auto"/>
          <w:spacing w:val="-4"/>
          <w:sz w:val="20"/>
        </w:rPr>
      </w:pPr>
      <w:bookmarkStart w:id="7" w:name="_Toc10112620"/>
      <w:r w:rsidRPr="00E438BC">
        <w:rPr>
          <w:b/>
          <w:i w:val="0"/>
          <w:color w:val="auto"/>
          <w:spacing w:val="-4"/>
          <w:sz w:val="20"/>
        </w:rPr>
        <w:t xml:space="preserve">Tab. </w:t>
      </w:r>
      <w:r w:rsidRPr="00E438BC">
        <w:rPr>
          <w:b/>
          <w:i w:val="0"/>
          <w:color w:val="auto"/>
          <w:spacing w:val="-4"/>
          <w:sz w:val="20"/>
        </w:rPr>
        <w:fldChar w:fldCharType="begin"/>
      </w:r>
      <w:r w:rsidRPr="00E438BC">
        <w:rPr>
          <w:b/>
          <w:i w:val="0"/>
          <w:color w:val="auto"/>
          <w:spacing w:val="-4"/>
          <w:sz w:val="20"/>
        </w:rPr>
        <w:instrText xml:space="preserve"> SEQ Tabulka \* ARABIC </w:instrText>
      </w:r>
      <w:r w:rsidRPr="00E438BC">
        <w:rPr>
          <w:b/>
          <w:i w:val="0"/>
          <w:color w:val="auto"/>
          <w:spacing w:val="-4"/>
          <w:sz w:val="20"/>
        </w:rPr>
        <w:fldChar w:fldCharType="separate"/>
      </w:r>
      <w:r w:rsidR="00FF7036">
        <w:rPr>
          <w:b/>
          <w:i w:val="0"/>
          <w:noProof/>
          <w:color w:val="auto"/>
          <w:spacing w:val="-4"/>
          <w:sz w:val="20"/>
        </w:rPr>
        <w:t>2</w:t>
      </w:r>
      <w:r w:rsidRPr="00E438BC">
        <w:rPr>
          <w:b/>
          <w:i w:val="0"/>
          <w:color w:val="auto"/>
          <w:spacing w:val="-4"/>
          <w:sz w:val="20"/>
        </w:rPr>
        <w:fldChar w:fldCharType="end"/>
      </w:r>
      <w:r w:rsidRPr="00E438BC">
        <w:rPr>
          <w:b/>
          <w:i w:val="0"/>
          <w:color w:val="auto"/>
          <w:spacing w:val="-4"/>
          <w:sz w:val="20"/>
        </w:rPr>
        <w:t>.1: Nově hlášené případy dočasné pracovní neschopnosti podle příčiny a pohlaví</w:t>
      </w:r>
      <w:r w:rsidR="00E90DD3" w:rsidRPr="00E438BC">
        <w:rPr>
          <w:b/>
          <w:i w:val="0"/>
          <w:color w:val="auto"/>
          <w:spacing w:val="-4"/>
          <w:sz w:val="20"/>
        </w:rPr>
        <w:t>,</w:t>
      </w:r>
      <w:r w:rsidRPr="00E438BC">
        <w:rPr>
          <w:b/>
          <w:i w:val="0"/>
          <w:color w:val="auto"/>
          <w:spacing w:val="-4"/>
          <w:sz w:val="20"/>
        </w:rPr>
        <w:t xml:space="preserve"> 2009–2019</w:t>
      </w:r>
      <w:r w:rsidR="00101F03" w:rsidRPr="00E438BC">
        <w:rPr>
          <w:b/>
          <w:i w:val="0"/>
          <w:color w:val="auto"/>
          <w:spacing w:val="-4"/>
          <w:sz w:val="20"/>
        </w:rPr>
        <w:t xml:space="preserve"> </w:t>
      </w:r>
      <w:r w:rsidRPr="00E438BC">
        <w:rPr>
          <w:b/>
          <w:i w:val="0"/>
          <w:color w:val="auto"/>
          <w:spacing w:val="-4"/>
          <w:sz w:val="20"/>
        </w:rPr>
        <w:t>(v tis.)</w:t>
      </w:r>
      <w:bookmarkEnd w:id="7"/>
    </w:p>
    <w:tbl>
      <w:tblPr>
        <w:tblW w:w="96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6"/>
        <w:gridCol w:w="851"/>
        <w:gridCol w:w="709"/>
        <w:gridCol w:w="709"/>
        <w:gridCol w:w="850"/>
        <w:gridCol w:w="709"/>
        <w:gridCol w:w="709"/>
        <w:gridCol w:w="850"/>
        <w:gridCol w:w="709"/>
        <w:gridCol w:w="709"/>
        <w:gridCol w:w="850"/>
        <w:gridCol w:w="709"/>
        <w:gridCol w:w="709"/>
      </w:tblGrid>
      <w:tr w:rsidR="0045021E" w:rsidRPr="00BB2E1C" w14:paraId="7125B267" w14:textId="77777777" w:rsidTr="007716E5">
        <w:trPr>
          <w:trHeight w:val="340"/>
        </w:trPr>
        <w:tc>
          <w:tcPr>
            <w:tcW w:w="566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EC9AAB4" w14:textId="3AEFBAD2" w:rsidR="0045021E" w:rsidRPr="00BB2E1C" w:rsidRDefault="0045021E" w:rsidP="0045021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Rok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9A6954F" w14:textId="77777777" w:rsidR="0045021E" w:rsidRPr="00E438BC" w:rsidRDefault="0045021E" w:rsidP="00101F03">
            <w:pPr>
              <w:spacing w:after="0" w:line="240" w:lineRule="auto"/>
              <w:jc w:val="center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E438BC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56BAA9F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1F18DF4" w14:textId="3C1A18EF" w:rsidR="0045021E" w:rsidRDefault="00101F03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</w:t>
            </w:r>
            <w:r w:rsidR="0045021E" w:rsidRPr="00BB2E1C">
              <w:rPr>
                <w:rFonts w:cs="Arial"/>
                <w:color w:val="000000"/>
                <w:sz w:val="16"/>
                <w:szCs w:val="16"/>
              </w:rPr>
              <w:t xml:space="preserve">ro </w:t>
            </w:r>
          </w:p>
          <w:p w14:paraId="5ADFB83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nemoc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53ABB38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8374D2B" w14:textId="0C2F0912" w:rsidR="0045021E" w:rsidRPr="00BB2E1C" w:rsidRDefault="00101F03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Pro</w:t>
            </w:r>
            <w:r w:rsidR="0045021E" w:rsidRPr="00BB2E1C">
              <w:rPr>
                <w:rFonts w:cs="Arial"/>
                <w:color w:val="000000"/>
                <w:sz w:val="16"/>
                <w:szCs w:val="16"/>
              </w:rPr>
              <w:t xml:space="preserve"> pracovní úrazy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00" w:fill="F2DBDB"/>
            <w:vAlign w:val="center"/>
            <w:hideMark/>
          </w:tcPr>
          <w:p w14:paraId="2C984C6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85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F1F43EF" w14:textId="1ECE5180" w:rsidR="0045021E" w:rsidRDefault="00101F03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Pro</w:t>
            </w:r>
          </w:p>
          <w:p w14:paraId="7D7DF76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ostatní úrazy</w:t>
            </w:r>
          </w:p>
        </w:tc>
        <w:tc>
          <w:tcPr>
            <w:tcW w:w="1418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6488DA2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</w:tr>
      <w:tr w:rsidR="0045021E" w:rsidRPr="00BB2E1C" w14:paraId="2AF90C43" w14:textId="77777777" w:rsidTr="00E438BC">
        <w:trPr>
          <w:trHeight w:val="340"/>
        </w:trPr>
        <w:tc>
          <w:tcPr>
            <w:tcW w:w="566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4E3A0803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235238D4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45AD96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C53540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3CC7ECB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729063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BDF547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850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1B89B86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23316E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D038B9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850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7C0F05AE" w14:textId="77777777" w:rsidR="0045021E" w:rsidRPr="00BB2E1C" w:rsidRDefault="0045021E" w:rsidP="00101F03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759DEA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7DBF324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</w:tr>
      <w:tr w:rsidR="0045021E" w:rsidRPr="00BB2E1C" w14:paraId="3B605B5F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835F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2009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1C07F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1 441,5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6AA5D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694,3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9D0E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747,2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80CC1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1 305,5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219C5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599,4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76AEB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706,2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1A3DF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6D94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8A88B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AC452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85,8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E5AD2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2F9B2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</w:tr>
      <w:tr w:rsidR="0045021E" w:rsidRPr="00BB2E1C" w14:paraId="4F69D3B6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A9E1F6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2010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8A99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1 324,9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FEA53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642,7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16663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682,2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5BF71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1 188,0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220BA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548,6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62CF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639,4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88A3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FC96C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53084B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15,0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5F499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85,3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966CF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DFDE8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</w:tr>
      <w:tr w:rsidR="0045021E" w:rsidRPr="00BB2E1C" w14:paraId="79CC251D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EBDD1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8C708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1 268,8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C5A9F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605,1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16F23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663,7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67D9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1 144,5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1C2B3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519,2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B2F3B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625,3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D5ED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B6AD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EF928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13,5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D6052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77,1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8FE85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52,3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D1C05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</w:tr>
      <w:tr w:rsidR="0045021E" w:rsidRPr="00BB2E1C" w14:paraId="0AFED1B3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B8B82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2012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7CA7B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1 226,9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B46F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593,7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1E34C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633,2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DC191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1 067,3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BBCD9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485,9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CBF1B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581,4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44EE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5486F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CCB1D8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12,7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38B5C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A2AF8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76,4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34507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</w:tr>
      <w:tr w:rsidR="0045021E" w:rsidRPr="00BB2E1C" w14:paraId="1111C3B9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CBF80F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C4564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1 331,5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DEEA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638,2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28695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693,3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EC43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1 168,1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9A4AF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528,7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3BEA6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639,4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9B91F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3B547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4721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397E7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B4CE0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79,1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51C57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41,4</w:t>
            </w:r>
          </w:p>
        </w:tc>
      </w:tr>
      <w:tr w:rsidR="0045021E" w:rsidRPr="00BB2E1C" w14:paraId="122E5C9A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8E40F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5FE6E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1 314,8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2A005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631,7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5CBE8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683,1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6640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1 146,3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37A38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518,5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8A379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627,8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8417E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96475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3BE4F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13,3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CCBF0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123,4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7C8AEA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81,5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8E1315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42,0</w:t>
            </w:r>
          </w:p>
        </w:tc>
      </w:tr>
      <w:tr w:rsidR="0045021E" w:rsidRPr="00BB2E1C" w14:paraId="1FDAFE8A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A347C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2015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0664BA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1 563,5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532AE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751,8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FA2D3F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811,7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A9721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1 383,9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8B606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632,6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4FF480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751,3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7A4BB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46,3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7A74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9891E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2124B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133,3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8AD20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87,0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A93EC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46,2</w:t>
            </w:r>
          </w:p>
        </w:tc>
      </w:tr>
      <w:tr w:rsidR="0045021E" w:rsidRPr="00BB2E1C" w14:paraId="17506756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63B33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DF694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1 633,3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D76F6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784,1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9F11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849,3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024F5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1 440,9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AA12C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658,2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9FE85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782,7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A0147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3EC79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ADC7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14,8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7C1E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145,0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8789F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93,2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C5E0D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51,8</w:t>
            </w:r>
          </w:p>
        </w:tc>
      </w:tr>
      <w:tr w:rsidR="0045021E" w:rsidRPr="00BB2E1C" w14:paraId="3C149515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991B0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2017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F55C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1 707,5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7B8D6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814,5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1EBFFB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893,0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BE90E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1 510,9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CAFF2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687,8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AB95A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823,1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99AFC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F9BD17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D7D3A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DE8AC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149,1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7EAC1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94,1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DBAD1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55,1</w:t>
            </w:r>
          </w:p>
        </w:tc>
      </w:tr>
      <w:tr w:rsidR="0045021E" w:rsidRPr="00BB2E1C" w14:paraId="1357206C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A80B9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D1E15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1 849,5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BDE0A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874,3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5F5229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975,2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DFC86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1 650,3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19267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746,8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E64D1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903,5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278634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46,2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544A7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A6FD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110BB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153,0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CB7AF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96,1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388BC8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</w:tr>
      <w:tr w:rsidR="0045021E" w:rsidRPr="00BB2E1C" w14:paraId="74E2E503" w14:textId="77777777" w:rsidTr="00E438BC">
        <w:trPr>
          <w:trHeight w:val="340"/>
        </w:trPr>
        <w:tc>
          <w:tcPr>
            <w:tcW w:w="566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837B8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265E3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1 914,8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F8D64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902,3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40E5B0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1 012,5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87BD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1 711,2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4888E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772,9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A77D0F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938,3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75A19C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C5AC93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7A4125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14,5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21F5B2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159,0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DB6B8D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99,3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BA01C6" w14:textId="77777777" w:rsidR="0045021E" w:rsidRPr="00BB2E1C" w:rsidRDefault="0045021E" w:rsidP="00101F03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BB2E1C">
              <w:rPr>
                <w:rFonts w:cs="Arial"/>
                <w:color w:val="000000"/>
                <w:sz w:val="16"/>
                <w:szCs w:val="16"/>
              </w:rPr>
              <w:t>59,7</w:t>
            </w:r>
          </w:p>
        </w:tc>
      </w:tr>
    </w:tbl>
    <w:p w14:paraId="139F7346" w14:textId="54086C41" w:rsidR="0045021E" w:rsidRPr="000D6F5B" w:rsidRDefault="0045021E" w:rsidP="00AB06D1">
      <w:pPr>
        <w:spacing w:before="60" w:after="120"/>
        <w:jc w:val="both"/>
        <w:rPr>
          <w:rFonts w:cs="Arial"/>
          <w:sz w:val="18"/>
          <w:szCs w:val="18"/>
        </w:rPr>
      </w:pPr>
      <w:r w:rsidRPr="000D6F5B">
        <w:rPr>
          <w:rFonts w:cs="Arial"/>
          <w:sz w:val="18"/>
          <w:szCs w:val="18"/>
        </w:rPr>
        <w:t>Zdroj: ČSÚ</w:t>
      </w:r>
    </w:p>
    <w:p w14:paraId="27B0EDDD" w14:textId="0D91B8C0" w:rsidR="006D3235" w:rsidRDefault="00017063" w:rsidP="00AB06D1">
      <w:pPr>
        <w:spacing w:after="120"/>
        <w:jc w:val="both"/>
        <w:rPr>
          <w:rFonts w:cs="Arial"/>
        </w:rPr>
      </w:pPr>
      <w:r>
        <w:t xml:space="preserve">Častěji nastupovaly do pracovní neschopnosti tradičně </w:t>
      </w:r>
      <w:r w:rsidRPr="00AB06D1">
        <w:rPr>
          <w:b/>
          <w:bCs/>
        </w:rPr>
        <w:t>ženy</w:t>
      </w:r>
      <w:r w:rsidR="00D1564B">
        <w:t xml:space="preserve">. V roce 2019 překročil počet </w:t>
      </w:r>
      <w:r w:rsidR="000D6F5B">
        <w:t xml:space="preserve">jejich </w:t>
      </w:r>
      <w:r w:rsidR="00D1564B">
        <w:t>případů milion, konkrétně bylo nahlášeno 1 012,5 tis.</w:t>
      </w:r>
      <w:r w:rsidR="000D6F5B">
        <w:t xml:space="preserve"> neschopenek</w:t>
      </w:r>
      <w:r w:rsidR="00A166F4">
        <w:t xml:space="preserve"> žen</w:t>
      </w:r>
      <w:r w:rsidR="000D6F5B">
        <w:t>.</w:t>
      </w:r>
      <w:r w:rsidR="00157E96">
        <w:t xml:space="preserve"> </w:t>
      </w:r>
      <w:r w:rsidR="00513C1E">
        <w:t>M</w:t>
      </w:r>
      <w:r w:rsidR="00157E96">
        <w:t xml:space="preserve">uži </w:t>
      </w:r>
      <w:r w:rsidR="00513C1E">
        <w:t>šli na</w:t>
      </w:r>
      <w:r w:rsidR="00F547BE">
        <w:t> </w:t>
      </w:r>
      <w:r w:rsidR="00513C1E">
        <w:t>neschopenku v</w:t>
      </w:r>
      <w:r w:rsidR="00D1564B">
        <w:t> 902,3</w:t>
      </w:r>
      <w:r w:rsidR="00157E96">
        <w:t xml:space="preserve"> tis.</w:t>
      </w:r>
      <w:r w:rsidR="00513C1E">
        <w:t xml:space="preserve"> případů a</w:t>
      </w:r>
      <w:r w:rsidR="00812420">
        <w:t> </w:t>
      </w:r>
      <w:r w:rsidR="00513C1E">
        <w:t xml:space="preserve">zaujímali tak 47 % všech pracovních neschopností. </w:t>
      </w:r>
      <w:r w:rsidR="009343D6">
        <w:t>Ženy vykazovaly o 16</w:t>
      </w:r>
      <w:r w:rsidR="00D1564B">
        <w:t>5</w:t>
      </w:r>
      <w:r w:rsidR="009343D6">
        <w:t xml:space="preserve"> tis. případů dočasné pracovní neschopnosti </w:t>
      </w:r>
      <w:r w:rsidR="009343D6" w:rsidRPr="006D3235">
        <w:rPr>
          <w:b/>
        </w:rPr>
        <w:t>pro nemoc</w:t>
      </w:r>
      <w:r w:rsidR="009343D6">
        <w:t xml:space="preserve"> více než muži. </w:t>
      </w:r>
      <w:r w:rsidR="009343D6" w:rsidRPr="003E6827">
        <w:rPr>
          <w:rFonts w:cs="Arial"/>
        </w:rPr>
        <w:t xml:space="preserve">Vyšší podíl žen na </w:t>
      </w:r>
      <w:r w:rsidR="009343D6">
        <w:rPr>
          <w:rFonts w:cs="Arial"/>
        </w:rPr>
        <w:t>pracovní neschopnosti pro nemoc</w:t>
      </w:r>
      <w:r w:rsidR="009343D6" w:rsidRPr="003E6827">
        <w:rPr>
          <w:rFonts w:cs="Arial"/>
        </w:rPr>
        <w:t xml:space="preserve"> může </w:t>
      </w:r>
      <w:r w:rsidR="00AB06D1">
        <w:rPr>
          <w:rFonts w:cs="Arial"/>
        </w:rPr>
        <w:t xml:space="preserve">částečně </w:t>
      </w:r>
      <w:r w:rsidR="009343D6" w:rsidRPr="003E6827">
        <w:rPr>
          <w:rFonts w:cs="Arial"/>
        </w:rPr>
        <w:lastRenderedPageBreak/>
        <w:t xml:space="preserve">souviset </w:t>
      </w:r>
      <w:r w:rsidR="00AB06D1">
        <w:rPr>
          <w:rFonts w:cs="Arial"/>
        </w:rPr>
        <w:t xml:space="preserve">i </w:t>
      </w:r>
      <w:r w:rsidR="009343D6" w:rsidRPr="003E6827">
        <w:rPr>
          <w:rFonts w:cs="Arial"/>
        </w:rPr>
        <w:t xml:space="preserve">s mateřskou úlohou žen, u nichž </w:t>
      </w:r>
      <w:r w:rsidR="00D1564B">
        <w:rPr>
          <w:rFonts w:cs="Arial"/>
        </w:rPr>
        <w:t>jsou</w:t>
      </w:r>
      <w:r w:rsidR="009343D6" w:rsidRPr="003E6827">
        <w:rPr>
          <w:rFonts w:cs="Arial"/>
        </w:rPr>
        <w:t xml:space="preserve"> důvodem pracovní neschopnosti také komplikace v</w:t>
      </w:r>
      <w:r w:rsidR="00D1564B">
        <w:rPr>
          <w:rFonts w:cs="Arial"/>
        </w:rPr>
        <w:t> </w:t>
      </w:r>
      <w:r w:rsidR="009343D6" w:rsidRPr="003E6827">
        <w:rPr>
          <w:rFonts w:cs="Arial"/>
        </w:rPr>
        <w:t>těhotenství</w:t>
      </w:r>
      <w:r w:rsidR="00D1564B">
        <w:rPr>
          <w:rFonts w:cs="Arial"/>
        </w:rPr>
        <w:t>.</w:t>
      </w:r>
    </w:p>
    <w:p w14:paraId="1EA034DE" w14:textId="5FA45B8B" w:rsidR="009343D6" w:rsidRDefault="009343D6" w:rsidP="00AB06D1">
      <w:pPr>
        <w:spacing w:after="120"/>
        <w:jc w:val="both"/>
      </w:pPr>
      <w:r w:rsidRPr="003E6827">
        <w:rPr>
          <w:rFonts w:cs="Arial"/>
        </w:rPr>
        <w:t xml:space="preserve">Z celkového počtu nově hlášených případů </w:t>
      </w:r>
      <w:r w:rsidRPr="006D3235">
        <w:rPr>
          <w:rFonts w:cs="Arial"/>
          <w:b/>
        </w:rPr>
        <w:t>pro pracovní úrazy</w:t>
      </w:r>
      <w:r w:rsidRPr="003E6827">
        <w:rPr>
          <w:rFonts w:cs="Arial"/>
        </w:rPr>
        <w:t xml:space="preserve"> připad</w:t>
      </w:r>
      <w:r w:rsidR="006D3235">
        <w:rPr>
          <w:rFonts w:cs="Arial"/>
        </w:rPr>
        <w:t>al</w:t>
      </w:r>
      <w:r w:rsidR="00AB06D1">
        <w:rPr>
          <w:rFonts w:cs="Arial"/>
        </w:rPr>
        <w:t>a</w:t>
      </w:r>
      <w:r w:rsidR="006D3235">
        <w:rPr>
          <w:rFonts w:cs="Arial"/>
        </w:rPr>
        <w:t xml:space="preserve"> v roce 201</w:t>
      </w:r>
      <w:r w:rsidR="003B17BF">
        <w:rPr>
          <w:rFonts w:cs="Arial"/>
        </w:rPr>
        <w:t>9</w:t>
      </w:r>
      <w:r w:rsidRPr="003E6827">
        <w:rPr>
          <w:rFonts w:cs="Arial"/>
        </w:rPr>
        <w:t xml:space="preserve"> na ženy pouze </w:t>
      </w:r>
      <w:r w:rsidR="00AB06D1">
        <w:rPr>
          <w:rFonts w:cs="Arial"/>
        </w:rPr>
        <w:t>třetina. Tato skutečnost</w:t>
      </w:r>
      <w:r w:rsidRPr="003E6827">
        <w:rPr>
          <w:rFonts w:cs="Arial"/>
        </w:rPr>
        <w:t xml:space="preserve"> je dán</w:t>
      </w:r>
      <w:r w:rsidR="00AB06D1">
        <w:rPr>
          <w:rFonts w:cs="Arial"/>
        </w:rPr>
        <w:t>a</w:t>
      </w:r>
      <w:r w:rsidRPr="003E6827">
        <w:rPr>
          <w:rFonts w:cs="Arial"/>
        </w:rPr>
        <w:t xml:space="preserve"> i odlišnou </w:t>
      </w:r>
      <w:r w:rsidR="00AB06D1">
        <w:rPr>
          <w:rFonts w:cs="Arial"/>
        </w:rPr>
        <w:t xml:space="preserve">odvětvovou </w:t>
      </w:r>
      <w:r w:rsidRPr="003E6827">
        <w:rPr>
          <w:rFonts w:cs="Arial"/>
        </w:rPr>
        <w:t xml:space="preserve">strukturou zaměstnanosti žen a mužů. </w:t>
      </w:r>
      <w:r w:rsidRPr="007915E6">
        <w:rPr>
          <w:rFonts w:cs="Arial"/>
        </w:rPr>
        <w:t xml:space="preserve">Odvětví, </w:t>
      </w:r>
      <w:r w:rsidRPr="007915E6">
        <w:t>kde převládají muži a vyskytují se zvýšená rizika pracovního úrazu, jsou např. T</w:t>
      </w:r>
      <w:r w:rsidRPr="007915E6">
        <w:rPr>
          <w:rFonts w:cs="Arial"/>
        </w:rPr>
        <w:t>ěžba a dobývání, Zpracovatelský průmysl, S</w:t>
      </w:r>
      <w:r w:rsidRPr="007915E6">
        <w:t>tavebnictví, Doprava a skladování či Zemědělství, lesnictví, rybářství. Naopak odvětv</w:t>
      </w:r>
      <w:r w:rsidR="00AB06D1">
        <w:t>ové sekce</w:t>
      </w:r>
      <w:r w:rsidRPr="007915E6">
        <w:t xml:space="preserve">, kde převažují v zaměstnání ženy a rizika pracovních úrazů </w:t>
      </w:r>
      <w:r w:rsidR="005A6E76" w:rsidRPr="007915E6">
        <w:t>bývají</w:t>
      </w:r>
      <w:r w:rsidRPr="007915E6">
        <w:t xml:space="preserve"> méně častá, jsou Peněžnictví a</w:t>
      </w:r>
      <w:r w:rsidR="00F14F45" w:rsidRPr="007915E6">
        <w:t> pojišťovnictví</w:t>
      </w:r>
      <w:r w:rsidRPr="007915E6">
        <w:rPr>
          <w:rFonts w:cs="Arial"/>
        </w:rPr>
        <w:t xml:space="preserve">, Veřejná správa </w:t>
      </w:r>
      <w:r w:rsidR="00AB06D1">
        <w:rPr>
          <w:rFonts w:cs="Arial"/>
        </w:rPr>
        <w:t>či výše uvedené</w:t>
      </w:r>
      <w:r w:rsidRPr="007915E6">
        <w:t xml:space="preserve"> Vzdělávání</w:t>
      </w:r>
      <w:r w:rsidR="00AB06D1">
        <w:t xml:space="preserve"> nebo Zdravotní a sociální péče</w:t>
      </w:r>
      <w:r w:rsidRPr="007915E6">
        <w:t>.</w:t>
      </w:r>
      <w:r w:rsidRPr="003E6827">
        <w:t xml:space="preserve"> </w:t>
      </w:r>
    </w:p>
    <w:p w14:paraId="459433ED" w14:textId="285808E6" w:rsidR="00157E96" w:rsidRPr="00157E96" w:rsidRDefault="00513C1E" w:rsidP="003265EC">
      <w:pPr>
        <w:spacing w:after="120"/>
        <w:jc w:val="both"/>
      </w:pPr>
      <w:r>
        <w:t xml:space="preserve">Zatímco u počtu pracovních neschopností </w:t>
      </w:r>
      <w:r w:rsidR="00017063">
        <w:t>celkem</w:t>
      </w:r>
      <w:r>
        <w:t xml:space="preserve"> a u neschopností z důvodu nemoci zůstává podíl </w:t>
      </w:r>
      <w:r w:rsidRPr="0045021E">
        <w:rPr>
          <w:b/>
        </w:rPr>
        <w:t>podle pohlaví</w:t>
      </w:r>
      <w:r>
        <w:t xml:space="preserve"> dlouhodobě relativně konstantní, pracovních neschopností </w:t>
      </w:r>
      <w:r w:rsidR="00786ED5">
        <w:t xml:space="preserve">zapříčiněných úrazem </w:t>
      </w:r>
      <w:r w:rsidR="005E012A">
        <w:t xml:space="preserve">u žen </w:t>
      </w:r>
      <w:r>
        <w:t>přibývá.</w:t>
      </w:r>
      <w:r w:rsidR="005E012A">
        <w:t xml:space="preserve"> Toto je zřejmé zejména </w:t>
      </w:r>
      <w:r w:rsidR="00EF67EA">
        <w:t xml:space="preserve">u </w:t>
      </w:r>
      <w:r w:rsidR="001033B0">
        <w:t>jiných než pracovních</w:t>
      </w:r>
      <w:r w:rsidR="005E012A">
        <w:t xml:space="preserve"> úrazů, kdy ještě v roce 2009 nahlásily ženy 27 tis. případů a</w:t>
      </w:r>
      <w:r w:rsidR="00F547BE">
        <w:t> </w:t>
      </w:r>
      <w:r w:rsidR="005E012A">
        <w:t>v roce 201</w:t>
      </w:r>
      <w:r w:rsidR="00EF67EA">
        <w:t>9</w:t>
      </w:r>
      <w:r w:rsidR="005E012A">
        <w:t xml:space="preserve"> to bylo </w:t>
      </w:r>
      <w:r w:rsidR="00EF67EA">
        <w:t>60</w:t>
      </w:r>
      <w:r w:rsidR="005E012A">
        <w:t xml:space="preserve"> tis. </w:t>
      </w:r>
      <w:r w:rsidR="00EF67EA">
        <w:t>Značný</w:t>
      </w:r>
      <w:r w:rsidR="005E012A">
        <w:t xml:space="preserve"> nárůst je </w:t>
      </w:r>
      <w:r w:rsidR="00EF67EA">
        <w:t xml:space="preserve">ovšem </w:t>
      </w:r>
      <w:r w:rsidR="005E012A">
        <w:t xml:space="preserve">patrný i u mužů, počet nově hlášených případů pracovní neschopnosti z důvodu </w:t>
      </w:r>
      <w:r w:rsidR="001033B0" w:rsidRPr="0045021E">
        <w:rPr>
          <w:b/>
        </w:rPr>
        <w:t>ne</w:t>
      </w:r>
      <w:r w:rsidR="006D3235" w:rsidRPr="0045021E">
        <w:rPr>
          <w:b/>
        </w:rPr>
        <w:t>pracov</w:t>
      </w:r>
      <w:r w:rsidR="001033B0" w:rsidRPr="0045021E">
        <w:rPr>
          <w:b/>
        </w:rPr>
        <w:t>ních (ostatních)</w:t>
      </w:r>
      <w:r w:rsidR="006D3235" w:rsidRPr="0045021E">
        <w:rPr>
          <w:b/>
        </w:rPr>
        <w:t xml:space="preserve"> </w:t>
      </w:r>
      <w:r w:rsidR="005E012A" w:rsidRPr="0045021E">
        <w:rPr>
          <w:b/>
        </w:rPr>
        <w:t>úraz</w:t>
      </w:r>
      <w:r w:rsidR="001033B0" w:rsidRPr="0045021E">
        <w:rPr>
          <w:b/>
        </w:rPr>
        <w:t>ů</w:t>
      </w:r>
      <w:r w:rsidR="005E012A">
        <w:t xml:space="preserve"> činil v roce 2009 necelých 60 tis., v</w:t>
      </w:r>
      <w:r w:rsidR="00EF67EA">
        <w:t xml:space="preserve"> roce 2019 se blížil </w:t>
      </w:r>
      <w:r w:rsidR="000D6F5B">
        <w:t>sto</w:t>
      </w:r>
      <w:r w:rsidR="00EF67EA">
        <w:t>tisícové hranici</w:t>
      </w:r>
      <w:r w:rsidR="00BB2E1C">
        <w:t xml:space="preserve"> (99,3 tis.)</w:t>
      </w:r>
      <w:r w:rsidR="00EF67EA">
        <w:t>.</w:t>
      </w:r>
    </w:p>
    <w:p w14:paraId="54503A58" w14:textId="6D54AD72" w:rsidR="00F734AD" w:rsidRDefault="00F734AD" w:rsidP="003265EC">
      <w:pPr>
        <w:spacing w:after="120"/>
        <w:jc w:val="both"/>
        <w:rPr>
          <w:rFonts w:cs="Arial"/>
        </w:rPr>
      </w:pPr>
      <w:r>
        <w:t xml:space="preserve">Meziroční nárůst </w:t>
      </w:r>
      <w:r w:rsidRPr="00101F03">
        <w:rPr>
          <w:b/>
        </w:rPr>
        <w:t>pracovní neschopnosti žen</w:t>
      </w:r>
      <w:r>
        <w:t xml:space="preserve"> byl </w:t>
      </w:r>
      <w:r w:rsidR="000D6F5B">
        <w:t xml:space="preserve">lehce </w:t>
      </w:r>
      <w:r>
        <w:t xml:space="preserve">výraznější než u mužů. </w:t>
      </w:r>
      <w:r w:rsidRPr="003E6827">
        <w:rPr>
          <w:rFonts w:cs="Arial"/>
        </w:rPr>
        <w:t>Absolutní počet nově hlášených případů pracovní neschopnosti žen se zvýšil z</w:t>
      </w:r>
      <w:r w:rsidR="00FD3C93">
        <w:rPr>
          <w:rFonts w:cs="Arial"/>
        </w:rPr>
        <w:t> 975,2</w:t>
      </w:r>
      <w:r w:rsidRPr="003E6827">
        <w:rPr>
          <w:rFonts w:cs="Arial"/>
        </w:rPr>
        <w:t xml:space="preserve"> tis. případů (muži </w:t>
      </w:r>
      <w:r w:rsidR="00FD3C93">
        <w:rPr>
          <w:rFonts w:cs="Arial"/>
        </w:rPr>
        <w:t>874,3</w:t>
      </w:r>
      <w:r>
        <w:rPr>
          <w:rFonts w:cs="Arial"/>
        </w:rPr>
        <w:t xml:space="preserve"> </w:t>
      </w:r>
      <w:r w:rsidRPr="003E6827">
        <w:rPr>
          <w:rFonts w:cs="Arial"/>
        </w:rPr>
        <w:t>tis. případů) v roce 201</w:t>
      </w:r>
      <w:r w:rsidR="00FD3C93">
        <w:rPr>
          <w:rFonts w:cs="Arial"/>
        </w:rPr>
        <w:t>8</w:t>
      </w:r>
      <w:r w:rsidRPr="003E6827">
        <w:rPr>
          <w:rFonts w:cs="Arial"/>
        </w:rPr>
        <w:t xml:space="preserve"> na </w:t>
      </w:r>
      <w:r w:rsidR="00FD3C93">
        <w:rPr>
          <w:rFonts w:cs="Arial"/>
        </w:rPr>
        <w:t>1 012,5</w:t>
      </w:r>
      <w:r>
        <w:rPr>
          <w:rFonts w:cs="Arial"/>
        </w:rPr>
        <w:t xml:space="preserve"> </w:t>
      </w:r>
      <w:r w:rsidRPr="003E6827">
        <w:rPr>
          <w:rFonts w:cs="Arial"/>
        </w:rPr>
        <w:t xml:space="preserve">tis. případů (muži </w:t>
      </w:r>
      <w:r w:rsidR="00FD3C93">
        <w:rPr>
          <w:rFonts w:cs="Arial"/>
        </w:rPr>
        <w:t>902,3</w:t>
      </w:r>
      <w:r w:rsidRPr="003E6827">
        <w:rPr>
          <w:rFonts w:cs="Arial"/>
        </w:rPr>
        <w:t xml:space="preserve"> tis. případů) v roce 201</w:t>
      </w:r>
      <w:r w:rsidR="00FD3C93">
        <w:rPr>
          <w:rFonts w:cs="Arial"/>
        </w:rPr>
        <w:t>9</w:t>
      </w:r>
      <w:r>
        <w:rPr>
          <w:rFonts w:cs="Arial"/>
        </w:rPr>
        <w:t xml:space="preserve">, </w:t>
      </w:r>
      <w:r w:rsidRPr="003E6827">
        <w:rPr>
          <w:rFonts w:cs="Arial"/>
        </w:rPr>
        <w:t xml:space="preserve">tj. vzrostl o </w:t>
      </w:r>
      <w:r w:rsidR="00FD3C93">
        <w:rPr>
          <w:rFonts w:cs="Arial"/>
        </w:rPr>
        <w:t>3,8</w:t>
      </w:r>
      <w:r w:rsidRPr="003E6827">
        <w:rPr>
          <w:rFonts w:cs="Arial"/>
        </w:rPr>
        <w:t xml:space="preserve"> </w:t>
      </w:r>
      <w:r w:rsidRPr="003E6827">
        <w:rPr>
          <w:rFonts w:cs="Arial"/>
          <w:lang w:val="en-US"/>
        </w:rPr>
        <w:t xml:space="preserve">% </w:t>
      </w:r>
      <w:r>
        <w:rPr>
          <w:rFonts w:cs="Arial"/>
        </w:rPr>
        <w:t>(</w:t>
      </w:r>
      <w:r w:rsidRPr="003E6827">
        <w:rPr>
          <w:rFonts w:cs="Arial"/>
        </w:rPr>
        <w:t>o</w:t>
      </w:r>
      <w:r>
        <w:rPr>
          <w:rFonts w:cs="Arial"/>
        </w:rPr>
        <w:t> </w:t>
      </w:r>
      <w:r w:rsidR="00FD3C93">
        <w:rPr>
          <w:rFonts w:cs="Arial"/>
        </w:rPr>
        <w:t>3,2</w:t>
      </w:r>
      <w:r w:rsidRPr="003E6827">
        <w:rPr>
          <w:rFonts w:cs="Arial"/>
        </w:rPr>
        <w:t xml:space="preserve"> </w:t>
      </w:r>
      <w:r w:rsidRPr="003E6827">
        <w:rPr>
          <w:rFonts w:cs="Arial"/>
          <w:lang w:val="en-US"/>
        </w:rPr>
        <w:t>%</w:t>
      </w:r>
      <w:r w:rsidRPr="003E6827">
        <w:rPr>
          <w:rFonts w:cs="Arial"/>
        </w:rPr>
        <w:t xml:space="preserve"> u mužů).</w:t>
      </w:r>
      <w:r>
        <w:rPr>
          <w:rFonts w:cs="Arial"/>
        </w:rPr>
        <w:t xml:space="preserve"> Z hlediska příčin nově hlášených případů dočasné pracovní neschopnosti žen 93</w:t>
      </w:r>
      <w:r w:rsidR="00FD3C93">
        <w:rPr>
          <w:rFonts w:cs="Arial"/>
        </w:rPr>
        <w:t>8</w:t>
      </w:r>
      <w:r>
        <w:rPr>
          <w:rFonts w:cs="Arial"/>
        </w:rPr>
        <w:t>,</w:t>
      </w:r>
      <w:r w:rsidR="00FD3C93">
        <w:rPr>
          <w:rFonts w:cs="Arial"/>
        </w:rPr>
        <w:t>3</w:t>
      </w:r>
      <w:r>
        <w:rPr>
          <w:rFonts w:cs="Arial"/>
        </w:rPr>
        <w:t xml:space="preserve"> tis. případů (</w:t>
      </w:r>
      <w:r w:rsidR="006A16F0">
        <w:rPr>
          <w:rFonts w:cs="Arial"/>
        </w:rPr>
        <w:t>93</w:t>
      </w:r>
      <w:r>
        <w:rPr>
          <w:rFonts w:cs="Arial"/>
        </w:rPr>
        <w:t xml:space="preserve"> %) bylo způsobeno nemocí, 14,</w:t>
      </w:r>
      <w:r w:rsidR="00FD3C93">
        <w:rPr>
          <w:rFonts w:cs="Arial"/>
        </w:rPr>
        <w:t>5</w:t>
      </w:r>
      <w:r>
        <w:rPr>
          <w:rFonts w:cs="Arial"/>
        </w:rPr>
        <w:t xml:space="preserve"> tis. případů (</w:t>
      </w:r>
      <w:r w:rsidR="00FD3C93">
        <w:rPr>
          <w:rFonts w:cs="Arial"/>
        </w:rPr>
        <w:t>1,4</w:t>
      </w:r>
      <w:r>
        <w:rPr>
          <w:rFonts w:cs="Arial"/>
        </w:rPr>
        <w:t xml:space="preserve"> %) pracovním úrazem a 5</w:t>
      </w:r>
      <w:r w:rsidR="00FD3C93">
        <w:rPr>
          <w:rFonts w:cs="Arial"/>
        </w:rPr>
        <w:t>9</w:t>
      </w:r>
      <w:r>
        <w:rPr>
          <w:rFonts w:cs="Arial"/>
        </w:rPr>
        <w:t>,</w:t>
      </w:r>
      <w:r w:rsidR="00FD3C93">
        <w:rPr>
          <w:rFonts w:cs="Arial"/>
        </w:rPr>
        <w:t>7</w:t>
      </w:r>
      <w:r>
        <w:rPr>
          <w:rFonts w:cs="Arial"/>
        </w:rPr>
        <w:t xml:space="preserve"> tis. (</w:t>
      </w:r>
      <w:r w:rsidR="006A16F0">
        <w:rPr>
          <w:rFonts w:cs="Arial"/>
        </w:rPr>
        <w:t>6</w:t>
      </w:r>
      <w:r>
        <w:rPr>
          <w:rFonts w:cs="Arial"/>
        </w:rPr>
        <w:t xml:space="preserve"> %) mimopracovním úraz</w:t>
      </w:r>
      <w:r w:rsidR="00D112A7">
        <w:rPr>
          <w:rFonts w:cs="Arial"/>
        </w:rPr>
        <w:t>em</w:t>
      </w:r>
      <w:r>
        <w:rPr>
          <w:rFonts w:cs="Arial"/>
        </w:rPr>
        <w:t>.</w:t>
      </w:r>
      <w:r w:rsidR="006A16F0">
        <w:rPr>
          <w:rFonts w:cs="Arial"/>
        </w:rPr>
        <w:t xml:space="preserve"> Muži </w:t>
      </w:r>
      <w:r w:rsidR="007716E5">
        <w:rPr>
          <w:rFonts w:cs="Arial"/>
        </w:rPr>
        <w:t>hlásili</w:t>
      </w:r>
      <w:r w:rsidR="006A16F0">
        <w:rPr>
          <w:rFonts w:cs="Arial"/>
        </w:rPr>
        <w:t xml:space="preserve"> pracovní neschopnost z důvodu nemoci v</w:t>
      </w:r>
      <w:r w:rsidR="0074310D">
        <w:rPr>
          <w:rFonts w:cs="Arial"/>
        </w:rPr>
        <w:t> 772,9</w:t>
      </w:r>
      <w:r w:rsidR="006A16F0">
        <w:rPr>
          <w:rFonts w:cs="Arial"/>
        </w:rPr>
        <w:t xml:space="preserve"> tis. případech (8</w:t>
      </w:r>
      <w:r w:rsidR="0074310D">
        <w:rPr>
          <w:rFonts w:cs="Arial"/>
        </w:rPr>
        <w:t>6</w:t>
      </w:r>
      <w:r w:rsidR="006A16F0">
        <w:rPr>
          <w:rFonts w:cs="Arial"/>
        </w:rPr>
        <w:t xml:space="preserve"> %)</w:t>
      </w:r>
      <w:r w:rsidR="00D112A7">
        <w:rPr>
          <w:rFonts w:cs="Arial"/>
        </w:rPr>
        <w:t>, z důvodu pracovního úrazu v 3</w:t>
      </w:r>
      <w:r w:rsidR="0074310D">
        <w:rPr>
          <w:rFonts w:cs="Arial"/>
        </w:rPr>
        <w:t>0</w:t>
      </w:r>
      <w:r w:rsidR="00D112A7">
        <w:rPr>
          <w:rFonts w:cs="Arial"/>
        </w:rPr>
        <w:t>,</w:t>
      </w:r>
      <w:r w:rsidR="0074310D">
        <w:rPr>
          <w:rFonts w:cs="Arial"/>
        </w:rPr>
        <w:t>1</w:t>
      </w:r>
      <w:r w:rsidR="00D112A7">
        <w:rPr>
          <w:rFonts w:cs="Arial"/>
        </w:rPr>
        <w:t xml:space="preserve"> tis. případech (</w:t>
      </w:r>
      <w:r w:rsidR="0074310D">
        <w:rPr>
          <w:rFonts w:cs="Arial"/>
        </w:rPr>
        <w:t>3</w:t>
      </w:r>
      <w:r w:rsidR="00D112A7">
        <w:rPr>
          <w:rFonts w:cs="Arial"/>
        </w:rPr>
        <w:t xml:space="preserve"> %) a z důvodu ostatních úrazů v</w:t>
      </w:r>
      <w:r w:rsidR="0074310D">
        <w:rPr>
          <w:rFonts w:cs="Arial"/>
        </w:rPr>
        <w:t> </w:t>
      </w:r>
      <w:r w:rsidR="00D112A7">
        <w:rPr>
          <w:rFonts w:cs="Arial"/>
        </w:rPr>
        <w:t>9</w:t>
      </w:r>
      <w:r w:rsidR="0074310D">
        <w:rPr>
          <w:rFonts w:cs="Arial"/>
        </w:rPr>
        <w:t>9,3</w:t>
      </w:r>
      <w:r w:rsidR="00D112A7">
        <w:rPr>
          <w:rFonts w:cs="Arial"/>
        </w:rPr>
        <w:t xml:space="preserve"> tis. případech (11 %).</w:t>
      </w:r>
    </w:p>
    <w:p w14:paraId="315E4B8B" w14:textId="5DE30178" w:rsidR="00C179EF" w:rsidRDefault="009C694A" w:rsidP="003265EC">
      <w:pPr>
        <w:spacing w:after="120"/>
        <w:jc w:val="both"/>
        <w:rPr>
          <w:b/>
          <w:iCs/>
        </w:rPr>
      </w:pPr>
      <w:r>
        <w:rPr>
          <w:rFonts w:cs="Arial"/>
        </w:rPr>
        <w:t xml:space="preserve">Za </w:t>
      </w:r>
      <w:r w:rsidRPr="00101F03">
        <w:rPr>
          <w:rFonts w:cs="Arial"/>
          <w:b/>
        </w:rPr>
        <w:t xml:space="preserve">posledních </w:t>
      </w:r>
      <w:r w:rsidR="006D3235" w:rsidRPr="00101F03">
        <w:rPr>
          <w:rFonts w:cs="Arial"/>
          <w:b/>
        </w:rPr>
        <w:t>pět</w:t>
      </w:r>
      <w:r w:rsidRPr="00101F03">
        <w:rPr>
          <w:rFonts w:cs="Arial"/>
          <w:b/>
        </w:rPr>
        <w:t xml:space="preserve"> let</w:t>
      </w:r>
      <w:r>
        <w:rPr>
          <w:rFonts w:cs="Arial"/>
        </w:rPr>
        <w:t xml:space="preserve"> </w:t>
      </w:r>
      <w:r w:rsidRPr="0038792F">
        <w:rPr>
          <w:rFonts w:cs="Arial"/>
        </w:rPr>
        <w:t>počet nově hlášených případů pracovní neschopnosti</w:t>
      </w:r>
      <w:r>
        <w:rPr>
          <w:rFonts w:cs="Arial"/>
        </w:rPr>
        <w:t xml:space="preserve"> výrazně vzrostl – o </w:t>
      </w:r>
      <w:r w:rsidR="0074310D">
        <w:rPr>
          <w:rFonts w:cs="Arial"/>
        </w:rPr>
        <w:t>600</w:t>
      </w:r>
      <w:r>
        <w:rPr>
          <w:rFonts w:cs="Arial"/>
        </w:rPr>
        <w:t xml:space="preserve"> tis. (o</w:t>
      </w:r>
      <w:r w:rsidR="007716E5">
        <w:rPr>
          <w:rFonts w:cs="Arial"/>
        </w:rPr>
        <w:t> </w:t>
      </w:r>
      <w:r w:rsidR="0074310D">
        <w:rPr>
          <w:rFonts w:cs="Arial"/>
        </w:rPr>
        <w:t>46</w:t>
      </w:r>
      <w:r>
        <w:rPr>
          <w:rFonts w:cs="Arial"/>
        </w:rPr>
        <w:t> %) z</w:t>
      </w:r>
      <w:r w:rsidR="000707F1">
        <w:rPr>
          <w:rFonts w:cs="Arial"/>
        </w:rPr>
        <w:t> 1</w:t>
      </w:r>
      <w:r w:rsidR="0074310D">
        <w:rPr>
          <w:rFonts w:cs="Arial"/>
        </w:rPr>
        <w:t> 314,8</w:t>
      </w:r>
      <w:r>
        <w:rPr>
          <w:rFonts w:cs="Arial"/>
        </w:rPr>
        <w:t xml:space="preserve"> tis. případů v roce 201</w:t>
      </w:r>
      <w:r w:rsidR="0074310D">
        <w:rPr>
          <w:rFonts w:cs="Arial"/>
        </w:rPr>
        <w:t>4</w:t>
      </w:r>
      <w:r>
        <w:rPr>
          <w:rFonts w:cs="Arial"/>
        </w:rPr>
        <w:t xml:space="preserve"> na výše zmíněných 1</w:t>
      </w:r>
      <w:r w:rsidR="0074310D">
        <w:rPr>
          <w:rFonts w:cs="Arial"/>
        </w:rPr>
        <w:t> 914,8</w:t>
      </w:r>
      <w:r>
        <w:rPr>
          <w:rFonts w:cs="Arial"/>
        </w:rPr>
        <w:t xml:space="preserve"> tis. </w:t>
      </w:r>
      <w:r w:rsidR="00144900">
        <w:rPr>
          <w:rFonts w:cs="Arial"/>
        </w:rPr>
        <w:t>neschopností</w:t>
      </w:r>
      <w:r>
        <w:rPr>
          <w:rFonts w:cs="Arial"/>
        </w:rPr>
        <w:t xml:space="preserve"> v roce 201</w:t>
      </w:r>
      <w:r w:rsidR="0074310D">
        <w:rPr>
          <w:rFonts w:cs="Arial"/>
        </w:rPr>
        <w:t>9</w:t>
      </w:r>
      <w:r>
        <w:rPr>
          <w:rFonts w:cs="Arial"/>
        </w:rPr>
        <w:t xml:space="preserve">. </w:t>
      </w:r>
      <w:r w:rsidR="000707F1">
        <w:t xml:space="preserve">Na tomto nárůstu se podílely především výše zmíněné </w:t>
      </w:r>
      <w:r w:rsidR="000707F1" w:rsidRPr="00D60ABB">
        <w:t>pracovní neschopnosti</w:t>
      </w:r>
      <w:r w:rsidR="000707F1">
        <w:t xml:space="preserve"> </w:t>
      </w:r>
      <w:r w:rsidR="000707F1" w:rsidRPr="003265EC">
        <w:rPr>
          <w:b/>
          <w:bCs/>
        </w:rPr>
        <w:t>z důvodu nemoci</w:t>
      </w:r>
      <w:r w:rsidR="003265EC">
        <w:t>, které za posledních pět let vzrostly téměř o polovinu (49,3 %)</w:t>
      </w:r>
      <w:r w:rsidR="000707F1">
        <w:t xml:space="preserve">. </w:t>
      </w:r>
      <w:r w:rsidR="000707F1">
        <w:rPr>
          <w:rFonts w:cs="Arial"/>
        </w:rPr>
        <w:t>Zvýšení</w:t>
      </w:r>
      <w:r>
        <w:rPr>
          <w:rFonts w:cs="Arial"/>
        </w:rPr>
        <w:t xml:space="preserve"> byl</w:t>
      </w:r>
      <w:r w:rsidR="000707F1">
        <w:rPr>
          <w:rFonts w:cs="Arial"/>
        </w:rPr>
        <w:t>o</w:t>
      </w:r>
      <w:r>
        <w:rPr>
          <w:rFonts w:cs="Arial"/>
        </w:rPr>
        <w:t xml:space="preserve"> výraznější v případě žen – </w:t>
      </w:r>
      <w:r w:rsidR="000707F1">
        <w:rPr>
          <w:rFonts w:cs="Arial"/>
        </w:rPr>
        <w:t xml:space="preserve">mezi lety </w:t>
      </w:r>
      <w:r w:rsidR="004F4000">
        <w:rPr>
          <w:rFonts w:cs="Arial"/>
        </w:rPr>
        <w:br/>
      </w:r>
      <w:r w:rsidR="000707F1">
        <w:rPr>
          <w:rFonts w:cs="Arial"/>
        </w:rPr>
        <w:t>201</w:t>
      </w:r>
      <w:r w:rsidR="00101F03">
        <w:rPr>
          <w:rFonts w:cs="Arial"/>
        </w:rPr>
        <w:t>4</w:t>
      </w:r>
      <w:r w:rsidR="000707F1">
        <w:rPr>
          <w:rFonts w:cs="Arial"/>
        </w:rPr>
        <w:t>–201</w:t>
      </w:r>
      <w:r w:rsidR="0074310D">
        <w:rPr>
          <w:rFonts w:cs="Arial"/>
        </w:rPr>
        <w:t>9</w:t>
      </w:r>
      <w:r>
        <w:rPr>
          <w:rFonts w:cs="Arial"/>
        </w:rPr>
        <w:t xml:space="preserve"> vzrostl počet </w:t>
      </w:r>
      <w:r w:rsidR="007716E5">
        <w:rPr>
          <w:rFonts w:cs="Arial"/>
        </w:rPr>
        <w:t>neschopenek</w:t>
      </w:r>
      <w:r>
        <w:rPr>
          <w:rFonts w:cs="Arial"/>
        </w:rPr>
        <w:t xml:space="preserve"> </w:t>
      </w:r>
      <w:r w:rsidR="00101F03">
        <w:rPr>
          <w:rFonts w:cs="Arial"/>
        </w:rPr>
        <w:t>pro nemoc</w:t>
      </w:r>
      <w:r>
        <w:rPr>
          <w:rFonts w:cs="Arial"/>
        </w:rPr>
        <w:t xml:space="preserve"> </w:t>
      </w:r>
      <w:r w:rsidR="000707F1">
        <w:rPr>
          <w:rFonts w:cs="Arial"/>
        </w:rPr>
        <w:t xml:space="preserve">u mužů </w:t>
      </w:r>
      <w:r>
        <w:rPr>
          <w:rFonts w:cs="Arial"/>
        </w:rPr>
        <w:t>o</w:t>
      </w:r>
      <w:r w:rsidR="00F547BE">
        <w:rPr>
          <w:rFonts w:cs="Arial"/>
        </w:rPr>
        <w:t> </w:t>
      </w:r>
      <w:r w:rsidR="00101F03">
        <w:rPr>
          <w:rFonts w:cs="Arial"/>
        </w:rPr>
        <w:t>254 tis.</w:t>
      </w:r>
      <w:r>
        <w:rPr>
          <w:rFonts w:cs="Arial"/>
        </w:rPr>
        <w:t>, u žen o</w:t>
      </w:r>
      <w:r w:rsidR="00101F03">
        <w:rPr>
          <w:rFonts w:cs="Arial"/>
        </w:rPr>
        <w:t xml:space="preserve"> 311 tis.</w:t>
      </w:r>
      <w:r>
        <w:rPr>
          <w:rFonts w:cs="Arial"/>
        </w:rPr>
        <w:t xml:space="preserve"> </w:t>
      </w:r>
    </w:p>
    <w:p w14:paraId="41FAEB67" w14:textId="04477329" w:rsidR="00CF263C" w:rsidRDefault="00946467" w:rsidP="00CF263C">
      <w:pPr>
        <w:jc w:val="both"/>
        <w:rPr>
          <w:rFonts w:cs="Arial"/>
          <w:i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0E2EBD3" wp14:editId="3D32A037">
                <wp:simplePos x="0" y="0"/>
                <wp:positionH relativeFrom="column">
                  <wp:posOffset>1215390</wp:posOffset>
                </wp:positionH>
                <wp:positionV relativeFrom="paragraph">
                  <wp:posOffset>1253490</wp:posOffset>
                </wp:positionV>
                <wp:extent cx="845820" cy="419100"/>
                <wp:effectExtent l="0" t="0" r="0" b="0"/>
                <wp:wrapNone/>
                <wp:docPr id="1" name="Textové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19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BDB0F" w14:textId="2145FB9D" w:rsidR="00175193" w:rsidRDefault="00175193" w:rsidP="00946467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902,3 tis.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E2EBD3" id="TextovéPole 8" o:spid="_x0000_s1027" type="#_x0000_t202" style="position:absolute;left:0;text-align:left;margin-left:95.7pt;margin-top:98.7pt;width:66.6pt;height:33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PJKIAIAAIMEAAAOAAAAZHJzL2Uyb0RvYy54bWysVMFu2zAMvQ/YPwi6L06CZkiDOMXWorsM&#10;a7G2H6DIUixMEjVKiZ390b5jPzZKTtyhO3XYRbYpvkfykfT6qneWHRRGA77ms8mUM+UlNMbvav70&#10;ePtuyVlMwjfCglc1P6rIrzZv36y7sFJzaME2ChmR+LjqQs3blMKqqqJslRNxAkF5utSATiT6xF3V&#10;oOiI3dlqPp2+rzrAJiBIFSNZb4ZLvin8WiuZ7rSOKjFbc8otlRPLuc1ntVmL1Q5FaI08pSH+IQsn&#10;jKegI9WNSILt0fxF5YxEiKDTRIKrQGsjVamBqplNX1Tz0IqgSi0kTgyjTPH/0covh3tkpqHeceaF&#10;oxY9qj7B4dfPe7CKLbNCXYgrcnwI5Jr6j9Bn75M9kjEX3mt0+UklMbonrY+jvkTIJBmXF4vlnG4k&#10;XV3MLmfTon/1DA4Y0ycFjuWXmiO1r6gqDp9jooDkenbJsTzcGmtLC61nXc0vF/MF0btA9US/K9jR&#10;icDWE0euZsi6vKWjVZnM+q9KkxIl+WyIEnfba4tsGBeaZ0r9PDSFjADZUVMSr8SeIBmtypS+Ej+C&#10;SnzwacQ74wFL4WWHVC7gIGj6m2+lZ5S4HvzPUgwCZC1Sv+3LLIxd30JzpKbTgqc7OrQFUllaEzhr&#10;AX+8tHW0SKT8971AxRkmew3D3gkvyb/mQzs9fNgn0Ka0NAcewpwSokkvnT5tZV6lP7+L1/O/Y/Mb&#10;AAD//wMAUEsDBBQABgAIAAAAIQAgpeIT3gAAAAsBAAAPAAAAZHJzL2Rvd25yZXYueG1sTI/BTsMw&#10;EETvSPyDtUjcqN00BBriVBWIK4i2IHFz420SNV5HsduEv2d7gtuM9ml2plhNrhNnHELrScN8pkAg&#10;Vd62VGvYbV/vHkGEaMiazhNq+MEAq/L6qjC59SN94HkTa8EhFHKjoYmxz6UMVYPOhJnvkfh28IMz&#10;ke1QSzuYkcNdJxOlMulMS/yhMT0+N1gdNyen4fPt8P2Vqvf6xd33o5+UJLeUWt/eTOsnEBGn+AfD&#10;pT5Xh5I77f2JbBAd++U8ZfQiHlgwsUjSDMReQ5ItUpBlIf9vKH8BAAD//wMAUEsBAi0AFAAGAAgA&#10;AAAhALaDOJL+AAAA4QEAABMAAAAAAAAAAAAAAAAAAAAAAFtDb250ZW50X1R5cGVzXS54bWxQSwEC&#10;LQAUAAYACAAAACEAOP0h/9YAAACUAQAACwAAAAAAAAAAAAAAAAAvAQAAX3JlbHMvLnJlbHNQSwEC&#10;LQAUAAYACAAAACEArLjySiACAACDBAAADgAAAAAAAAAAAAAAAAAuAgAAZHJzL2Uyb0RvYy54bWxQ&#10;SwECLQAUAAYACAAAACEAIKXiE94AAAALAQAADwAAAAAAAAAAAAAAAAB6BAAAZHJzL2Rvd25yZXYu&#10;eG1sUEsFBgAAAAAEAAQA8wAAAIUFAAAAAA==&#10;" filled="f" stroked="f">
                <v:textbox>
                  <w:txbxContent>
                    <w:p w14:paraId="18FBDB0F" w14:textId="2145FB9D" w:rsidR="00175193" w:rsidRDefault="00175193" w:rsidP="00946467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902,3 tis.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895" behindDoc="1" locked="0" layoutInCell="1" allowOverlap="1" wp14:anchorId="268A4454" wp14:editId="4D3F431E">
            <wp:simplePos x="0" y="0"/>
            <wp:positionH relativeFrom="column">
              <wp:posOffset>163830</wp:posOffset>
            </wp:positionH>
            <wp:positionV relativeFrom="paragraph">
              <wp:posOffset>278130</wp:posOffset>
            </wp:positionV>
            <wp:extent cx="3086100" cy="2065020"/>
            <wp:effectExtent l="0" t="0" r="0" b="0"/>
            <wp:wrapTight wrapText="bothSides">
              <wp:wrapPolygon edited="0">
                <wp:start x="0" y="0"/>
                <wp:lineTo x="0" y="21321"/>
                <wp:lineTo x="21467" y="21321"/>
                <wp:lineTo x="21467" y="0"/>
                <wp:lineTo x="0" y="0"/>
              </wp:wrapPolygon>
            </wp:wrapTight>
            <wp:docPr id="41" name="Graf 41">
              <a:extLst xmlns:a="http://schemas.openxmlformats.org/drawingml/2006/main">
                <a:ext uri="{FF2B5EF4-FFF2-40B4-BE49-F238E27FC236}">
                  <a16:creationId xmlns:a16="http://schemas.microsoft.com/office/drawing/2014/main" id="{992BC395-779A-4AF3-8810-9E4AB837321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9C277E7" wp14:editId="6BDCC7CA">
                <wp:simplePos x="0" y="0"/>
                <wp:positionH relativeFrom="column">
                  <wp:posOffset>4278630</wp:posOffset>
                </wp:positionH>
                <wp:positionV relativeFrom="paragraph">
                  <wp:posOffset>1261110</wp:posOffset>
                </wp:positionV>
                <wp:extent cx="845820" cy="419100"/>
                <wp:effectExtent l="0" t="0" r="0" b="0"/>
                <wp:wrapNone/>
                <wp:docPr id="44" name="TextovéPo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" cy="419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94FB19" w14:textId="77777777" w:rsidR="00175193" w:rsidRDefault="00175193" w:rsidP="00FE2C1F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</w:rPr>
                              <w:t>1 012,5 tis.</w:t>
                            </w:r>
                          </w:p>
                        </w:txbxContent>
                      </wps:txbx>
                      <wps:bodyPr vertOverflow="clip" horzOverflow="clip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C277E7" id="_x0000_s1028" type="#_x0000_t202" style="position:absolute;left:0;text-align:left;margin-left:336.9pt;margin-top:99.3pt;width:66.6pt;height:33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pfEIwIAAIQEAAAOAAAAZHJzL2Uyb0RvYy54bWysVMFu2zAMvQ/YPwi6L3aCZEiCOMXWorsM&#10;a7G2H6DIki1MEjVJsZ390b5jPzZKTtyhO3XYRbYp8pF8j/TuajCadMIHBbai81lJibAcamWbij49&#10;3r5bUxIiszXTYEVFTyLQq/3bN7vebcUCWtC18ARBbNj2rqJtjG5bFIG3wrAwAycsXkrwhkX89E1R&#10;e9YjutHFoizfFz342nngIgS03oyXdJ/xpRQ83kkZRCS6olhbzKfP5yGdxX7Hto1nrlX8XAb7hyoM&#10;UxaTTlA3LDJy9OovKKO4hwAyzjiYAqRUXOQesJt5+aKbh5Y5kXtBcoKbaAr/D5Z/6e49UXVFl0tK&#10;LDOo0aMYInS/ft6DFmSdKOpd2KLng0PfOHyEAaW+2AMaU+eD9CY9sSeC90j2aSIYAQlH43q5Wi/w&#10;huPVcr6Zl1mA4jnY+RA/CTAkvVTUo36ZVtZ9DhELQdeLS8pl4VZpnTXUlvQV3awWK4Q3DhsKtsmx&#10;kxMGa4sYqZux6vwWT1okMG2/ColU5OKTIXDfHK61J+O84EBj6ZepyWAYkBwlFvHK2HNIihZ5TF8Z&#10;PwXl/GDjFG+UBZ8bz0skUgMdw/Gvv2XNsHA5+l+oGAlIXMThMORh2FzUPUB9QtFxw+MdHlIDssy1&#10;cpS04H+8tPW4Scj89yPzghIf9TWMi8csR/+KjnJa+HCMIFWWNCUe05wLwlHPSp/XMu3Sn9/Z6/nn&#10;sf8NAAD//wMAUEsDBBQABgAIAAAAIQABk+Ne3gAAAAsBAAAPAAAAZHJzL2Rvd25yZXYueG1sTI/B&#10;TsMwEETvSPyDtUjcqE0pbhriVAjEFdQClXpz420SEa+j2G3C37Oc4Dia0cybYj35TpxxiG0gA7cz&#10;BQKpCq6l2sDH+8tNBiImS852gdDAN0ZYl5cXhc1dGGmD522qBZdQzK2BJqU+lzJWDXobZ6FHYu8Y&#10;Bm8Ty6GWbrAjl/tOzpXS0tuWeKGxPT41WH1tT97A5+txv1uot/rZ3/djmJQkv5LGXF9Njw8gEk7p&#10;Lwy/+IwOJTMdwolcFJ0Bvbxj9MTGKtMgOJGpJb87GJjrhQZZFvL/h/IHAAD//wMAUEsBAi0AFAAG&#10;AAgAAAAhALaDOJL+AAAA4QEAABMAAAAAAAAAAAAAAAAAAAAAAFtDb250ZW50X1R5cGVzXS54bWxQ&#10;SwECLQAUAAYACAAAACEAOP0h/9YAAACUAQAACwAAAAAAAAAAAAAAAAAvAQAAX3JlbHMvLnJlbHNQ&#10;SwECLQAUAAYACAAAACEAZGKXxCMCAACEBAAADgAAAAAAAAAAAAAAAAAuAgAAZHJzL2Uyb0RvYy54&#10;bWxQSwECLQAUAAYACAAAACEAAZPjXt4AAAALAQAADwAAAAAAAAAAAAAAAAB9BAAAZHJzL2Rvd25y&#10;ZXYueG1sUEsFBgAAAAAEAAQA8wAAAIgFAAAAAA==&#10;" filled="f" stroked="f">
                <v:textbox>
                  <w:txbxContent>
                    <w:p w14:paraId="2394FB19" w14:textId="77777777" w:rsidR="00175193" w:rsidRDefault="00175193" w:rsidP="00FE2C1F">
                      <w:pPr>
                        <w:jc w:val="center"/>
                        <w:rPr>
                          <w:sz w:val="24"/>
                        </w:rPr>
                      </w:pPr>
                      <w:r>
                        <w:rPr>
                          <w:rFonts w:cs="Arial"/>
                          <w:b/>
                          <w:bCs/>
                          <w:color w:val="000000" w:themeColor="dark1"/>
                          <w:sz w:val="18"/>
                          <w:szCs w:val="18"/>
                        </w:rPr>
                        <w:t>1 012,5 tis.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919" behindDoc="1" locked="0" layoutInCell="1" allowOverlap="1" wp14:anchorId="52FD023B" wp14:editId="331633DD">
            <wp:simplePos x="0" y="0"/>
            <wp:positionH relativeFrom="column">
              <wp:posOffset>2733675</wp:posOffset>
            </wp:positionH>
            <wp:positionV relativeFrom="paragraph">
              <wp:posOffset>278130</wp:posOffset>
            </wp:positionV>
            <wp:extent cx="3139440" cy="2110740"/>
            <wp:effectExtent l="0" t="0" r="3810" b="3810"/>
            <wp:wrapTight wrapText="bothSides">
              <wp:wrapPolygon edited="0">
                <wp:start x="0" y="0"/>
                <wp:lineTo x="0" y="21444"/>
                <wp:lineTo x="21495" y="21444"/>
                <wp:lineTo x="21495" y="0"/>
                <wp:lineTo x="0" y="0"/>
              </wp:wrapPolygon>
            </wp:wrapTight>
            <wp:docPr id="42" name="Graf 42">
              <a:extLst xmlns:a="http://schemas.openxmlformats.org/drawingml/2006/main">
                <a:ext uri="{FF2B5EF4-FFF2-40B4-BE49-F238E27FC236}">
                  <a16:creationId xmlns:a16="http://schemas.microsoft.com/office/drawing/2014/main" id="{CA8C5B90-6FAA-4865-BE58-B23A5B3DD85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4595" w:rsidRPr="00C179EF">
        <w:rPr>
          <w:b/>
          <w:iCs/>
        </w:rPr>
        <w:t xml:space="preserve">Graf </w:t>
      </w:r>
      <w:r w:rsidR="00812420">
        <w:rPr>
          <w:b/>
          <w:iCs/>
        </w:rPr>
        <w:t>2</w:t>
      </w:r>
      <w:r w:rsidR="00A84595" w:rsidRPr="00C179EF">
        <w:rPr>
          <w:b/>
          <w:iCs/>
        </w:rPr>
        <w:t xml:space="preserve">.1: Nově hlášené případy dočasné pracovní neschopnosti </w:t>
      </w:r>
      <w:r w:rsidR="0014571B" w:rsidRPr="00C179EF">
        <w:rPr>
          <w:b/>
          <w:iCs/>
        </w:rPr>
        <w:t>podle příčin</w:t>
      </w:r>
      <w:r w:rsidR="00C95F74">
        <w:rPr>
          <w:b/>
          <w:iCs/>
        </w:rPr>
        <w:t>y a pohlaví</w:t>
      </w:r>
      <w:r w:rsidR="00E90DD3">
        <w:rPr>
          <w:b/>
          <w:iCs/>
        </w:rPr>
        <w:t>,</w:t>
      </w:r>
      <w:r w:rsidR="00452182">
        <w:rPr>
          <w:b/>
          <w:iCs/>
        </w:rPr>
        <w:t xml:space="preserve"> </w:t>
      </w:r>
      <w:r w:rsidR="00A84595" w:rsidRPr="00C179EF">
        <w:rPr>
          <w:b/>
          <w:iCs/>
        </w:rPr>
        <w:t>201</w:t>
      </w:r>
      <w:r w:rsidR="00C179EF" w:rsidRPr="00C179EF">
        <w:rPr>
          <w:b/>
          <w:iCs/>
        </w:rPr>
        <w:t>9</w:t>
      </w:r>
    </w:p>
    <w:p w14:paraId="30A5112D" w14:textId="73092C71" w:rsidR="00A84595" w:rsidRPr="00CF263C" w:rsidRDefault="00A84595" w:rsidP="006624D2">
      <w:pPr>
        <w:spacing w:after="120"/>
        <w:jc w:val="both"/>
        <w:rPr>
          <w:rFonts w:cs="Arial"/>
          <w:iCs/>
        </w:rPr>
      </w:pPr>
      <w:r w:rsidRPr="00BC3FF5">
        <w:rPr>
          <w:sz w:val="18"/>
        </w:rPr>
        <w:t>Zdroj: ČSÚ</w:t>
      </w:r>
      <w:r w:rsidR="00C179EF" w:rsidRPr="00C179EF">
        <w:rPr>
          <w:noProof/>
        </w:rPr>
        <w:t xml:space="preserve"> </w:t>
      </w:r>
    </w:p>
    <w:p w14:paraId="5E886BCB" w14:textId="461BBFE5" w:rsidR="00946467" w:rsidRDefault="003B31AE" w:rsidP="00A165CB">
      <w:pPr>
        <w:spacing w:after="120"/>
        <w:jc w:val="both"/>
        <w:rPr>
          <w:rFonts w:cs="Arial"/>
        </w:rPr>
      </w:pPr>
      <w:r>
        <w:rPr>
          <w:rFonts w:cs="Arial"/>
        </w:rPr>
        <w:t>Dopad l</w:t>
      </w:r>
      <w:r w:rsidRPr="00AD787C">
        <w:rPr>
          <w:rFonts w:cs="Arial"/>
        </w:rPr>
        <w:t>egislativní</w:t>
      </w:r>
      <w:r>
        <w:rPr>
          <w:rFonts w:cs="Arial"/>
        </w:rPr>
        <w:t>ch</w:t>
      </w:r>
      <w:r w:rsidRPr="00AD787C">
        <w:rPr>
          <w:rFonts w:cs="Arial"/>
        </w:rPr>
        <w:t xml:space="preserve"> změn</w:t>
      </w:r>
      <w:r>
        <w:rPr>
          <w:rFonts w:cs="Arial"/>
        </w:rPr>
        <w:t xml:space="preserve"> na četnost</w:t>
      </w:r>
      <w:r w:rsidRPr="00AD787C">
        <w:rPr>
          <w:rFonts w:cs="Arial"/>
        </w:rPr>
        <w:t xml:space="preserve"> případů pracovní neschopnosti </w:t>
      </w:r>
      <w:r>
        <w:rPr>
          <w:rFonts w:cs="Arial"/>
        </w:rPr>
        <w:t>je zřejmý zejména na vývoji počtu</w:t>
      </w:r>
      <w:r w:rsidRPr="00AD787C">
        <w:rPr>
          <w:rFonts w:cs="Arial"/>
        </w:rPr>
        <w:t xml:space="preserve"> případ</w:t>
      </w:r>
      <w:r>
        <w:rPr>
          <w:rFonts w:cs="Arial"/>
        </w:rPr>
        <w:t>ů</w:t>
      </w:r>
      <w:r w:rsidRPr="00AD787C">
        <w:rPr>
          <w:rFonts w:cs="Arial"/>
        </w:rPr>
        <w:t xml:space="preserve"> </w:t>
      </w:r>
      <w:r w:rsidRPr="00946467">
        <w:rPr>
          <w:rFonts w:cs="Arial"/>
          <w:b/>
        </w:rPr>
        <w:t>pracovní neschopnosti pro nemoc</w:t>
      </w:r>
      <w:r w:rsidR="005E7177">
        <w:rPr>
          <w:rFonts w:cs="Arial"/>
        </w:rPr>
        <w:t>. P</w:t>
      </w:r>
      <w:r w:rsidRPr="00AD787C">
        <w:rPr>
          <w:rFonts w:cs="Arial"/>
        </w:rPr>
        <w:t xml:space="preserve">očty případů pracovní neschopnosti pro úrazy jsou </w:t>
      </w:r>
      <w:r>
        <w:rPr>
          <w:rFonts w:cs="Arial"/>
        </w:rPr>
        <w:t>těmito změnami</w:t>
      </w:r>
      <w:r w:rsidRPr="00AD787C">
        <w:rPr>
          <w:rFonts w:cs="Arial"/>
        </w:rPr>
        <w:t xml:space="preserve"> ovlivněny méně. Legislativní úpravy ve vyplácení dávek nemocenského se nejvíce projevují v četnosti případů méně závažných a krátkodobých pracovních neschopností, například u nemoc</w:t>
      </w:r>
      <w:r>
        <w:rPr>
          <w:rFonts w:cs="Arial"/>
        </w:rPr>
        <w:t>í</w:t>
      </w:r>
      <w:r w:rsidRPr="00AD787C">
        <w:rPr>
          <w:rFonts w:cs="Arial"/>
        </w:rPr>
        <w:t xml:space="preserve"> dýchacích cest (běžná nachlazení, záněty horních cest dýchacích apod.).</w:t>
      </w:r>
    </w:p>
    <w:p w14:paraId="4E24E12A" w14:textId="77777777" w:rsidR="00A165CB" w:rsidRDefault="00355994" w:rsidP="00A165CB">
      <w:pPr>
        <w:spacing w:after="120"/>
        <w:jc w:val="both"/>
        <w:rPr>
          <w:rFonts w:cs="Arial"/>
        </w:rPr>
      </w:pPr>
      <w:r>
        <w:rPr>
          <w:rFonts w:cs="Arial"/>
        </w:rPr>
        <w:t xml:space="preserve">Meziroční nárůst nových případů pracovní neschopnosti </w:t>
      </w:r>
      <w:r w:rsidR="001567B5">
        <w:rPr>
          <w:rFonts w:cs="Arial"/>
        </w:rPr>
        <w:t xml:space="preserve">způsobených nemocí </w:t>
      </w:r>
      <w:r>
        <w:rPr>
          <w:rFonts w:cs="Arial"/>
        </w:rPr>
        <w:t xml:space="preserve">oproti roku 2018 souvisí se </w:t>
      </w:r>
      <w:r w:rsidRPr="00A165CB">
        <w:rPr>
          <w:rFonts w:cs="Arial"/>
          <w:b/>
          <w:bCs/>
        </w:rPr>
        <w:t>zrušením karenční doby od 1. července 2019</w:t>
      </w:r>
      <w:r w:rsidR="009026F8">
        <w:rPr>
          <w:rFonts w:cs="Arial"/>
        </w:rPr>
        <w:t xml:space="preserve">, kdy je náhrada mzdy od zaměstnavatele zaměstnanci vyplácena již od 1. </w:t>
      </w:r>
      <w:r w:rsidR="000D6F5B">
        <w:rPr>
          <w:rFonts w:cs="Arial"/>
        </w:rPr>
        <w:t>dne,</w:t>
      </w:r>
      <w:r w:rsidR="009026F8">
        <w:rPr>
          <w:rFonts w:cs="Arial"/>
        </w:rPr>
        <w:t xml:space="preserve"> a nikoliv až od čtvrtého, jako tomu bylo </w:t>
      </w:r>
      <w:r w:rsidR="005E7177">
        <w:rPr>
          <w:rFonts w:cs="Arial"/>
        </w:rPr>
        <w:t xml:space="preserve">od roku 2009 až </w:t>
      </w:r>
      <w:r w:rsidR="009026F8">
        <w:rPr>
          <w:rFonts w:cs="Arial"/>
        </w:rPr>
        <w:t>do té doby</w:t>
      </w:r>
      <w:r>
        <w:rPr>
          <w:rFonts w:cs="Arial"/>
        </w:rPr>
        <w:t>.</w:t>
      </w:r>
    </w:p>
    <w:p w14:paraId="40589A52" w14:textId="77777777" w:rsidR="00A165CB" w:rsidRDefault="00355994" w:rsidP="00A165CB">
      <w:pPr>
        <w:spacing w:after="120"/>
        <w:jc w:val="both"/>
        <w:rPr>
          <w:rFonts w:cs="Arial"/>
        </w:rPr>
      </w:pPr>
      <w:r>
        <w:rPr>
          <w:rFonts w:cs="Arial"/>
        </w:rPr>
        <w:lastRenderedPageBreak/>
        <w:t xml:space="preserve">Z grafu 2.2 je patrné, že </w:t>
      </w:r>
      <w:r w:rsidR="001567B5" w:rsidRPr="00A165CB">
        <w:rPr>
          <w:rFonts w:cs="Arial"/>
          <w:b/>
          <w:bCs/>
        </w:rPr>
        <w:t>druhá pololetí</w:t>
      </w:r>
      <w:r w:rsidR="001567B5">
        <w:rPr>
          <w:rFonts w:cs="Arial"/>
        </w:rPr>
        <w:t xml:space="preserve"> vykazují </w:t>
      </w:r>
      <w:r w:rsidR="00946467">
        <w:rPr>
          <w:rFonts w:cs="Arial"/>
        </w:rPr>
        <w:t xml:space="preserve">podstatně </w:t>
      </w:r>
      <w:r>
        <w:rPr>
          <w:rFonts w:cs="Arial"/>
        </w:rPr>
        <w:t>méně</w:t>
      </w:r>
      <w:r w:rsidR="001567B5">
        <w:rPr>
          <w:rFonts w:cs="Arial"/>
        </w:rPr>
        <w:t xml:space="preserve"> </w:t>
      </w:r>
      <w:r>
        <w:rPr>
          <w:rFonts w:cs="Arial"/>
        </w:rPr>
        <w:t>případů</w:t>
      </w:r>
      <w:r w:rsidR="001567B5">
        <w:rPr>
          <w:rFonts w:cs="Arial"/>
        </w:rPr>
        <w:t xml:space="preserve"> </w:t>
      </w:r>
      <w:r w:rsidR="003B31AE">
        <w:rPr>
          <w:rFonts w:cs="Arial"/>
        </w:rPr>
        <w:t>než ta první</w:t>
      </w:r>
      <w:r w:rsidR="001567B5">
        <w:rPr>
          <w:rFonts w:cs="Arial"/>
        </w:rPr>
        <w:t>.</w:t>
      </w:r>
      <w:r>
        <w:rPr>
          <w:rFonts w:cs="Arial"/>
        </w:rPr>
        <w:t xml:space="preserve"> </w:t>
      </w:r>
      <w:r w:rsidR="001567B5">
        <w:rPr>
          <w:rFonts w:cs="Arial"/>
        </w:rPr>
        <w:t>Za 2. polovinu roku 2019 bylo nahlášeno celkem 838,5 tis. případů pracovní neschopnosti pro nemoc, což je o 126 tis. případů (17,7</w:t>
      </w:r>
      <w:r w:rsidR="003B31AE">
        <w:rPr>
          <w:rFonts w:cs="Arial"/>
        </w:rPr>
        <w:t xml:space="preserve"> </w:t>
      </w:r>
      <w:r w:rsidR="001567B5">
        <w:rPr>
          <w:rFonts w:cs="Arial"/>
        </w:rPr>
        <w:t>%) více než v 2. pololetí předchozího roku.</w:t>
      </w:r>
      <w:r w:rsidR="009026F8">
        <w:rPr>
          <w:rFonts w:cs="Arial"/>
        </w:rPr>
        <w:t xml:space="preserve"> Zatímco od roku 2013 do roku 2018 byl </w:t>
      </w:r>
      <w:r w:rsidR="00624C0E">
        <w:rPr>
          <w:rFonts w:cs="Arial"/>
        </w:rPr>
        <w:t>mírný růst</w:t>
      </w:r>
      <w:r w:rsidR="009026F8">
        <w:rPr>
          <w:rFonts w:cs="Arial"/>
        </w:rPr>
        <w:t xml:space="preserve"> počtu pracovních neschopností pro nemoc v 2. pololetí víceméně lineární, zrušení karenční doby přineslo nárůst skokový. </w:t>
      </w:r>
    </w:p>
    <w:p w14:paraId="368C9D32" w14:textId="304A93D8" w:rsidR="007B2E56" w:rsidRDefault="009026F8" w:rsidP="00A165CB">
      <w:pPr>
        <w:spacing w:after="120"/>
        <w:jc w:val="both"/>
        <w:rPr>
          <w:rFonts w:cs="Arial"/>
        </w:rPr>
      </w:pPr>
      <w:r>
        <w:rPr>
          <w:rFonts w:cs="Arial"/>
        </w:rPr>
        <w:t xml:space="preserve">Naopak objem neschopenek pro nemoc za </w:t>
      </w:r>
      <w:r w:rsidRPr="00A165CB">
        <w:rPr>
          <w:rFonts w:cs="Arial"/>
          <w:b/>
          <w:bCs/>
        </w:rPr>
        <w:t>první pololetí</w:t>
      </w:r>
      <w:r>
        <w:rPr>
          <w:rFonts w:cs="Arial"/>
        </w:rPr>
        <w:t xml:space="preserve"> 2019 se meziročně snížil</w:t>
      </w:r>
      <w:r w:rsidR="003B31AE">
        <w:rPr>
          <w:rFonts w:cs="Arial"/>
        </w:rPr>
        <w:t xml:space="preserve"> o 65 tis.</w:t>
      </w:r>
      <w:r>
        <w:rPr>
          <w:rFonts w:cs="Arial"/>
        </w:rPr>
        <w:t xml:space="preserve">, </w:t>
      </w:r>
      <w:r w:rsidR="003B31AE">
        <w:rPr>
          <w:rFonts w:cs="Arial"/>
        </w:rPr>
        <w:t>což odpovídá 7</w:t>
      </w:r>
      <w:r w:rsidR="007716E5">
        <w:rPr>
          <w:rFonts w:cs="Arial"/>
        </w:rPr>
        <w:t> </w:t>
      </w:r>
      <w:r w:rsidR="003B31AE">
        <w:rPr>
          <w:rFonts w:cs="Arial"/>
        </w:rPr>
        <w:t>%.</w:t>
      </w:r>
      <w:r w:rsidR="0038691E">
        <w:rPr>
          <w:rFonts w:cs="Arial"/>
        </w:rPr>
        <w:t xml:space="preserve"> Dalo by se předpokládat, že </w:t>
      </w:r>
      <w:r w:rsidR="00624C0E">
        <w:rPr>
          <w:rFonts w:cs="Arial"/>
        </w:rPr>
        <w:t xml:space="preserve">vyšší počty případů pracovní neschopnosti a jejich </w:t>
      </w:r>
      <w:r w:rsidR="0038691E">
        <w:rPr>
          <w:rFonts w:cs="Arial"/>
        </w:rPr>
        <w:t>výkyv</w:t>
      </w:r>
      <w:r w:rsidR="00624C0E">
        <w:rPr>
          <w:rFonts w:cs="Arial"/>
        </w:rPr>
        <w:t>y</w:t>
      </w:r>
      <w:r w:rsidR="0038691E">
        <w:rPr>
          <w:rFonts w:cs="Arial"/>
        </w:rPr>
        <w:t xml:space="preserve"> v prvním pololetí způsobují chřipkové epidemie přicházející začátkem roku. Naopak jedním z možných faktorů nižšího počtu případů v druhé polovině roku mohou být prázdniny, zejm</w:t>
      </w:r>
      <w:r w:rsidR="00E7557F">
        <w:rPr>
          <w:rFonts w:cs="Arial"/>
        </w:rPr>
        <w:t>éna</w:t>
      </w:r>
      <w:r w:rsidR="0038691E">
        <w:rPr>
          <w:rFonts w:cs="Arial"/>
        </w:rPr>
        <w:t xml:space="preserve"> letní, ale také podzimní a vánoční. Pokud se nejedná o</w:t>
      </w:r>
      <w:r w:rsidR="00D157C9">
        <w:rPr>
          <w:rFonts w:cs="Arial"/>
        </w:rPr>
        <w:t> </w:t>
      </w:r>
      <w:r w:rsidR="0038691E">
        <w:rPr>
          <w:rFonts w:cs="Arial"/>
        </w:rPr>
        <w:t xml:space="preserve">onemocnění závažnějšího charakteru, může se pojištěnec během dovolené sám zotavit bez </w:t>
      </w:r>
      <w:r w:rsidR="00624C0E">
        <w:rPr>
          <w:rFonts w:cs="Arial"/>
        </w:rPr>
        <w:t xml:space="preserve">nutnosti </w:t>
      </w:r>
      <w:r w:rsidR="0038691E">
        <w:rPr>
          <w:rFonts w:cs="Arial"/>
        </w:rPr>
        <w:t>návštěvy lékaře</w:t>
      </w:r>
      <w:r w:rsidR="00624C0E">
        <w:rPr>
          <w:rFonts w:cs="Arial"/>
        </w:rPr>
        <w:t xml:space="preserve"> a vystavení pracovní </w:t>
      </w:r>
      <w:r w:rsidR="00D157C9">
        <w:rPr>
          <w:rFonts w:cs="Arial"/>
        </w:rPr>
        <w:t>neschopnosti</w:t>
      </w:r>
      <w:r w:rsidR="0038691E">
        <w:rPr>
          <w:rFonts w:cs="Arial"/>
        </w:rPr>
        <w:t xml:space="preserve">. </w:t>
      </w:r>
    </w:p>
    <w:p w14:paraId="64430C1F" w14:textId="0B61A0E7" w:rsidR="007B2E56" w:rsidRDefault="005B05C1" w:rsidP="006624D2">
      <w:pPr>
        <w:spacing w:after="60"/>
        <w:jc w:val="both"/>
        <w:rPr>
          <w:rFonts w:cs="Arial"/>
          <w:b/>
          <w:bCs/>
        </w:rPr>
      </w:pPr>
      <w:r w:rsidRPr="005B05C1">
        <w:rPr>
          <w:rFonts w:cs="Arial"/>
          <w:b/>
          <w:bCs/>
        </w:rPr>
        <w:t>Graf 2.2: Nově hlášené případy dočasné pracovní neschopnosti pro nemoc</w:t>
      </w:r>
      <w:r w:rsidR="00E90DD3">
        <w:rPr>
          <w:rFonts w:cs="Arial"/>
          <w:b/>
          <w:bCs/>
        </w:rPr>
        <w:t>,</w:t>
      </w:r>
      <w:r w:rsidRPr="005B05C1">
        <w:rPr>
          <w:rFonts w:cs="Arial"/>
          <w:b/>
          <w:bCs/>
        </w:rPr>
        <w:t xml:space="preserve"> 201</w:t>
      </w:r>
      <w:r w:rsidR="0099448D">
        <w:rPr>
          <w:rFonts w:cs="Arial"/>
          <w:b/>
          <w:bCs/>
        </w:rPr>
        <w:t>5</w:t>
      </w:r>
      <w:r w:rsidRPr="005B05C1">
        <w:rPr>
          <w:rFonts w:cs="Arial"/>
          <w:b/>
          <w:bCs/>
        </w:rPr>
        <w:t>–2019</w:t>
      </w:r>
    </w:p>
    <w:p w14:paraId="472B435E" w14:textId="776A5EA1" w:rsidR="001A7A96" w:rsidRPr="00CF263C" w:rsidRDefault="0099448D" w:rsidP="006624D2">
      <w:pPr>
        <w:spacing w:before="120" w:after="120"/>
        <w:rPr>
          <w:rFonts w:cs="Arial"/>
          <w:b/>
          <w:bCs/>
        </w:rPr>
      </w:pPr>
      <w:r>
        <w:rPr>
          <w:noProof/>
        </w:rPr>
        <w:drawing>
          <wp:inline distT="0" distB="0" distL="0" distR="0" wp14:anchorId="6AB03DAD" wp14:editId="72E436CC">
            <wp:extent cx="6120765" cy="2260600"/>
            <wp:effectExtent l="0" t="0" r="13335" b="6350"/>
            <wp:docPr id="22" name="Graf 22">
              <a:extLst xmlns:a="http://schemas.openxmlformats.org/drawingml/2006/main">
                <a:ext uri="{FF2B5EF4-FFF2-40B4-BE49-F238E27FC236}">
                  <a16:creationId xmlns:a16="http://schemas.microsoft.com/office/drawing/2014/main" id="{4D9DF46E-1E4D-4EC4-9807-A779880C565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  <w:r w:rsidR="009026F8" w:rsidRPr="00BC3FF5">
        <w:rPr>
          <w:sz w:val="18"/>
        </w:rPr>
        <w:t>Zdroj: ČSÚ</w:t>
      </w:r>
      <w:r w:rsidR="009026F8" w:rsidRPr="00C179EF">
        <w:rPr>
          <w:noProof/>
        </w:rPr>
        <w:t xml:space="preserve"> </w:t>
      </w:r>
    </w:p>
    <w:p w14:paraId="6B430125" w14:textId="77777777" w:rsidR="007716E5" w:rsidRPr="007021B9" w:rsidRDefault="007716E5" w:rsidP="007716E5">
      <w:pPr>
        <w:spacing w:after="120"/>
        <w:jc w:val="both"/>
        <w:rPr>
          <w:rFonts w:cs="Arial"/>
        </w:rPr>
      </w:pPr>
      <w:r w:rsidRPr="007021B9">
        <w:rPr>
          <w:rFonts w:cs="Arial"/>
        </w:rPr>
        <w:t xml:space="preserve">Nejvíce nových případů dočasné pracovní neschopnosti bylo v roce 2019 nahlášeno v subjektech, které dle převažující ekonomické činnosti spadají do </w:t>
      </w:r>
      <w:r w:rsidRPr="0099448D">
        <w:rPr>
          <w:rFonts w:cs="Arial"/>
          <w:b/>
        </w:rPr>
        <w:t xml:space="preserve">odvětvové sekce </w:t>
      </w:r>
      <w:r w:rsidRPr="007021B9">
        <w:rPr>
          <w:rFonts w:cs="Arial"/>
        </w:rPr>
        <w:t>Zpracovatelský průmysl (665 tis. případů) a Velkoobchod a maloobchod</w:t>
      </w:r>
      <w:r>
        <w:rPr>
          <w:rFonts w:cs="Arial"/>
        </w:rPr>
        <w:t xml:space="preserve"> </w:t>
      </w:r>
      <w:r w:rsidRPr="007021B9">
        <w:rPr>
          <w:rFonts w:cs="Arial"/>
        </w:rPr>
        <w:t xml:space="preserve">(251 tis. případů). </w:t>
      </w:r>
      <w:r>
        <w:rPr>
          <w:rFonts w:cs="Arial"/>
        </w:rPr>
        <w:t xml:space="preserve">Jde zároveň o odvětví, kde pracuje nejvíce zaměstnaných osob, jak bylo uvedeno výše v kapitole 4.1. </w:t>
      </w:r>
      <w:r w:rsidRPr="007021B9">
        <w:rPr>
          <w:rFonts w:cs="Arial"/>
        </w:rPr>
        <w:t xml:space="preserve">Naopak nejméně </w:t>
      </w:r>
      <w:r>
        <w:rPr>
          <w:rFonts w:cs="Arial"/>
        </w:rPr>
        <w:t xml:space="preserve">případů </w:t>
      </w:r>
      <w:r w:rsidRPr="007021B9">
        <w:rPr>
          <w:rFonts w:cs="Arial"/>
        </w:rPr>
        <w:t>bylo v absolutních číslech hlášeno v odvětvové sekci Těžba a dobývání (10,5 tis.) a Výroba a rozvod elektřiny a jiných energií (11,3 tis.). Absolutní počty nově hlášených případů jsou ovšem ovlivněny odvětvovou strukturou národního hospodářství a</w:t>
      </w:r>
      <w:r>
        <w:rPr>
          <w:rFonts w:cs="Arial"/>
        </w:rPr>
        <w:t> </w:t>
      </w:r>
      <w:r w:rsidRPr="007021B9">
        <w:rPr>
          <w:rFonts w:cs="Arial"/>
        </w:rPr>
        <w:t>zaměstnaností v jednotlivých odvětvích. Z toho důvodu má vyšší vypovídací schopnost již zmíněný relativní ukazatel – počet nově hlášených případů na 100 pojištěnců v daném odvětví.</w:t>
      </w:r>
    </w:p>
    <w:p w14:paraId="022D2702" w14:textId="0100C631" w:rsidR="00751CB2" w:rsidRPr="00144900" w:rsidRDefault="005C4067" w:rsidP="006624D2">
      <w:pPr>
        <w:spacing w:after="60"/>
        <w:jc w:val="both"/>
        <w:rPr>
          <w:b/>
          <w:iCs/>
          <w:spacing w:val="-4"/>
        </w:rPr>
      </w:pPr>
      <w:r w:rsidRPr="00144900">
        <w:rPr>
          <w:b/>
          <w:iCs/>
          <w:spacing w:val="-4"/>
        </w:rPr>
        <w:t>Graf 2.3: Nově hlášené případy dočasné pracovní neschopnosti na 100 pojištěnců</w:t>
      </w:r>
      <w:r w:rsidR="00144900" w:rsidRPr="00144900">
        <w:rPr>
          <w:b/>
          <w:iCs/>
          <w:spacing w:val="-4"/>
        </w:rPr>
        <w:t xml:space="preserve"> podle příčiny</w:t>
      </w:r>
      <w:r w:rsidR="00E90DD3" w:rsidRPr="00144900">
        <w:rPr>
          <w:b/>
          <w:iCs/>
          <w:spacing w:val="-4"/>
        </w:rPr>
        <w:t>,</w:t>
      </w:r>
      <w:r w:rsidRPr="00144900">
        <w:rPr>
          <w:b/>
          <w:iCs/>
          <w:spacing w:val="-4"/>
        </w:rPr>
        <w:t xml:space="preserve"> 2009–2019</w:t>
      </w:r>
    </w:p>
    <w:p w14:paraId="70ACD0F5" w14:textId="26093517" w:rsidR="005C4067" w:rsidRDefault="005C4067" w:rsidP="007716E5">
      <w:pPr>
        <w:spacing w:after="120"/>
        <w:jc w:val="both"/>
        <w:rPr>
          <w:sz w:val="18"/>
        </w:rPr>
      </w:pPr>
      <w:r>
        <w:rPr>
          <w:noProof/>
        </w:rPr>
        <w:drawing>
          <wp:inline distT="0" distB="0" distL="0" distR="0" wp14:anchorId="30D949E8" wp14:editId="449F894F">
            <wp:extent cx="6120765" cy="2222500"/>
            <wp:effectExtent l="0" t="0" r="13335" b="6350"/>
            <wp:docPr id="29" name="Graf 29">
              <a:extLst xmlns:a="http://schemas.openxmlformats.org/drawingml/2006/main">
                <a:ext uri="{FF2B5EF4-FFF2-40B4-BE49-F238E27FC236}">
                  <a16:creationId xmlns:a16="http://schemas.microsoft.com/office/drawing/2014/main" id="{B43B8A36-D09D-4633-B807-5495F264CB3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  <w:r w:rsidRPr="00BC3FF5">
        <w:rPr>
          <w:sz w:val="18"/>
        </w:rPr>
        <w:t>Zdroj: ČSÚ</w:t>
      </w:r>
    </w:p>
    <w:p w14:paraId="5C5F36CC" w14:textId="2767410D" w:rsidR="000A65CA" w:rsidRDefault="000A65CA" w:rsidP="001C3D2F">
      <w:pPr>
        <w:spacing w:after="120"/>
        <w:jc w:val="both"/>
        <w:rPr>
          <w:rFonts w:cs="Arial"/>
        </w:rPr>
      </w:pPr>
      <w:r w:rsidRPr="007021B9">
        <w:rPr>
          <w:rFonts w:cs="Arial"/>
        </w:rPr>
        <w:lastRenderedPageBreak/>
        <w:t xml:space="preserve">Nejvíce případů dočasné pracovní neschopnosti </w:t>
      </w:r>
      <w:r w:rsidRPr="001C3D2F">
        <w:rPr>
          <w:rFonts w:cs="Arial"/>
          <w:b/>
          <w:bCs/>
        </w:rPr>
        <w:t>na 100 pojištěnců</w:t>
      </w:r>
      <w:r w:rsidRPr="007021B9">
        <w:rPr>
          <w:rFonts w:cs="Arial"/>
        </w:rPr>
        <w:t xml:space="preserve"> bylo zaznamenáno ve Zpracovatelském průmyslu (</w:t>
      </w:r>
      <w:r w:rsidR="007021B9" w:rsidRPr="007021B9">
        <w:rPr>
          <w:rFonts w:cs="Arial"/>
        </w:rPr>
        <w:t>53,9</w:t>
      </w:r>
      <w:r w:rsidRPr="007021B9">
        <w:rPr>
          <w:rFonts w:cs="Arial"/>
        </w:rPr>
        <w:t>)</w:t>
      </w:r>
      <w:r w:rsidR="00B24506">
        <w:rPr>
          <w:rFonts w:cs="Arial"/>
        </w:rPr>
        <w:t xml:space="preserve">. </w:t>
      </w:r>
      <w:r w:rsidR="0099448D">
        <w:rPr>
          <w:rFonts w:cs="Arial"/>
        </w:rPr>
        <w:t>N</w:t>
      </w:r>
      <w:r w:rsidRPr="007021B9">
        <w:rPr>
          <w:rFonts w:cs="Arial"/>
        </w:rPr>
        <w:t>ásledovala oblast Administrativní a podpůrné činnosti (4</w:t>
      </w:r>
      <w:r w:rsidR="007021B9" w:rsidRPr="007021B9">
        <w:rPr>
          <w:rFonts w:cs="Arial"/>
        </w:rPr>
        <w:t>9,7</w:t>
      </w:r>
      <w:r w:rsidR="00B24506">
        <w:rPr>
          <w:rFonts w:cs="Arial"/>
        </w:rPr>
        <w:t xml:space="preserve">). Nutno doplnit, že do této sekce spadají agentury práce, které </w:t>
      </w:r>
      <w:r w:rsidR="001C3D2F">
        <w:rPr>
          <w:rFonts w:cs="Arial"/>
        </w:rPr>
        <w:t>pro</w:t>
      </w:r>
      <w:r w:rsidR="00B24506">
        <w:rPr>
          <w:rFonts w:cs="Arial"/>
        </w:rPr>
        <w:t xml:space="preserve">najímají značné množství </w:t>
      </w:r>
      <w:r w:rsidR="001C3D2F">
        <w:rPr>
          <w:rFonts w:cs="Arial"/>
        </w:rPr>
        <w:t xml:space="preserve">svých zaměstnanců jako </w:t>
      </w:r>
      <w:r w:rsidR="00B24506">
        <w:rPr>
          <w:rFonts w:cs="Arial"/>
        </w:rPr>
        <w:t>agenturní pracovník</w:t>
      </w:r>
      <w:r w:rsidR="001C3D2F">
        <w:rPr>
          <w:rFonts w:cs="Arial"/>
        </w:rPr>
        <w:t>y např. pro výše zmíněný</w:t>
      </w:r>
      <w:r w:rsidR="00B24506">
        <w:rPr>
          <w:rFonts w:cs="Arial"/>
        </w:rPr>
        <w:t xml:space="preserve"> zpracovatelsk</w:t>
      </w:r>
      <w:r w:rsidR="001C3D2F">
        <w:rPr>
          <w:rFonts w:cs="Arial"/>
        </w:rPr>
        <w:t>ý</w:t>
      </w:r>
      <w:r w:rsidR="00B24506">
        <w:rPr>
          <w:rFonts w:cs="Arial"/>
        </w:rPr>
        <w:t xml:space="preserve"> průmysl. </w:t>
      </w:r>
      <w:r w:rsidRPr="007021B9">
        <w:rPr>
          <w:rFonts w:cs="Arial"/>
        </w:rPr>
        <w:t>Nejméně dočasných pracovních neschopností v přepočtu na 100 pojištěnců bylo evidováno v odvětví Činnosti v oblasti nemovitostí (1</w:t>
      </w:r>
      <w:r w:rsidR="007021B9" w:rsidRPr="007021B9">
        <w:rPr>
          <w:rFonts w:cs="Arial"/>
        </w:rPr>
        <w:t>8</w:t>
      </w:r>
      <w:r w:rsidRPr="007021B9">
        <w:rPr>
          <w:rFonts w:cs="Arial"/>
        </w:rPr>
        <w:t xml:space="preserve">,4). Celorepublikový průměr bez ohledu na odvětví činil </w:t>
      </w:r>
      <w:r w:rsidR="007021B9" w:rsidRPr="007021B9">
        <w:rPr>
          <w:rFonts w:cs="Arial"/>
        </w:rPr>
        <w:t>40,5</w:t>
      </w:r>
      <w:r w:rsidRPr="007021B9">
        <w:rPr>
          <w:rFonts w:cs="Arial"/>
        </w:rPr>
        <w:t xml:space="preserve"> případů na</w:t>
      </w:r>
      <w:r w:rsidR="00F547BE" w:rsidRPr="007021B9">
        <w:rPr>
          <w:rFonts w:cs="Arial"/>
        </w:rPr>
        <w:t> </w:t>
      </w:r>
      <w:r w:rsidRPr="007021B9">
        <w:rPr>
          <w:rFonts w:cs="Arial"/>
        </w:rPr>
        <w:t>100</w:t>
      </w:r>
      <w:r w:rsidR="00F547BE" w:rsidRPr="007021B9">
        <w:rPr>
          <w:rFonts w:cs="Arial"/>
        </w:rPr>
        <w:t> </w:t>
      </w:r>
      <w:r w:rsidRPr="007021B9">
        <w:rPr>
          <w:rFonts w:cs="Arial"/>
        </w:rPr>
        <w:t>nemocensky pojištěných osob.</w:t>
      </w:r>
    </w:p>
    <w:p w14:paraId="24CD4EE5" w14:textId="5217AA8C" w:rsidR="00E70681" w:rsidRDefault="00E70681" w:rsidP="00E70681">
      <w:pPr>
        <w:spacing w:after="120"/>
        <w:jc w:val="both"/>
        <w:rPr>
          <w:rFonts w:cs="Arial"/>
        </w:rPr>
      </w:pPr>
      <w:r>
        <w:rPr>
          <w:rFonts w:cs="Arial"/>
        </w:rPr>
        <w:t>Za celý rok 2019 přibylo v průměru 1,</w:t>
      </w:r>
      <w:r w:rsidR="00C45458">
        <w:rPr>
          <w:rFonts w:cs="Arial"/>
        </w:rPr>
        <w:t>4</w:t>
      </w:r>
      <w:r>
        <w:rPr>
          <w:rFonts w:cs="Arial"/>
        </w:rPr>
        <w:t xml:space="preserve"> případu na 100 pojištěnců v porovnání s předchozím rokem. Na 100 pojištěnců připadalo 36 nově hlášených případů pracovní neschopnosti </w:t>
      </w:r>
      <w:r w:rsidRPr="0038691E">
        <w:rPr>
          <w:rFonts w:cs="Arial"/>
          <w:b/>
          <w:bCs/>
        </w:rPr>
        <w:t>pro nemoc</w:t>
      </w:r>
      <w:r>
        <w:rPr>
          <w:rFonts w:cs="Arial"/>
        </w:rPr>
        <w:t xml:space="preserve">, což bylo o 10 více než v roce 2014. Zatímco pracovních neschopností z důvodu </w:t>
      </w:r>
      <w:r w:rsidRPr="00D157C9">
        <w:rPr>
          <w:rFonts w:cs="Arial"/>
          <w:b/>
        </w:rPr>
        <w:t>pracovních úrazů</w:t>
      </w:r>
      <w:r>
        <w:rPr>
          <w:rFonts w:cs="Arial"/>
        </w:rPr>
        <w:t xml:space="preserve"> v posledních letech ubývá (0,9 na 100 pojištěnců v roce 2019), počet neschopenek pro </w:t>
      </w:r>
      <w:r w:rsidRPr="00D157C9">
        <w:rPr>
          <w:rFonts w:cs="Arial"/>
          <w:b/>
        </w:rPr>
        <w:t>mimopracovní úrazy</w:t>
      </w:r>
      <w:r>
        <w:rPr>
          <w:rFonts w:cs="Arial"/>
        </w:rPr>
        <w:t xml:space="preserve"> se již sedm let v řadě každoročně zvyšuje. V roce 2019 představovaly již více než trojnásobek počtu pracovních (3,4 na 100 pojištěnců).</w:t>
      </w:r>
    </w:p>
    <w:p w14:paraId="21CDCE6D" w14:textId="35E146F6" w:rsidR="001C3D2F" w:rsidRDefault="005C4067" w:rsidP="001C3D2F">
      <w:pPr>
        <w:spacing w:after="120"/>
        <w:jc w:val="both"/>
        <w:rPr>
          <w:rFonts w:cs="Arial"/>
        </w:rPr>
      </w:pPr>
      <w:r w:rsidRPr="000879D5">
        <w:rPr>
          <w:rFonts w:cs="Arial"/>
        </w:rPr>
        <w:t>Vývoj hodnot ukazatele počet případů pracovní neschopnosti na 100 pojištěnců v jednotlivých odvětvích je zřejmý z</w:t>
      </w:r>
      <w:r w:rsidR="00367F64">
        <w:rPr>
          <w:rFonts w:cs="Arial"/>
        </w:rPr>
        <w:t xml:space="preserve"> grafu 2.4, resp. z </w:t>
      </w:r>
      <w:r w:rsidRPr="000879D5">
        <w:rPr>
          <w:rFonts w:cs="Arial"/>
        </w:rPr>
        <w:t>tabulky 2.2</w:t>
      </w:r>
      <w:r>
        <w:rPr>
          <w:rFonts w:cs="Arial"/>
        </w:rPr>
        <w:t>. Mezi roky 2009–2019 došlo k nárůstu počtu hlášených případů v přepočtu na 100 pojištěnců ze 34 případů na 4</w:t>
      </w:r>
      <w:r w:rsidR="001C3D2F">
        <w:rPr>
          <w:rFonts w:cs="Arial"/>
        </w:rPr>
        <w:t>1</w:t>
      </w:r>
      <w:r>
        <w:rPr>
          <w:rFonts w:cs="Arial"/>
        </w:rPr>
        <w:t>. N</w:t>
      </w:r>
      <w:r w:rsidRPr="000879D5">
        <w:rPr>
          <w:rFonts w:cs="Arial"/>
        </w:rPr>
        <w:t xml:space="preserve">ejdynamičtější </w:t>
      </w:r>
      <w:r w:rsidRPr="001C3D2F">
        <w:rPr>
          <w:rFonts w:cs="Arial"/>
          <w:b/>
          <w:bCs/>
        </w:rPr>
        <w:t>nárůst</w:t>
      </w:r>
      <w:r w:rsidRPr="000879D5">
        <w:rPr>
          <w:rFonts w:cs="Arial"/>
        </w:rPr>
        <w:t xml:space="preserve"> mezi </w:t>
      </w:r>
      <w:r>
        <w:rPr>
          <w:rFonts w:cs="Arial"/>
        </w:rPr>
        <w:t>lety</w:t>
      </w:r>
      <w:r w:rsidRPr="000879D5">
        <w:rPr>
          <w:rFonts w:cs="Arial"/>
        </w:rPr>
        <w:t xml:space="preserve"> 2009–201</w:t>
      </w:r>
      <w:r>
        <w:rPr>
          <w:rFonts w:cs="Arial"/>
        </w:rPr>
        <w:t>9</w:t>
      </w:r>
      <w:r w:rsidRPr="000879D5">
        <w:rPr>
          <w:rFonts w:cs="Arial"/>
        </w:rPr>
        <w:t xml:space="preserve"> je patrný v</w:t>
      </w:r>
      <w:r w:rsidR="001C3D2F">
        <w:rPr>
          <w:rFonts w:cs="Arial"/>
        </w:rPr>
        <w:t> </w:t>
      </w:r>
      <w:r w:rsidRPr="000879D5">
        <w:rPr>
          <w:rFonts w:cs="Arial"/>
        </w:rPr>
        <w:t>odvětv</w:t>
      </w:r>
      <w:r w:rsidR="001C3D2F">
        <w:rPr>
          <w:rFonts w:cs="Arial"/>
        </w:rPr>
        <w:t>ové sekci</w:t>
      </w:r>
      <w:r w:rsidRPr="000879D5">
        <w:rPr>
          <w:rFonts w:cs="Arial"/>
        </w:rPr>
        <w:t xml:space="preserve"> Výroba a rozvod elektřiny, plynu, tepla a klimatizovaného vzduchu</w:t>
      </w:r>
      <w:r w:rsidR="001C3D2F">
        <w:rPr>
          <w:rFonts w:cs="Arial"/>
        </w:rPr>
        <w:t>, kde vzrostl tento ukazatel o 44 % (z </w:t>
      </w:r>
      <w:r>
        <w:rPr>
          <w:rFonts w:cs="Arial"/>
        </w:rPr>
        <w:t>21</w:t>
      </w:r>
      <w:r w:rsidRPr="000879D5">
        <w:rPr>
          <w:rFonts w:cs="Arial"/>
        </w:rPr>
        <w:t xml:space="preserve"> případů na</w:t>
      </w:r>
      <w:r>
        <w:rPr>
          <w:rFonts w:cs="Arial"/>
        </w:rPr>
        <w:t> </w:t>
      </w:r>
      <w:r w:rsidRPr="000879D5">
        <w:rPr>
          <w:rFonts w:cs="Arial"/>
        </w:rPr>
        <w:t>100</w:t>
      </w:r>
      <w:r>
        <w:rPr>
          <w:rFonts w:cs="Arial"/>
        </w:rPr>
        <w:t> </w:t>
      </w:r>
      <w:r w:rsidRPr="000879D5">
        <w:rPr>
          <w:rFonts w:cs="Arial"/>
        </w:rPr>
        <w:t xml:space="preserve">pojištěnců na začátku sledovaného období na </w:t>
      </w:r>
      <w:r>
        <w:rPr>
          <w:rFonts w:cs="Arial"/>
        </w:rPr>
        <w:t>30</w:t>
      </w:r>
      <w:r w:rsidRPr="000879D5">
        <w:rPr>
          <w:rFonts w:cs="Arial"/>
        </w:rPr>
        <w:t xml:space="preserve"> případů v roce 201</w:t>
      </w:r>
      <w:r>
        <w:rPr>
          <w:rFonts w:cs="Arial"/>
        </w:rPr>
        <w:t>9</w:t>
      </w:r>
      <w:r w:rsidR="001C3D2F">
        <w:rPr>
          <w:rFonts w:cs="Arial"/>
        </w:rPr>
        <w:t>)</w:t>
      </w:r>
      <w:r w:rsidRPr="000879D5">
        <w:rPr>
          <w:rFonts w:cs="Arial"/>
        </w:rPr>
        <w:t xml:space="preserve">. </w:t>
      </w:r>
      <w:r w:rsidR="001C3D2F">
        <w:rPr>
          <w:rFonts w:cs="Arial"/>
        </w:rPr>
        <w:t>O cca třetinu vzrostl</w:t>
      </w:r>
      <w:r w:rsidR="007F3530">
        <w:rPr>
          <w:rFonts w:cs="Arial"/>
        </w:rPr>
        <w:t xml:space="preserve"> počet případů na 100 pojištěnců</w:t>
      </w:r>
      <w:r w:rsidR="001C3D2F">
        <w:rPr>
          <w:rFonts w:cs="Arial"/>
        </w:rPr>
        <w:t xml:space="preserve"> ve výše uvedených odvětvových sekcích Zpracovatelský průmysl a Administrativní a podpůrné činnosti.</w:t>
      </w:r>
    </w:p>
    <w:p w14:paraId="7D6CBDEE" w14:textId="436C1EFE" w:rsidR="00236404" w:rsidRPr="00367F64" w:rsidRDefault="00CC4CD9" w:rsidP="009636BA">
      <w:pPr>
        <w:spacing w:after="60" w:line="240" w:lineRule="auto"/>
        <w:jc w:val="both"/>
        <w:rPr>
          <w:b/>
          <w:iCs/>
        </w:rPr>
      </w:pPr>
      <w:r w:rsidRPr="00367F64">
        <w:rPr>
          <w:b/>
          <w:iCs/>
        </w:rPr>
        <w:t xml:space="preserve">Graf </w:t>
      </w:r>
      <w:r w:rsidR="00E63915" w:rsidRPr="00367F64">
        <w:rPr>
          <w:b/>
          <w:iCs/>
        </w:rPr>
        <w:t>2.</w:t>
      </w:r>
      <w:r w:rsidR="00EA7115" w:rsidRPr="00367F64">
        <w:rPr>
          <w:b/>
          <w:iCs/>
        </w:rPr>
        <w:t>4</w:t>
      </w:r>
      <w:r w:rsidR="00E63915" w:rsidRPr="00367F64">
        <w:rPr>
          <w:b/>
          <w:iCs/>
        </w:rPr>
        <w:t xml:space="preserve">: Nově hlášené případy dočasné pracovní neschopnosti na 100 pojištěnců </w:t>
      </w:r>
      <w:r w:rsidR="008D7B85" w:rsidRPr="00367F64">
        <w:rPr>
          <w:b/>
          <w:iCs/>
        </w:rPr>
        <w:t>po</w:t>
      </w:r>
      <w:r w:rsidR="00E63915" w:rsidRPr="00367F64">
        <w:rPr>
          <w:b/>
          <w:iCs/>
        </w:rPr>
        <w:t>dle odvětví (sekc</w:t>
      </w:r>
      <w:r w:rsidR="00367F64">
        <w:rPr>
          <w:b/>
          <w:iCs/>
        </w:rPr>
        <w:t>e</w:t>
      </w:r>
      <w:r w:rsidR="00E63915" w:rsidRPr="00367F64">
        <w:rPr>
          <w:b/>
          <w:iCs/>
        </w:rPr>
        <w:t xml:space="preserve"> CZ-NACE)</w:t>
      </w:r>
      <w:r w:rsidR="00452182" w:rsidRPr="00367F64">
        <w:rPr>
          <w:b/>
          <w:iCs/>
        </w:rPr>
        <w:t xml:space="preserve">, </w:t>
      </w:r>
      <w:r w:rsidR="00236404" w:rsidRPr="00367F64">
        <w:rPr>
          <w:b/>
          <w:iCs/>
        </w:rPr>
        <w:t xml:space="preserve">2009 a </w:t>
      </w:r>
      <w:r w:rsidR="00E63915" w:rsidRPr="00367F64">
        <w:rPr>
          <w:b/>
          <w:iCs/>
        </w:rPr>
        <w:t>201</w:t>
      </w:r>
      <w:r w:rsidR="00D9329D" w:rsidRPr="00367F64">
        <w:rPr>
          <w:b/>
          <w:iCs/>
        </w:rPr>
        <w:t>9</w:t>
      </w:r>
    </w:p>
    <w:p w14:paraId="46E203BA" w14:textId="77777777" w:rsidR="009636BA" w:rsidRDefault="00236404" w:rsidP="009636BA">
      <w:pPr>
        <w:pStyle w:val="Titulek"/>
        <w:keepNext/>
        <w:spacing w:before="60" w:after="120"/>
        <w:jc w:val="both"/>
        <w:rPr>
          <w:i w:val="0"/>
          <w:color w:val="auto"/>
        </w:rPr>
      </w:pPr>
      <w:r>
        <w:rPr>
          <w:noProof/>
        </w:rPr>
        <w:drawing>
          <wp:inline distT="0" distB="0" distL="0" distR="0" wp14:anchorId="389B999F" wp14:editId="6D2979D2">
            <wp:extent cx="6120130" cy="3750310"/>
            <wp:effectExtent l="0" t="0" r="13970" b="2540"/>
            <wp:docPr id="9" name="Graf 9">
              <a:extLst xmlns:a="http://schemas.openxmlformats.org/drawingml/2006/main">
                <a:ext uri="{FF2B5EF4-FFF2-40B4-BE49-F238E27FC236}">
                  <a16:creationId xmlns:a16="http://schemas.microsoft.com/office/drawing/2014/main" id="{9E69C072-9819-426B-81E1-7D4BBD38E77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5723AD6F" w14:textId="524F4A4B" w:rsidR="00C11C1F" w:rsidRPr="009636BA" w:rsidRDefault="00EF1CFD" w:rsidP="009636BA">
      <w:pPr>
        <w:pStyle w:val="Titulek"/>
        <w:keepNext/>
        <w:spacing w:after="120"/>
        <w:jc w:val="both"/>
        <w:rPr>
          <w:rFonts w:cs="Arial"/>
          <w:i w:val="0"/>
          <w:color w:val="auto"/>
        </w:rPr>
      </w:pPr>
      <w:r w:rsidRPr="009636BA">
        <w:rPr>
          <w:i w:val="0"/>
          <w:color w:val="auto"/>
        </w:rPr>
        <w:t>Zdroj: ČSÚ</w:t>
      </w:r>
    </w:p>
    <w:p w14:paraId="18892F59" w14:textId="08722BEF" w:rsidR="0014373B" w:rsidRDefault="00367F64" w:rsidP="00367F64">
      <w:pPr>
        <w:spacing w:after="120"/>
        <w:jc w:val="both"/>
        <w:rPr>
          <w:rFonts w:cs="Arial"/>
        </w:rPr>
      </w:pPr>
      <w:r w:rsidRPr="000879D5">
        <w:rPr>
          <w:rFonts w:cs="Arial"/>
        </w:rPr>
        <w:t xml:space="preserve">Naopak </w:t>
      </w:r>
      <w:r w:rsidRPr="001C3D2F">
        <w:rPr>
          <w:rFonts w:cs="Arial"/>
          <w:b/>
          <w:bCs/>
        </w:rPr>
        <w:t>největší pokles</w:t>
      </w:r>
      <w:r w:rsidRPr="001C3D2F">
        <w:rPr>
          <w:rFonts w:cs="Arial"/>
        </w:rPr>
        <w:t>, o 22 %,</w:t>
      </w:r>
      <w:r w:rsidRPr="000879D5">
        <w:rPr>
          <w:rFonts w:cs="Arial"/>
        </w:rPr>
        <w:t xml:space="preserve"> byl zaznamenán </w:t>
      </w:r>
      <w:r>
        <w:rPr>
          <w:rFonts w:cs="Arial"/>
        </w:rPr>
        <w:t xml:space="preserve">u subjektů spadajících do odvětvové sekce </w:t>
      </w:r>
      <w:r w:rsidRPr="000879D5">
        <w:rPr>
          <w:rFonts w:cs="Arial"/>
        </w:rPr>
        <w:t>Činnosti v oblasti nemovitostí</w:t>
      </w:r>
      <w:r>
        <w:rPr>
          <w:rFonts w:cs="Arial"/>
        </w:rPr>
        <w:t xml:space="preserve">, a to </w:t>
      </w:r>
      <w:r w:rsidRPr="000879D5">
        <w:rPr>
          <w:rFonts w:cs="Arial"/>
        </w:rPr>
        <w:t>z</w:t>
      </w:r>
      <w:r>
        <w:rPr>
          <w:rFonts w:cs="Arial"/>
        </w:rPr>
        <w:t>e 24</w:t>
      </w:r>
      <w:r w:rsidRPr="000879D5">
        <w:rPr>
          <w:rFonts w:cs="Arial"/>
        </w:rPr>
        <w:t xml:space="preserve"> případů na 100 pojištěnců v roce 2009 na </w:t>
      </w:r>
      <w:r>
        <w:rPr>
          <w:rFonts w:cs="Arial"/>
        </w:rPr>
        <w:t>18</w:t>
      </w:r>
      <w:r w:rsidRPr="000879D5">
        <w:rPr>
          <w:rFonts w:cs="Arial"/>
        </w:rPr>
        <w:t xml:space="preserve"> </w:t>
      </w:r>
      <w:r w:rsidR="007F3530">
        <w:rPr>
          <w:rFonts w:cs="Arial"/>
        </w:rPr>
        <w:t>neschopností</w:t>
      </w:r>
      <w:r w:rsidRPr="000879D5">
        <w:rPr>
          <w:rFonts w:cs="Arial"/>
        </w:rPr>
        <w:t xml:space="preserve"> v roce 201</w:t>
      </w:r>
      <w:r>
        <w:rPr>
          <w:rFonts w:cs="Arial"/>
        </w:rPr>
        <w:t>9. U následujících dvou odvětvových sekcí klesl tento ukazatel o desetinu. V</w:t>
      </w:r>
      <w:r w:rsidRPr="000879D5">
        <w:rPr>
          <w:rFonts w:cs="Arial"/>
        </w:rPr>
        <w:t xml:space="preserve"> </w:t>
      </w:r>
      <w:r>
        <w:rPr>
          <w:rFonts w:cs="Arial"/>
        </w:rPr>
        <w:t xml:space="preserve">Peněžnictví a pojišťovnictví ze 34 případů v roce 2009 na 31 v roce 2019 a v </w:t>
      </w:r>
      <w:r w:rsidRPr="000879D5">
        <w:rPr>
          <w:rFonts w:cs="Arial"/>
        </w:rPr>
        <w:t>Informační</w:t>
      </w:r>
      <w:r>
        <w:rPr>
          <w:rFonts w:cs="Arial"/>
        </w:rPr>
        <w:t>ch</w:t>
      </w:r>
      <w:r w:rsidRPr="000879D5">
        <w:rPr>
          <w:rFonts w:cs="Arial"/>
        </w:rPr>
        <w:t xml:space="preserve"> a</w:t>
      </w:r>
      <w:r>
        <w:rPr>
          <w:rFonts w:cs="Arial"/>
        </w:rPr>
        <w:t> </w:t>
      </w:r>
      <w:r w:rsidRPr="000879D5">
        <w:rPr>
          <w:rFonts w:cs="Arial"/>
        </w:rPr>
        <w:t>komunikační</w:t>
      </w:r>
      <w:r>
        <w:rPr>
          <w:rFonts w:cs="Arial"/>
        </w:rPr>
        <w:t>ch</w:t>
      </w:r>
      <w:r w:rsidRPr="000879D5">
        <w:rPr>
          <w:rFonts w:cs="Arial"/>
        </w:rPr>
        <w:t xml:space="preserve"> činnost</w:t>
      </w:r>
      <w:r>
        <w:rPr>
          <w:rFonts w:cs="Arial"/>
        </w:rPr>
        <w:t>ech</w:t>
      </w:r>
      <w:r w:rsidRPr="000879D5">
        <w:rPr>
          <w:rFonts w:cs="Arial"/>
        </w:rPr>
        <w:t xml:space="preserve"> z</w:t>
      </w:r>
      <w:r>
        <w:rPr>
          <w:rFonts w:cs="Arial"/>
        </w:rPr>
        <w:t>e</w:t>
      </w:r>
      <w:r w:rsidRPr="000879D5">
        <w:rPr>
          <w:rFonts w:cs="Arial"/>
        </w:rPr>
        <w:t xml:space="preserve"> 3</w:t>
      </w:r>
      <w:r>
        <w:rPr>
          <w:rFonts w:cs="Arial"/>
        </w:rPr>
        <w:t>0</w:t>
      </w:r>
      <w:r w:rsidRPr="000879D5">
        <w:rPr>
          <w:rFonts w:cs="Arial"/>
        </w:rPr>
        <w:t xml:space="preserve"> případů v roce 2009 na </w:t>
      </w:r>
      <w:r>
        <w:rPr>
          <w:rFonts w:cs="Arial"/>
        </w:rPr>
        <w:t>27</w:t>
      </w:r>
      <w:r w:rsidRPr="000879D5">
        <w:rPr>
          <w:rFonts w:cs="Arial"/>
        </w:rPr>
        <w:t xml:space="preserve"> </w:t>
      </w:r>
      <w:r>
        <w:rPr>
          <w:rFonts w:cs="Arial"/>
        </w:rPr>
        <w:t>o deset let později.</w:t>
      </w:r>
    </w:p>
    <w:p w14:paraId="5B81F6DD" w14:textId="20AC0A8B" w:rsidR="00EF1CFD" w:rsidRPr="00EF1CFD" w:rsidRDefault="00EF1CFD" w:rsidP="00367F64">
      <w:pPr>
        <w:spacing w:after="120"/>
        <w:jc w:val="both"/>
        <w:rPr>
          <w:rFonts w:cs="Arial"/>
        </w:rPr>
      </w:pPr>
      <w:r>
        <w:rPr>
          <w:rFonts w:cs="Arial"/>
        </w:rPr>
        <w:lastRenderedPageBreak/>
        <w:t xml:space="preserve">Nejvíce případů dočasné pracovní neschopnosti na 100 pojištěnců </w:t>
      </w:r>
      <w:r w:rsidRPr="00564F1D">
        <w:rPr>
          <w:rFonts w:cs="Arial"/>
          <w:b/>
        </w:rPr>
        <w:t>pro pracovní úraz</w:t>
      </w:r>
      <w:r>
        <w:rPr>
          <w:rFonts w:cs="Arial"/>
        </w:rPr>
        <w:t xml:space="preserve">, což je možné chápat jako ukazatel vyjadřující „stupeň rizikovosti“ daného odvětví, bylo evidováno u </w:t>
      </w:r>
      <w:r w:rsidR="007F3530">
        <w:rPr>
          <w:rFonts w:cs="Arial"/>
        </w:rPr>
        <w:t>sekce</w:t>
      </w:r>
      <w:r>
        <w:rPr>
          <w:rFonts w:cs="Arial"/>
        </w:rPr>
        <w:t xml:space="preserve"> Zemědělství, lesnictví a</w:t>
      </w:r>
      <w:r w:rsidR="00812420">
        <w:rPr>
          <w:rFonts w:cs="Arial"/>
        </w:rPr>
        <w:t> </w:t>
      </w:r>
      <w:r>
        <w:rPr>
          <w:rFonts w:cs="Arial"/>
        </w:rPr>
        <w:t>rybářství (2,</w:t>
      </w:r>
      <w:r w:rsidR="00EA7115">
        <w:rPr>
          <w:rFonts w:cs="Arial"/>
        </w:rPr>
        <w:t>3</w:t>
      </w:r>
      <w:r w:rsidR="007F3530">
        <w:rPr>
          <w:rFonts w:cs="Arial"/>
        </w:rPr>
        <w:t>), následované</w:t>
      </w:r>
      <w:r>
        <w:rPr>
          <w:rFonts w:cs="Arial"/>
        </w:rPr>
        <w:t xml:space="preserve"> oblastí Zásobování vodou, činnosti související s odpadními vodami, odpady a</w:t>
      </w:r>
      <w:r w:rsidR="00F547BE">
        <w:rPr>
          <w:rFonts w:cs="Arial"/>
        </w:rPr>
        <w:t> </w:t>
      </w:r>
      <w:r>
        <w:rPr>
          <w:rFonts w:cs="Arial"/>
        </w:rPr>
        <w:t>sanacemi (1,8) a oblastí Těžba a dobývání (1,</w:t>
      </w:r>
      <w:r w:rsidR="00EA7115">
        <w:rPr>
          <w:rFonts w:cs="Arial"/>
        </w:rPr>
        <w:t>6</w:t>
      </w:r>
      <w:r>
        <w:rPr>
          <w:rFonts w:cs="Arial"/>
        </w:rPr>
        <w:t>).</w:t>
      </w:r>
      <w:r w:rsidR="0070066F">
        <w:rPr>
          <w:rFonts w:cs="Arial"/>
        </w:rPr>
        <w:t xml:space="preserve"> Naproti tomu nejméně pracovních úrazů bylo zaznamenáno v Peněžnictví a pojišťovnictví a u Informačních a komunikačních činností (obojí 0,1). Průměrně za všechna odvětví připadal</w:t>
      </w:r>
      <w:r w:rsidR="00EA7115">
        <w:rPr>
          <w:rFonts w:cs="Arial"/>
        </w:rPr>
        <w:t>o</w:t>
      </w:r>
      <w:r w:rsidR="0070066F">
        <w:rPr>
          <w:rFonts w:cs="Arial"/>
        </w:rPr>
        <w:t xml:space="preserve"> na 100 pojištěnců </w:t>
      </w:r>
      <w:r w:rsidR="00EA7115">
        <w:rPr>
          <w:rFonts w:cs="Arial"/>
        </w:rPr>
        <w:t>0,9</w:t>
      </w:r>
      <w:r w:rsidR="00217256">
        <w:rPr>
          <w:rFonts w:cs="Arial"/>
        </w:rPr>
        <w:t xml:space="preserve"> případ</w:t>
      </w:r>
      <w:r w:rsidR="007F3530">
        <w:rPr>
          <w:rFonts w:cs="Arial"/>
        </w:rPr>
        <w:t>u</w:t>
      </w:r>
      <w:r w:rsidR="00217256">
        <w:rPr>
          <w:rFonts w:cs="Arial"/>
        </w:rPr>
        <w:t xml:space="preserve"> pracovní neschopnosti pro</w:t>
      </w:r>
      <w:r w:rsidR="0070066F">
        <w:rPr>
          <w:rFonts w:cs="Arial"/>
        </w:rPr>
        <w:t xml:space="preserve"> pracovní úraz.</w:t>
      </w:r>
    </w:p>
    <w:p w14:paraId="0D6B68FF" w14:textId="44DF5A4C" w:rsidR="008D2084" w:rsidRPr="008D2084" w:rsidRDefault="008D2084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8D2084">
        <w:rPr>
          <w:b/>
          <w:i w:val="0"/>
          <w:color w:val="auto"/>
          <w:sz w:val="20"/>
        </w:rPr>
        <w:t>Tab</w:t>
      </w:r>
      <w:r w:rsidR="00381067">
        <w:rPr>
          <w:b/>
          <w:i w:val="0"/>
          <w:color w:val="auto"/>
          <w:sz w:val="20"/>
        </w:rPr>
        <w:t>.</w:t>
      </w:r>
      <w:r w:rsidR="00162BC5">
        <w:rPr>
          <w:b/>
          <w:i w:val="0"/>
          <w:color w:val="auto"/>
          <w:sz w:val="20"/>
        </w:rPr>
        <w:t xml:space="preserve"> 2.</w:t>
      </w:r>
      <w:r w:rsidRPr="008D2084">
        <w:rPr>
          <w:b/>
          <w:i w:val="0"/>
          <w:color w:val="auto"/>
          <w:sz w:val="20"/>
        </w:rPr>
        <w:t xml:space="preserve">2: Nově hlášené případy dočasné pracovní neschopnosti na 100 pojištěnců </w:t>
      </w:r>
      <w:r w:rsidR="008D7B85">
        <w:rPr>
          <w:b/>
          <w:i w:val="0"/>
          <w:color w:val="auto"/>
          <w:sz w:val="20"/>
        </w:rPr>
        <w:t>po</w:t>
      </w:r>
      <w:r w:rsidRPr="008D2084">
        <w:rPr>
          <w:b/>
          <w:i w:val="0"/>
          <w:color w:val="auto"/>
          <w:sz w:val="20"/>
        </w:rPr>
        <w:t xml:space="preserve">dle odvětví </w:t>
      </w:r>
      <w:r w:rsidR="008D7B85">
        <w:rPr>
          <w:b/>
          <w:i w:val="0"/>
          <w:color w:val="auto"/>
          <w:sz w:val="20"/>
        </w:rPr>
        <w:t>(sekc</w:t>
      </w:r>
      <w:r w:rsidR="00367F64">
        <w:rPr>
          <w:b/>
          <w:i w:val="0"/>
          <w:color w:val="auto"/>
          <w:sz w:val="20"/>
        </w:rPr>
        <w:t>e</w:t>
      </w:r>
      <w:r w:rsidR="008D7B85">
        <w:rPr>
          <w:b/>
          <w:i w:val="0"/>
          <w:color w:val="auto"/>
          <w:sz w:val="20"/>
        </w:rPr>
        <w:t xml:space="preserve"> CZ-NACE)</w:t>
      </w:r>
      <w:r w:rsidR="00E90DD3">
        <w:rPr>
          <w:b/>
          <w:i w:val="0"/>
          <w:color w:val="auto"/>
          <w:sz w:val="20"/>
        </w:rPr>
        <w:t>,</w:t>
      </w:r>
      <w:r w:rsidR="00452182">
        <w:rPr>
          <w:b/>
          <w:i w:val="0"/>
          <w:color w:val="auto"/>
          <w:sz w:val="20"/>
        </w:rPr>
        <w:t xml:space="preserve"> </w:t>
      </w:r>
      <w:r w:rsidRPr="008D2084">
        <w:rPr>
          <w:b/>
          <w:i w:val="0"/>
          <w:color w:val="auto"/>
          <w:sz w:val="20"/>
        </w:rPr>
        <w:t>200</w:t>
      </w:r>
      <w:r w:rsidR="00EA7115">
        <w:rPr>
          <w:b/>
          <w:i w:val="0"/>
          <w:color w:val="auto"/>
          <w:sz w:val="20"/>
        </w:rPr>
        <w:t>9</w:t>
      </w:r>
      <w:r w:rsidRPr="008D2084">
        <w:rPr>
          <w:b/>
          <w:i w:val="0"/>
          <w:color w:val="auto"/>
          <w:sz w:val="20"/>
        </w:rPr>
        <w:t>–201</w:t>
      </w:r>
      <w:r w:rsidR="00EA7115">
        <w:rPr>
          <w:b/>
          <w:i w:val="0"/>
          <w:color w:val="auto"/>
          <w:sz w:val="20"/>
        </w:rPr>
        <w:t>9</w:t>
      </w:r>
    </w:p>
    <w:tbl>
      <w:tblPr>
        <w:tblW w:w="949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33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  <w:gridCol w:w="624"/>
      </w:tblGrid>
      <w:tr w:rsidR="00EA7115" w:rsidRPr="008D2084" w14:paraId="7BD05769" w14:textId="260BF74D" w:rsidTr="00E70681">
        <w:trPr>
          <w:trHeight w:val="397"/>
        </w:trPr>
        <w:tc>
          <w:tcPr>
            <w:tcW w:w="263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0AE5B84" w14:textId="63D5CCDD" w:rsidR="00EA7115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Sekce CZ-NACE</w:t>
            </w:r>
          </w:p>
        </w:tc>
        <w:tc>
          <w:tcPr>
            <w:tcW w:w="62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BF9AF72" w14:textId="0DF89CD5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4CC6FBF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1E7C93B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41FA3EA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CE02CC8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F2300B3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CDE993C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2A97434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9DBCDD2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24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073F6D1" w14:textId="77777777" w:rsidR="00EA7115" w:rsidRPr="008D2084" w:rsidRDefault="00EA7115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24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341B0B55" w14:textId="0C8E84DD" w:rsidR="00EA7115" w:rsidRPr="008D2084" w:rsidRDefault="00EA7115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564F1D" w:rsidRPr="008D2084" w14:paraId="5E12830F" w14:textId="528BC29D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B64CCA" w14:textId="59F8BE42" w:rsidR="00564F1D" w:rsidRPr="008D2084" w:rsidRDefault="00564F1D" w:rsidP="00564F1D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D2084">
              <w:rPr>
                <w:rFonts w:cs="Arial"/>
                <w:b/>
                <w:bCs/>
                <w:sz w:val="16"/>
                <w:szCs w:val="16"/>
              </w:rPr>
              <w:t xml:space="preserve">Celkem 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C80C8" w14:textId="1F31468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D53041" w14:textId="6241BED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915EB" w14:textId="24E7A9C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BA85D9" w14:textId="5FA4D48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DDFDA" w14:textId="521C9EA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717827" w14:textId="2382D42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1B2E5B" w14:textId="3292B3C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CE5020" w14:textId="73CE466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480DD" w14:textId="3B0C9B2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3082B1" w14:textId="0F0A45A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624" w:type="dxa"/>
            <w:tcBorders>
              <w:top w:val="single" w:sz="8" w:space="0" w:color="auto"/>
            </w:tcBorders>
            <w:vAlign w:val="center"/>
          </w:tcPr>
          <w:p w14:paraId="56B5E0F1" w14:textId="7A9066F1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40,5</w:t>
            </w:r>
          </w:p>
        </w:tc>
      </w:tr>
      <w:tr w:rsidR="00564F1D" w:rsidRPr="008D2084" w14:paraId="6DA5706A" w14:textId="3E9C47E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F7A257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A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Zemědělství, lesnictví </w:t>
            </w:r>
          </w:p>
          <w:p w14:paraId="073AD096" w14:textId="724D6DC0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rybářství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0C0D0" w14:textId="350EF31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1DFD9" w14:textId="6F62656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858471" w14:textId="00C2162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69939" w14:textId="7412E49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A10610" w14:textId="18440A2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24C15" w14:textId="51236BC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DDAB46" w14:textId="586204B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00A0FB" w14:textId="56B39B9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C7D1A" w14:textId="733D077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7FF9A" w14:textId="6006822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624" w:type="dxa"/>
            <w:vAlign w:val="center"/>
          </w:tcPr>
          <w:p w14:paraId="0C7EE267" w14:textId="0CF1D4EE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34,6</w:t>
            </w:r>
          </w:p>
        </w:tc>
      </w:tr>
      <w:tr w:rsidR="00564F1D" w:rsidRPr="008D2084" w14:paraId="594992FF" w14:textId="3D0F41CD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D6840F" w14:textId="58F8587E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B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Těžba a dobývání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952B1D" w14:textId="08644C5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3AE29" w14:textId="0D24FB2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5D1E54" w14:textId="1723CED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168A3" w14:textId="23CB7FF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F8132E" w14:textId="5450B71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476A5" w14:textId="3312692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874DA" w14:textId="603A7D7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7B207" w14:textId="5C59725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358080" w14:textId="0C7854F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8F6CB1" w14:textId="4479FEA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624" w:type="dxa"/>
            <w:vAlign w:val="center"/>
          </w:tcPr>
          <w:p w14:paraId="0D5C34B6" w14:textId="664CED26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44,5</w:t>
            </w:r>
          </w:p>
        </w:tc>
      </w:tr>
      <w:tr w:rsidR="00564F1D" w:rsidRPr="008D2084" w14:paraId="1B40CEB0" w14:textId="42A18AD0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6993286" w14:textId="24405634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C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Zpracovatelský průmysl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4427A" w14:textId="23A94B2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E72FA4" w14:textId="50E3DAD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1B8104" w14:textId="296AD8F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15982" w14:textId="021353C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43AF29" w14:textId="3619FB5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3970D" w14:textId="4FC04A2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E6C1C9" w14:textId="1691940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523CD" w14:textId="406A155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B1289" w14:textId="57DB1F6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E31245" w14:textId="2C9FD8D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51,8</w:t>
            </w:r>
          </w:p>
        </w:tc>
        <w:tc>
          <w:tcPr>
            <w:tcW w:w="624" w:type="dxa"/>
            <w:vAlign w:val="center"/>
          </w:tcPr>
          <w:p w14:paraId="4A5736C3" w14:textId="6D03D9D5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53,9</w:t>
            </w:r>
          </w:p>
        </w:tc>
      </w:tr>
      <w:tr w:rsidR="00564F1D" w:rsidRPr="008D2084" w14:paraId="7F0BF0EA" w14:textId="4395535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1D65BC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D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Výroba a rozvod elektřiny, </w:t>
            </w:r>
          </w:p>
          <w:p w14:paraId="204605D0" w14:textId="4B78E941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plynu, tepla a</w:t>
            </w:r>
            <w:r>
              <w:rPr>
                <w:rFonts w:cs="Arial"/>
                <w:sz w:val="16"/>
                <w:szCs w:val="16"/>
              </w:rPr>
              <w:t xml:space="preserve"> v</w:t>
            </w:r>
            <w:r w:rsidRPr="008D2084">
              <w:rPr>
                <w:rFonts w:cs="Arial"/>
                <w:sz w:val="16"/>
                <w:szCs w:val="16"/>
              </w:rPr>
              <w:t>zduchu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9C82A" w14:textId="787A695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60D7A9" w14:textId="3F623EE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E5785" w14:textId="109C9F7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B05D16" w14:textId="43C0E18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FF1AD" w14:textId="41B0AF0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176E24" w14:textId="6E11193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E90AF5" w14:textId="5F64B79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563577" w14:textId="2E1AC9C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F59D" w14:textId="1CAFA85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D46AA4" w14:textId="3D401C1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624" w:type="dxa"/>
            <w:vAlign w:val="center"/>
          </w:tcPr>
          <w:p w14:paraId="52AAB22E" w14:textId="1CCAEECC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</w:tr>
      <w:tr w:rsidR="00564F1D" w:rsidRPr="008D2084" w14:paraId="0CAAFCF1" w14:textId="19E0A72F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93EB58" w14:textId="4B4E9513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E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Zásobování vodou; činnosti</w:t>
            </w:r>
          </w:p>
          <w:p w14:paraId="08262AF6" w14:textId="27C1EB1F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8D2084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s</w:t>
            </w:r>
            <w:r w:rsidRPr="008D2084">
              <w:rPr>
                <w:rFonts w:cs="Arial"/>
                <w:sz w:val="16"/>
                <w:szCs w:val="16"/>
              </w:rPr>
              <w:t>ouvis</w:t>
            </w:r>
            <w:r>
              <w:rPr>
                <w:rFonts w:cs="Arial"/>
                <w:sz w:val="16"/>
                <w:szCs w:val="16"/>
              </w:rPr>
              <w:t xml:space="preserve">. s odpady </w:t>
            </w:r>
            <w:r w:rsidRPr="008D2084">
              <w:rPr>
                <w:rFonts w:cs="Arial"/>
                <w:sz w:val="16"/>
                <w:szCs w:val="16"/>
              </w:rPr>
              <w:t xml:space="preserve">a </w:t>
            </w:r>
            <w:r>
              <w:rPr>
                <w:rFonts w:cs="Arial"/>
                <w:sz w:val="16"/>
                <w:szCs w:val="16"/>
              </w:rPr>
              <w:t>s</w:t>
            </w:r>
            <w:r w:rsidRPr="008D2084">
              <w:rPr>
                <w:rFonts w:cs="Arial"/>
                <w:sz w:val="16"/>
                <w:szCs w:val="16"/>
              </w:rPr>
              <w:t>anacemi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4ACCD9" w14:textId="68FE2EC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A1847D" w14:textId="61B28B1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647937" w14:textId="05B14BA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8B0999" w14:textId="67B2DB8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C0B86" w14:textId="4A8D36E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2DE75" w14:textId="08F512C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D12FB" w14:textId="329915F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3E1746" w14:textId="72A3045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0FCE71" w14:textId="48CCD0A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6FA21D" w14:textId="318B724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624" w:type="dxa"/>
            <w:vAlign w:val="center"/>
          </w:tcPr>
          <w:p w14:paraId="5A7A710B" w14:textId="3EF1973F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42,6</w:t>
            </w:r>
          </w:p>
        </w:tc>
      </w:tr>
      <w:tr w:rsidR="00564F1D" w:rsidRPr="008D2084" w14:paraId="24196EEC" w14:textId="5492E2A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B66B31" w14:textId="28269907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F –</w:t>
            </w:r>
            <w:r w:rsidRPr="008D2084">
              <w:rPr>
                <w:rFonts w:cs="Arial"/>
                <w:sz w:val="16"/>
                <w:szCs w:val="16"/>
              </w:rPr>
              <w:t xml:space="preserve"> Stavebnictví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3AEEC5" w14:textId="3279617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E6EFB5" w14:textId="2213297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86BB36" w14:textId="69FECB6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C8D2E5" w14:textId="5022599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4F7196" w14:textId="033C812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C54B87" w14:textId="396A36F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F5130" w14:textId="49EF210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A5B6E" w14:textId="47F10E6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25F41" w14:textId="030E28E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ED27B8" w14:textId="3A0AB7E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624" w:type="dxa"/>
            <w:vAlign w:val="center"/>
          </w:tcPr>
          <w:p w14:paraId="220DC7A2" w14:textId="79D63A9C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</w:tr>
      <w:tr w:rsidR="00564F1D" w:rsidRPr="008D2084" w14:paraId="43C08DF3" w14:textId="58FB5B2F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EC2C58" w14:textId="5B329C66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G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Velkoobchod</w:t>
            </w:r>
            <w:r>
              <w:rPr>
                <w:rFonts w:cs="Arial"/>
                <w:sz w:val="16"/>
                <w:szCs w:val="16"/>
              </w:rPr>
              <w:t xml:space="preserve"> a maloobchod; </w:t>
            </w:r>
          </w:p>
          <w:p w14:paraId="7EC12C99" w14:textId="0B14C8D5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údržba </w:t>
            </w:r>
            <w:r w:rsidRPr="008D2084">
              <w:rPr>
                <w:rFonts w:cs="Arial"/>
                <w:sz w:val="16"/>
                <w:szCs w:val="16"/>
              </w:rPr>
              <w:t>motor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8D2084">
              <w:rPr>
                <w:rFonts w:cs="Arial"/>
                <w:sz w:val="16"/>
                <w:szCs w:val="16"/>
              </w:rPr>
              <w:t>vozidel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D8D3C1" w14:textId="74A538D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07BCA" w14:textId="5F4CF7A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9C4B6" w14:textId="24ACE52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5C22CE" w14:textId="6F4039C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B00484" w14:textId="291AF4A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AA00F7" w14:textId="2C8772F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3C25F" w14:textId="71D95BB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748AA9" w14:textId="569F8D6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F82833" w14:textId="0A54EBE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2AE5D8" w14:textId="4891A4D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624" w:type="dxa"/>
            <w:vAlign w:val="center"/>
          </w:tcPr>
          <w:p w14:paraId="3DE5F676" w14:textId="069E10F0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</w:tr>
      <w:tr w:rsidR="00564F1D" w:rsidRPr="008D2084" w14:paraId="4060BB3C" w14:textId="6764E1E1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126E21" w14:textId="118F59CE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H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Doprava a skladování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17D36F" w14:textId="0693791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17354C" w14:textId="4343658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6474A2" w14:textId="4D3E6E6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B4464" w14:textId="006625D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B8C7D" w14:textId="4F51FBB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98148" w14:textId="5F25999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D19A40" w14:textId="68593C4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73CBA" w14:textId="060735F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17D3E" w14:textId="658519C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AE8CEA" w14:textId="202D115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4" w:type="dxa"/>
            <w:vAlign w:val="center"/>
          </w:tcPr>
          <w:p w14:paraId="243A7611" w14:textId="151DE82B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39,9</w:t>
            </w:r>
          </w:p>
        </w:tc>
      </w:tr>
      <w:tr w:rsidR="00564F1D" w:rsidRPr="008D2084" w14:paraId="619E4013" w14:textId="5AFF7F7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795AE7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Ubytování, stravování </w:t>
            </w:r>
          </w:p>
          <w:p w14:paraId="59FBB88C" w14:textId="027FE893" w:rsidR="00564F1D" w:rsidRPr="008D2084" w:rsidRDefault="00564F1D" w:rsidP="00564F1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  </w:t>
            </w:r>
            <w:r w:rsidRPr="008D2084">
              <w:rPr>
                <w:rFonts w:cs="Arial"/>
                <w:sz w:val="16"/>
                <w:szCs w:val="16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pohostinství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E3C534" w14:textId="09F2A1F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11669" w14:textId="1DC8B14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58EAA" w14:textId="69B4FF8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8EE566" w14:textId="4BB05ED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6B7F" w14:textId="74515E6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3FC147" w14:textId="3701F21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687FA" w14:textId="739F298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FB4ABA" w14:textId="1D16B01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E914C" w14:textId="2221AB4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C8CE46" w14:textId="04AB688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624" w:type="dxa"/>
            <w:vAlign w:val="center"/>
          </w:tcPr>
          <w:p w14:paraId="16C97F5A" w14:textId="1EBDF198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</w:tr>
      <w:tr w:rsidR="00564F1D" w:rsidRPr="008D2084" w14:paraId="17004287" w14:textId="40271FB7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4F2F96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J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Informační a komunikační </w:t>
            </w:r>
          </w:p>
          <w:p w14:paraId="0F0D016E" w14:textId="28B8B690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C9B5A" w14:textId="6BED7E8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07C9F" w14:textId="7727052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19D10E" w14:textId="397308E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5DDAE" w14:textId="1FCE6CD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C61CA5" w14:textId="0F71950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5EE3C" w14:textId="26DC9C5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15D38" w14:textId="388D797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F21CFC" w14:textId="1452C81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EE21C" w14:textId="2C276C3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4541F5" w14:textId="476EA0E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624" w:type="dxa"/>
            <w:vAlign w:val="center"/>
          </w:tcPr>
          <w:p w14:paraId="37F88619" w14:textId="334B4934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</w:tr>
      <w:tr w:rsidR="00564F1D" w:rsidRPr="008D2084" w14:paraId="750F87E7" w14:textId="4DB41EF5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004E573" w14:textId="3D399548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K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Peněžnictví a pojišťovnictví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32D4A" w14:textId="54243B0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D58C8" w14:textId="7AD0E6A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53E3C0" w14:textId="0A010E1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54F039" w14:textId="5DEAD3B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90B2BE" w14:textId="79652A0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5FC6A" w14:textId="034F9C7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513CBC" w14:textId="6B3B105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3C40C" w14:textId="74224C1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4F2B3" w14:textId="07BA9AE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F9E10" w14:textId="5C50FD3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624" w:type="dxa"/>
            <w:vAlign w:val="center"/>
          </w:tcPr>
          <w:p w14:paraId="1214817C" w14:textId="4428629B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</w:tr>
      <w:tr w:rsidR="00564F1D" w:rsidRPr="008D2084" w14:paraId="48708CA5" w14:textId="31DA10F1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0BBA9D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L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Činnosti v oblasti </w:t>
            </w:r>
            <w:r>
              <w:rPr>
                <w:rFonts w:cs="Arial"/>
                <w:sz w:val="16"/>
                <w:szCs w:val="16"/>
              </w:rPr>
              <w:t xml:space="preserve">   </w:t>
            </w:r>
          </w:p>
          <w:p w14:paraId="6FDD9CAE" w14:textId="4352F062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nemovitostí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D0B17B" w14:textId="42CD69A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56F50" w14:textId="791428F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FC094F" w14:textId="5C056B0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DECD8" w14:textId="171894E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40FCF" w14:textId="4F59C48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F3CE9" w14:textId="442AFC7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207FC7" w14:textId="72C2F1F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D2B38F" w14:textId="5D18359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16,5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F4C9E" w14:textId="45732F5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6B10CF" w14:textId="4A3DB97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17,4</w:t>
            </w:r>
          </w:p>
        </w:tc>
        <w:tc>
          <w:tcPr>
            <w:tcW w:w="624" w:type="dxa"/>
            <w:vAlign w:val="center"/>
          </w:tcPr>
          <w:p w14:paraId="15C8CA9D" w14:textId="082351A7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</w:tr>
      <w:tr w:rsidR="00564F1D" w:rsidRPr="008D2084" w14:paraId="01A4F2B6" w14:textId="691DB7B0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C2B64B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M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Profesní, vědecké </w:t>
            </w:r>
          </w:p>
          <w:p w14:paraId="20D07FAB" w14:textId="7F6C9090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a technické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E81E8" w14:textId="7477E44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8AA9BA" w14:textId="2B459B3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E1592" w14:textId="7796CE8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E4313" w14:textId="66CF649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17,8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502337" w14:textId="14B1EA2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19,4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63E3BA" w14:textId="42AB6189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1C07" w14:textId="27C2A4C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5420FD" w14:textId="7AFD212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29235" w14:textId="732D447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2FBE50" w14:textId="33D1E5A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22,5</w:t>
            </w:r>
          </w:p>
        </w:tc>
        <w:tc>
          <w:tcPr>
            <w:tcW w:w="624" w:type="dxa"/>
            <w:vAlign w:val="center"/>
          </w:tcPr>
          <w:p w14:paraId="341CB946" w14:textId="7032645B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23,0</w:t>
            </w:r>
          </w:p>
        </w:tc>
      </w:tr>
      <w:tr w:rsidR="00564F1D" w:rsidRPr="008D2084" w14:paraId="140F7518" w14:textId="0DCF3990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234728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N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Administrativní a podpůrné </w:t>
            </w:r>
          </w:p>
          <w:p w14:paraId="2FFFD5F5" w14:textId="30BAC6F8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FE76F" w14:textId="4E32845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1E3A9E" w14:textId="6D23230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BA4D1" w14:textId="387B3DB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AEA6D1" w14:textId="797DD60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425EF1" w14:textId="652DC11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41142C" w14:textId="17743E0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FC6E9" w14:textId="57A22F8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6E93D7" w14:textId="1C09E0A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2A659C" w14:textId="5C5EA3E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90EF4" w14:textId="09F90BA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624" w:type="dxa"/>
            <w:vAlign w:val="center"/>
          </w:tcPr>
          <w:p w14:paraId="61E007A7" w14:textId="0ECB4C1A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49,7</w:t>
            </w:r>
          </w:p>
        </w:tc>
      </w:tr>
      <w:tr w:rsidR="00564F1D" w:rsidRPr="008D2084" w14:paraId="301DB973" w14:textId="0EEB23A0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4A2642" w14:textId="38258815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O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Veřejná správa a obrana; </w:t>
            </w:r>
          </w:p>
          <w:p w14:paraId="300BD404" w14:textId="148E192F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p</w:t>
            </w:r>
            <w:r w:rsidRPr="008D2084">
              <w:rPr>
                <w:rFonts w:cs="Arial"/>
                <w:sz w:val="16"/>
                <w:szCs w:val="16"/>
              </w:rPr>
              <w:t>ov</w:t>
            </w:r>
            <w:r>
              <w:rPr>
                <w:rFonts w:cs="Arial"/>
                <w:sz w:val="16"/>
                <w:szCs w:val="16"/>
              </w:rPr>
              <w:t xml:space="preserve">inné </w:t>
            </w:r>
            <w:r w:rsidRPr="008D2084">
              <w:rPr>
                <w:rFonts w:cs="Arial"/>
                <w:sz w:val="16"/>
                <w:szCs w:val="16"/>
              </w:rPr>
              <w:t>soc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8D2084">
              <w:rPr>
                <w:rFonts w:cs="Arial"/>
                <w:sz w:val="16"/>
                <w:szCs w:val="16"/>
              </w:rPr>
              <w:t>zabezpečení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15D11" w14:textId="51877C2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C3730" w14:textId="20B208B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0DD008" w14:textId="7BF04EA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F28118" w14:textId="7C7DEEFF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4F6CC7" w14:textId="5E817B6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D0030" w14:textId="0F0341F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CCE883" w14:textId="6A2436A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00B079" w14:textId="1058E5E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EE55A" w14:textId="3E5AFE4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318DE7" w14:textId="7EAC877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624" w:type="dxa"/>
            <w:vAlign w:val="center"/>
          </w:tcPr>
          <w:p w14:paraId="6DC268F2" w14:textId="6E56090F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35,5</w:t>
            </w:r>
          </w:p>
        </w:tc>
      </w:tr>
      <w:tr w:rsidR="00564F1D" w:rsidRPr="008D2084" w14:paraId="0B414ACD" w14:textId="14953973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604525" w14:textId="4E3B3979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P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Vzdělávání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498A83" w14:textId="0DFA067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31,0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5396FC" w14:textId="295A05C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421C2" w14:textId="5AB4DE5B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1FCBA5" w14:textId="454995C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D44D50" w14:textId="32D32F2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25,2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A6BDC4" w14:textId="42835A3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CB01E4" w14:textId="5C1B040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43AB4" w14:textId="2F64A0D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CF20B" w14:textId="7AD31F6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E7AFF" w14:textId="14D6DD5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624" w:type="dxa"/>
            <w:vAlign w:val="center"/>
          </w:tcPr>
          <w:p w14:paraId="3BC9AE5E" w14:textId="4DA3C088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</w:tr>
      <w:tr w:rsidR="00564F1D" w:rsidRPr="008D2084" w14:paraId="0239D1E8" w14:textId="1E0B5827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DF5CDB" w14:textId="4B0DC54E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Q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Zdravotní a sociální péče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A3B37" w14:textId="7EAF97E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E77E8" w14:textId="405E01E5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AF1B2" w14:textId="2BDF03E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72197" w14:textId="6B71013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00754C" w14:textId="181E976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A0BD7A" w14:textId="6FD3BCB4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1B522" w14:textId="4AC388B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E9B98" w14:textId="0B6B2966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C4B7" w14:textId="45FF5CE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E5BF0" w14:textId="0893DF30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624" w:type="dxa"/>
            <w:vAlign w:val="center"/>
          </w:tcPr>
          <w:p w14:paraId="3441843F" w14:textId="2C66A00C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35,2</w:t>
            </w:r>
          </w:p>
        </w:tc>
      </w:tr>
      <w:tr w:rsidR="00564F1D" w:rsidRPr="008D2084" w14:paraId="4E55BF50" w14:textId="1EC4098D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D8BFEA" w14:textId="77777777" w:rsidR="00564F1D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R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Kulturní, zábavní </w:t>
            </w:r>
          </w:p>
          <w:p w14:paraId="7F366697" w14:textId="7DCB2128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a rekreační 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0AA4FB" w14:textId="1863166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681C8E" w14:textId="39DC23A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1C5898" w14:textId="39441EE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22,7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7F6D01" w14:textId="4C829C3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18,4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57229" w14:textId="1959D4F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994F0" w14:textId="48756B9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20,5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53B9BD" w14:textId="0AC2B9F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097FED" w14:textId="7B475E2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24,6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7D48BE" w14:textId="75C119B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24,4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C69DB" w14:textId="403BA26C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624" w:type="dxa"/>
            <w:vAlign w:val="center"/>
          </w:tcPr>
          <w:p w14:paraId="61AF3771" w14:textId="144D64E2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</w:tr>
      <w:tr w:rsidR="00564F1D" w:rsidRPr="008D2084" w14:paraId="7B8EBCD0" w14:textId="7D081802" w:rsidTr="00E70681">
        <w:trPr>
          <w:trHeight w:val="397"/>
        </w:trPr>
        <w:tc>
          <w:tcPr>
            <w:tcW w:w="263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A994836" w14:textId="33588DD4" w:rsidR="00564F1D" w:rsidRPr="008D2084" w:rsidRDefault="00564F1D" w:rsidP="00564F1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8D2084">
              <w:rPr>
                <w:rFonts w:cs="Arial"/>
                <w:sz w:val="16"/>
                <w:szCs w:val="16"/>
              </w:rPr>
              <w:t xml:space="preserve"> Ostatní činnosti</w:t>
            </w:r>
          </w:p>
        </w:tc>
        <w:tc>
          <w:tcPr>
            <w:tcW w:w="62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742BE3" w14:textId="15F9FB9E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C48F5E" w14:textId="7639A801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CABD8" w14:textId="1D64933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23,9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934C3" w14:textId="32431BF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21,3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1EFD" w14:textId="073D6AC7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3BD61" w14:textId="678CAE73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951A9D" w14:textId="6B483978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AD3EC" w14:textId="2119CF12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28,1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0EB3D" w14:textId="38A2F4CD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6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1D4938" w14:textId="43B42C7A" w:rsidR="00564F1D" w:rsidRPr="008D2084" w:rsidRDefault="00564F1D" w:rsidP="00564F1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29,8</w:t>
            </w:r>
          </w:p>
        </w:tc>
        <w:tc>
          <w:tcPr>
            <w:tcW w:w="624" w:type="dxa"/>
            <w:vAlign w:val="center"/>
          </w:tcPr>
          <w:p w14:paraId="3A8DF498" w14:textId="14136B92" w:rsidR="00564F1D" w:rsidRPr="008D2084" w:rsidRDefault="00564F1D" w:rsidP="00564F1D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31,3</w:t>
            </w:r>
          </w:p>
        </w:tc>
      </w:tr>
    </w:tbl>
    <w:p w14:paraId="36E1049B" w14:textId="4EE41AA7" w:rsidR="00CF263C" w:rsidRDefault="00024095" w:rsidP="00367F64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7F10041F" w14:textId="453FEAE5" w:rsidR="00024095" w:rsidRPr="00930322" w:rsidRDefault="00024095" w:rsidP="00367F64">
      <w:pPr>
        <w:spacing w:after="120"/>
        <w:jc w:val="both"/>
        <w:rPr>
          <w:rFonts w:cs="Arial"/>
          <w:spacing w:val="-2"/>
        </w:rPr>
      </w:pPr>
      <w:r w:rsidRPr="00930322">
        <w:rPr>
          <w:rFonts w:cs="Arial"/>
          <w:spacing w:val="-2"/>
        </w:rPr>
        <w:t xml:space="preserve">Z pohledu </w:t>
      </w:r>
      <w:r w:rsidRPr="00930322">
        <w:rPr>
          <w:rFonts w:cs="Arial"/>
          <w:b/>
          <w:spacing w:val="-2"/>
        </w:rPr>
        <w:t>územního členění</w:t>
      </w:r>
      <w:r w:rsidRPr="00930322">
        <w:rPr>
          <w:rFonts w:cs="Arial"/>
          <w:spacing w:val="-2"/>
        </w:rPr>
        <w:t xml:space="preserve"> bylo v roce 201</w:t>
      </w:r>
      <w:r w:rsidR="00723107" w:rsidRPr="00930322">
        <w:rPr>
          <w:rFonts w:cs="Arial"/>
          <w:spacing w:val="-2"/>
        </w:rPr>
        <w:t>9</w:t>
      </w:r>
      <w:r w:rsidRPr="00930322">
        <w:rPr>
          <w:rFonts w:cs="Arial"/>
          <w:spacing w:val="-2"/>
        </w:rPr>
        <w:t xml:space="preserve"> nejvíce případů pracovní neschopnosti na 100 pojištěnců hlášeno v Libereckém (</w:t>
      </w:r>
      <w:r w:rsidR="001717B5" w:rsidRPr="00930322">
        <w:rPr>
          <w:rFonts w:cs="Arial"/>
          <w:spacing w:val="-2"/>
        </w:rPr>
        <w:t>49,8</w:t>
      </w:r>
      <w:r w:rsidRPr="00930322">
        <w:rPr>
          <w:rFonts w:cs="Arial"/>
          <w:spacing w:val="-2"/>
        </w:rPr>
        <w:t xml:space="preserve">) a Plzeňském </w:t>
      </w:r>
      <w:r w:rsidR="00367F64" w:rsidRPr="00930322">
        <w:rPr>
          <w:rFonts w:cs="Arial"/>
          <w:spacing w:val="-2"/>
        </w:rPr>
        <w:t xml:space="preserve">(46,4) </w:t>
      </w:r>
      <w:r w:rsidRPr="00930322">
        <w:rPr>
          <w:rFonts w:cs="Arial"/>
          <w:spacing w:val="-2"/>
        </w:rPr>
        <w:t xml:space="preserve">kraji. </w:t>
      </w:r>
      <w:r w:rsidR="001717B5" w:rsidRPr="00930322">
        <w:rPr>
          <w:rFonts w:cs="Arial"/>
          <w:spacing w:val="-2"/>
        </w:rPr>
        <w:t>Jak již bylo zmíněno výše</w:t>
      </w:r>
      <w:r w:rsidR="00D526DE" w:rsidRPr="00930322">
        <w:rPr>
          <w:rFonts w:cs="Arial"/>
          <w:spacing w:val="-2"/>
        </w:rPr>
        <w:t>,</w:t>
      </w:r>
      <w:r w:rsidR="001717B5" w:rsidRPr="00930322">
        <w:rPr>
          <w:rFonts w:cs="Arial"/>
          <w:spacing w:val="-2"/>
        </w:rPr>
        <w:t xml:space="preserve"> p</w:t>
      </w:r>
      <w:r w:rsidR="004C701A" w:rsidRPr="00930322">
        <w:rPr>
          <w:rFonts w:cs="Arial"/>
          <w:spacing w:val="-2"/>
        </w:rPr>
        <w:t xml:space="preserve">růměr za Českou republiku činil </w:t>
      </w:r>
      <w:r w:rsidR="001717B5" w:rsidRPr="00930322">
        <w:rPr>
          <w:rFonts w:cs="Arial"/>
          <w:spacing w:val="-2"/>
        </w:rPr>
        <w:t>40,5</w:t>
      </w:r>
      <w:r w:rsidR="00930322">
        <w:rPr>
          <w:rFonts w:cs="Arial"/>
          <w:spacing w:val="-2"/>
        </w:rPr>
        <w:t> </w:t>
      </w:r>
      <w:r w:rsidR="004C701A" w:rsidRPr="00930322">
        <w:rPr>
          <w:rFonts w:cs="Arial"/>
          <w:spacing w:val="-2"/>
        </w:rPr>
        <w:t>případů, přičemž podprůměrné hodnoty vykazovaly následující 3 kraje</w:t>
      </w:r>
      <w:r w:rsidR="00367F64" w:rsidRPr="00930322">
        <w:rPr>
          <w:rFonts w:cs="Arial"/>
          <w:spacing w:val="-2"/>
        </w:rPr>
        <w:t>: Hlavní město Praha (</w:t>
      </w:r>
      <w:r w:rsidR="001717B5" w:rsidRPr="00930322">
        <w:rPr>
          <w:rFonts w:cs="Arial"/>
          <w:spacing w:val="-2"/>
        </w:rPr>
        <w:t>33,5</w:t>
      </w:r>
      <w:r w:rsidRPr="00930322">
        <w:rPr>
          <w:rFonts w:cs="Arial"/>
          <w:spacing w:val="-2"/>
        </w:rPr>
        <w:t>), </w:t>
      </w:r>
      <w:r w:rsidR="001717B5" w:rsidRPr="00930322">
        <w:rPr>
          <w:rFonts w:cs="Arial"/>
          <w:spacing w:val="-2"/>
        </w:rPr>
        <w:t>Jihomoravsk</w:t>
      </w:r>
      <w:r w:rsidR="00367F64" w:rsidRPr="00930322">
        <w:rPr>
          <w:rFonts w:cs="Arial"/>
          <w:spacing w:val="-2"/>
        </w:rPr>
        <w:t>ý</w:t>
      </w:r>
      <w:r w:rsidR="001717B5" w:rsidRPr="00930322">
        <w:rPr>
          <w:rFonts w:cs="Arial"/>
          <w:spacing w:val="-2"/>
        </w:rPr>
        <w:t xml:space="preserve"> (38,9) a </w:t>
      </w:r>
      <w:r w:rsidRPr="00930322">
        <w:rPr>
          <w:rFonts w:cs="Arial"/>
          <w:spacing w:val="-2"/>
        </w:rPr>
        <w:t>Olomouck</w:t>
      </w:r>
      <w:r w:rsidR="007F3530">
        <w:rPr>
          <w:rFonts w:cs="Arial"/>
          <w:spacing w:val="-2"/>
        </w:rPr>
        <w:t>ý</w:t>
      </w:r>
      <w:r w:rsidRPr="00930322">
        <w:rPr>
          <w:rFonts w:cs="Arial"/>
          <w:spacing w:val="-2"/>
        </w:rPr>
        <w:t xml:space="preserve"> </w:t>
      </w:r>
      <w:r w:rsidR="00367F64" w:rsidRPr="00930322">
        <w:rPr>
          <w:rFonts w:cs="Arial"/>
          <w:spacing w:val="-2"/>
        </w:rPr>
        <w:t xml:space="preserve">(39,5) </w:t>
      </w:r>
      <w:r w:rsidRPr="00930322">
        <w:rPr>
          <w:rFonts w:cs="Arial"/>
          <w:spacing w:val="-2"/>
        </w:rPr>
        <w:t>kraj</w:t>
      </w:r>
      <w:r w:rsidR="001717B5" w:rsidRPr="00930322">
        <w:rPr>
          <w:rFonts w:cs="Arial"/>
          <w:spacing w:val="-2"/>
        </w:rPr>
        <w:t xml:space="preserve">. </w:t>
      </w:r>
      <w:r w:rsidR="008C2001" w:rsidRPr="00930322">
        <w:rPr>
          <w:rFonts w:cs="Arial"/>
          <w:spacing w:val="-2"/>
        </w:rPr>
        <w:t>Rozdíl dvou extrémních krajů představoval 16 případů pracovní neschopnosti na 100 pojištěnců.</w:t>
      </w:r>
      <w:r w:rsidRPr="00930322">
        <w:rPr>
          <w:rFonts w:cs="Arial"/>
          <w:spacing w:val="-2"/>
        </w:rPr>
        <w:t xml:space="preserve"> Hodnoty tohoto s</w:t>
      </w:r>
      <w:r w:rsidR="0071250D" w:rsidRPr="00930322">
        <w:rPr>
          <w:rFonts w:cs="Arial"/>
          <w:spacing w:val="-2"/>
        </w:rPr>
        <w:t>ledovaného ukazatele v roce 201</w:t>
      </w:r>
      <w:r w:rsidR="001717B5" w:rsidRPr="00930322">
        <w:rPr>
          <w:rFonts w:cs="Arial"/>
          <w:spacing w:val="-2"/>
        </w:rPr>
        <w:t>9</w:t>
      </w:r>
      <w:r w:rsidRPr="00930322">
        <w:rPr>
          <w:rFonts w:cs="Arial"/>
          <w:spacing w:val="-2"/>
        </w:rPr>
        <w:t xml:space="preserve"> meziročně vzrostly ve všech krajích</w:t>
      </w:r>
      <w:r w:rsidR="0071250D" w:rsidRPr="00930322">
        <w:rPr>
          <w:rFonts w:cs="Arial"/>
          <w:spacing w:val="-2"/>
        </w:rPr>
        <w:t>, nejvíce v</w:t>
      </w:r>
      <w:r w:rsidR="001717B5" w:rsidRPr="00930322">
        <w:rPr>
          <w:rFonts w:cs="Arial"/>
          <w:spacing w:val="-2"/>
        </w:rPr>
        <w:t>e Zlínském a Olomouckém</w:t>
      </w:r>
      <w:r w:rsidRPr="00930322">
        <w:rPr>
          <w:rFonts w:cs="Arial"/>
          <w:spacing w:val="-2"/>
        </w:rPr>
        <w:t>, kde došlo k</w:t>
      </w:r>
      <w:r w:rsidR="0071250D" w:rsidRPr="00930322">
        <w:rPr>
          <w:rFonts w:cs="Arial"/>
          <w:spacing w:val="-2"/>
        </w:rPr>
        <w:t xml:space="preserve"> nárůstu o </w:t>
      </w:r>
      <w:r w:rsidR="001717B5" w:rsidRPr="00930322">
        <w:rPr>
          <w:rFonts w:cs="Arial"/>
          <w:spacing w:val="-2"/>
        </w:rPr>
        <w:t>2</w:t>
      </w:r>
      <w:r w:rsidR="00F547BE" w:rsidRPr="00930322">
        <w:rPr>
          <w:rFonts w:cs="Arial"/>
          <w:spacing w:val="-2"/>
        </w:rPr>
        <w:t> </w:t>
      </w:r>
      <w:r w:rsidR="0071250D" w:rsidRPr="00930322">
        <w:rPr>
          <w:rFonts w:cs="Arial"/>
          <w:spacing w:val="-2"/>
        </w:rPr>
        <w:t>případy</w:t>
      </w:r>
      <w:r w:rsidR="00D526DE" w:rsidRPr="00930322">
        <w:rPr>
          <w:rFonts w:cs="Arial"/>
          <w:spacing w:val="-2"/>
        </w:rPr>
        <w:t xml:space="preserve"> na 100 pojištěnců</w:t>
      </w:r>
      <w:r w:rsidRPr="00930322">
        <w:rPr>
          <w:rFonts w:cs="Arial"/>
          <w:spacing w:val="-2"/>
        </w:rPr>
        <w:t>.</w:t>
      </w:r>
      <w:r w:rsidR="0071250D" w:rsidRPr="00930322">
        <w:rPr>
          <w:rFonts w:cs="Arial"/>
          <w:spacing w:val="-2"/>
        </w:rPr>
        <w:t xml:space="preserve"> Naopak nejméně vzrostl počet </w:t>
      </w:r>
      <w:r w:rsidR="00AD626C" w:rsidRPr="00930322">
        <w:rPr>
          <w:rFonts w:cs="Arial"/>
          <w:spacing w:val="-2"/>
        </w:rPr>
        <w:t>oproti roku 201</w:t>
      </w:r>
      <w:r w:rsidR="001717B5" w:rsidRPr="00930322">
        <w:rPr>
          <w:rFonts w:cs="Arial"/>
          <w:spacing w:val="-2"/>
        </w:rPr>
        <w:t>8</w:t>
      </w:r>
      <w:r w:rsidR="00AD626C" w:rsidRPr="00930322">
        <w:rPr>
          <w:rFonts w:cs="Arial"/>
          <w:spacing w:val="-2"/>
        </w:rPr>
        <w:t xml:space="preserve"> </w:t>
      </w:r>
      <w:r w:rsidR="0071250D" w:rsidRPr="00930322">
        <w:rPr>
          <w:rFonts w:cs="Arial"/>
          <w:spacing w:val="-2"/>
        </w:rPr>
        <w:t>v</w:t>
      </w:r>
      <w:r w:rsidR="00812420" w:rsidRPr="00930322">
        <w:rPr>
          <w:rFonts w:cs="Arial"/>
          <w:spacing w:val="-2"/>
        </w:rPr>
        <w:t> </w:t>
      </w:r>
      <w:r w:rsidR="001717B5" w:rsidRPr="00930322">
        <w:rPr>
          <w:rFonts w:cs="Arial"/>
          <w:spacing w:val="-2"/>
        </w:rPr>
        <w:t>Plzeňském</w:t>
      </w:r>
      <w:r w:rsidR="0071250D" w:rsidRPr="00930322">
        <w:rPr>
          <w:rFonts w:cs="Arial"/>
          <w:spacing w:val="-2"/>
        </w:rPr>
        <w:t xml:space="preserve"> kraji o </w:t>
      </w:r>
      <w:r w:rsidR="001717B5" w:rsidRPr="00930322">
        <w:rPr>
          <w:rFonts w:cs="Arial"/>
          <w:spacing w:val="-2"/>
        </w:rPr>
        <w:t>0,4</w:t>
      </w:r>
      <w:r w:rsidR="0071250D" w:rsidRPr="00930322">
        <w:rPr>
          <w:rFonts w:cs="Arial"/>
          <w:spacing w:val="-2"/>
        </w:rPr>
        <w:t xml:space="preserve"> případ</w:t>
      </w:r>
      <w:r w:rsidR="007F3530">
        <w:rPr>
          <w:rFonts w:cs="Arial"/>
          <w:spacing w:val="-2"/>
        </w:rPr>
        <w:t>u</w:t>
      </w:r>
      <w:r w:rsidR="0071250D" w:rsidRPr="00930322">
        <w:rPr>
          <w:rFonts w:cs="Arial"/>
          <w:spacing w:val="-2"/>
        </w:rPr>
        <w:t xml:space="preserve"> na 100 pojištěnců.</w:t>
      </w:r>
      <w:r w:rsidRPr="00930322">
        <w:rPr>
          <w:rFonts w:cs="Arial"/>
          <w:spacing w:val="-2"/>
        </w:rPr>
        <w:t xml:space="preserve"> </w:t>
      </w:r>
    </w:p>
    <w:p w14:paraId="247B02C3" w14:textId="4DE8BB86" w:rsidR="00024095" w:rsidRDefault="00024095" w:rsidP="00367F64">
      <w:pPr>
        <w:spacing w:after="120"/>
        <w:jc w:val="both"/>
        <w:rPr>
          <w:rFonts w:cs="Arial"/>
          <w:szCs w:val="20"/>
        </w:rPr>
      </w:pPr>
      <w:r w:rsidRPr="00CD4A23">
        <w:rPr>
          <w:rFonts w:cs="Arial"/>
        </w:rPr>
        <w:t>Rozdíly</w:t>
      </w:r>
      <w:r w:rsidR="00242D5A">
        <w:rPr>
          <w:rFonts w:cs="Arial"/>
        </w:rPr>
        <w:t xml:space="preserve"> </w:t>
      </w:r>
      <w:r w:rsidR="00D526DE">
        <w:rPr>
          <w:rFonts w:cs="Arial"/>
        </w:rPr>
        <w:t>v počtu případů</w:t>
      </w:r>
      <w:r w:rsidR="00D526DE" w:rsidRPr="00CD4A23">
        <w:rPr>
          <w:rFonts w:cs="Arial"/>
        </w:rPr>
        <w:t xml:space="preserve"> </w:t>
      </w:r>
      <w:r w:rsidRPr="00CD4A23">
        <w:rPr>
          <w:rFonts w:cs="Arial"/>
        </w:rPr>
        <w:t>dočasné pracovní neschopnosti dle územního členění jsou značně ovlivněny strukturou zaměstnanosti, charakterem převažující ekonomické činnosti a mírou nezaměstnanosti v daném regionu</w:t>
      </w:r>
      <w:r w:rsidRPr="00F547BE">
        <w:rPr>
          <w:rFonts w:cs="Arial"/>
        </w:rPr>
        <w:t>.</w:t>
      </w:r>
      <w:r w:rsidRPr="00CD4A23">
        <w:rPr>
          <w:rFonts w:cs="Arial"/>
          <w:b/>
        </w:rPr>
        <w:t xml:space="preserve"> </w:t>
      </w:r>
      <w:r w:rsidRPr="00CD4A23">
        <w:rPr>
          <w:rFonts w:cs="Arial"/>
        </w:rPr>
        <w:t xml:space="preserve">Je nutno zohlednit též </w:t>
      </w:r>
      <w:r w:rsidRPr="00CD4A23">
        <w:rPr>
          <w:rFonts w:cs="Arial"/>
          <w:b/>
        </w:rPr>
        <w:t>metodiku zpracování dat, kdy r</w:t>
      </w:r>
      <w:r w:rsidRPr="00CD4A23">
        <w:rPr>
          <w:rFonts w:cs="Arial"/>
          <w:b/>
          <w:szCs w:val="20"/>
        </w:rPr>
        <w:t>ozlišení dle krajů a okresů vychází z údaje o sídle útvaru</w:t>
      </w:r>
      <w:r w:rsidRPr="00CD4A23">
        <w:rPr>
          <w:rFonts w:cs="Arial"/>
          <w:szCs w:val="20"/>
        </w:rPr>
        <w:t>, který vede evidenci mezd zaměstnavatele osoby</w:t>
      </w:r>
      <w:r w:rsidR="0014373B">
        <w:rPr>
          <w:rFonts w:cs="Arial"/>
          <w:szCs w:val="20"/>
        </w:rPr>
        <w:t xml:space="preserve"> </w:t>
      </w:r>
      <w:r w:rsidRPr="00CD4A23">
        <w:rPr>
          <w:rFonts w:cs="Arial"/>
          <w:szCs w:val="20"/>
        </w:rPr>
        <w:t>v pracovní neschopnosti.</w:t>
      </w:r>
    </w:p>
    <w:p w14:paraId="4E79BD2A" w14:textId="5B1F5195" w:rsidR="00C43A78" w:rsidRPr="00C43A78" w:rsidRDefault="00162BC5" w:rsidP="009636BA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>
        <w:rPr>
          <w:b/>
          <w:i w:val="0"/>
          <w:color w:val="auto"/>
          <w:sz w:val="20"/>
        </w:rPr>
        <w:lastRenderedPageBreak/>
        <w:t>Graf 2.</w:t>
      </w:r>
      <w:r w:rsidR="003A3D14">
        <w:rPr>
          <w:b/>
          <w:i w:val="0"/>
          <w:color w:val="auto"/>
          <w:sz w:val="20"/>
        </w:rPr>
        <w:t>5</w:t>
      </w:r>
      <w:r w:rsidR="00C43A78" w:rsidRPr="00C43A78">
        <w:rPr>
          <w:b/>
          <w:i w:val="0"/>
          <w:color w:val="auto"/>
          <w:sz w:val="20"/>
        </w:rPr>
        <w:t>: Nově hlášené případy dočasné pracovní neschopnosti na 100 pojištěnců podle krajů ČR</w:t>
      </w:r>
      <w:r w:rsidR="00242D5A">
        <w:rPr>
          <w:b/>
          <w:i w:val="0"/>
          <w:color w:val="auto"/>
          <w:sz w:val="20"/>
        </w:rPr>
        <w:t>,</w:t>
      </w:r>
      <w:r w:rsidR="00452182">
        <w:rPr>
          <w:b/>
          <w:i w:val="0"/>
          <w:color w:val="auto"/>
          <w:sz w:val="20"/>
        </w:rPr>
        <w:t xml:space="preserve"> </w:t>
      </w:r>
      <w:r w:rsidR="00C43A78" w:rsidRPr="00C43A78">
        <w:rPr>
          <w:b/>
          <w:i w:val="0"/>
          <w:color w:val="auto"/>
          <w:sz w:val="20"/>
        </w:rPr>
        <w:t>201</w:t>
      </w:r>
      <w:r w:rsidR="00723107">
        <w:rPr>
          <w:b/>
          <w:i w:val="0"/>
          <w:color w:val="auto"/>
          <w:sz w:val="20"/>
        </w:rPr>
        <w:t>9</w:t>
      </w:r>
    </w:p>
    <w:p w14:paraId="0D115B44" w14:textId="221010B5" w:rsidR="0014373B" w:rsidRDefault="00723107" w:rsidP="009636BA">
      <w:pPr>
        <w:spacing w:before="120" w:after="120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25D95D3E" wp14:editId="5245BF25">
            <wp:extent cx="6050280" cy="2781300"/>
            <wp:effectExtent l="0" t="0" r="7620" b="0"/>
            <wp:docPr id="45" name="Graf 45">
              <a:extLst xmlns:a="http://schemas.openxmlformats.org/drawingml/2006/main">
                <a:ext uri="{FF2B5EF4-FFF2-40B4-BE49-F238E27FC236}">
                  <a16:creationId xmlns:a16="http://schemas.microsoft.com/office/drawing/2014/main" id="{9B56437F-D167-488F-823E-51AACAECDF9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  <w:r w:rsidR="00CF263C">
        <w:rPr>
          <w:sz w:val="18"/>
        </w:rPr>
        <w:t xml:space="preserve"> </w:t>
      </w:r>
      <w:r w:rsidR="00C43A78" w:rsidRPr="00BC3FF5">
        <w:rPr>
          <w:sz w:val="18"/>
        </w:rPr>
        <w:t>Zdroj: ČSÚ</w:t>
      </w:r>
    </w:p>
    <w:p w14:paraId="0778AF7D" w14:textId="3E076DB2" w:rsidR="00894E45" w:rsidRDefault="00894E45" w:rsidP="005A232E">
      <w:pPr>
        <w:spacing w:after="120"/>
        <w:jc w:val="both"/>
        <w:rPr>
          <w:rFonts w:cs="Arial"/>
        </w:rPr>
      </w:pPr>
      <w:r>
        <w:rPr>
          <w:rFonts w:cs="Arial"/>
        </w:rPr>
        <w:t xml:space="preserve">Z hlediska </w:t>
      </w:r>
      <w:r w:rsidRPr="00242D5A">
        <w:rPr>
          <w:rFonts w:cs="Arial"/>
          <w:b/>
        </w:rPr>
        <w:t xml:space="preserve">velikosti </w:t>
      </w:r>
      <w:r w:rsidR="005C4067" w:rsidRPr="00242D5A">
        <w:rPr>
          <w:rFonts w:cs="Arial"/>
          <w:b/>
        </w:rPr>
        <w:t>subjektu</w:t>
      </w:r>
      <w:r>
        <w:rPr>
          <w:rFonts w:cs="Arial"/>
        </w:rPr>
        <w:t xml:space="preserve"> </w:t>
      </w:r>
      <w:r w:rsidR="00DA5F28">
        <w:rPr>
          <w:rFonts w:cs="Arial"/>
        </w:rPr>
        <w:t>odpovídaly počty případů pracovní neschopnosti zhruba počtu pojištěnců v jednotlivých kategoriích podniků</w:t>
      </w:r>
      <w:r>
        <w:rPr>
          <w:rFonts w:cs="Arial"/>
        </w:rPr>
        <w:t>. V relativním pojetí při přepočtu na</w:t>
      </w:r>
      <w:r w:rsidR="00F547BE">
        <w:rPr>
          <w:rFonts w:cs="Arial"/>
        </w:rPr>
        <w:t> </w:t>
      </w:r>
      <w:r>
        <w:rPr>
          <w:rFonts w:cs="Arial"/>
        </w:rPr>
        <w:t xml:space="preserve">100 pojištěnců dominovaly velké firmy zaměstnávající </w:t>
      </w:r>
      <w:r w:rsidR="001717B5">
        <w:rPr>
          <w:rFonts w:cs="Arial"/>
        </w:rPr>
        <w:t>250–499</w:t>
      </w:r>
      <w:r>
        <w:rPr>
          <w:rFonts w:cs="Arial"/>
        </w:rPr>
        <w:t xml:space="preserve"> osob </w:t>
      </w:r>
      <w:r w:rsidR="00833D9A">
        <w:rPr>
          <w:rFonts w:cs="Arial"/>
        </w:rPr>
        <w:t xml:space="preserve">spolu se středně velkými podniky, které mají </w:t>
      </w:r>
      <w:r w:rsidR="001717B5">
        <w:rPr>
          <w:rFonts w:cs="Arial"/>
        </w:rPr>
        <w:t>100</w:t>
      </w:r>
      <w:r>
        <w:rPr>
          <w:rFonts w:cs="Arial"/>
        </w:rPr>
        <w:t>–</w:t>
      </w:r>
      <w:r w:rsidR="001717B5">
        <w:rPr>
          <w:rFonts w:cs="Arial"/>
        </w:rPr>
        <w:t>2</w:t>
      </w:r>
      <w:r>
        <w:rPr>
          <w:rFonts w:cs="Arial"/>
        </w:rPr>
        <w:t>49 zaměstnanců</w:t>
      </w:r>
      <w:r w:rsidR="00833D9A">
        <w:rPr>
          <w:rFonts w:cs="Arial"/>
        </w:rPr>
        <w:t xml:space="preserve">. Obě kategorie shodně zaznamenaly 46 </w:t>
      </w:r>
      <w:r w:rsidR="00DA5F28">
        <w:rPr>
          <w:rFonts w:cs="Arial"/>
        </w:rPr>
        <w:t xml:space="preserve">případů </w:t>
      </w:r>
      <w:r>
        <w:rPr>
          <w:rFonts w:cs="Arial"/>
        </w:rPr>
        <w:t>pracovní</w:t>
      </w:r>
      <w:r w:rsidR="00833D9A">
        <w:rPr>
          <w:rFonts w:cs="Arial"/>
        </w:rPr>
        <w:t>ch neschopností na 100 pojištěnců</w:t>
      </w:r>
      <w:r>
        <w:rPr>
          <w:rFonts w:cs="Arial"/>
        </w:rPr>
        <w:t>. Daleko méně případů pracovní neschopnosti vykázaly nejmenší firmy do 50 zaměstnanců, kde na 100 pojištěnců připadlo 3</w:t>
      </w:r>
      <w:r w:rsidR="00833D9A">
        <w:rPr>
          <w:rFonts w:cs="Arial"/>
        </w:rPr>
        <w:t>2</w:t>
      </w:r>
      <w:r w:rsidR="00930322">
        <w:rPr>
          <w:rFonts w:cs="Arial"/>
        </w:rPr>
        <w:t> </w:t>
      </w:r>
      <w:r>
        <w:rPr>
          <w:rFonts w:cs="Arial"/>
        </w:rPr>
        <w:t>hlášení. A zcela nejméně případů bylo zaznamenáno u OSVČ, a sice 14</w:t>
      </w:r>
      <w:r w:rsidR="00F547BE">
        <w:rPr>
          <w:rFonts w:cs="Arial"/>
        </w:rPr>
        <w:t> </w:t>
      </w:r>
      <w:r>
        <w:rPr>
          <w:rFonts w:cs="Arial"/>
        </w:rPr>
        <w:t>na 100 nemocensky pojištěných OSVČ.</w:t>
      </w:r>
      <w:r w:rsidR="00DA5F28">
        <w:rPr>
          <w:rFonts w:cs="Arial"/>
        </w:rPr>
        <w:t xml:space="preserve"> Zde je nutné mít na paměti, že nemocenské dávky</w:t>
      </w:r>
      <w:r w:rsidR="003D2F61">
        <w:rPr>
          <w:rFonts w:cs="Arial"/>
        </w:rPr>
        <w:t xml:space="preserve"> jsou vypláceny až od 15. dne pracovní neschopnosti</w:t>
      </w:r>
      <w:r w:rsidR="00BC30C3">
        <w:rPr>
          <w:rFonts w:cs="Arial"/>
        </w:rPr>
        <w:t xml:space="preserve"> (do té doby vyplácí náhradu mzdy zaměstnavatel)</w:t>
      </w:r>
      <w:r w:rsidR="003D2F61">
        <w:rPr>
          <w:rFonts w:cs="Arial"/>
        </w:rPr>
        <w:t>, a proto se OSVČ nevyplatí při krátkodobější nemoci nastupovat do pracovní neschopnosti.</w:t>
      </w:r>
    </w:p>
    <w:p w14:paraId="6F4635AD" w14:textId="60846FA4" w:rsidR="0017144B" w:rsidRDefault="0017144B" w:rsidP="009636BA">
      <w:pPr>
        <w:spacing w:after="120"/>
        <w:jc w:val="both"/>
        <w:rPr>
          <w:rFonts w:cs="Arial"/>
        </w:rPr>
      </w:pPr>
      <w:r>
        <w:rPr>
          <w:rFonts w:cs="Arial"/>
        </w:rPr>
        <w:t xml:space="preserve">Dalším kritériem, podle kterého lze hodnotit pracovní neschopnost nemocensky pojištěných, je rozdělení na podniky </w:t>
      </w:r>
      <w:r w:rsidRPr="00924DE0">
        <w:rPr>
          <w:rFonts w:cs="Arial"/>
          <w:b/>
          <w:bCs/>
        </w:rPr>
        <w:t>domácí a ty pod zahraniční kontrolou</w:t>
      </w:r>
      <w:r>
        <w:rPr>
          <w:rFonts w:cs="Arial"/>
        </w:rPr>
        <w:t xml:space="preserve">. Např. </w:t>
      </w:r>
      <w:r w:rsidR="00924DE0">
        <w:rPr>
          <w:rFonts w:cs="Arial"/>
        </w:rPr>
        <w:t xml:space="preserve">v roce 2019 </w:t>
      </w:r>
      <w:r>
        <w:rPr>
          <w:rFonts w:cs="Arial"/>
        </w:rPr>
        <w:t>v nefinančních podnicích</w:t>
      </w:r>
      <w:r w:rsidR="00924DE0">
        <w:rPr>
          <w:rFonts w:cs="Arial"/>
        </w:rPr>
        <w:t xml:space="preserve"> pod zahraniční kontrolou připadlo na 100 nemocensky pojištěných 51 nahlášených případů v porovnání s</w:t>
      </w:r>
      <w:r w:rsidR="00930322">
        <w:rPr>
          <w:rFonts w:cs="Arial"/>
        </w:rPr>
        <w:t> </w:t>
      </w:r>
      <w:r w:rsidR="00924DE0">
        <w:rPr>
          <w:rFonts w:cs="Arial"/>
        </w:rPr>
        <w:t>38</w:t>
      </w:r>
      <w:r w:rsidR="00930322">
        <w:rPr>
          <w:rFonts w:cs="Arial"/>
        </w:rPr>
        <w:t> </w:t>
      </w:r>
      <w:r w:rsidR="00924DE0">
        <w:rPr>
          <w:rFonts w:cs="Arial"/>
        </w:rPr>
        <w:t xml:space="preserve">případy v domácích nefinančních podnicích. </w:t>
      </w:r>
      <w:r>
        <w:rPr>
          <w:rFonts w:cs="Arial"/>
        </w:rPr>
        <w:t>Pracovní neschopnost zaměstnanců v domácích podnicích však trvala v průměru o 7 dní déle (46 dnů) než u podniků pod zahraniční kontrolou (39 dnů).</w:t>
      </w:r>
    </w:p>
    <w:p w14:paraId="1976F215" w14:textId="77777777" w:rsidR="00894E45" w:rsidRDefault="00894E45">
      <w:pPr>
        <w:spacing w:after="0" w:line="240" w:lineRule="auto"/>
        <w:rPr>
          <w:sz w:val="18"/>
        </w:rPr>
      </w:pPr>
      <w:r>
        <w:rPr>
          <w:sz w:val="18"/>
        </w:rPr>
        <w:br w:type="page"/>
      </w:r>
    </w:p>
    <w:p w14:paraId="755D0BAD" w14:textId="3B4AFEFC" w:rsidR="0071250D" w:rsidRPr="0071250D" w:rsidRDefault="0071250D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bookmarkStart w:id="8" w:name="_Toc10112621"/>
      <w:r w:rsidRPr="0071250D">
        <w:rPr>
          <w:b/>
          <w:i w:val="0"/>
          <w:color w:val="auto"/>
          <w:sz w:val="20"/>
        </w:rPr>
        <w:lastRenderedPageBreak/>
        <w:t>Tab</w:t>
      </w:r>
      <w:r w:rsidR="00381067">
        <w:rPr>
          <w:b/>
          <w:i w:val="0"/>
          <w:color w:val="auto"/>
          <w:sz w:val="20"/>
        </w:rPr>
        <w:t>.</w:t>
      </w:r>
      <w:r w:rsidR="00162BC5">
        <w:rPr>
          <w:b/>
          <w:i w:val="0"/>
          <w:color w:val="auto"/>
          <w:sz w:val="20"/>
        </w:rPr>
        <w:t xml:space="preserve"> 2.</w:t>
      </w:r>
      <w:r w:rsidRPr="0071250D">
        <w:rPr>
          <w:b/>
          <w:i w:val="0"/>
          <w:color w:val="auto"/>
          <w:sz w:val="20"/>
        </w:rPr>
        <w:fldChar w:fldCharType="begin"/>
      </w:r>
      <w:r w:rsidRPr="0071250D">
        <w:rPr>
          <w:b/>
          <w:i w:val="0"/>
          <w:color w:val="auto"/>
          <w:sz w:val="20"/>
        </w:rPr>
        <w:instrText xml:space="preserve"> SEQ Tabulka \* ARABIC </w:instrText>
      </w:r>
      <w:r w:rsidRPr="0071250D">
        <w:rPr>
          <w:b/>
          <w:i w:val="0"/>
          <w:color w:val="auto"/>
          <w:sz w:val="20"/>
        </w:rPr>
        <w:fldChar w:fldCharType="separate"/>
      </w:r>
      <w:r w:rsidR="00FF7036">
        <w:rPr>
          <w:b/>
          <w:i w:val="0"/>
          <w:noProof/>
          <w:color w:val="auto"/>
          <w:sz w:val="20"/>
        </w:rPr>
        <w:t>3</w:t>
      </w:r>
      <w:r w:rsidRPr="0071250D">
        <w:rPr>
          <w:b/>
          <w:i w:val="0"/>
          <w:color w:val="auto"/>
          <w:sz w:val="20"/>
        </w:rPr>
        <w:fldChar w:fldCharType="end"/>
      </w:r>
      <w:r w:rsidRPr="0071250D">
        <w:rPr>
          <w:b/>
          <w:i w:val="0"/>
          <w:color w:val="auto"/>
          <w:sz w:val="20"/>
        </w:rPr>
        <w:t>: Nově hlášené případy dočasné pracovní neschopnosti na 100 pojištěnců podle krajů ČR</w:t>
      </w:r>
      <w:r w:rsidR="00452182">
        <w:rPr>
          <w:b/>
          <w:i w:val="0"/>
          <w:color w:val="auto"/>
          <w:sz w:val="20"/>
        </w:rPr>
        <w:t xml:space="preserve">, </w:t>
      </w:r>
      <w:r w:rsidRPr="0071250D">
        <w:rPr>
          <w:b/>
          <w:i w:val="0"/>
          <w:color w:val="auto"/>
          <w:sz w:val="20"/>
        </w:rPr>
        <w:t>200</w:t>
      </w:r>
      <w:r w:rsidR="00833D9A">
        <w:rPr>
          <w:b/>
          <w:i w:val="0"/>
          <w:color w:val="auto"/>
          <w:sz w:val="20"/>
        </w:rPr>
        <w:t>9</w:t>
      </w:r>
      <w:r w:rsidRPr="0071250D">
        <w:rPr>
          <w:b/>
          <w:i w:val="0"/>
          <w:color w:val="auto"/>
          <w:sz w:val="20"/>
        </w:rPr>
        <w:t>–201</w:t>
      </w:r>
      <w:bookmarkEnd w:id="8"/>
      <w:r w:rsidR="00833D9A">
        <w:rPr>
          <w:b/>
          <w:i w:val="0"/>
          <w:color w:val="auto"/>
          <w:sz w:val="20"/>
        </w:rPr>
        <w:t>9</w:t>
      </w:r>
    </w:p>
    <w:tbl>
      <w:tblPr>
        <w:tblW w:w="9534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1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3"/>
      </w:tblGrid>
      <w:tr w:rsidR="00833D9A" w:rsidRPr="008C2001" w14:paraId="247E6B77" w14:textId="4A2B4D64" w:rsidTr="00E70681">
        <w:trPr>
          <w:trHeight w:val="283"/>
        </w:trPr>
        <w:tc>
          <w:tcPr>
            <w:tcW w:w="183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3CC3A1A" w14:textId="32FF451E" w:rsidR="00833D9A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Kraj ČR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2B5E616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7488D8C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56AE623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10BB8FE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9C48772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38CE978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FE589B9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3E12B9C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05302B9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B9C4135" w14:textId="77777777" w:rsidR="00833D9A" w:rsidRPr="008C2001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7A44C546" w14:textId="3B51075D" w:rsidR="00833D9A" w:rsidRPr="00833D9A" w:rsidRDefault="00833D9A" w:rsidP="00833D9A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33D9A">
              <w:rPr>
                <w:rFonts w:cs="Arial"/>
                <w:sz w:val="16"/>
                <w:szCs w:val="16"/>
              </w:rPr>
              <w:t>2019</w:t>
            </w:r>
          </w:p>
        </w:tc>
      </w:tr>
      <w:tr w:rsidR="005348D7" w:rsidRPr="008C2001" w14:paraId="05F51CF0" w14:textId="2E945B38" w:rsidTr="00E70681">
        <w:trPr>
          <w:trHeight w:val="283"/>
        </w:trPr>
        <w:tc>
          <w:tcPr>
            <w:tcW w:w="183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ED8C93" w14:textId="77777777" w:rsidR="005348D7" w:rsidRPr="008C2001" w:rsidRDefault="005348D7" w:rsidP="005348D7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ČR celkem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2A1D31" w14:textId="2B8664E8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AECDE6" w14:textId="0AB4DD4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B604" w14:textId="21DB91C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DC798A" w14:textId="4E86A33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27,4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2F84E9" w14:textId="1EA28CA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E06B" w14:textId="252559E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29,5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059CA" w14:textId="283A214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34,7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9169F5" w14:textId="6E8C977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AB21A" w14:textId="5BCF14A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AF379B" w14:textId="5CF854E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03" w:type="dxa"/>
            <w:tcBorders>
              <w:top w:val="single" w:sz="8" w:space="0" w:color="auto"/>
            </w:tcBorders>
            <w:vAlign w:val="center"/>
          </w:tcPr>
          <w:p w14:paraId="0C7C446B" w14:textId="7EDDDD10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40,5</w:t>
            </w:r>
          </w:p>
        </w:tc>
      </w:tr>
      <w:tr w:rsidR="005348D7" w:rsidRPr="008C2001" w14:paraId="4E27F166" w14:textId="034B7493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63DEAF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Hl. m. Praha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F7DCA8" w14:textId="03F4207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D8C29D" w14:textId="4601470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AEF9F8" w14:textId="4AF2290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B87F60" w14:textId="43CDC95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B6F61" w14:textId="7B49612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EC861F" w14:textId="012736B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E241B4" w14:textId="7E12377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F8C8E" w14:textId="1E986D5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BFE839" w14:textId="463FA8F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C94DF" w14:textId="06BFDD3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31,9</w:t>
            </w:r>
          </w:p>
        </w:tc>
        <w:tc>
          <w:tcPr>
            <w:tcW w:w="703" w:type="dxa"/>
            <w:vAlign w:val="center"/>
          </w:tcPr>
          <w:p w14:paraId="00C3CDCC" w14:textId="580A4DE3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33,5</w:t>
            </w:r>
          </w:p>
        </w:tc>
      </w:tr>
      <w:tr w:rsidR="005348D7" w:rsidRPr="008C2001" w14:paraId="081AB494" w14:textId="03537077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64AD58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Středočeský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A865" w14:textId="22388C8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2BEC2D" w14:textId="583BDC2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10711B" w14:textId="6065720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01531" w14:textId="7C17872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C9C05C" w14:textId="58888F0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E54ECF" w14:textId="7D43D06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0D1651" w14:textId="5274AD2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1E0755" w14:textId="5D2002F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BFC8E" w14:textId="7F08710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4A1AA" w14:textId="5CB7F25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42,1</w:t>
            </w:r>
          </w:p>
        </w:tc>
        <w:tc>
          <w:tcPr>
            <w:tcW w:w="703" w:type="dxa"/>
            <w:vAlign w:val="center"/>
          </w:tcPr>
          <w:p w14:paraId="330E2EAB" w14:textId="5065A92A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43,4</w:t>
            </w:r>
          </w:p>
        </w:tc>
      </w:tr>
      <w:tr w:rsidR="005348D7" w:rsidRPr="008C2001" w14:paraId="04D42A73" w14:textId="0B0C5DA5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8E3FA0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Jihočeský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8AAC1" w14:textId="0B8744D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B869C" w14:textId="6E6599B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7C6A4" w14:textId="35A2935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8C75B8" w14:textId="01B0111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DC4D" w14:textId="7BDB9FB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EC4241" w14:textId="5D3DD41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667A4" w14:textId="4927E1E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2E8F9" w14:textId="585F25C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095F5" w14:textId="02B0B42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A5E1CC" w14:textId="0D3414F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03" w:type="dxa"/>
            <w:vAlign w:val="center"/>
          </w:tcPr>
          <w:p w14:paraId="74713C42" w14:textId="4331170B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</w:tr>
      <w:tr w:rsidR="005348D7" w:rsidRPr="008C2001" w14:paraId="22FAD3D5" w14:textId="222E895C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6D415D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Plzeňský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8F2468" w14:textId="3C24F43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745577" w14:textId="0119218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FF8C19" w14:textId="5F8C412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E7B12" w14:textId="2898D3E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408CC" w14:textId="07D39AD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28135" w14:textId="0758334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394E9" w14:textId="029DC85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D4937F" w14:textId="135BC58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B5BB6" w14:textId="75D0D24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6A1028" w14:textId="70985E2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03" w:type="dxa"/>
            <w:vAlign w:val="center"/>
          </w:tcPr>
          <w:p w14:paraId="6E585381" w14:textId="69B1828D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46,4</w:t>
            </w:r>
          </w:p>
        </w:tc>
      </w:tr>
      <w:tr w:rsidR="005348D7" w:rsidRPr="008C2001" w14:paraId="78F57B0E" w14:textId="05044CD8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9D4B41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Karlovarský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15DCF3" w14:textId="0D9FE356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A3F7A" w14:textId="58E9884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F2060E" w14:textId="77343F5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DF4605" w14:textId="1AB1171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DD5E8" w14:textId="5A8D04E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3DF93" w14:textId="19CBFC1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4F060" w14:textId="0E47B97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769B51" w14:textId="4D12F85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3169CA" w14:textId="4BF1234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B42B7E" w14:textId="6319D72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703" w:type="dxa"/>
            <w:vAlign w:val="center"/>
          </w:tcPr>
          <w:p w14:paraId="1104B49E" w14:textId="7B9A6FDB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</w:tr>
      <w:tr w:rsidR="005348D7" w:rsidRPr="008C2001" w14:paraId="732CEA5B" w14:textId="7EF59A26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7EB2B5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Ústecký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0306A" w14:textId="25FB41C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E046A" w14:textId="0A9D5E0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4C08EF" w14:textId="16E7428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FA788" w14:textId="7888A66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CAE160" w14:textId="6442615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4F8F8" w14:textId="1779959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3FF472" w14:textId="3487A05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195A6" w14:textId="7040103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6F226" w14:textId="5BD5CD0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246469" w14:textId="671E11C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703" w:type="dxa"/>
            <w:vAlign w:val="center"/>
          </w:tcPr>
          <w:p w14:paraId="2F279386" w14:textId="2ADD7583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44,3</w:t>
            </w:r>
          </w:p>
        </w:tc>
      </w:tr>
      <w:tr w:rsidR="005348D7" w:rsidRPr="008C2001" w14:paraId="4D4F73A1" w14:textId="4307AC5E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79993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Liberecký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0F1E68" w14:textId="37969A5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E582B" w14:textId="185BD67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594209" w14:textId="02774F8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4739FF" w14:textId="3D31EEE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8C6AD" w14:textId="6A9B4A6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3AA8ED" w14:textId="3A712A3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F49EA" w14:textId="6DB0666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736A3B" w14:textId="1384327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F1334" w14:textId="6753107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508D75" w14:textId="08F17736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703" w:type="dxa"/>
            <w:vAlign w:val="center"/>
          </w:tcPr>
          <w:p w14:paraId="186C7CED" w14:textId="19AAA9FB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49,8</w:t>
            </w:r>
          </w:p>
        </w:tc>
      </w:tr>
      <w:tr w:rsidR="005348D7" w:rsidRPr="008C2001" w14:paraId="14439365" w14:textId="6B9B9ACE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13D52E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Královéhradecký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F8ED" w14:textId="34807E7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D787D8" w14:textId="4402ADF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834AF3" w14:textId="3C4137D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DF322D" w14:textId="1E1DEDB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94E9C0" w14:textId="26BBC9A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838E7" w14:textId="3652C2D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0BBAB4" w14:textId="47CF751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065B7D" w14:textId="20638E7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0AAEC" w14:textId="4734577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D9D169" w14:textId="1EEEEBA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3" w:type="dxa"/>
            <w:vAlign w:val="center"/>
          </w:tcPr>
          <w:p w14:paraId="4B8ECD5E" w14:textId="2136D3D2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45,7</w:t>
            </w:r>
          </w:p>
        </w:tc>
      </w:tr>
      <w:tr w:rsidR="005348D7" w:rsidRPr="008C2001" w14:paraId="72072B1A" w14:textId="264C8AD3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7A52E5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Pardubický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46EE" w14:textId="0650198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3DE03D" w14:textId="02574DB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D084D0" w14:textId="5876725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3F4C2" w14:textId="25D2B1F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517E1B" w14:textId="0EE5DF4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5FC485" w14:textId="425045D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03260A" w14:textId="501D329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D7340F" w14:textId="276ED4F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508E6" w14:textId="02ABDF7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35D83" w14:textId="022BCD7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41,8</w:t>
            </w:r>
          </w:p>
        </w:tc>
        <w:tc>
          <w:tcPr>
            <w:tcW w:w="703" w:type="dxa"/>
            <w:vAlign w:val="center"/>
          </w:tcPr>
          <w:p w14:paraId="61769AA4" w14:textId="06B7497C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</w:tr>
      <w:tr w:rsidR="005348D7" w:rsidRPr="008C2001" w14:paraId="222BA337" w14:textId="0291B397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0D6D59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Vysočina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AF9D36" w14:textId="28E434E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F13C7" w14:textId="420B4FA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6C08A" w14:textId="2C39CD7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E542BA" w14:textId="73B51A2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DB62F" w14:textId="43B9F19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2F008" w14:textId="213A146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3F3D46" w14:textId="1F8D5CF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1E5C27" w14:textId="02F818D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C22713" w14:textId="2EB6AB3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1D4BF" w14:textId="6027E56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703" w:type="dxa"/>
            <w:vAlign w:val="center"/>
          </w:tcPr>
          <w:p w14:paraId="2AA35078" w14:textId="64E787D3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</w:tr>
      <w:tr w:rsidR="005348D7" w:rsidRPr="008C2001" w14:paraId="4899C2E5" w14:textId="420E2078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14A52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Jihomoravský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59A877" w14:textId="7917A19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A0C947" w14:textId="4E913D36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67FCA" w14:textId="797538F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71176F" w14:textId="274323F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9D003A" w14:textId="5F57535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1E7123" w14:textId="30AC435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E70ACF" w14:textId="421F250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6586D" w14:textId="21709E73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CB3467" w14:textId="30E0F50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A60EFC" w14:textId="13ACA88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703" w:type="dxa"/>
            <w:vAlign w:val="center"/>
          </w:tcPr>
          <w:p w14:paraId="33007728" w14:textId="1CE913A5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38,9</w:t>
            </w:r>
          </w:p>
        </w:tc>
      </w:tr>
      <w:tr w:rsidR="005348D7" w:rsidRPr="008C2001" w14:paraId="615416A4" w14:textId="69083782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DD6B3DE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Olomoucký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0EE81" w14:textId="7B2F046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ABCE7" w14:textId="29B9C2B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5DD572" w14:textId="2540E50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D21CB4" w14:textId="2BE2690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3F843" w14:textId="665B2D1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77F822" w14:textId="38AAD7B4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77095E" w14:textId="676FD99D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AF2CE6" w14:textId="1479C13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5A2D8C" w14:textId="5DEF41CE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924454" w14:textId="5B2F740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703" w:type="dxa"/>
            <w:vAlign w:val="center"/>
          </w:tcPr>
          <w:p w14:paraId="7B46736E" w14:textId="11E8F207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39,5</w:t>
            </w:r>
          </w:p>
        </w:tc>
      </w:tr>
      <w:tr w:rsidR="005348D7" w:rsidRPr="008C2001" w14:paraId="5FB38489" w14:textId="6CA833C3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F58065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Zlínský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ACB46B" w14:textId="14C594D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26547" w14:textId="41C6B5C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445107" w14:textId="0F8ED855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5334F" w14:textId="125211C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EE5F9F" w14:textId="0FF8A07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D755C4" w14:textId="52F60A56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02158B" w14:textId="0401BA90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1716E" w14:textId="4000DE9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694D12" w14:textId="57ABE1A2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BE89A7" w14:textId="14F31B4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03" w:type="dxa"/>
            <w:vAlign w:val="center"/>
          </w:tcPr>
          <w:p w14:paraId="0BD6B362" w14:textId="095160B9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</w:tr>
      <w:tr w:rsidR="005348D7" w:rsidRPr="008C2001" w14:paraId="33896A2F" w14:textId="5FF84CBA" w:rsidTr="00E70681">
        <w:trPr>
          <w:trHeight w:val="283"/>
        </w:trPr>
        <w:tc>
          <w:tcPr>
            <w:tcW w:w="183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F076CE" w14:textId="77777777" w:rsidR="005348D7" w:rsidRPr="008C2001" w:rsidRDefault="005348D7" w:rsidP="005348D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Moravskoslezský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92DEC" w14:textId="7FD04E27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639179" w14:textId="14013A6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D0A785" w14:textId="324574A1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B78DFC" w14:textId="3D46AB6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EA8FB" w14:textId="17B4A56B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57403" w14:textId="5046A7EA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B04DDE" w14:textId="62EFEDAC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7E8A7" w14:textId="5BF8803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9558E9" w14:textId="719FE7C9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80C16E" w14:textId="7CD5C56F" w:rsidR="005348D7" w:rsidRPr="008C2001" w:rsidRDefault="005348D7" w:rsidP="005348D7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703" w:type="dxa"/>
            <w:vAlign w:val="center"/>
          </w:tcPr>
          <w:p w14:paraId="53A47554" w14:textId="2C0E75A8" w:rsidR="005348D7" w:rsidRPr="008C2001" w:rsidRDefault="005348D7" w:rsidP="005348D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</w:tr>
    </w:tbl>
    <w:p w14:paraId="6AB3208B" w14:textId="150A928B" w:rsidR="008C2001" w:rsidRDefault="008C2001" w:rsidP="005A232E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0674824C" w14:textId="7A326D80" w:rsidR="0047735C" w:rsidRDefault="003C629F" w:rsidP="00656732">
      <w:pPr>
        <w:pStyle w:val="Nadpis3"/>
      </w:pPr>
      <w:bookmarkStart w:id="9" w:name="_Toc41558317"/>
      <w:r>
        <w:t>4.2.2 Délka trvání dočasné pracovní neschopnosti</w:t>
      </w:r>
      <w:bookmarkEnd w:id="9"/>
    </w:p>
    <w:p w14:paraId="07C5CC47" w14:textId="7F997390" w:rsidR="006111AE" w:rsidRDefault="006111AE" w:rsidP="00656732">
      <w:pPr>
        <w:spacing w:after="120"/>
        <w:jc w:val="both"/>
      </w:pPr>
      <w:r>
        <w:t xml:space="preserve">Pro posouzení vývoje pracovní neschopnosti je důležité nejen zjištění, </w:t>
      </w:r>
      <w:r w:rsidRPr="00FA436A">
        <w:t xml:space="preserve">jak často </w:t>
      </w:r>
      <w:r>
        <w:t>zaměstnanci</w:t>
      </w:r>
      <w:r w:rsidRPr="00FA436A">
        <w:t xml:space="preserve"> do pracovní neschopnosti nastupují, </w:t>
      </w:r>
      <w:r>
        <w:t xml:space="preserve">ale i to, </w:t>
      </w:r>
      <w:r w:rsidRPr="00FA436A">
        <w:t xml:space="preserve">jak dlouho v pracovní neschopnosti zůstávají. </w:t>
      </w:r>
    </w:p>
    <w:p w14:paraId="3EB74266" w14:textId="7DEED3AD" w:rsidR="00A96047" w:rsidRPr="00A96047" w:rsidRDefault="00A96047" w:rsidP="00656732">
      <w:pPr>
        <w:pStyle w:val="Box1"/>
        <w:spacing w:before="120" w:after="120"/>
        <w:ind w:left="0"/>
        <w:jc w:val="both"/>
        <w:rPr>
          <w:i/>
        </w:rPr>
      </w:pPr>
      <w:r w:rsidRPr="00A96047">
        <w:rPr>
          <w:b/>
          <w:i/>
        </w:rPr>
        <w:t>Počet kalendářních dnů dočasné pracovní neschopnosti</w:t>
      </w:r>
      <w:r w:rsidRPr="00A96047">
        <w:rPr>
          <w:i/>
        </w:rPr>
        <w:t xml:space="preserve"> – ukazatel udává celkový počet kalendářních dnů, po které byli v daném období (roce) nemocensky pojištění práce neschopni z příčin uvedených v</w:t>
      </w:r>
      <w:r w:rsidR="00656732">
        <w:rPr>
          <w:i/>
        </w:rPr>
        <w:t> </w:t>
      </w:r>
      <w:r w:rsidRPr="00A96047">
        <w:rPr>
          <w:i/>
        </w:rPr>
        <w:t>„Rozhodnutí o dočasné pracovní neschopnosti“. Počet kalendářních dnů strávených v pracovní neschopnosti je zjišťován na základě hlášení o vzniku a</w:t>
      </w:r>
      <w:r w:rsidR="00F547BE">
        <w:rPr>
          <w:i/>
        </w:rPr>
        <w:t> </w:t>
      </w:r>
      <w:r w:rsidRPr="00A96047">
        <w:rPr>
          <w:i/>
        </w:rPr>
        <w:t xml:space="preserve">ukončení pracovní neschopnosti. Do počtu kalendářních dnů pracovní neschopnosti patří i pracovní neschopnost vzniklá po </w:t>
      </w:r>
      <w:r w:rsidR="007F3530">
        <w:rPr>
          <w:i/>
        </w:rPr>
        <w:t>zániku pojištění</w:t>
      </w:r>
      <w:r w:rsidR="00976E3E" w:rsidRPr="00976E3E">
        <w:rPr>
          <w:i/>
        </w:rPr>
        <w:t xml:space="preserve"> </w:t>
      </w:r>
      <w:r w:rsidRPr="00A96047">
        <w:rPr>
          <w:i/>
        </w:rPr>
        <w:t>v</w:t>
      </w:r>
      <w:r w:rsidR="007F3530">
        <w:rPr>
          <w:i/>
        </w:rPr>
        <w:t> </w:t>
      </w:r>
      <w:r w:rsidRPr="00A96047">
        <w:rPr>
          <w:i/>
        </w:rPr>
        <w:t>tzv.</w:t>
      </w:r>
      <w:r w:rsidR="007F3530">
        <w:rPr>
          <w:i/>
        </w:rPr>
        <w:t> </w:t>
      </w:r>
      <w:r w:rsidRPr="00A96047">
        <w:rPr>
          <w:i/>
        </w:rPr>
        <w:t>ochranné lhůtě sedmi kalendářních dnů.</w:t>
      </w:r>
    </w:p>
    <w:p w14:paraId="177B2404" w14:textId="77777777" w:rsidR="00A96047" w:rsidRPr="00656732" w:rsidRDefault="00A96047" w:rsidP="00525455">
      <w:pPr>
        <w:pStyle w:val="Box1"/>
        <w:ind w:left="0"/>
        <w:jc w:val="both"/>
        <w:rPr>
          <w:i/>
          <w:sz w:val="16"/>
          <w:szCs w:val="16"/>
        </w:rPr>
      </w:pPr>
    </w:p>
    <w:p w14:paraId="6A216293" w14:textId="77777777" w:rsidR="00A96047" w:rsidRPr="00A96047" w:rsidRDefault="00A96047" w:rsidP="00525455">
      <w:pPr>
        <w:pStyle w:val="Box1"/>
        <w:ind w:left="0"/>
        <w:jc w:val="both"/>
        <w:rPr>
          <w:i/>
        </w:rPr>
      </w:pPr>
      <w:r w:rsidRPr="00A96047">
        <w:rPr>
          <w:b/>
          <w:i/>
        </w:rPr>
        <w:t>Průměrná délka trvání pracovní neschopnosti ve dnech</w:t>
      </w:r>
      <w:r w:rsidRPr="00A96047">
        <w:rPr>
          <w:i/>
        </w:rPr>
        <w:t xml:space="preserve"> – ukazatel vyjadřuje, kolik kalendářních dnů pracovní neschopnosti v průměru připadá na jeden nově hlášený případ pracovní neschopnosti. </w:t>
      </w:r>
    </w:p>
    <w:p w14:paraId="1DCF994A" w14:textId="77777777" w:rsidR="00A96047" w:rsidRPr="00A96047" w:rsidRDefault="00A96047" w:rsidP="00525455">
      <w:pPr>
        <w:pStyle w:val="Box1"/>
        <w:ind w:left="0"/>
        <w:jc w:val="both"/>
        <w:rPr>
          <w:i/>
          <w:u w:val="single"/>
        </w:rPr>
      </w:pPr>
      <w:r w:rsidRPr="00A96047">
        <w:rPr>
          <w:i/>
          <w:u w:val="single"/>
        </w:rPr>
        <w:t>Způsob výpočtu:</w:t>
      </w:r>
    </w:p>
    <w:p w14:paraId="77F1D069" w14:textId="5F5A1733" w:rsidR="00F617C3" w:rsidRDefault="00A96047" w:rsidP="00656732">
      <w:pPr>
        <w:pStyle w:val="Box1"/>
        <w:spacing w:before="120" w:after="120"/>
        <w:ind w:left="0"/>
        <w:jc w:val="both"/>
        <w:rPr>
          <w:b/>
        </w:rPr>
      </w:pPr>
      <w:r w:rsidRPr="00A96047">
        <w:rPr>
          <w:i/>
        </w:rPr>
        <w:t>Průměrná délka trvání pracovní neschopnosti ve dnech = počet kalendářních dnů dočasné pracovní neschopnosti / počet nově hlášených případů dočasné pracovní neschopnosti</w:t>
      </w:r>
      <w:r w:rsidR="003C629F" w:rsidRPr="00A96047">
        <w:rPr>
          <w:i/>
        </w:rPr>
        <w:t>.</w:t>
      </w:r>
    </w:p>
    <w:p w14:paraId="2C8065C9" w14:textId="77777777" w:rsidR="00656732" w:rsidRDefault="003E2008" w:rsidP="00656732">
      <w:pPr>
        <w:spacing w:after="120"/>
        <w:jc w:val="both"/>
      </w:pPr>
      <w:r w:rsidRPr="0047002D">
        <w:t>Počet kalendářních dnů dočasné pracovní neschopnosti</w:t>
      </w:r>
      <w:r>
        <w:rPr>
          <w:b/>
        </w:rPr>
        <w:t xml:space="preserve"> </w:t>
      </w:r>
      <w:r w:rsidRPr="00A977AC">
        <w:t>je dán součtem dnů, po kter</w:t>
      </w:r>
      <w:r w:rsidR="000D3E45">
        <w:t>é</w:t>
      </w:r>
      <w:r w:rsidRPr="00A977AC">
        <w:t xml:space="preserve"> trvala dočasná pracovní neschopnost všech</w:t>
      </w:r>
      <w:r>
        <w:t xml:space="preserve"> nově</w:t>
      </w:r>
      <w:r w:rsidRPr="00A977AC">
        <w:t xml:space="preserve"> hlášených případů.</w:t>
      </w:r>
      <w:r>
        <w:t xml:space="preserve"> </w:t>
      </w:r>
    </w:p>
    <w:p w14:paraId="39D5D649" w14:textId="1BCDC47E" w:rsidR="00656732" w:rsidRDefault="003E2008" w:rsidP="009636BA">
      <w:pPr>
        <w:spacing w:after="120"/>
        <w:jc w:val="both"/>
      </w:pPr>
      <w:r>
        <w:t xml:space="preserve">Sledovaný ukazatel meziročně vzrostl </w:t>
      </w:r>
      <w:r w:rsidR="00656732">
        <w:t xml:space="preserve">o 5,2 %, a to </w:t>
      </w:r>
      <w:r>
        <w:t xml:space="preserve">ze </w:t>
      </w:r>
      <w:r w:rsidR="00B9493D">
        <w:t xml:space="preserve">77 158 tis. </w:t>
      </w:r>
      <w:r>
        <w:t>prostonaných dnů v roce 201</w:t>
      </w:r>
      <w:r w:rsidR="00B9493D">
        <w:t>8</w:t>
      </w:r>
      <w:r>
        <w:t xml:space="preserve"> na </w:t>
      </w:r>
      <w:r w:rsidR="00B9493D">
        <w:t>81</w:t>
      </w:r>
      <w:r w:rsidR="00656732">
        <w:t> </w:t>
      </w:r>
      <w:r w:rsidR="00B9493D">
        <w:t>205</w:t>
      </w:r>
      <w:r w:rsidR="00656732">
        <w:t> </w:t>
      </w:r>
      <w:r w:rsidR="00B9493D">
        <w:t xml:space="preserve">tis. </w:t>
      </w:r>
      <w:r w:rsidR="00656732">
        <w:t>v roce 2019.</w:t>
      </w:r>
      <w:r>
        <w:t xml:space="preserve"> V</w:t>
      </w:r>
      <w:r w:rsidR="00F34BC1">
        <w:t>ětšina dnů pracovní neschopnosti (</w:t>
      </w:r>
      <w:r w:rsidR="00B9493D">
        <w:t>86,1</w:t>
      </w:r>
      <w:r w:rsidR="00F34BC1">
        <w:t xml:space="preserve"> %) je způsobena nemocí, v absolutním počtu 6</w:t>
      </w:r>
      <w:r w:rsidR="00B9493D">
        <w:t>9</w:t>
      </w:r>
      <w:r w:rsidR="00656732">
        <w:t> </w:t>
      </w:r>
      <w:r w:rsidR="00B9493D">
        <w:t>903</w:t>
      </w:r>
      <w:r w:rsidR="00656732">
        <w:t> </w:t>
      </w:r>
      <w:r w:rsidR="00F34BC1">
        <w:t>tis.</w:t>
      </w:r>
      <w:r w:rsidR="00FD38EA">
        <w:t xml:space="preserve"> </w:t>
      </w:r>
      <w:r w:rsidR="0056065A">
        <w:t xml:space="preserve">Ženy strávily v dočasné pracovní neschopnosti celkem </w:t>
      </w:r>
      <w:r w:rsidR="009B35D6">
        <w:t>44</w:t>
      </w:r>
      <w:r w:rsidR="00812420">
        <w:t> </w:t>
      </w:r>
      <w:r w:rsidR="009B35D6">
        <w:t>162</w:t>
      </w:r>
      <w:r w:rsidR="00812420">
        <w:t> </w:t>
      </w:r>
      <w:r w:rsidR="0056065A">
        <w:t xml:space="preserve">tis. dní, což je o </w:t>
      </w:r>
      <w:r w:rsidR="009B35D6">
        <w:t>7 119</w:t>
      </w:r>
      <w:r w:rsidR="0056065A">
        <w:t xml:space="preserve"> tis. dnů </w:t>
      </w:r>
      <w:r w:rsidR="00243997">
        <w:t>více</w:t>
      </w:r>
      <w:r w:rsidR="0056065A">
        <w:t xml:space="preserve"> než muži.</w:t>
      </w:r>
      <w:r w:rsidR="002B2978">
        <w:t xml:space="preserve"> </w:t>
      </w:r>
      <w:r w:rsidR="00A521DF">
        <w:t>To, že pracovní neschopnost u žen trvá déle, potvrzuje i</w:t>
      </w:r>
      <w:r w:rsidR="00812420">
        <w:t> </w:t>
      </w:r>
      <w:r w:rsidR="00A521DF">
        <w:t xml:space="preserve">dlouhodobější vývoj </w:t>
      </w:r>
      <w:r w:rsidR="00C86CDF">
        <w:t xml:space="preserve">průměrné </w:t>
      </w:r>
      <w:r w:rsidR="00656732">
        <w:t>délky</w:t>
      </w:r>
      <w:r w:rsidR="00C86CDF">
        <w:t xml:space="preserve"> trvání dočasné pracovní neschopnosti </w:t>
      </w:r>
      <w:r w:rsidR="00A521DF">
        <w:t>znázorněný v grafu 2.</w:t>
      </w:r>
      <w:r w:rsidR="002B2978">
        <w:t>8</w:t>
      </w:r>
      <w:r w:rsidR="00A521DF">
        <w:t>.</w:t>
      </w:r>
    </w:p>
    <w:p w14:paraId="07D11884" w14:textId="77777777" w:rsidR="00656732" w:rsidRDefault="00656732">
      <w:pPr>
        <w:spacing w:after="0" w:line="240" w:lineRule="auto"/>
      </w:pPr>
      <w:r>
        <w:br w:type="page"/>
      </w:r>
    </w:p>
    <w:p w14:paraId="237763DB" w14:textId="79DE0FA9" w:rsidR="0017144B" w:rsidRPr="00EB6AE0" w:rsidRDefault="0017144B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bookmarkStart w:id="10" w:name="_Toc10112622"/>
      <w:r w:rsidRPr="00EB6AE0">
        <w:rPr>
          <w:b/>
          <w:i w:val="0"/>
          <w:color w:val="auto"/>
          <w:sz w:val="20"/>
        </w:rPr>
        <w:lastRenderedPageBreak/>
        <w:t>Tab</w:t>
      </w:r>
      <w:r>
        <w:rPr>
          <w:b/>
          <w:i w:val="0"/>
          <w:color w:val="auto"/>
          <w:sz w:val="20"/>
        </w:rPr>
        <w:t>.</w:t>
      </w:r>
      <w:r w:rsidRPr="00EB6AE0">
        <w:rPr>
          <w:b/>
          <w:i w:val="0"/>
          <w:color w:val="auto"/>
          <w:sz w:val="20"/>
        </w:rPr>
        <w:t xml:space="preserve"> 2.</w:t>
      </w:r>
      <w:r w:rsidRPr="00EB6AE0">
        <w:rPr>
          <w:b/>
          <w:i w:val="0"/>
          <w:color w:val="auto"/>
          <w:sz w:val="20"/>
        </w:rPr>
        <w:fldChar w:fldCharType="begin"/>
      </w:r>
      <w:r w:rsidRPr="00EB6AE0">
        <w:rPr>
          <w:b/>
          <w:i w:val="0"/>
          <w:color w:val="auto"/>
          <w:sz w:val="20"/>
        </w:rPr>
        <w:instrText xml:space="preserve"> SEQ Tabulka \* ARABIC </w:instrText>
      </w:r>
      <w:r w:rsidRPr="00EB6AE0">
        <w:rPr>
          <w:b/>
          <w:i w:val="0"/>
          <w:color w:val="auto"/>
          <w:sz w:val="20"/>
        </w:rPr>
        <w:fldChar w:fldCharType="separate"/>
      </w:r>
      <w:r w:rsidR="00FF7036">
        <w:rPr>
          <w:b/>
          <w:i w:val="0"/>
          <w:noProof/>
          <w:color w:val="auto"/>
          <w:sz w:val="20"/>
        </w:rPr>
        <w:t>4</w:t>
      </w:r>
      <w:r w:rsidRPr="00EB6AE0">
        <w:rPr>
          <w:b/>
          <w:i w:val="0"/>
          <w:color w:val="auto"/>
          <w:sz w:val="20"/>
        </w:rPr>
        <w:fldChar w:fldCharType="end"/>
      </w:r>
      <w:r w:rsidRPr="00EB6AE0">
        <w:rPr>
          <w:b/>
          <w:i w:val="0"/>
          <w:color w:val="auto"/>
          <w:sz w:val="20"/>
        </w:rPr>
        <w:t>: Kalendářní dny dočasné pracovní neschopnosti podle příčiny a pohlaví</w:t>
      </w:r>
      <w:r>
        <w:rPr>
          <w:b/>
          <w:i w:val="0"/>
          <w:color w:val="auto"/>
          <w:sz w:val="20"/>
        </w:rPr>
        <w:t xml:space="preserve">, </w:t>
      </w:r>
      <w:r w:rsidRPr="00EB6AE0">
        <w:rPr>
          <w:b/>
          <w:i w:val="0"/>
          <w:color w:val="auto"/>
          <w:sz w:val="20"/>
        </w:rPr>
        <w:t>200</w:t>
      </w:r>
      <w:r>
        <w:rPr>
          <w:b/>
          <w:i w:val="0"/>
          <w:color w:val="auto"/>
          <w:sz w:val="20"/>
        </w:rPr>
        <w:t>9</w:t>
      </w:r>
      <w:r w:rsidRPr="00EB6AE0">
        <w:rPr>
          <w:b/>
          <w:i w:val="0"/>
          <w:color w:val="auto"/>
          <w:sz w:val="20"/>
        </w:rPr>
        <w:t>–201</w:t>
      </w:r>
      <w:r>
        <w:rPr>
          <w:b/>
          <w:i w:val="0"/>
          <w:color w:val="auto"/>
          <w:sz w:val="20"/>
        </w:rPr>
        <w:t>9</w:t>
      </w:r>
      <w:r w:rsidRPr="00EB6AE0">
        <w:rPr>
          <w:b/>
          <w:i w:val="0"/>
          <w:color w:val="auto"/>
          <w:sz w:val="20"/>
        </w:rPr>
        <w:t xml:space="preserve"> (v tis.)</w:t>
      </w:r>
      <w:bookmarkEnd w:id="10"/>
    </w:p>
    <w:tbl>
      <w:tblPr>
        <w:tblW w:w="974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2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  <w:gridCol w:w="760"/>
      </w:tblGrid>
      <w:tr w:rsidR="0017144B" w:rsidRPr="00E70927" w14:paraId="2FCE9C1D" w14:textId="77777777" w:rsidTr="00E70681">
        <w:trPr>
          <w:trHeight w:val="340"/>
        </w:trPr>
        <w:tc>
          <w:tcPr>
            <w:tcW w:w="620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</w:tcPr>
          <w:p w14:paraId="2CDF34A5" w14:textId="401659F4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Rok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9F361E8" w14:textId="77777777" w:rsidR="0017144B" w:rsidRPr="00656732" w:rsidRDefault="0017144B" w:rsidP="0017144B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656732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8FFAB17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35378D4" w14:textId="23A8EE01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E70927">
              <w:rPr>
                <w:rFonts w:cs="Arial"/>
                <w:sz w:val="16"/>
                <w:szCs w:val="16"/>
              </w:rPr>
              <w:t>ro nemoc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144F574D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2D4E93C" w14:textId="538E5E78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E70927">
              <w:rPr>
                <w:rFonts w:cs="Arial"/>
                <w:sz w:val="16"/>
                <w:szCs w:val="16"/>
              </w:rPr>
              <w:t>ro pracovní úrazy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D04687A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D290DAD" w14:textId="11599898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E70927">
              <w:rPr>
                <w:rFonts w:cs="Arial"/>
                <w:sz w:val="16"/>
                <w:szCs w:val="16"/>
              </w:rPr>
              <w:t>ro ostatní úrazy</w:t>
            </w:r>
          </w:p>
        </w:tc>
        <w:tc>
          <w:tcPr>
            <w:tcW w:w="15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2DBDB"/>
            <w:vAlign w:val="center"/>
            <w:hideMark/>
          </w:tcPr>
          <w:p w14:paraId="1AFE7B58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17144B" w:rsidRPr="00E70927" w14:paraId="6D64EBCA" w14:textId="77777777" w:rsidTr="00E70681">
        <w:trPr>
          <w:trHeight w:val="340"/>
        </w:trPr>
        <w:tc>
          <w:tcPr>
            <w:tcW w:w="620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</w:tcPr>
          <w:p w14:paraId="2447C068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FAD0E46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D0991FB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3324271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A2BD758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EF13333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645D20A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4F97B168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97DD294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3B042B8B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60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A073AAE" w14:textId="77777777" w:rsidR="0017144B" w:rsidRPr="00E70927" w:rsidRDefault="0017144B" w:rsidP="0017144B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262EE1D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5855C49F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0927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17144B" w:rsidRPr="00E70927" w14:paraId="773C1610" w14:textId="77777777" w:rsidTr="00E70681">
        <w:trPr>
          <w:trHeight w:val="340"/>
        </w:trPr>
        <w:tc>
          <w:tcPr>
            <w:tcW w:w="62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B69107" w14:textId="1E3D6873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E6A21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64 956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E44EE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30 276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B4B16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34 680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06144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57 239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F43F40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24 949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5986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32 290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E42B1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2 768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55E75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1 993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A156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774</w:t>
            </w:r>
          </w:p>
        </w:tc>
        <w:tc>
          <w:tcPr>
            <w:tcW w:w="7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3508B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4 949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9BE93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3 333</w:t>
            </w:r>
          </w:p>
        </w:tc>
        <w:tc>
          <w:tcPr>
            <w:tcW w:w="7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4F88B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1 616</w:t>
            </w:r>
          </w:p>
        </w:tc>
      </w:tr>
      <w:tr w:rsidR="0017144B" w:rsidRPr="00E70927" w14:paraId="2E2FB5B5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7275840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1739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59 208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6BD6E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28 008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20F3A0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31 200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2F1D6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51 668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89232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22 892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B15BA4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28 777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97F0F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2 693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4E09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1 925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27FF8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767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2CA9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4 848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3CA7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3 192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A2FF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1 656</w:t>
            </w:r>
          </w:p>
        </w:tc>
      </w:tr>
      <w:tr w:rsidR="0017144B" w:rsidRPr="00E70927" w14:paraId="1769FD44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75AAE74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E37FD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55 924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AC43E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25 996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B6DFC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29 928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B462F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48 774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4546A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21 150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B3E22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27 624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81DE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A00D0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1 851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5214EF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741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E354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4 558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AE30A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2 995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8CF39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1 563</w:t>
            </w:r>
          </w:p>
        </w:tc>
      </w:tr>
      <w:tr w:rsidR="0017144B" w:rsidRPr="00E70927" w14:paraId="1B3746CF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25D486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56EE3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56 493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FD616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26 190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E8DEFA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30 303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FA79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47 683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3D487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20 344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11B35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27 340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197CE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D9662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1 738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310E3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686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BD76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6 386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82B54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71BB9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2 278</w:t>
            </w:r>
          </w:p>
        </w:tc>
      </w:tr>
      <w:tr w:rsidR="0017144B" w:rsidRPr="00E70927" w14:paraId="1EB9F695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A445D9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31856B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58 587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C3B63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27 024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32795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31 563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65767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49 582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7D883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21 147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2E09F6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28 435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4FBC9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2 392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037B1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1 689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9734E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702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D6015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6 613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FE955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4 188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B3F48E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2 425</w:t>
            </w:r>
          </w:p>
        </w:tc>
      </w:tr>
      <w:tr w:rsidR="0017144B" w:rsidRPr="00E70927" w14:paraId="565FA9C4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F356381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37409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60 235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8B62DA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27 429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0189F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32 806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1610E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51 093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93881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21 441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1D9E00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29 652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756E4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2 447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14509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639C0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665C3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6 695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D6ED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4 265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32B4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2 431</w:t>
            </w:r>
          </w:p>
        </w:tc>
      </w:tr>
      <w:tr w:rsidR="0017144B" w:rsidRPr="00E70927" w14:paraId="7EF6BDFE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00AAC8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487A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66 817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F613E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30 473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4672C4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36 345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1AC76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57 013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F60C74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24 152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ECA019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32 861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B5E3D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2 569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74B0AF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4F0D0D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794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89A96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7 236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344BE0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4 546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FB59B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2 689</w:t>
            </w:r>
          </w:p>
        </w:tc>
      </w:tr>
      <w:tr w:rsidR="0017144B" w:rsidRPr="00E70927" w14:paraId="23548059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3AC70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5B259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70 252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BD268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31 874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7D119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38 378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18BF4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60 094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6FA09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25 396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770ED3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34 697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841F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2 575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16D641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1 761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26405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7E794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7 583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FFA3C8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4 717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3B2DB0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2 866</w:t>
            </w:r>
          </w:p>
        </w:tc>
      </w:tr>
      <w:tr w:rsidR="0017144B" w:rsidRPr="00E70927" w14:paraId="499B246C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CC8DC7" w14:textId="77777777" w:rsidR="0017144B" w:rsidRPr="00E70927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67F504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72 678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2F7FAF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33 089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5421F5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39 588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B8FA03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62 113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5C21C6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26 463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889D39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35 650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04439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2 583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A1ADF5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1 765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B4907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818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4D4DCA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7 982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ADF35C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4 862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5DD402" w14:textId="77777777" w:rsidR="0017144B" w:rsidRPr="00E70927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3 120</w:t>
            </w:r>
          </w:p>
        </w:tc>
      </w:tr>
      <w:tr w:rsidR="0017144B" w:rsidRPr="00E70927" w14:paraId="52FF984F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5FD118F3" w14:textId="77777777" w:rsidR="0017144B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3B71AAF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77 158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87A7CE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35 223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93D69F8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41 934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4172AA9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66 223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C4786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28 379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42E0A703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37 845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F73F4EF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2 571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883C4E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1 741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B7E611E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830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A607B24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8 363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60D33E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5 104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4D015" w14:textId="77777777" w:rsidR="0017144B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3 260</w:t>
            </w:r>
          </w:p>
        </w:tc>
      </w:tr>
      <w:tr w:rsidR="0017144B" w:rsidRPr="00B9493D" w14:paraId="0445BD74" w14:textId="77777777" w:rsidTr="00E70681">
        <w:trPr>
          <w:trHeight w:val="340"/>
        </w:trPr>
        <w:tc>
          <w:tcPr>
            <w:tcW w:w="62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3282F102" w14:textId="77777777" w:rsidR="0017144B" w:rsidRPr="00B9493D" w:rsidRDefault="0017144B" w:rsidP="0017144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4649930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81 205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55C0E0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37 043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ED4FD36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44 162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3C02BE10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69 903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423431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30 002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16D9277A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39 900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3CC2779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2 533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3109D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1 709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7871580F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823</w:t>
            </w:r>
          </w:p>
        </w:tc>
        <w:tc>
          <w:tcPr>
            <w:tcW w:w="76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F4C2F69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8 770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3A1A5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5 331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1CE9E5" w14:textId="77777777" w:rsidR="0017144B" w:rsidRPr="00B9493D" w:rsidRDefault="0017144B" w:rsidP="0017144B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B9493D">
              <w:rPr>
                <w:rFonts w:cs="Arial"/>
                <w:sz w:val="16"/>
                <w:szCs w:val="16"/>
              </w:rPr>
              <w:t>3 438</w:t>
            </w:r>
          </w:p>
        </w:tc>
      </w:tr>
    </w:tbl>
    <w:p w14:paraId="097D8A23" w14:textId="61010512" w:rsidR="0017144B" w:rsidRPr="0017144B" w:rsidRDefault="0017144B" w:rsidP="00656732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561B6969" w14:textId="38217A88" w:rsidR="007C60B5" w:rsidRDefault="00020E78" w:rsidP="00656732">
      <w:pPr>
        <w:spacing w:after="120"/>
        <w:jc w:val="both"/>
      </w:pPr>
      <w:r>
        <w:t>Zrušení karenční doby od 2. pol</w:t>
      </w:r>
      <w:r w:rsidR="00C86CDF">
        <w:t>oletí</w:t>
      </w:r>
      <w:r>
        <w:t xml:space="preserve"> 2019 </w:t>
      </w:r>
      <w:r w:rsidR="0069661B">
        <w:t>se projevilo</w:t>
      </w:r>
      <w:r>
        <w:t xml:space="preserve"> zvýšení</w:t>
      </w:r>
      <w:r w:rsidR="0069661B">
        <w:t>m</w:t>
      </w:r>
      <w:r>
        <w:t xml:space="preserve"> počtu kalendářních dní pracovní neschopnosti</w:t>
      </w:r>
      <w:r w:rsidR="000D3E45">
        <w:t xml:space="preserve"> zejména</w:t>
      </w:r>
      <w:r>
        <w:t xml:space="preserve"> </w:t>
      </w:r>
      <w:r w:rsidRPr="00656732">
        <w:rPr>
          <w:b/>
          <w:bCs/>
        </w:rPr>
        <w:t>pro nemoc</w:t>
      </w:r>
      <w:r>
        <w:t xml:space="preserve">. Oproti </w:t>
      </w:r>
      <w:r w:rsidR="00656732">
        <w:t>2. pololetí 2018</w:t>
      </w:r>
      <w:r>
        <w:t xml:space="preserve"> narostl počet dní strávených v pracovní neschopnosti pro nemoc o 3</w:t>
      </w:r>
      <w:r w:rsidR="00C86CDF">
        <w:t>,0</w:t>
      </w:r>
      <w:r>
        <w:t xml:space="preserve"> milion</w:t>
      </w:r>
      <w:r w:rsidR="00656732">
        <w:t>y</w:t>
      </w:r>
      <w:r w:rsidR="0069661B">
        <w:t>. Mezi 2. pol</w:t>
      </w:r>
      <w:r w:rsidR="00C86CDF">
        <w:t>o</w:t>
      </w:r>
      <w:r w:rsidR="00525455">
        <w:t>l</w:t>
      </w:r>
      <w:r w:rsidR="00C86CDF">
        <w:t>etím</w:t>
      </w:r>
      <w:r w:rsidR="0069661B">
        <w:t xml:space="preserve"> 2017 a 2. pol</w:t>
      </w:r>
      <w:r w:rsidR="00C86CDF">
        <w:t>oletím</w:t>
      </w:r>
      <w:r w:rsidR="0069661B">
        <w:t xml:space="preserve"> 2018 přibylo těchto dn</w:t>
      </w:r>
      <w:r w:rsidR="00D354B4">
        <w:t>ů</w:t>
      </w:r>
      <w:r w:rsidR="0069661B">
        <w:t xml:space="preserve"> 2,2</w:t>
      </w:r>
      <w:r w:rsidR="00812420">
        <w:t> </w:t>
      </w:r>
      <w:r w:rsidR="0069661B">
        <w:t xml:space="preserve">milionu. Jak již bylo zmíněno v předchozí kapitole, </w:t>
      </w:r>
      <w:r w:rsidR="00D354B4">
        <w:t>během</w:t>
      </w:r>
      <w:r w:rsidR="0069661B">
        <w:t> první polovin</w:t>
      </w:r>
      <w:r w:rsidR="00D354B4">
        <w:t>y</w:t>
      </w:r>
      <w:r w:rsidR="0069661B">
        <w:t xml:space="preserve"> roku bývá nahlášeno více případů pracovní neschopnosti než v té druhé. </w:t>
      </w:r>
      <w:r w:rsidR="000D3E45">
        <w:t>To znamená</w:t>
      </w:r>
      <w:r w:rsidR="0069661B">
        <w:t xml:space="preserve">, že </w:t>
      </w:r>
      <w:r w:rsidR="00C95F74">
        <w:t xml:space="preserve">si </w:t>
      </w:r>
      <w:r w:rsidR="00D354B4">
        <w:t>případy v </w:t>
      </w:r>
      <w:r w:rsidR="00C86CDF">
        <w:t>prvním</w:t>
      </w:r>
      <w:r w:rsidR="00D354B4">
        <w:t xml:space="preserve"> pol</w:t>
      </w:r>
      <w:r w:rsidR="00C86CDF">
        <w:t>oletí</w:t>
      </w:r>
      <w:r w:rsidR="00D354B4">
        <w:t xml:space="preserve"> vyžádají více dnů neschopnosti než v pololetí druhém.</w:t>
      </w:r>
    </w:p>
    <w:p w14:paraId="41A335D3" w14:textId="670D8758" w:rsidR="007B2E56" w:rsidRDefault="00020E78" w:rsidP="009636BA">
      <w:pPr>
        <w:spacing w:before="60" w:after="0"/>
        <w:rPr>
          <w:b/>
          <w:bCs/>
        </w:rPr>
      </w:pPr>
      <w:r w:rsidRPr="00020E78">
        <w:rPr>
          <w:b/>
          <w:bCs/>
        </w:rPr>
        <w:t xml:space="preserve">Graf 2.6: Kalendářní dny </w:t>
      </w:r>
      <w:r w:rsidR="008D7B85">
        <w:rPr>
          <w:b/>
          <w:bCs/>
        </w:rPr>
        <w:t xml:space="preserve">dočasné </w:t>
      </w:r>
      <w:r w:rsidRPr="00020E78">
        <w:rPr>
          <w:b/>
          <w:bCs/>
        </w:rPr>
        <w:t>praco</w:t>
      </w:r>
      <w:r w:rsidR="0017144B">
        <w:rPr>
          <w:b/>
          <w:bCs/>
        </w:rPr>
        <w:t>vní neschopnosti pro nemoc, 2015</w:t>
      </w:r>
      <w:r w:rsidRPr="00020E78">
        <w:rPr>
          <w:b/>
          <w:bCs/>
        </w:rPr>
        <w:t>–2019</w:t>
      </w:r>
    </w:p>
    <w:p w14:paraId="27D4C0D3" w14:textId="71418C6A" w:rsidR="00D354B4" w:rsidRPr="00CF263C" w:rsidRDefault="00525455" w:rsidP="009636BA">
      <w:pPr>
        <w:spacing w:before="120" w:after="120"/>
        <w:rPr>
          <w:b/>
          <w:bCs/>
        </w:rPr>
      </w:pPr>
      <w:r>
        <w:rPr>
          <w:noProof/>
        </w:rPr>
        <w:drawing>
          <wp:inline distT="0" distB="0" distL="0" distR="0" wp14:anchorId="3B08DAE3" wp14:editId="36C37BC9">
            <wp:extent cx="6067425" cy="2447925"/>
            <wp:effectExtent l="0" t="0" r="9525" b="9525"/>
            <wp:docPr id="27" name="Graf 27">
              <a:extLst xmlns:a="http://schemas.openxmlformats.org/drawingml/2006/main">
                <a:ext uri="{FF2B5EF4-FFF2-40B4-BE49-F238E27FC236}">
                  <a16:creationId xmlns:a16="http://schemas.microsoft.com/office/drawing/2014/main" id="{E214B07E-A38A-4B59-854B-12A0EC591211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D354B4" w:rsidRPr="00BC3FF5">
        <w:rPr>
          <w:sz w:val="18"/>
        </w:rPr>
        <w:t>Zdroj: ČSÚ</w:t>
      </w:r>
    </w:p>
    <w:p w14:paraId="1FD83981" w14:textId="742706E6" w:rsidR="007B2E56" w:rsidRDefault="002B2978" w:rsidP="00656732">
      <w:pPr>
        <w:spacing w:after="120"/>
        <w:jc w:val="both"/>
        <w:rPr>
          <w:b/>
          <w:bCs/>
        </w:rPr>
      </w:pPr>
      <w:r>
        <w:t xml:space="preserve">Při pohledu na relativní ukazatel, který vyjadřuje, </w:t>
      </w:r>
      <w:r w:rsidRPr="00656732">
        <w:rPr>
          <w:b/>
          <w:bCs/>
        </w:rPr>
        <w:t>jak dlouho v průměru 1 případ pracovní neschopnosti pro nemoc trval</w:t>
      </w:r>
      <w:r w:rsidR="008B54BB">
        <w:t>,</w:t>
      </w:r>
      <w:r>
        <w:t xml:space="preserve"> zjistíme, že </w:t>
      </w:r>
      <w:r w:rsidR="00CE7CF4">
        <w:t>v prvním pololetí 2019 se tato doba oproti prvnímu pololetí předchozího roku zvýšila, z 37,5 dne na 41</w:t>
      </w:r>
      <w:r w:rsidR="0017144B">
        <w:t>,1</w:t>
      </w:r>
      <w:r w:rsidR="00CE7CF4">
        <w:t xml:space="preserve"> dní. Ve druhém pololetí naopak došlo ke zkrácení ze 43,6 dne v roce 2018 </w:t>
      </w:r>
      <w:r w:rsidR="008B54BB">
        <w:t>na 40,6</w:t>
      </w:r>
      <w:r w:rsidR="00F159CF">
        <w:t xml:space="preserve"> v roce 2019. </w:t>
      </w:r>
      <w:r w:rsidR="00FA43B6">
        <w:t xml:space="preserve">To může být dáno zvýšením počtu krátkodobých pracovních neschopností ovlivněným zrušením karenční doby. </w:t>
      </w:r>
      <w:r w:rsidR="00F159CF">
        <w:t>Z hlediska vývoje se tak průměrná délka trvání pracovní neschopnosti pro nemoc nachází zhruba na úrovni roku 2016.</w:t>
      </w:r>
    </w:p>
    <w:p w14:paraId="524B0F47" w14:textId="77777777" w:rsidR="00CF263C" w:rsidRDefault="00CF263C">
      <w:pPr>
        <w:spacing w:after="0" w:line="240" w:lineRule="auto"/>
        <w:rPr>
          <w:b/>
          <w:bCs/>
        </w:rPr>
      </w:pPr>
      <w:r>
        <w:rPr>
          <w:b/>
          <w:bCs/>
        </w:rPr>
        <w:br w:type="page"/>
      </w:r>
    </w:p>
    <w:p w14:paraId="168AB5D9" w14:textId="3693770D" w:rsidR="00D354B4" w:rsidRDefault="00D354B4" w:rsidP="009636BA">
      <w:pPr>
        <w:spacing w:after="60"/>
      </w:pPr>
      <w:r w:rsidRPr="002B2978">
        <w:rPr>
          <w:b/>
          <w:bCs/>
        </w:rPr>
        <w:lastRenderedPageBreak/>
        <w:t>Graf 2.7:</w:t>
      </w:r>
      <w:r>
        <w:t xml:space="preserve"> </w:t>
      </w:r>
      <w:r>
        <w:rPr>
          <w:b/>
          <w:spacing w:val="-2"/>
        </w:rPr>
        <w:t xml:space="preserve">Průměrná </w:t>
      </w:r>
      <w:r w:rsidR="00300F92">
        <w:rPr>
          <w:b/>
          <w:spacing w:val="-2"/>
        </w:rPr>
        <w:t>dé</w:t>
      </w:r>
      <w:r w:rsidR="004814FF">
        <w:rPr>
          <w:b/>
          <w:spacing w:val="-2"/>
        </w:rPr>
        <w:t>l</w:t>
      </w:r>
      <w:r w:rsidR="00300F92">
        <w:rPr>
          <w:b/>
          <w:spacing w:val="-2"/>
        </w:rPr>
        <w:t>k</w:t>
      </w:r>
      <w:r w:rsidR="004814FF">
        <w:rPr>
          <w:b/>
          <w:spacing w:val="-2"/>
        </w:rPr>
        <w:t xml:space="preserve">a </w:t>
      </w:r>
      <w:r>
        <w:rPr>
          <w:b/>
          <w:spacing w:val="-2"/>
        </w:rPr>
        <w:t>trvání</w:t>
      </w:r>
      <w:r w:rsidRPr="00E07843">
        <w:rPr>
          <w:b/>
          <w:spacing w:val="-2"/>
        </w:rPr>
        <w:t xml:space="preserve"> dočasné pracovní neschopnosti </w:t>
      </w:r>
      <w:r w:rsidR="002B2978">
        <w:rPr>
          <w:b/>
          <w:spacing w:val="-2"/>
        </w:rPr>
        <w:t>pro nemoc,</w:t>
      </w:r>
      <w:r w:rsidRPr="00E07843">
        <w:rPr>
          <w:b/>
          <w:spacing w:val="-2"/>
        </w:rPr>
        <w:t xml:space="preserve"> 20</w:t>
      </w:r>
      <w:r w:rsidR="0017144B">
        <w:rPr>
          <w:b/>
          <w:spacing w:val="-2"/>
        </w:rPr>
        <w:t>15</w:t>
      </w:r>
      <w:r w:rsidR="002B2978">
        <w:rPr>
          <w:b/>
          <w:spacing w:val="-2"/>
        </w:rPr>
        <w:t>–</w:t>
      </w:r>
      <w:r w:rsidRPr="00E07843">
        <w:rPr>
          <w:b/>
          <w:spacing w:val="-2"/>
        </w:rPr>
        <w:t>201</w:t>
      </w:r>
      <w:r>
        <w:rPr>
          <w:b/>
          <w:spacing w:val="-2"/>
        </w:rPr>
        <w:t>9</w:t>
      </w:r>
    </w:p>
    <w:p w14:paraId="47A6D9E2" w14:textId="1110CECE" w:rsidR="002B2978" w:rsidRPr="00CF263C" w:rsidRDefault="0017144B" w:rsidP="009636BA">
      <w:pPr>
        <w:spacing w:before="120" w:after="120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167CF3A5" wp14:editId="76403EF9">
            <wp:extent cx="6096000" cy="2448000"/>
            <wp:effectExtent l="0" t="0" r="0" b="9525"/>
            <wp:docPr id="28" name="Graf 28">
              <a:extLst xmlns:a="http://schemas.openxmlformats.org/drawingml/2006/main">
                <a:ext uri="{FF2B5EF4-FFF2-40B4-BE49-F238E27FC236}">
                  <a16:creationId xmlns:a16="http://schemas.microsoft.com/office/drawing/2014/main" id="{DB16677D-A8DA-4AC7-A29F-719DAD43770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  <w:r w:rsidR="00D354B4" w:rsidRPr="00BC3FF5">
        <w:rPr>
          <w:sz w:val="18"/>
        </w:rPr>
        <w:t>Zdroj: ČSÚ</w:t>
      </w:r>
    </w:p>
    <w:p w14:paraId="4D5C7961" w14:textId="77777777" w:rsidR="00656732" w:rsidRDefault="00C44514" w:rsidP="00656732">
      <w:pPr>
        <w:spacing w:after="120"/>
        <w:jc w:val="both"/>
        <w:rPr>
          <w:bCs/>
        </w:rPr>
      </w:pPr>
      <w:r w:rsidRPr="004C01CC">
        <w:rPr>
          <w:rFonts w:cs="Arial"/>
        </w:rPr>
        <w:t xml:space="preserve">Průměrná délka trvání 1 případu dočasné pracovní neschopnosti </w:t>
      </w:r>
      <w:r w:rsidR="00F159CF">
        <w:rPr>
          <w:rFonts w:cs="Arial"/>
        </w:rPr>
        <w:t xml:space="preserve">ať už </w:t>
      </w:r>
      <w:r w:rsidR="008B54BB">
        <w:rPr>
          <w:rFonts w:cs="Arial"/>
        </w:rPr>
        <w:t>byla příčinou</w:t>
      </w:r>
      <w:r w:rsidR="00F159CF">
        <w:rPr>
          <w:rFonts w:cs="Arial"/>
        </w:rPr>
        <w:t xml:space="preserve"> nemoc či úraz </w:t>
      </w:r>
      <w:r w:rsidRPr="004C01CC">
        <w:rPr>
          <w:rFonts w:cs="Arial"/>
        </w:rPr>
        <w:t xml:space="preserve">meziročně </w:t>
      </w:r>
      <w:r w:rsidR="004463CD">
        <w:rPr>
          <w:rFonts w:cs="Arial"/>
        </w:rPr>
        <w:t>vzrostla</w:t>
      </w:r>
      <w:r w:rsidRPr="004C01CC">
        <w:rPr>
          <w:rFonts w:cs="Arial"/>
        </w:rPr>
        <w:t xml:space="preserve"> ze </w:t>
      </w:r>
      <w:r w:rsidR="004463CD">
        <w:rPr>
          <w:rFonts w:cs="Arial"/>
        </w:rPr>
        <w:t>41,7</w:t>
      </w:r>
      <w:r w:rsidR="004C01CC" w:rsidRPr="004C01CC">
        <w:rPr>
          <w:rFonts w:cs="Arial"/>
        </w:rPr>
        <w:t xml:space="preserve"> dnů v roce 201</w:t>
      </w:r>
      <w:r w:rsidR="004463CD">
        <w:rPr>
          <w:rFonts w:cs="Arial"/>
        </w:rPr>
        <w:t>8</w:t>
      </w:r>
      <w:r w:rsidRPr="004C01CC">
        <w:rPr>
          <w:rFonts w:cs="Arial"/>
        </w:rPr>
        <w:t xml:space="preserve"> na </w:t>
      </w:r>
      <w:r w:rsidR="004463CD">
        <w:rPr>
          <w:rFonts w:cs="Arial"/>
        </w:rPr>
        <w:t>42,4</w:t>
      </w:r>
      <w:r w:rsidRPr="004C01CC">
        <w:rPr>
          <w:rFonts w:cs="Arial"/>
        </w:rPr>
        <w:t xml:space="preserve"> dne v roce 201</w:t>
      </w:r>
      <w:r w:rsidR="004463CD">
        <w:rPr>
          <w:rFonts w:cs="Arial"/>
        </w:rPr>
        <w:t>9</w:t>
      </w:r>
      <w:r w:rsidRPr="004C01CC">
        <w:rPr>
          <w:bCs/>
        </w:rPr>
        <w:t>.</w:t>
      </w:r>
      <w:r w:rsidR="004C01CC" w:rsidRPr="004C01CC">
        <w:rPr>
          <w:bCs/>
        </w:rPr>
        <w:t xml:space="preserve"> Nemoc způsobila pracovní neschopnost o průměrné délce 40,</w:t>
      </w:r>
      <w:r w:rsidR="004463CD">
        <w:rPr>
          <w:bCs/>
        </w:rPr>
        <w:t>9</w:t>
      </w:r>
      <w:r w:rsidR="004C01CC" w:rsidRPr="004C01CC">
        <w:rPr>
          <w:bCs/>
        </w:rPr>
        <w:t xml:space="preserve"> dne, neschopnost pro pracovní úraz trvala </w:t>
      </w:r>
      <w:r w:rsidR="004463CD">
        <w:rPr>
          <w:bCs/>
        </w:rPr>
        <w:t>56,9</w:t>
      </w:r>
      <w:r w:rsidR="004C01CC" w:rsidRPr="004C01CC">
        <w:rPr>
          <w:bCs/>
        </w:rPr>
        <w:t xml:space="preserve"> dne a z důvodu ostatních úrazů </w:t>
      </w:r>
      <w:r w:rsidR="004463CD">
        <w:rPr>
          <w:bCs/>
        </w:rPr>
        <w:t>55,2</w:t>
      </w:r>
      <w:r w:rsidR="004C01CC" w:rsidRPr="004C01CC">
        <w:rPr>
          <w:bCs/>
        </w:rPr>
        <w:t xml:space="preserve"> dne.</w:t>
      </w:r>
    </w:p>
    <w:p w14:paraId="2C0E2130" w14:textId="0B3ED197" w:rsidR="005348D7" w:rsidRDefault="002E5729" w:rsidP="00656732">
      <w:pPr>
        <w:spacing w:after="120"/>
        <w:jc w:val="both"/>
        <w:rPr>
          <w:rFonts w:cs="Arial"/>
        </w:rPr>
      </w:pPr>
      <w:r>
        <w:rPr>
          <w:bCs/>
        </w:rPr>
        <w:t xml:space="preserve"> Meziročně došlo k </w:t>
      </w:r>
      <w:r w:rsidR="004463CD">
        <w:rPr>
          <w:bCs/>
        </w:rPr>
        <w:t>nárůstu</w:t>
      </w:r>
      <w:r>
        <w:rPr>
          <w:bCs/>
        </w:rPr>
        <w:t xml:space="preserve"> průměrné délky trvání pracovní neschopnosti </w:t>
      </w:r>
      <w:r w:rsidR="008B54BB">
        <w:rPr>
          <w:bCs/>
        </w:rPr>
        <w:t xml:space="preserve">u obou </w:t>
      </w:r>
      <w:r w:rsidR="008B54BB" w:rsidRPr="00656732">
        <w:rPr>
          <w:b/>
        </w:rPr>
        <w:t>pohlaví</w:t>
      </w:r>
      <w:r w:rsidR="008B54BB">
        <w:rPr>
          <w:bCs/>
        </w:rPr>
        <w:t>. U </w:t>
      </w:r>
      <w:r>
        <w:rPr>
          <w:bCs/>
        </w:rPr>
        <w:t>žen ze 43</w:t>
      </w:r>
      <w:r w:rsidR="00D724D5">
        <w:rPr>
          <w:bCs/>
        </w:rPr>
        <w:t>,0</w:t>
      </w:r>
      <w:r>
        <w:rPr>
          <w:bCs/>
        </w:rPr>
        <w:t xml:space="preserve"> dní</w:t>
      </w:r>
      <w:r w:rsidR="004463CD">
        <w:rPr>
          <w:bCs/>
        </w:rPr>
        <w:t xml:space="preserve"> na 43,6 dne</w:t>
      </w:r>
      <w:r>
        <w:rPr>
          <w:bCs/>
        </w:rPr>
        <w:t xml:space="preserve">. </w:t>
      </w:r>
      <w:r w:rsidR="004463CD">
        <w:rPr>
          <w:bCs/>
        </w:rPr>
        <w:t>Obdobně se zvýšila i u mužů. Zatímco v roce 2018 činila 40,3 dne</w:t>
      </w:r>
      <w:r w:rsidR="008B54BB">
        <w:rPr>
          <w:bCs/>
        </w:rPr>
        <w:t>,</w:t>
      </w:r>
      <w:r w:rsidR="004463CD">
        <w:rPr>
          <w:bCs/>
        </w:rPr>
        <w:t xml:space="preserve"> v roce 2019 to bylo 41</w:t>
      </w:r>
      <w:r w:rsidR="00D724D5">
        <w:rPr>
          <w:bCs/>
        </w:rPr>
        <w:t>,1</w:t>
      </w:r>
      <w:r w:rsidR="004463CD">
        <w:rPr>
          <w:bCs/>
        </w:rPr>
        <w:t xml:space="preserve"> dn</w:t>
      </w:r>
      <w:r w:rsidR="00D724D5">
        <w:rPr>
          <w:bCs/>
        </w:rPr>
        <w:t>e</w:t>
      </w:r>
      <w:r w:rsidR="004463CD">
        <w:rPr>
          <w:bCs/>
        </w:rPr>
        <w:t xml:space="preserve">. </w:t>
      </w:r>
      <w:r w:rsidR="009F68C1">
        <w:rPr>
          <w:bCs/>
        </w:rPr>
        <w:t>V delším časovém horizontu mezi lety 2009 a 2019 se ovšem p</w:t>
      </w:r>
      <w:r w:rsidR="00C44514" w:rsidRPr="002E5729">
        <w:rPr>
          <w:rFonts w:cs="Arial"/>
        </w:rPr>
        <w:t xml:space="preserve">růměrná délka trvání </w:t>
      </w:r>
      <w:r w:rsidRPr="002E5729">
        <w:rPr>
          <w:rFonts w:cs="Arial"/>
        </w:rPr>
        <w:t>připadající na jeden</w:t>
      </w:r>
      <w:r w:rsidR="00C44514" w:rsidRPr="002E5729">
        <w:rPr>
          <w:rFonts w:cs="Arial"/>
        </w:rPr>
        <w:t xml:space="preserve"> případ dočasné pracovní neschopnosti </w:t>
      </w:r>
      <w:r w:rsidR="009F68C1">
        <w:rPr>
          <w:rFonts w:cs="Arial"/>
        </w:rPr>
        <w:t>snížila</w:t>
      </w:r>
      <w:r w:rsidR="00C44514" w:rsidRPr="002E5729">
        <w:rPr>
          <w:rFonts w:cs="Arial"/>
        </w:rPr>
        <w:t xml:space="preserve"> z</w:t>
      </w:r>
      <w:r w:rsidR="00656732">
        <w:rPr>
          <w:rFonts w:cs="Arial"/>
        </w:rPr>
        <w:t>e</w:t>
      </w:r>
      <w:r w:rsidR="009F68C1">
        <w:rPr>
          <w:rFonts w:cs="Arial"/>
        </w:rPr>
        <w:t> 45,1</w:t>
      </w:r>
      <w:r w:rsidR="00C44514" w:rsidRPr="002E5729">
        <w:rPr>
          <w:rFonts w:cs="Arial"/>
        </w:rPr>
        <w:t xml:space="preserve"> dne na </w:t>
      </w:r>
      <w:r w:rsidR="009F68C1">
        <w:rPr>
          <w:rFonts w:cs="Arial"/>
        </w:rPr>
        <w:t>42,4</w:t>
      </w:r>
      <w:r w:rsidRPr="002E5729">
        <w:rPr>
          <w:rFonts w:cs="Arial"/>
        </w:rPr>
        <w:t xml:space="preserve"> dne, tj. o </w:t>
      </w:r>
      <w:r w:rsidR="00243997">
        <w:rPr>
          <w:rFonts w:cs="Arial"/>
        </w:rPr>
        <w:t>2,</w:t>
      </w:r>
      <w:r w:rsidR="009F68C1">
        <w:rPr>
          <w:rFonts w:cs="Arial"/>
        </w:rPr>
        <w:t>7</w:t>
      </w:r>
      <w:r w:rsidRPr="002E5729">
        <w:rPr>
          <w:rFonts w:cs="Arial"/>
        </w:rPr>
        <w:t xml:space="preserve"> dn</w:t>
      </w:r>
      <w:r w:rsidR="00243997">
        <w:rPr>
          <w:rFonts w:cs="Arial"/>
        </w:rPr>
        <w:t>e</w:t>
      </w:r>
      <w:r w:rsidRPr="002E5729">
        <w:rPr>
          <w:rFonts w:cs="Arial"/>
        </w:rPr>
        <w:t>. N</w:t>
      </w:r>
      <w:r w:rsidR="00C44514" w:rsidRPr="002E5729">
        <w:rPr>
          <w:rFonts w:cs="Arial"/>
        </w:rPr>
        <w:t xml:space="preserve">ejvyšší hodnoty </w:t>
      </w:r>
      <w:r w:rsidR="00713B8D">
        <w:rPr>
          <w:rFonts w:cs="Arial"/>
        </w:rPr>
        <w:t xml:space="preserve">ze sledovaného období </w:t>
      </w:r>
      <w:r w:rsidRPr="002E5729">
        <w:rPr>
          <w:rFonts w:cs="Arial"/>
        </w:rPr>
        <w:t xml:space="preserve">přitom </w:t>
      </w:r>
      <w:r w:rsidR="00C44514" w:rsidRPr="002E5729">
        <w:rPr>
          <w:rFonts w:cs="Arial"/>
        </w:rPr>
        <w:t>dosáhla v roce 2012 (46,1</w:t>
      </w:r>
      <w:r w:rsidRPr="002E5729">
        <w:rPr>
          <w:rFonts w:cs="Arial"/>
        </w:rPr>
        <w:t> </w:t>
      </w:r>
      <w:r w:rsidR="00C44514" w:rsidRPr="002E5729">
        <w:rPr>
          <w:rFonts w:cs="Arial"/>
        </w:rPr>
        <w:t>dne).</w:t>
      </w:r>
    </w:p>
    <w:p w14:paraId="2932631C" w14:textId="3D2769AF" w:rsidR="0072640B" w:rsidRPr="00E07843" w:rsidRDefault="0072640B" w:rsidP="009636BA">
      <w:pPr>
        <w:spacing w:after="60"/>
        <w:jc w:val="both"/>
        <w:rPr>
          <w:b/>
          <w:spacing w:val="-2"/>
        </w:rPr>
      </w:pPr>
      <w:r w:rsidRPr="00E07843">
        <w:rPr>
          <w:b/>
          <w:spacing w:val="-2"/>
        </w:rPr>
        <w:t>Graf 2.</w:t>
      </w:r>
      <w:r w:rsidR="007C262E">
        <w:rPr>
          <w:b/>
          <w:spacing w:val="-2"/>
        </w:rPr>
        <w:t>8</w:t>
      </w:r>
      <w:r w:rsidRPr="00E07843">
        <w:rPr>
          <w:b/>
          <w:spacing w:val="-2"/>
        </w:rPr>
        <w:t xml:space="preserve">: </w:t>
      </w:r>
      <w:r w:rsidR="00A521DF">
        <w:rPr>
          <w:b/>
          <w:spacing w:val="-2"/>
        </w:rPr>
        <w:t xml:space="preserve">Průměrná </w:t>
      </w:r>
      <w:r w:rsidR="004814FF">
        <w:rPr>
          <w:b/>
          <w:spacing w:val="-2"/>
        </w:rPr>
        <w:t xml:space="preserve">délka </w:t>
      </w:r>
      <w:r w:rsidR="00A521DF">
        <w:rPr>
          <w:b/>
          <w:spacing w:val="-2"/>
        </w:rPr>
        <w:t>trvání</w:t>
      </w:r>
      <w:r w:rsidRPr="00E07843">
        <w:rPr>
          <w:b/>
          <w:spacing w:val="-2"/>
        </w:rPr>
        <w:t xml:space="preserve"> dočasné pracovní neschopnosti </w:t>
      </w:r>
      <w:r w:rsidR="00A521DF">
        <w:rPr>
          <w:b/>
          <w:spacing w:val="-2"/>
        </w:rPr>
        <w:t>podle pohlaví</w:t>
      </w:r>
      <w:r w:rsidR="00452182">
        <w:rPr>
          <w:b/>
          <w:spacing w:val="-2"/>
        </w:rPr>
        <w:t xml:space="preserve">, </w:t>
      </w:r>
      <w:r w:rsidRPr="00E07843">
        <w:rPr>
          <w:b/>
          <w:spacing w:val="-2"/>
        </w:rPr>
        <w:t>200</w:t>
      </w:r>
      <w:r w:rsidR="00212A81">
        <w:rPr>
          <w:b/>
          <w:spacing w:val="-2"/>
        </w:rPr>
        <w:t>9</w:t>
      </w:r>
      <w:r w:rsidRPr="00E07843">
        <w:rPr>
          <w:b/>
          <w:spacing w:val="-2"/>
        </w:rPr>
        <w:t>–201</w:t>
      </w:r>
      <w:r w:rsidR="00212A81">
        <w:rPr>
          <w:b/>
          <w:spacing w:val="-2"/>
        </w:rPr>
        <w:t>9</w:t>
      </w:r>
      <w:r w:rsidRPr="00E07843">
        <w:rPr>
          <w:b/>
          <w:spacing w:val="-2"/>
        </w:rPr>
        <w:t xml:space="preserve"> </w:t>
      </w:r>
    </w:p>
    <w:p w14:paraId="4E624FA2" w14:textId="37C1907F" w:rsidR="00894E45" w:rsidRPr="00CF263C" w:rsidRDefault="00212A81" w:rsidP="009636BA">
      <w:pPr>
        <w:spacing w:after="120"/>
        <w:rPr>
          <w:b/>
        </w:rPr>
      </w:pPr>
      <w:r>
        <w:rPr>
          <w:noProof/>
        </w:rPr>
        <w:drawing>
          <wp:inline distT="0" distB="0" distL="0" distR="0" wp14:anchorId="2F45D688" wp14:editId="3E981670">
            <wp:extent cx="6096000" cy="2448000"/>
            <wp:effectExtent l="0" t="0" r="0" b="9525"/>
            <wp:docPr id="47" name="Graf 47">
              <a:extLst xmlns:a="http://schemas.openxmlformats.org/drawingml/2006/main">
                <a:ext uri="{FF2B5EF4-FFF2-40B4-BE49-F238E27FC236}">
                  <a16:creationId xmlns:a16="http://schemas.microsoft.com/office/drawing/2014/main" id="{6C1260DF-B600-4146-91F2-87DC966BB56E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 w:rsidR="0072640B" w:rsidRPr="00BC3FF5">
        <w:rPr>
          <w:sz w:val="18"/>
        </w:rPr>
        <w:t>Zdroj: ČSÚ</w:t>
      </w:r>
    </w:p>
    <w:p w14:paraId="172499CA" w14:textId="7778AB75" w:rsidR="00D71620" w:rsidRPr="005348D7" w:rsidRDefault="00D71620" w:rsidP="009636BA">
      <w:pPr>
        <w:spacing w:after="120"/>
        <w:jc w:val="both"/>
      </w:pPr>
      <w:r w:rsidRPr="002D5EB9">
        <w:t>Nejvíce dnů dočasné pracovní neschopnosti bylo zaznamenáno v</w:t>
      </w:r>
      <w:r w:rsidR="009F3108">
        <w:t>e</w:t>
      </w:r>
      <w:r w:rsidRPr="002D5EB9">
        <w:t xml:space="preserve"> </w:t>
      </w:r>
      <w:r w:rsidR="009F3108">
        <w:t>zpracovatelském</w:t>
      </w:r>
      <w:r w:rsidRPr="002D5EB9">
        <w:t xml:space="preserve"> průmysl</w:t>
      </w:r>
      <w:r w:rsidR="009F3108">
        <w:t>u</w:t>
      </w:r>
      <w:r w:rsidRPr="002D5EB9">
        <w:t xml:space="preserve"> (28</w:t>
      </w:r>
      <w:r>
        <w:t> </w:t>
      </w:r>
      <w:r w:rsidRPr="002D5EB9">
        <w:t xml:space="preserve">068 tis.), </w:t>
      </w:r>
      <w:r>
        <w:t xml:space="preserve">kde je nejvíce pojištěnců a tím </w:t>
      </w:r>
      <w:r w:rsidR="007F3530">
        <w:t xml:space="preserve">pádem </w:t>
      </w:r>
      <w:r>
        <w:t xml:space="preserve">také nejvyšší počet případů pracovní neschopnosti. </w:t>
      </w:r>
      <w:r w:rsidRPr="002D5EB9">
        <w:t xml:space="preserve">Naopak nejnižší počet dnů pracovní neschopnosti byl hlášen v oblasti </w:t>
      </w:r>
      <w:r w:rsidR="009F3108">
        <w:t>v</w:t>
      </w:r>
      <w:r w:rsidRPr="002D5EB9">
        <w:t>ýrob</w:t>
      </w:r>
      <w:r w:rsidR="009F3108">
        <w:t>y</w:t>
      </w:r>
      <w:r w:rsidRPr="002D5EB9">
        <w:t xml:space="preserve"> a rozvod</w:t>
      </w:r>
      <w:r w:rsidR="009F3108">
        <w:t>u</w:t>
      </w:r>
      <w:r w:rsidRPr="002D5EB9">
        <w:t xml:space="preserve"> elektřiny a jiných energií (430 tis.)</w:t>
      </w:r>
      <w:r w:rsidR="009F3108">
        <w:t xml:space="preserve">. </w:t>
      </w:r>
      <w:r w:rsidRPr="002D5EB9">
        <w:t>Nejméně dnů pracovní neschopnosti z důvodu pracovních úrazů vykazoval</w:t>
      </w:r>
      <w:r w:rsidR="009F3108">
        <w:t>y</w:t>
      </w:r>
      <w:r w:rsidRPr="002D5EB9">
        <w:t xml:space="preserve"> odvětv</w:t>
      </w:r>
      <w:r w:rsidR="009F3108">
        <w:t>ové sekce</w:t>
      </w:r>
      <w:r w:rsidRPr="002D5EB9">
        <w:t xml:space="preserve"> Peněžnictví a</w:t>
      </w:r>
      <w:r w:rsidR="007F3530">
        <w:t xml:space="preserve"> pojišťovnictví (5 tis.) </w:t>
      </w:r>
      <w:r w:rsidR="005071B3">
        <w:t>a</w:t>
      </w:r>
      <w:r w:rsidRPr="002D5EB9">
        <w:t xml:space="preserve"> Informační a komunikační činnosti (6 tis.).</w:t>
      </w:r>
    </w:p>
    <w:p w14:paraId="645F4E0B" w14:textId="318ABC9B" w:rsidR="00660130" w:rsidRPr="00660130" w:rsidRDefault="00660130" w:rsidP="009636BA">
      <w:pPr>
        <w:pStyle w:val="Titulek"/>
        <w:keepNext/>
        <w:spacing w:after="60"/>
        <w:jc w:val="both"/>
        <w:rPr>
          <w:i w:val="0"/>
          <w:color w:val="auto"/>
          <w:sz w:val="20"/>
        </w:rPr>
      </w:pPr>
      <w:r w:rsidRPr="00660130">
        <w:rPr>
          <w:b/>
          <w:i w:val="0"/>
          <w:color w:val="auto"/>
          <w:sz w:val="20"/>
        </w:rPr>
        <w:lastRenderedPageBreak/>
        <w:t>Graf 2.</w:t>
      </w:r>
      <w:r w:rsidR="00BA0BED">
        <w:rPr>
          <w:b/>
          <w:i w:val="0"/>
          <w:color w:val="auto"/>
          <w:sz w:val="20"/>
        </w:rPr>
        <w:t>9</w:t>
      </w:r>
      <w:r w:rsidRPr="00660130">
        <w:rPr>
          <w:b/>
          <w:i w:val="0"/>
          <w:color w:val="auto"/>
          <w:sz w:val="20"/>
        </w:rPr>
        <w:t>:</w:t>
      </w:r>
      <w:r w:rsidRPr="00660130">
        <w:rPr>
          <w:i w:val="0"/>
          <w:color w:val="auto"/>
          <w:sz w:val="20"/>
        </w:rPr>
        <w:t xml:space="preserve"> </w:t>
      </w:r>
      <w:r w:rsidRPr="00660130">
        <w:rPr>
          <w:b/>
          <w:i w:val="0"/>
          <w:color w:val="auto"/>
          <w:sz w:val="20"/>
        </w:rPr>
        <w:t xml:space="preserve">Průměrná délka trvání dočasné pracovní neschopnosti </w:t>
      </w:r>
      <w:r w:rsidR="008D7B85">
        <w:rPr>
          <w:b/>
          <w:i w:val="0"/>
          <w:color w:val="auto"/>
          <w:sz w:val="20"/>
        </w:rPr>
        <w:t>po</w:t>
      </w:r>
      <w:r w:rsidRPr="00660130">
        <w:rPr>
          <w:b/>
          <w:i w:val="0"/>
          <w:color w:val="auto"/>
          <w:sz w:val="20"/>
        </w:rPr>
        <w:t>dle odvětví (sekc</w:t>
      </w:r>
      <w:r w:rsidR="009F3108">
        <w:rPr>
          <w:b/>
          <w:i w:val="0"/>
          <w:color w:val="auto"/>
          <w:sz w:val="20"/>
        </w:rPr>
        <w:t>e</w:t>
      </w:r>
      <w:r w:rsidRPr="00660130">
        <w:rPr>
          <w:b/>
          <w:i w:val="0"/>
          <w:color w:val="auto"/>
          <w:sz w:val="20"/>
        </w:rPr>
        <w:t xml:space="preserve"> CZ-NACE)</w:t>
      </w:r>
      <w:r w:rsidR="00452182">
        <w:rPr>
          <w:b/>
          <w:i w:val="0"/>
          <w:color w:val="auto"/>
          <w:sz w:val="20"/>
        </w:rPr>
        <w:t xml:space="preserve">, </w:t>
      </w:r>
      <w:r w:rsidRPr="00660130">
        <w:rPr>
          <w:b/>
          <w:i w:val="0"/>
          <w:color w:val="auto"/>
          <w:sz w:val="20"/>
        </w:rPr>
        <w:t>201</w:t>
      </w:r>
      <w:r w:rsidR="00212A81">
        <w:rPr>
          <w:b/>
          <w:i w:val="0"/>
          <w:color w:val="auto"/>
          <w:sz w:val="20"/>
        </w:rPr>
        <w:t>9</w:t>
      </w:r>
    </w:p>
    <w:p w14:paraId="26538C79" w14:textId="48EC1E77" w:rsidR="00660130" w:rsidRPr="00CF263C" w:rsidRDefault="00212A81" w:rsidP="009636BA">
      <w:pPr>
        <w:spacing w:after="120"/>
        <w:rPr>
          <w:b/>
        </w:rPr>
      </w:pPr>
      <w:r>
        <w:rPr>
          <w:noProof/>
        </w:rPr>
        <w:drawing>
          <wp:inline distT="0" distB="0" distL="0" distR="0" wp14:anchorId="34BA5398" wp14:editId="1879C9F3">
            <wp:extent cx="6115050" cy="3790950"/>
            <wp:effectExtent l="0" t="0" r="0" b="0"/>
            <wp:docPr id="48" name="Graf 48">
              <a:extLst xmlns:a="http://schemas.openxmlformats.org/drawingml/2006/main">
                <a:ext uri="{FF2B5EF4-FFF2-40B4-BE49-F238E27FC236}">
                  <a16:creationId xmlns:a16="http://schemas.microsoft.com/office/drawing/2014/main" id="{DB93DB97-8134-4245-A619-CE1BCD7D1DA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 w:rsidR="00660130" w:rsidRPr="00BC3FF5">
        <w:rPr>
          <w:sz w:val="18"/>
        </w:rPr>
        <w:t>Zdroj: ČSÚ</w:t>
      </w:r>
    </w:p>
    <w:p w14:paraId="3006E0C6" w14:textId="7CFA5C39" w:rsidR="00894E45" w:rsidRDefault="00C20B47" w:rsidP="00EF14F8">
      <w:pPr>
        <w:spacing w:after="120"/>
        <w:jc w:val="both"/>
      </w:pPr>
      <w:r w:rsidRPr="003A3D14">
        <w:t xml:space="preserve">Jak již bylo zmíněno výše, dočasná pracovní neschopnost trvala v průměru </w:t>
      </w:r>
      <w:r w:rsidR="008C5CC8" w:rsidRPr="003A3D14">
        <w:t>42,4</w:t>
      </w:r>
      <w:r w:rsidRPr="003A3D14">
        <w:t xml:space="preserve"> dn</w:t>
      </w:r>
      <w:r w:rsidR="008C5CC8" w:rsidRPr="003A3D14">
        <w:t>e.</w:t>
      </w:r>
      <w:r w:rsidRPr="003A3D14">
        <w:t xml:space="preserve"> </w:t>
      </w:r>
      <w:r w:rsidR="00255711" w:rsidRPr="003A3D14">
        <w:t xml:space="preserve">Odvětvími </w:t>
      </w:r>
      <w:r w:rsidR="008E5FEF" w:rsidRPr="003A3D14">
        <w:t xml:space="preserve">s průměrnou délkou trvání případu </w:t>
      </w:r>
      <w:r w:rsidR="00300F92">
        <w:t>dočasné</w:t>
      </w:r>
      <w:r w:rsidR="00300F92" w:rsidRPr="003A3D14">
        <w:t xml:space="preserve"> </w:t>
      </w:r>
      <w:r w:rsidR="008E5FEF" w:rsidRPr="003A3D14">
        <w:t xml:space="preserve">pracovní neschopnosti nad 50 dnů </w:t>
      </w:r>
      <w:r w:rsidRPr="003A3D14">
        <w:t>bylo</w:t>
      </w:r>
      <w:r w:rsidR="00255711" w:rsidRPr="003A3D14">
        <w:t xml:space="preserve"> v roce 201</w:t>
      </w:r>
      <w:r w:rsidR="008C5CC8" w:rsidRPr="003A3D14">
        <w:t>9</w:t>
      </w:r>
      <w:r w:rsidR="008E5FEF" w:rsidRPr="003A3D14">
        <w:t xml:space="preserve"> </w:t>
      </w:r>
      <w:r w:rsidR="00255711" w:rsidRPr="003A3D14">
        <w:t>Zemědělství, lesnictví a</w:t>
      </w:r>
      <w:r w:rsidR="00812420">
        <w:t> </w:t>
      </w:r>
      <w:r w:rsidR="00255711" w:rsidRPr="003A3D14">
        <w:t>rybářství (5</w:t>
      </w:r>
      <w:r w:rsidR="008C5CC8" w:rsidRPr="003A3D14">
        <w:t>6</w:t>
      </w:r>
      <w:r w:rsidR="00255711" w:rsidRPr="003A3D14">
        <w:t>,</w:t>
      </w:r>
      <w:r w:rsidR="008C5CC8" w:rsidRPr="003A3D14">
        <w:t>8</w:t>
      </w:r>
      <w:r w:rsidR="00255711" w:rsidRPr="003A3D14">
        <w:t xml:space="preserve"> dne), Ubytování, stravování a pohostinství (5</w:t>
      </w:r>
      <w:r w:rsidR="008C5CC8" w:rsidRPr="003A3D14">
        <w:t>4,4</w:t>
      </w:r>
      <w:r w:rsidR="00255711" w:rsidRPr="003A3D14">
        <w:t xml:space="preserve"> dne)</w:t>
      </w:r>
      <w:r w:rsidR="008E5FEF" w:rsidRPr="003A3D14">
        <w:t xml:space="preserve">, </w:t>
      </w:r>
      <w:r w:rsidR="00514756" w:rsidRPr="003A3D14">
        <w:t>Stavebnictví (52 dn</w:t>
      </w:r>
      <w:r w:rsidR="008C5CC8" w:rsidRPr="003A3D14">
        <w:t>í</w:t>
      </w:r>
      <w:r w:rsidR="00514756" w:rsidRPr="003A3D14">
        <w:t xml:space="preserve">) a </w:t>
      </w:r>
      <w:r w:rsidR="00255711" w:rsidRPr="003A3D14">
        <w:t>Činnosti v oblasti nemovitostí (</w:t>
      </w:r>
      <w:r w:rsidR="008C5CC8" w:rsidRPr="003A3D14">
        <w:t>50,8</w:t>
      </w:r>
      <w:r w:rsidR="00255711" w:rsidRPr="003A3D14">
        <w:t xml:space="preserve"> dne)</w:t>
      </w:r>
      <w:r w:rsidR="008E5FEF" w:rsidRPr="003A3D14">
        <w:t>.</w:t>
      </w:r>
      <w:r w:rsidR="00255711" w:rsidRPr="003A3D14">
        <w:t xml:space="preserve"> </w:t>
      </w:r>
      <w:r w:rsidR="006C4575" w:rsidRPr="003A3D14">
        <w:t>Poloviční</w:t>
      </w:r>
      <w:r w:rsidRPr="003A3D14">
        <w:t xml:space="preserve"> dob</w:t>
      </w:r>
      <w:r w:rsidR="006C4575" w:rsidRPr="003A3D14">
        <w:t>a</w:t>
      </w:r>
      <w:r w:rsidRPr="003A3D14">
        <w:t xml:space="preserve"> </w:t>
      </w:r>
      <w:r w:rsidR="006C4575" w:rsidRPr="003A3D14">
        <w:t>(</w:t>
      </w:r>
      <w:r w:rsidR="008C5CC8" w:rsidRPr="003A3D14">
        <w:t>25,</w:t>
      </w:r>
      <w:r w:rsidR="006C4575" w:rsidRPr="003A3D14">
        <w:t xml:space="preserve">4 dne) </w:t>
      </w:r>
      <w:r w:rsidRPr="003A3D14">
        <w:t xml:space="preserve">připadala na pracovní neschopnost v odvětví Informační a </w:t>
      </w:r>
      <w:r w:rsidR="006C4575" w:rsidRPr="003A3D14">
        <w:t>komunikační činnosti, což představovalo zcela nejnižší hodnotu v rámci národního hospodářství. Dalšími odvětvími s poměrně nízkou průměrnou délkou pracovní neschopnosti byly oblasti Vzdělávání (3</w:t>
      </w:r>
      <w:r w:rsidR="008C5CC8" w:rsidRPr="003A3D14">
        <w:t>1,2</w:t>
      </w:r>
      <w:r w:rsidR="00812420">
        <w:t> </w:t>
      </w:r>
      <w:r w:rsidR="006C4575" w:rsidRPr="003A3D14">
        <w:t>dne) a Peněžnictví a pojišťovnictví (31,</w:t>
      </w:r>
      <w:r w:rsidR="008C5CC8" w:rsidRPr="003A3D14">
        <w:t>7</w:t>
      </w:r>
      <w:r w:rsidR="006C4575" w:rsidRPr="003A3D14">
        <w:t xml:space="preserve"> dne). Podrobněji viz graf 2.</w:t>
      </w:r>
      <w:r w:rsidR="00BA0BED">
        <w:t>9</w:t>
      </w:r>
      <w:r w:rsidR="00514756" w:rsidRPr="003A3D14">
        <w:t xml:space="preserve"> a tab. 2.5</w:t>
      </w:r>
      <w:r w:rsidR="006C4575" w:rsidRPr="003A3D14">
        <w:t>.</w:t>
      </w:r>
    </w:p>
    <w:p w14:paraId="39B7453B" w14:textId="706EF403" w:rsidR="00D71620" w:rsidRDefault="00D71620" w:rsidP="00EF14F8">
      <w:pPr>
        <w:pStyle w:val="Zkladntextodsazen"/>
        <w:spacing w:after="120" w:line="288" w:lineRule="auto"/>
        <w:ind w:left="0"/>
        <w:jc w:val="both"/>
        <w:rPr>
          <w:rFonts w:cs="Arial"/>
        </w:rPr>
      </w:pPr>
      <w:r>
        <w:rPr>
          <w:rFonts w:cs="Arial"/>
        </w:rPr>
        <w:t>M</w:t>
      </w:r>
      <w:r w:rsidRPr="007E5735">
        <w:rPr>
          <w:rFonts w:cs="Arial"/>
        </w:rPr>
        <w:t xml:space="preserve">eziroční rozdíly </w:t>
      </w:r>
      <w:r>
        <w:rPr>
          <w:rFonts w:cs="Arial"/>
        </w:rPr>
        <w:t xml:space="preserve">délky trvání pracovní neschopnosti v jednotlivých odvětvích nejsou (až na výjimky) </w:t>
      </w:r>
      <w:r w:rsidRPr="007E5735">
        <w:rPr>
          <w:rFonts w:cs="Arial"/>
        </w:rPr>
        <w:t>příliš významné. Za delší časové období největší nárůst v trvání pracovní neschopnosti vykazoval</w:t>
      </w:r>
      <w:r w:rsidR="00EF14F8">
        <w:rPr>
          <w:rFonts w:cs="Arial"/>
        </w:rPr>
        <w:t xml:space="preserve">y subjekty v odvětvové sekci </w:t>
      </w:r>
      <w:r w:rsidRPr="007E5735">
        <w:rPr>
          <w:rFonts w:cs="Arial"/>
        </w:rPr>
        <w:t xml:space="preserve">Těžba a dobývání. Od roku 2009 do roku 2019 </w:t>
      </w:r>
      <w:r w:rsidR="00EF14F8">
        <w:rPr>
          <w:rFonts w:cs="Arial"/>
        </w:rPr>
        <w:t xml:space="preserve">zde </w:t>
      </w:r>
      <w:r w:rsidRPr="007E5735">
        <w:rPr>
          <w:rFonts w:cs="Arial"/>
        </w:rPr>
        <w:t>došlo k prodloužení pracovní neschopnosti v průměru o 10 dnů, tj. navýšení o 25 %. Naopak odvětvím, kde se doba připadající na 1</w:t>
      </w:r>
      <w:r w:rsidR="007F3530">
        <w:rPr>
          <w:rFonts w:cs="Arial"/>
        </w:rPr>
        <w:t> hlášenou</w:t>
      </w:r>
      <w:r w:rsidRPr="007E5735">
        <w:rPr>
          <w:rFonts w:cs="Arial"/>
        </w:rPr>
        <w:t xml:space="preserve"> pracovní neschopnost nejvíce snížila, byl Zpracovatelský průmysl. Zatímco v roce 2009 činila necelých 49</w:t>
      </w:r>
      <w:r w:rsidR="00EF14F8">
        <w:rPr>
          <w:rFonts w:cs="Arial"/>
        </w:rPr>
        <w:t> </w:t>
      </w:r>
      <w:r w:rsidRPr="007E5735">
        <w:rPr>
          <w:rFonts w:cs="Arial"/>
        </w:rPr>
        <w:t>dní, v roce 2019 to bylo 42 dní. V relativním vyjádření se jedná o pokles o 14 %.</w:t>
      </w:r>
    </w:p>
    <w:p w14:paraId="46E7AA72" w14:textId="661C2142" w:rsidR="00D71620" w:rsidRDefault="00EF14F8" w:rsidP="00EF14F8">
      <w:pPr>
        <w:pStyle w:val="Zkladntextodsazen"/>
        <w:spacing w:after="120" w:line="288" w:lineRule="auto"/>
        <w:ind w:left="0"/>
        <w:jc w:val="both"/>
        <w:rPr>
          <w:rFonts w:cs="Arial"/>
        </w:rPr>
      </w:pPr>
      <w:r>
        <w:rPr>
          <w:rFonts w:cs="Arial"/>
        </w:rPr>
        <w:t xml:space="preserve">Z hlediska </w:t>
      </w:r>
      <w:r w:rsidRPr="00EF14F8">
        <w:rPr>
          <w:rFonts w:cs="Arial"/>
          <w:b/>
          <w:bCs/>
        </w:rPr>
        <w:t>regionálního</w:t>
      </w:r>
      <w:r>
        <w:rPr>
          <w:rFonts w:cs="Arial"/>
        </w:rPr>
        <w:t>, byla v roce 2019 n</w:t>
      </w:r>
      <w:r w:rsidR="00D71620" w:rsidRPr="00455B91">
        <w:rPr>
          <w:rFonts w:cs="Arial"/>
        </w:rPr>
        <w:t>ejdelší průměrná doba trvání dočasné pracovní neschopnosti zaznamenána na Moravě a ve Slezsku – ve Zlínském (49,6</w:t>
      </w:r>
      <w:r>
        <w:rPr>
          <w:rFonts w:cs="Arial"/>
        </w:rPr>
        <w:t> </w:t>
      </w:r>
      <w:r w:rsidR="00D71620" w:rsidRPr="00455B91">
        <w:rPr>
          <w:rFonts w:cs="Arial"/>
        </w:rPr>
        <w:t>dnů), v</w:t>
      </w:r>
      <w:r>
        <w:rPr>
          <w:rFonts w:cs="Arial"/>
        </w:rPr>
        <w:t> </w:t>
      </w:r>
      <w:r w:rsidR="00D71620" w:rsidRPr="00455B91">
        <w:rPr>
          <w:rFonts w:cs="Arial"/>
        </w:rPr>
        <w:t xml:space="preserve">Moravskoslezském (48,7 dne) a v Olomouckém kraji (46,1 dne). Kraji s nejkratší délkou trvání pracovní neschopnosti </w:t>
      </w:r>
      <w:r w:rsidR="007F3530">
        <w:rPr>
          <w:rFonts w:cs="Arial"/>
        </w:rPr>
        <w:t>byly</w:t>
      </w:r>
      <w:r w:rsidR="00D71620" w:rsidRPr="00455B91">
        <w:rPr>
          <w:rFonts w:cs="Arial"/>
        </w:rPr>
        <w:t xml:space="preserve"> Liberecký kraj a</w:t>
      </w:r>
      <w:r w:rsidR="007F3530">
        <w:rPr>
          <w:rFonts w:cs="Arial"/>
        </w:rPr>
        <w:t> </w:t>
      </w:r>
      <w:r w:rsidR="00D71620" w:rsidRPr="00455B91">
        <w:rPr>
          <w:rFonts w:cs="Arial"/>
        </w:rPr>
        <w:t xml:space="preserve">Praha, které shodně vykazovaly hodnotu 38,8 dne. Ve všech krajích ČR hodnoty tohoto ukazatele meziročně vzrostly, vyjma Ústeckého kraje, kde se drží na stejné úrovni. </w:t>
      </w:r>
    </w:p>
    <w:p w14:paraId="7394BD25" w14:textId="77777777" w:rsidR="00CF263C" w:rsidRDefault="00CF263C">
      <w:pPr>
        <w:spacing w:after="0" w:line="240" w:lineRule="auto"/>
        <w:rPr>
          <w:b/>
          <w:iCs/>
          <w:szCs w:val="18"/>
        </w:rPr>
      </w:pPr>
      <w:bookmarkStart w:id="11" w:name="_Toc10112623"/>
      <w:r>
        <w:rPr>
          <w:b/>
          <w:i/>
        </w:rPr>
        <w:br w:type="page"/>
      </w:r>
    </w:p>
    <w:p w14:paraId="1A1724EC" w14:textId="3C391082" w:rsidR="002F5A91" w:rsidRPr="00C06407" w:rsidRDefault="002F5A91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C06407">
        <w:rPr>
          <w:b/>
          <w:i w:val="0"/>
          <w:color w:val="auto"/>
          <w:sz w:val="20"/>
        </w:rPr>
        <w:lastRenderedPageBreak/>
        <w:t>Tab</w:t>
      </w:r>
      <w:r w:rsidR="003728E7">
        <w:rPr>
          <w:b/>
          <w:i w:val="0"/>
          <w:color w:val="auto"/>
          <w:sz w:val="20"/>
        </w:rPr>
        <w:t>.</w:t>
      </w:r>
      <w:r w:rsidR="00CC4CD9">
        <w:rPr>
          <w:b/>
          <w:i w:val="0"/>
          <w:color w:val="auto"/>
          <w:sz w:val="20"/>
        </w:rPr>
        <w:t xml:space="preserve"> </w:t>
      </w:r>
      <w:r w:rsidRPr="00C06407">
        <w:rPr>
          <w:b/>
          <w:i w:val="0"/>
          <w:color w:val="auto"/>
          <w:sz w:val="20"/>
        </w:rPr>
        <w:t>2.</w:t>
      </w:r>
      <w:r w:rsidRPr="00C06407">
        <w:rPr>
          <w:b/>
          <w:i w:val="0"/>
          <w:color w:val="auto"/>
          <w:sz w:val="20"/>
        </w:rPr>
        <w:fldChar w:fldCharType="begin"/>
      </w:r>
      <w:r w:rsidRPr="00C06407">
        <w:rPr>
          <w:b/>
          <w:i w:val="0"/>
          <w:color w:val="auto"/>
          <w:sz w:val="20"/>
        </w:rPr>
        <w:instrText xml:space="preserve"> SEQ Tabulka \* ARABIC </w:instrText>
      </w:r>
      <w:r w:rsidRPr="00C06407">
        <w:rPr>
          <w:b/>
          <w:i w:val="0"/>
          <w:color w:val="auto"/>
          <w:sz w:val="20"/>
        </w:rPr>
        <w:fldChar w:fldCharType="separate"/>
      </w:r>
      <w:r w:rsidR="00FF7036">
        <w:rPr>
          <w:b/>
          <w:i w:val="0"/>
          <w:noProof/>
          <w:color w:val="auto"/>
          <w:sz w:val="20"/>
        </w:rPr>
        <w:t>5</w:t>
      </w:r>
      <w:r w:rsidRPr="00C06407">
        <w:rPr>
          <w:b/>
          <w:i w:val="0"/>
          <w:color w:val="auto"/>
          <w:sz w:val="20"/>
        </w:rPr>
        <w:fldChar w:fldCharType="end"/>
      </w:r>
      <w:r w:rsidRPr="00C06407">
        <w:rPr>
          <w:b/>
          <w:i w:val="0"/>
          <w:color w:val="auto"/>
          <w:sz w:val="20"/>
        </w:rPr>
        <w:t>: Průměrná délka trvání dočasné pr</w:t>
      </w:r>
      <w:r w:rsidR="00C06407">
        <w:rPr>
          <w:b/>
          <w:i w:val="0"/>
          <w:color w:val="auto"/>
          <w:sz w:val="20"/>
        </w:rPr>
        <w:t xml:space="preserve">acovní neschopnosti </w:t>
      </w:r>
      <w:r w:rsidR="008D7B85">
        <w:rPr>
          <w:b/>
          <w:i w:val="0"/>
          <w:color w:val="auto"/>
          <w:sz w:val="20"/>
        </w:rPr>
        <w:t>po</w:t>
      </w:r>
      <w:r w:rsidR="00C06407">
        <w:rPr>
          <w:b/>
          <w:i w:val="0"/>
          <w:color w:val="auto"/>
          <w:sz w:val="20"/>
        </w:rPr>
        <w:t>dle odvětví</w:t>
      </w:r>
      <w:r w:rsidR="00300F92" w:rsidRPr="00300F92">
        <w:rPr>
          <w:b/>
          <w:i w:val="0"/>
          <w:color w:val="auto"/>
          <w:sz w:val="20"/>
        </w:rPr>
        <w:t xml:space="preserve"> </w:t>
      </w:r>
      <w:r w:rsidR="00300F92" w:rsidRPr="00660130">
        <w:rPr>
          <w:b/>
          <w:i w:val="0"/>
          <w:color w:val="auto"/>
          <w:sz w:val="20"/>
        </w:rPr>
        <w:t>(sekc</w:t>
      </w:r>
      <w:r w:rsidR="00EF14F8">
        <w:rPr>
          <w:b/>
          <w:i w:val="0"/>
          <w:color w:val="auto"/>
          <w:sz w:val="20"/>
        </w:rPr>
        <w:t>e</w:t>
      </w:r>
      <w:r w:rsidR="00300F92" w:rsidRPr="00660130">
        <w:rPr>
          <w:b/>
          <w:i w:val="0"/>
          <w:color w:val="auto"/>
          <w:sz w:val="20"/>
        </w:rPr>
        <w:t xml:space="preserve"> CZ-NACE)</w:t>
      </w:r>
      <w:r w:rsidR="00300F92">
        <w:rPr>
          <w:b/>
          <w:i w:val="0"/>
          <w:color w:val="auto"/>
          <w:sz w:val="20"/>
        </w:rPr>
        <w:t xml:space="preserve">, </w:t>
      </w:r>
      <w:r w:rsidR="00452182">
        <w:rPr>
          <w:b/>
          <w:i w:val="0"/>
          <w:color w:val="auto"/>
          <w:sz w:val="20"/>
        </w:rPr>
        <w:t xml:space="preserve"> </w:t>
      </w:r>
      <w:r w:rsidR="00E87830">
        <w:rPr>
          <w:b/>
          <w:i w:val="0"/>
          <w:color w:val="auto"/>
          <w:sz w:val="20"/>
        </w:rPr>
        <w:t>200</w:t>
      </w:r>
      <w:r w:rsidR="009F68C1">
        <w:rPr>
          <w:b/>
          <w:i w:val="0"/>
          <w:color w:val="auto"/>
          <w:sz w:val="20"/>
        </w:rPr>
        <w:t>9</w:t>
      </w:r>
      <w:r w:rsidRPr="00C06407">
        <w:rPr>
          <w:b/>
          <w:i w:val="0"/>
          <w:color w:val="auto"/>
          <w:sz w:val="20"/>
        </w:rPr>
        <w:t>–201</w:t>
      </w:r>
      <w:bookmarkEnd w:id="11"/>
      <w:r w:rsidR="009F68C1">
        <w:rPr>
          <w:b/>
          <w:i w:val="0"/>
          <w:color w:val="auto"/>
          <w:sz w:val="20"/>
        </w:rPr>
        <w:t>9</w:t>
      </w:r>
    </w:p>
    <w:tbl>
      <w:tblPr>
        <w:tblW w:w="9577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9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  <w:gridCol w:w="628"/>
      </w:tblGrid>
      <w:tr w:rsidR="009F68C1" w:rsidRPr="008D2084" w14:paraId="6234E4DD" w14:textId="27C76BC9" w:rsidTr="0074692F">
        <w:trPr>
          <w:trHeight w:val="340"/>
        </w:trPr>
        <w:tc>
          <w:tcPr>
            <w:tcW w:w="266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52A604E9" w14:textId="7204DEE0" w:rsidR="009F68C1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Sekce CZ-NACE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61752EF" w14:textId="1EC50B11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7D57112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25F75A4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330CD99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24C4930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3A091C7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20542E1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EE3856E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982C90A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9677D0C" w14:textId="77777777" w:rsidR="009F68C1" w:rsidRPr="008D2084" w:rsidRDefault="009F68C1" w:rsidP="009F68C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28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287EC4D4" w14:textId="2251C572" w:rsidR="009F68C1" w:rsidRPr="008D2084" w:rsidRDefault="009F68C1" w:rsidP="009F68C1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F41037" w:rsidRPr="008D2084" w14:paraId="15E14012" w14:textId="36106461" w:rsidTr="0074692F">
        <w:trPr>
          <w:trHeight w:val="340"/>
        </w:trPr>
        <w:tc>
          <w:tcPr>
            <w:tcW w:w="266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23CD245" w14:textId="4846F8EA" w:rsidR="00F41037" w:rsidRPr="008D2084" w:rsidRDefault="00F41037" w:rsidP="00F41037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28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5B6EB2" w14:textId="01CF7D9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B25D08" w14:textId="30692BB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A7E8DA" w14:textId="1DDDB6D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9CD115" w14:textId="2F1F78E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0DDCF5" w14:textId="1E13755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E28409" w14:textId="0F892A7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F02FBA" w14:textId="5FD4D99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3BFF8" w14:textId="6490E0E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C87F48" w14:textId="715179D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62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C7E677" w14:textId="6C21B0C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628" w:type="dxa"/>
            <w:tcBorders>
              <w:top w:val="single" w:sz="8" w:space="0" w:color="auto"/>
            </w:tcBorders>
            <w:vAlign w:val="center"/>
          </w:tcPr>
          <w:p w14:paraId="2DE7BF65" w14:textId="50EB5770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42,4</w:t>
            </w:r>
          </w:p>
        </w:tc>
      </w:tr>
      <w:tr w:rsidR="00F41037" w:rsidRPr="008D2084" w14:paraId="68608D60" w14:textId="3F60F971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EFC6325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A –</w:t>
            </w:r>
            <w:r w:rsidRPr="008D2084">
              <w:rPr>
                <w:rFonts w:cs="Arial"/>
                <w:sz w:val="16"/>
                <w:szCs w:val="16"/>
              </w:rPr>
              <w:t xml:space="preserve"> Zemědělství, lesnictví </w:t>
            </w:r>
          </w:p>
          <w:p w14:paraId="7D63A809" w14:textId="76CD18A0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a rybářství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255A1" w14:textId="0D3DC6D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C0523" w14:textId="696DCE6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2DEF1A" w14:textId="53D06D6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3A74C3" w14:textId="4FE0D38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61,8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E3F26" w14:textId="170C0F3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E95FBC" w14:textId="1DE2209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0A7B59" w14:textId="5EC8552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AED2F" w14:textId="02E85D4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9F478" w14:textId="2389F23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849BFA" w14:textId="021EC08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55,9</w:t>
            </w:r>
          </w:p>
        </w:tc>
        <w:tc>
          <w:tcPr>
            <w:tcW w:w="628" w:type="dxa"/>
            <w:vAlign w:val="center"/>
          </w:tcPr>
          <w:p w14:paraId="064E3580" w14:textId="7B3E08B9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56,8</w:t>
            </w:r>
          </w:p>
        </w:tc>
      </w:tr>
      <w:tr w:rsidR="00F41037" w:rsidRPr="008D2084" w14:paraId="7611A6A0" w14:textId="6F422522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1C879F" w14:textId="514E1C4A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B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Těžba a dobývání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8BC03E" w14:textId="0BEE8B6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5AF06D" w14:textId="604F93B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C660A4" w14:textId="152D4AF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61B4A" w14:textId="1A97DE7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01CA10" w14:textId="3D5130D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19C09" w14:textId="12BA764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BBBF0A" w14:textId="426D519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9CBE33" w14:textId="1A7486C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395CA8" w14:textId="7790751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4605E" w14:textId="083AB15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47,9</w:t>
            </w:r>
          </w:p>
        </w:tc>
        <w:tc>
          <w:tcPr>
            <w:tcW w:w="628" w:type="dxa"/>
            <w:vAlign w:val="center"/>
          </w:tcPr>
          <w:p w14:paraId="57977A58" w14:textId="402B5DDC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49,4</w:t>
            </w:r>
          </w:p>
        </w:tc>
      </w:tr>
      <w:tr w:rsidR="00F41037" w:rsidRPr="008D2084" w14:paraId="319F7162" w14:textId="733417A4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3235F9" w14:textId="3D1FC82F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C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Zpracovatelský průmysl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4D5007" w14:textId="0F7608E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03C35B" w14:textId="6ADF85F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A5757" w14:textId="6CCF589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5AA47" w14:textId="64109DD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82416D" w14:textId="0C7BAB6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14F86B" w14:textId="55664AD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0A99" w14:textId="72B7E03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24E5F" w14:textId="7A7949B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57499" w14:textId="2BF39C8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F6BC37" w14:textId="46DACBC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41,2</w:t>
            </w:r>
          </w:p>
        </w:tc>
        <w:tc>
          <w:tcPr>
            <w:tcW w:w="628" w:type="dxa"/>
            <w:vAlign w:val="center"/>
          </w:tcPr>
          <w:p w14:paraId="307BF560" w14:textId="70EA84AE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</w:tr>
      <w:tr w:rsidR="00F41037" w:rsidRPr="008D2084" w14:paraId="24A67563" w14:textId="5DDBF627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BC01A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D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Výroba a rozvod elektřiny, </w:t>
            </w:r>
          </w:p>
          <w:p w14:paraId="0422D4F8" w14:textId="04D6F8B4" w:rsidR="00F41037" w:rsidRPr="008D2084" w:rsidRDefault="00F41037" w:rsidP="003357F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plynu, tepla 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vzduchu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50F367" w14:textId="0B93EC6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690EF" w14:textId="777F3FD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2E47C" w14:textId="7533439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443B6" w14:textId="28A672F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66EB7" w14:textId="4AF6874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3234E6" w14:textId="2E080D4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45443" w14:textId="2BEF433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C18029" w14:textId="49C8002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5E5500" w14:textId="503726C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EFAC01" w14:textId="560BBA5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36,9</w:t>
            </w:r>
          </w:p>
        </w:tc>
        <w:tc>
          <w:tcPr>
            <w:tcW w:w="628" w:type="dxa"/>
            <w:vAlign w:val="center"/>
          </w:tcPr>
          <w:p w14:paraId="5A7F213D" w14:textId="64242C87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38,1</w:t>
            </w:r>
          </w:p>
        </w:tc>
      </w:tr>
      <w:tr w:rsidR="00F41037" w:rsidRPr="008D2084" w14:paraId="704E4EEB" w14:textId="412ABB4C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F21455" w14:textId="611FB27F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E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Zásobování vodou; činnosti</w:t>
            </w:r>
          </w:p>
          <w:p w14:paraId="4131C62A" w14:textId="4128F4D8" w:rsidR="00F41037" w:rsidRPr="008D2084" w:rsidRDefault="00F41037" w:rsidP="003357F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8D2084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="003357F4">
              <w:rPr>
                <w:rFonts w:cs="Arial"/>
                <w:sz w:val="16"/>
                <w:szCs w:val="16"/>
              </w:rPr>
              <w:t>s</w:t>
            </w:r>
            <w:r w:rsidRPr="008D2084">
              <w:rPr>
                <w:rFonts w:cs="Arial"/>
                <w:sz w:val="16"/>
                <w:szCs w:val="16"/>
              </w:rPr>
              <w:t>ouvis</w:t>
            </w:r>
            <w:r w:rsidR="003357F4">
              <w:rPr>
                <w:rFonts w:cs="Arial"/>
                <w:sz w:val="16"/>
                <w:szCs w:val="16"/>
              </w:rPr>
              <w:t xml:space="preserve">. s odpady a </w:t>
            </w:r>
            <w:r w:rsidRPr="008D2084">
              <w:rPr>
                <w:rFonts w:cs="Arial"/>
                <w:sz w:val="16"/>
                <w:szCs w:val="16"/>
              </w:rPr>
              <w:t>sanacemi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8C1293" w14:textId="0D1B059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B16FA9" w14:textId="1FCA1B4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59391" w14:textId="24F82A2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CAEE2E" w14:textId="2986455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201FA5" w14:textId="03D930F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6ADAFB" w14:textId="0CEE5AC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F8116" w14:textId="20B4C5A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801C8" w14:textId="2A47DB3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938DD" w14:textId="4534B85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273CA6" w14:textId="05EA27E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628" w:type="dxa"/>
            <w:vAlign w:val="center"/>
          </w:tcPr>
          <w:p w14:paraId="1F602A47" w14:textId="37001FF8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</w:tr>
      <w:tr w:rsidR="00F41037" w:rsidRPr="008D2084" w14:paraId="1E61D47C" w14:textId="63FB5B56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368A6E" w14:textId="26024F3D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F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Stavebnictví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695794" w14:textId="4C8D4CB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51BCC2" w14:textId="3F60184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318D9" w14:textId="3409257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9D036B" w14:textId="633CA59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98D764" w14:textId="72006A6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8C0804" w14:textId="7BEB226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59,3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1C88D9" w14:textId="6E12516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ACF5D" w14:textId="3C619CE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B1F727" w14:textId="51F309A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3813C" w14:textId="3EF42A9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628" w:type="dxa"/>
            <w:vAlign w:val="center"/>
          </w:tcPr>
          <w:p w14:paraId="3CEBDBF7" w14:textId="267805E5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52,0</w:t>
            </w:r>
          </w:p>
        </w:tc>
      </w:tr>
      <w:tr w:rsidR="00F41037" w:rsidRPr="008D2084" w14:paraId="6E17EBF4" w14:textId="3F9DFB2F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214BED" w14:textId="088DF598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G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Velkoobchod</w:t>
            </w:r>
            <w:r>
              <w:rPr>
                <w:rFonts w:cs="Arial"/>
                <w:sz w:val="16"/>
                <w:szCs w:val="16"/>
              </w:rPr>
              <w:t xml:space="preserve"> a maloobchod; </w:t>
            </w:r>
          </w:p>
          <w:p w14:paraId="433F40F6" w14:textId="27F98504" w:rsidR="00F41037" w:rsidRPr="008D2084" w:rsidRDefault="00F41037" w:rsidP="003357F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údržba </w:t>
            </w:r>
            <w:r w:rsidRPr="008D2084">
              <w:rPr>
                <w:rFonts w:cs="Arial"/>
                <w:sz w:val="16"/>
                <w:szCs w:val="16"/>
              </w:rPr>
              <w:t>motor</w:t>
            </w:r>
            <w:r w:rsidR="003357F4">
              <w:rPr>
                <w:rFonts w:cs="Arial"/>
                <w:sz w:val="16"/>
                <w:szCs w:val="16"/>
              </w:rPr>
              <w:t xml:space="preserve">. </w:t>
            </w:r>
            <w:r w:rsidRPr="008D2084">
              <w:rPr>
                <w:rFonts w:cs="Arial"/>
                <w:sz w:val="16"/>
                <w:szCs w:val="16"/>
              </w:rPr>
              <w:t>vozidel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ABE898" w14:textId="014F8C5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6F726" w14:textId="6D95AA1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441DE3" w14:textId="2B04360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3B3FF8" w14:textId="00A8026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11D0E7" w14:textId="24B8CC5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881685" w14:textId="6AE4BDA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D4B5AB" w14:textId="18839AC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4A5AA9" w14:textId="74FBFE5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4AA7C" w14:textId="5435DD8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D2D84" w14:textId="1FD8E6B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628" w:type="dxa"/>
            <w:vAlign w:val="center"/>
          </w:tcPr>
          <w:p w14:paraId="2ABA0B00" w14:textId="550D7745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</w:tr>
      <w:tr w:rsidR="00F41037" w:rsidRPr="008D2084" w14:paraId="370974C7" w14:textId="6D7CB89C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C3E907" w14:textId="252B4124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H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Doprava a skladování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CF6EE9" w14:textId="68DE0A4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DEB16A" w14:textId="264D058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49285E" w14:textId="6D56C32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E7776" w14:textId="48271F7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59D77D" w14:textId="2A3CEB9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ACA649" w14:textId="1320E7E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740A1F" w14:textId="4EE8D3C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B52BAB" w14:textId="14A3918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901E1" w14:textId="184B2A7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AA0EE0" w14:textId="58F5D7D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628" w:type="dxa"/>
            <w:vAlign w:val="center"/>
          </w:tcPr>
          <w:p w14:paraId="64C3270A" w14:textId="03C4C982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</w:tr>
      <w:tr w:rsidR="00F41037" w:rsidRPr="008D2084" w14:paraId="524346AD" w14:textId="5DC602A4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3E8CD28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Ubytování, stravování</w:t>
            </w:r>
          </w:p>
          <w:p w14:paraId="00D1C220" w14:textId="4F6E9F48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8D2084">
              <w:rPr>
                <w:rFonts w:cs="Arial"/>
                <w:sz w:val="16"/>
                <w:szCs w:val="16"/>
              </w:rPr>
              <w:t xml:space="preserve"> 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pohostinství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0F236" w14:textId="6F76EA6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28B804" w14:textId="6522F81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2851DA" w14:textId="00804A2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60,2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8D2A4" w14:textId="6075D0F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15AB22" w14:textId="7B2FD68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52F923" w14:textId="3E26859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58,7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2C9FFD" w14:textId="58E6041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027285" w14:textId="608239E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02856" w14:textId="0C11FD9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486B26" w14:textId="221A4E6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628" w:type="dxa"/>
            <w:vAlign w:val="center"/>
          </w:tcPr>
          <w:p w14:paraId="1060319C" w14:textId="66966118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54,4</w:t>
            </w:r>
          </w:p>
        </w:tc>
      </w:tr>
      <w:tr w:rsidR="00F41037" w:rsidRPr="008D2084" w14:paraId="02ED0F58" w14:textId="43AAC004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9D0948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J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Informační a komunikační </w:t>
            </w:r>
          </w:p>
          <w:p w14:paraId="79FB4BB0" w14:textId="362CF94C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3995F" w14:textId="54DBAE6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FA3DC" w14:textId="54201A2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EDFA4E" w14:textId="7441AE3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A82B78" w14:textId="0CB9976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28,2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989016" w14:textId="6E97A4E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DC5F5A" w14:textId="39282E0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42E4DA" w14:textId="680E402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27,5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523AE9" w14:textId="56BEA6B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AAF3ED" w14:textId="4321D6A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5CD1E6" w14:textId="7A12126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26,4</w:t>
            </w:r>
          </w:p>
        </w:tc>
        <w:tc>
          <w:tcPr>
            <w:tcW w:w="628" w:type="dxa"/>
            <w:vAlign w:val="center"/>
          </w:tcPr>
          <w:p w14:paraId="08953445" w14:textId="60919B7A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</w:tr>
      <w:tr w:rsidR="00F41037" w:rsidRPr="008D2084" w14:paraId="713E9911" w14:textId="0F609258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724B94" w14:textId="65C3B0D9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K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Peněžnictví a pojišťovnictví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CA57D7" w14:textId="0D1B8D7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98B33D" w14:textId="447A0C1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106B9" w14:textId="169C64D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0BBFB2" w14:textId="74A7EED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5FD5C" w14:textId="362EC5F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958943" w14:textId="7A94D15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BFBD2F" w14:textId="5C2D9F9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C99901" w14:textId="00CDC4D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FF889D" w14:textId="4B8DC56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28D34B" w14:textId="2731C8B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31,8</w:t>
            </w:r>
          </w:p>
        </w:tc>
        <w:tc>
          <w:tcPr>
            <w:tcW w:w="628" w:type="dxa"/>
            <w:vAlign w:val="center"/>
          </w:tcPr>
          <w:p w14:paraId="06DAE6B4" w14:textId="3E2B03B8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31,7</w:t>
            </w:r>
          </w:p>
        </w:tc>
      </w:tr>
      <w:tr w:rsidR="00F41037" w:rsidRPr="008D2084" w14:paraId="569FEE4F" w14:textId="7652EB38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83238E" w14:textId="3D5082BD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L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Činnosti v oblasti nemovitostí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F7B42A" w14:textId="4850516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C75DDC" w14:textId="5730406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68C05F" w14:textId="571C5BD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A8FB97" w14:textId="78D5CBC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C8AC17" w14:textId="68491EB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54,4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7EDF33" w14:textId="5D8BBE2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56,3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57048" w14:textId="46EC316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F1624F" w14:textId="5138506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5369C" w14:textId="127C189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CC434" w14:textId="23D49E5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628" w:type="dxa"/>
            <w:vAlign w:val="center"/>
          </w:tcPr>
          <w:p w14:paraId="6616BC93" w14:textId="514D3EAD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</w:tr>
      <w:tr w:rsidR="00F41037" w:rsidRPr="008D2084" w14:paraId="65218148" w14:textId="5DF7B9B4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548CB5B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M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Profesní, vědecké </w:t>
            </w:r>
          </w:p>
          <w:p w14:paraId="4613E736" w14:textId="68858935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technické 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99C9A7" w14:textId="58ADC65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D9C6A4" w14:textId="18EBC66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A6332F" w14:textId="7514D6B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064EFE" w14:textId="5AC09B9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1339A" w14:textId="74796B2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F55FCE" w14:textId="7E369A1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6938E7" w14:textId="12A0615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B8D24F" w14:textId="4A94092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68D2C1" w14:textId="3E649E2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69F679" w14:textId="518490A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628" w:type="dxa"/>
            <w:vAlign w:val="center"/>
          </w:tcPr>
          <w:p w14:paraId="039C1E43" w14:textId="155781BE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</w:tr>
      <w:tr w:rsidR="00F41037" w:rsidRPr="008D2084" w14:paraId="100F10B6" w14:textId="4D4D2E0D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291C9A1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N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Administrativní a podpůrné </w:t>
            </w:r>
          </w:p>
          <w:p w14:paraId="516994C7" w14:textId="1CE20976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D662A" w14:textId="3165DB7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C54B3A" w14:textId="6EF1EA4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E3AE1D" w14:textId="67795AA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9B514B" w14:textId="7D10F1E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8AA461" w14:textId="24228E9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D0F9EC" w14:textId="7148C5F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10C706" w14:textId="7ABB345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B0076B" w14:textId="15AEB78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1996B3" w14:textId="701F6CF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70A33" w14:textId="3FAFEF7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628" w:type="dxa"/>
            <w:vAlign w:val="center"/>
          </w:tcPr>
          <w:p w14:paraId="24EC985E" w14:textId="14214FAB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</w:tr>
      <w:tr w:rsidR="00F41037" w:rsidRPr="008D2084" w14:paraId="5D3C2DFF" w14:textId="0365BE20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6D83BD1" w14:textId="77777777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O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Veřejná správa a obrana; </w:t>
            </w:r>
          </w:p>
          <w:p w14:paraId="113FE988" w14:textId="6665C30B" w:rsidR="00F41037" w:rsidRPr="008D2084" w:rsidRDefault="00F41037" w:rsidP="003357F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povinné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8D2084">
              <w:rPr>
                <w:rFonts w:cs="Arial"/>
                <w:sz w:val="16"/>
                <w:szCs w:val="16"/>
              </w:rPr>
              <w:t>soc</w:t>
            </w:r>
            <w:r w:rsidR="003357F4">
              <w:rPr>
                <w:rFonts w:cs="Arial"/>
                <w:sz w:val="16"/>
                <w:szCs w:val="16"/>
              </w:rPr>
              <w:t>. z</w:t>
            </w:r>
            <w:r w:rsidRPr="008D2084">
              <w:rPr>
                <w:rFonts w:cs="Arial"/>
                <w:sz w:val="16"/>
                <w:szCs w:val="16"/>
              </w:rPr>
              <w:t>abezpečení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EED30E" w14:textId="0090D99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23B951" w14:textId="0DA1836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895496" w14:textId="6119F2A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EB138" w14:textId="79E68A4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618A0F" w14:textId="6410CA5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FA3DAF" w14:textId="6A0033E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1D536A" w14:textId="131E025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15F8A0" w14:textId="168E597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FA46" w14:textId="55DC67D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613BB3" w14:textId="11850F8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34,9</w:t>
            </w:r>
          </w:p>
        </w:tc>
        <w:tc>
          <w:tcPr>
            <w:tcW w:w="628" w:type="dxa"/>
            <w:vAlign w:val="center"/>
          </w:tcPr>
          <w:p w14:paraId="713B736A" w14:textId="286A473D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35,1</w:t>
            </w:r>
          </w:p>
        </w:tc>
      </w:tr>
      <w:tr w:rsidR="00F41037" w:rsidRPr="008D2084" w14:paraId="5EF12747" w14:textId="5650A23D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BD8619" w14:textId="0C29D17E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P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Vzdělávání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E4D97" w14:textId="5DF4753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8371E6" w14:textId="7D0638B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B54870" w14:textId="2C0B5C2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32,5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8E042" w14:textId="5DB48A50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36,7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B0094A" w14:textId="78F4210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611008" w14:textId="74B2EC9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35,6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0ECEF" w14:textId="2740530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7E4132" w14:textId="3032D79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33,3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981A18" w14:textId="05427A0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32,2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2DD92C" w14:textId="43AB106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30,5</w:t>
            </w:r>
          </w:p>
        </w:tc>
        <w:tc>
          <w:tcPr>
            <w:tcW w:w="628" w:type="dxa"/>
            <w:vAlign w:val="center"/>
          </w:tcPr>
          <w:p w14:paraId="6E6CF4FE" w14:textId="7152F9F5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31,2</w:t>
            </w:r>
          </w:p>
        </w:tc>
      </w:tr>
      <w:tr w:rsidR="00F41037" w:rsidRPr="008D2084" w14:paraId="04F1DD0F" w14:textId="413438A3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7CB4C5" w14:textId="56582A29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Q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Zdravotní a sociální péče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2FCB93" w14:textId="5B9A150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A1905C" w14:textId="3620AFD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BD79C" w14:textId="7F0C80D2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B72BC" w14:textId="0DF4FC4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6D61D4" w14:textId="47D4EFA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EB916" w14:textId="339A817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1F6E3D" w14:textId="50E4CEF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D4F904" w14:textId="0CE23C7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620D02" w14:textId="6E358F84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99D7A0" w14:textId="13802AFE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46,0</w:t>
            </w:r>
          </w:p>
        </w:tc>
        <w:tc>
          <w:tcPr>
            <w:tcW w:w="628" w:type="dxa"/>
            <w:vAlign w:val="center"/>
          </w:tcPr>
          <w:p w14:paraId="0B6D91F2" w14:textId="4CEFA8BD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46,3</w:t>
            </w:r>
          </w:p>
        </w:tc>
      </w:tr>
      <w:tr w:rsidR="00F41037" w:rsidRPr="008D2084" w14:paraId="1363DA54" w14:textId="4CA36200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BA4A50" w14:textId="7BD911D6" w:rsidR="00F41037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R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 xml:space="preserve">Kulturní, zábavní a rekreační </w:t>
            </w:r>
          </w:p>
          <w:p w14:paraId="7EC1ABEF" w14:textId="0BF76CFF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 </w:t>
            </w:r>
            <w:r w:rsidRPr="008D2084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EDFDF6" w14:textId="42EA1A0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34B63C" w14:textId="451E4FD5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3FFCE8" w14:textId="368D645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D61358" w14:textId="7C2BD3E6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0E03F" w14:textId="4BCEFAFB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97C373" w14:textId="5554CF0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320891" w14:textId="788DDE6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7F6AD5" w14:textId="3DA4EEB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324426" w14:textId="1706FF53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D2651" w14:textId="30D4C228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628" w:type="dxa"/>
            <w:vAlign w:val="center"/>
          </w:tcPr>
          <w:p w14:paraId="32F37364" w14:textId="65ABAACA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</w:tr>
      <w:tr w:rsidR="00F41037" w:rsidRPr="008D2084" w14:paraId="7F4F5DF8" w14:textId="1E42C057" w:rsidTr="0074692F">
        <w:trPr>
          <w:trHeight w:val="340"/>
        </w:trPr>
        <w:tc>
          <w:tcPr>
            <w:tcW w:w="266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BB8761" w14:textId="6FF069FD" w:rsidR="00F41037" w:rsidRPr="008D2084" w:rsidRDefault="00F41037" w:rsidP="00F41037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D2084">
              <w:rPr>
                <w:rFonts w:cs="Arial"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8D2084">
              <w:rPr>
                <w:rFonts w:cs="Arial"/>
                <w:sz w:val="16"/>
                <w:szCs w:val="16"/>
              </w:rPr>
              <w:t>Ostatní činnosti</w:t>
            </w:r>
          </w:p>
        </w:tc>
        <w:tc>
          <w:tcPr>
            <w:tcW w:w="628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457D4A" w14:textId="473992A7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E44CD5" w14:textId="7470744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50,8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647620" w14:textId="4F9CE9FC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53,0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146F16" w14:textId="3077C7FA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50,2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66115" w14:textId="64F6859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F71E0D" w14:textId="4829301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49,6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488DC5" w14:textId="5CBB637F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48,1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3AF7B" w14:textId="37A3A6A1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FF7B2" w14:textId="4CD57109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46,9</w:t>
            </w:r>
          </w:p>
        </w:tc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E44B9" w14:textId="4360B1BD" w:rsidR="00F41037" w:rsidRPr="008D2084" w:rsidRDefault="00F41037" w:rsidP="00F4103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628" w:type="dxa"/>
            <w:vAlign w:val="center"/>
          </w:tcPr>
          <w:p w14:paraId="01D99596" w14:textId="6DEA3888" w:rsidR="00F41037" w:rsidRPr="008D2084" w:rsidRDefault="00F41037" w:rsidP="00F41037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46,3</w:t>
            </w:r>
          </w:p>
        </w:tc>
      </w:tr>
    </w:tbl>
    <w:p w14:paraId="3F05410F" w14:textId="6B771248" w:rsidR="002F5A91" w:rsidRDefault="002F5A91" w:rsidP="00EF14F8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754CBA2C" w14:textId="1BF0E735" w:rsidR="006A51FD" w:rsidRPr="006A51FD" w:rsidRDefault="00162BC5" w:rsidP="009636BA">
      <w:pPr>
        <w:pStyle w:val="Titulek"/>
        <w:keepNext/>
        <w:spacing w:after="60"/>
        <w:rPr>
          <w:b/>
          <w:i w:val="0"/>
          <w:color w:val="auto"/>
          <w:sz w:val="20"/>
        </w:rPr>
      </w:pPr>
      <w:r>
        <w:rPr>
          <w:b/>
          <w:i w:val="0"/>
          <w:color w:val="auto"/>
          <w:sz w:val="20"/>
        </w:rPr>
        <w:t>Graf 2.</w:t>
      </w:r>
      <w:r w:rsidR="007C262E">
        <w:rPr>
          <w:b/>
          <w:i w:val="0"/>
          <w:color w:val="auto"/>
          <w:sz w:val="20"/>
        </w:rPr>
        <w:t>1</w:t>
      </w:r>
      <w:r w:rsidR="00BA0BED">
        <w:rPr>
          <w:b/>
          <w:i w:val="0"/>
          <w:color w:val="auto"/>
          <w:sz w:val="20"/>
        </w:rPr>
        <w:t>0</w:t>
      </w:r>
      <w:r w:rsidR="006A51FD" w:rsidRPr="006A51FD">
        <w:rPr>
          <w:b/>
          <w:i w:val="0"/>
          <w:color w:val="auto"/>
          <w:sz w:val="20"/>
        </w:rPr>
        <w:t xml:space="preserve">: Průměrná délka trvání </w:t>
      </w:r>
      <w:r w:rsidR="003357F4">
        <w:rPr>
          <w:b/>
          <w:i w:val="0"/>
          <w:color w:val="auto"/>
          <w:sz w:val="20"/>
        </w:rPr>
        <w:t xml:space="preserve">dočasné </w:t>
      </w:r>
      <w:r w:rsidR="006A51FD" w:rsidRPr="006A51FD">
        <w:rPr>
          <w:b/>
          <w:i w:val="0"/>
          <w:color w:val="auto"/>
          <w:sz w:val="20"/>
        </w:rPr>
        <w:t>pracovní neschopnosti podle krajů ČR</w:t>
      </w:r>
      <w:r w:rsidR="00452182">
        <w:rPr>
          <w:b/>
          <w:i w:val="0"/>
          <w:color w:val="auto"/>
          <w:sz w:val="20"/>
        </w:rPr>
        <w:t xml:space="preserve">, </w:t>
      </w:r>
      <w:r w:rsidR="006A51FD" w:rsidRPr="006A51FD">
        <w:rPr>
          <w:b/>
          <w:i w:val="0"/>
          <w:color w:val="auto"/>
          <w:sz w:val="20"/>
        </w:rPr>
        <w:t>201</w:t>
      </w:r>
      <w:r w:rsidR="00212A81">
        <w:rPr>
          <w:b/>
          <w:i w:val="0"/>
          <w:color w:val="auto"/>
          <w:sz w:val="20"/>
        </w:rPr>
        <w:t>9</w:t>
      </w:r>
    </w:p>
    <w:p w14:paraId="33FAD484" w14:textId="3C74A0C7" w:rsidR="006A51FD" w:rsidRPr="00CF263C" w:rsidRDefault="00212A81" w:rsidP="009636BA">
      <w:pPr>
        <w:spacing w:before="120" w:after="120"/>
        <w:rPr>
          <w:b/>
        </w:rPr>
      </w:pPr>
      <w:r>
        <w:rPr>
          <w:noProof/>
        </w:rPr>
        <w:drawing>
          <wp:inline distT="0" distB="0" distL="0" distR="0" wp14:anchorId="19198717" wp14:editId="050B8022">
            <wp:extent cx="6124575" cy="2838450"/>
            <wp:effectExtent l="0" t="0" r="9525" b="0"/>
            <wp:docPr id="49" name="Graf 49">
              <a:extLst xmlns:a="http://schemas.openxmlformats.org/drawingml/2006/main">
                <a:ext uri="{FF2B5EF4-FFF2-40B4-BE49-F238E27FC236}">
                  <a16:creationId xmlns:a16="http://schemas.microsoft.com/office/drawing/2014/main" id="{3FB4C09F-FFBF-4DAB-A734-EB10E7B4628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  <w:r w:rsidR="006A51FD" w:rsidRPr="00BC3FF5">
        <w:rPr>
          <w:sz w:val="18"/>
        </w:rPr>
        <w:t>Zdroj: ČSÚ</w:t>
      </w:r>
    </w:p>
    <w:p w14:paraId="27E3E96C" w14:textId="77777777" w:rsidR="009636BA" w:rsidRDefault="009636BA">
      <w:pPr>
        <w:spacing w:after="0" w:line="240" w:lineRule="auto"/>
      </w:pPr>
      <w:r>
        <w:br w:type="page"/>
      </w:r>
    </w:p>
    <w:p w14:paraId="102E1971" w14:textId="555A4F8D" w:rsidR="00D71620" w:rsidRDefault="00D71620" w:rsidP="00D1064D">
      <w:pPr>
        <w:spacing w:after="120"/>
        <w:jc w:val="both"/>
        <w:rPr>
          <w:b/>
        </w:rPr>
      </w:pPr>
      <w:r w:rsidRPr="00E55EDF">
        <w:lastRenderedPageBreak/>
        <w:t xml:space="preserve">Z pohledu </w:t>
      </w:r>
      <w:r w:rsidRPr="00CA6C66">
        <w:rPr>
          <w:b/>
          <w:bCs/>
        </w:rPr>
        <w:t>detailnějšího územního členění</w:t>
      </w:r>
      <w:r w:rsidR="00BA0BED">
        <w:t xml:space="preserve"> (viz kartogram 2.1)</w:t>
      </w:r>
      <w:r w:rsidRPr="00E55EDF">
        <w:t xml:space="preserve"> je zřejmý větší rozptyl hodnot tohoto relativního ukazatele. Nejvyšší průměrnou d</w:t>
      </w:r>
      <w:r w:rsidR="0074692F">
        <w:t xml:space="preserve">élku </w:t>
      </w:r>
      <w:r w:rsidR="007F3530">
        <w:t xml:space="preserve">na jeden případ </w:t>
      </w:r>
      <w:r w:rsidR="0074692F">
        <w:t>v roce 2019</w:t>
      </w:r>
      <w:r w:rsidRPr="00E55EDF">
        <w:t xml:space="preserve"> </w:t>
      </w:r>
      <w:r w:rsidR="007F3530">
        <w:t>vykazoval</w:t>
      </w:r>
      <w:r w:rsidRPr="00E55EDF">
        <w:t xml:space="preserve"> okres Vsetín (55,2</w:t>
      </w:r>
      <w:r w:rsidR="00CA6C66">
        <w:t> </w:t>
      </w:r>
      <w:r w:rsidRPr="00E55EDF">
        <w:t xml:space="preserve">dne) ve Zlínském kraji, který se na předních místech mezi okresy s nejdelší pracovní neschopností </w:t>
      </w:r>
      <w:r w:rsidR="007F3530" w:rsidRPr="00E55EDF">
        <w:t xml:space="preserve">pohybuje </w:t>
      </w:r>
      <w:r w:rsidR="007F3530">
        <w:t>již několik let. Následovaly</w:t>
      </w:r>
      <w:r w:rsidRPr="00E55EDF">
        <w:t xml:space="preserve"> okres</w:t>
      </w:r>
      <w:r w:rsidR="007F3530">
        <w:t>y</w:t>
      </w:r>
      <w:r w:rsidRPr="00E55EDF">
        <w:t xml:space="preserve"> Blansko (v </w:t>
      </w:r>
      <w:r>
        <w:t>J</w:t>
      </w:r>
      <w:r w:rsidRPr="00E55EDF">
        <w:t>ihomoravském kraji) a Frýdek-Místek (v</w:t>
      </w:r>
      <w:r w:rsidR="00CA6C66">
        <w:t> </w:t>
      </w:r>
      <w:r w:rsidRPr="00E55EDF">
        <w:t>Moravskoslezském kraji), které vykazovaly průměrnou délku případu pracovní neschopnosti 53 dnů. Nejkratší průměrnou dobu trvání pracovní neschopnosti zaznamenáváme stejně jako v roce 2018 u královéhradeckého okresu Rychnov nad Kněžnou (33 dnů) a okresu Mladá Boleslav (34 dnů) ve Středočeském kraji.</w:t>
      </w:r>
    </w:p>
    <w:p w14:paraId="5E49D4E8" w14:textId="772F189F" w:rsidR="005348D7" w:rsidRDefault="005348D7" w:rsidP="009636BA">
      <w:pPr>
        <w:pStyle w:val="Titulek"/>
        <w:keepNext/>
        <w:spacing w:after="60"/>
        <w:rPr>
          <w:rFonts w:cs="Arial"/>
        </w:rPr>
      </w:pPr>
      <w:r w:rsidRPr="005348D7">
        <w:rPr>
          <w:rFonts w:cs="Arial"/>
          <w:b/>
          <w:i w:val="0"/>
          <w:color w:val="000000" w:themeColor="text1"/>
          <w:sz w:val="20"/>
        </w:rPr>
        <w:t xml:space="preserve">Kartogram </w:t>
      </w:r>
      <w:r w:rsidR="00C95F74">
        <w:rPr>
          <w:rFonts w:cs="Arial"/>
          <w:b/>
          <w:i w:val="0"/>
          <w:color w:val="000000" w:themeColor="text1"/>
          <w:sz w:val="20"/>
        </w:rPr>
        <w:t>2</w:t>
      </w:r>
      <w:r w:rsidRPr="005348D7">
        <w:rPr>
          <w:rFonts w:cs="Arial"/>
          <w:b/>
          <w:i w:val="0"/>
          <w:color w:val="000000" w:themeColor="text1"/>
          <w:sz w:val="20"/>
        </w:rPr>
        <w:t>.1:</w:t>
      </w:r>
      <w:r w:rsidRPr="005348D7">
        <w:rPr>
          <w:rFonts w:cs="Arial"/>
          <w:color w:val="000000" w:themeColor="text1"/>
          <w:sz w:val="20"/>
        </w:rPr>
        <w:t xml:space="preserve"> </w:t>
      </w:r>
      <w:r w:rsidRPr="00AB3FB1">
        <w:rPr>
          <w:b/>
          <w:i w:val="0"/>
          <w:color w:val="auto"/>
          <w:sz w:val="20"/>
        </w:rPr>
        <w:t xml:space="preserve">Průměrná délka trvání dočasné pracovní neschopnosti </w:t>
      </w:r>
      <w:r>
        <w:rPr>
          <w:b/>
          <w:i w:val="0"/>
          <w:color w:val="auto"/>
          <w:sz w:val="20"/>
        </w:rPr>
        <w:t>v okresech a krajích</w:t>
      </w:r>
      <w:r w:rsidRPr="00AB3FB1">
        <w:rPr>
          <w:b/>
          <w:i w:val="0"/>
          <w:color w:val="auto"/>
          <w:sz w:val="20"/>
        </w:rPr>
        <w:t xml:space="preserve"> ČR</w:t>
      </w:r>
      <w:r>
        <w:rPr>
          <w:b/>
          <w:i w:val="0"/>
          <w:color w:val="auto"/>
          <w:sz w:val="20"/>
        </w:rPr>
        <w:t>, 2019</w:t>
      </w:r>
    </w:p>
    <w:p w14:paraId="07A25F95" w14:textId="6E2C90BC" w:rsidR="00CF263C" w:rsidRDefault="005348D7" w:rsidP="009636BA">
      <w:pPr>
        <w:jc w:val="both"/>
        <w:rPr>
          <w:b/>
          <w:iCs/>
          <w:szCs w:val="18"/>
        </w:rPr>
      </w:pPr>
      <w:r w:rsidRPr="005348D7">
        <w:rPr>
          <w:noProof/>
        </w:rPr>
        <w:drawing>
          <wp:inline distT="0" distB="0" distL="0" distR="0" wp14:anchorId="43D794D3" wp14:editId="5BAF9D64">
            <wp:extent cx="5821680" cy="3721513"/>
            <wp:effectExtent l="0" t="0" r="7620" b="0"/>
            <wp:docPr id="55" name="Obrázek 55" descr="D:\hykysova23070\Documents\GroupWise\Alča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hykysova23070\Documents\GroupWise\Alča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63" b="2342"/>
                    <a:stretch/>
                  </pic:blipFill>
                  <pic:spPr bwMode="auto">
                    <a:xfrm>
                      <a:off x="0" y="0"/>
                      <a:ext cx="5841523" cy="3734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A0BED" w:rsidRPr="00BA0BED">
        <w:rPr>
          <w:iCs/>
          <w:sz w:val="18"/>
          <w:szCs w:val="18"/>
        </w:rPr>
        <w:t>Zdroj: ČSÚ</w:t>
      </w:r>
      <w:bookmarkStart w:id="12" w:name="_Toc10112624"/>
    </w:p>
    <w:p w14:paraId="31A86B99" w14:textId="67923440" w:rsidR="006A51FD" w:rsidRPr="00AB3FB1" w:rsidRDefault="006A51FD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r w:rsidRPr="00AB3FB1">
        <w:rPr>
          <w:b/>
          <w:i w:val="0"/>
          <w:color w:val="auto"/>
          <w:sz w:val="20"/>
        </w:rPr>
        <w:t>Tab</w:t>
      </w:r>
      <w:r w:rsidR="003728E7">
        <w:rPr>
          <w:b/>
          <w:i w:val="0"/>
          <w:color w:val="auto"/>
          <w:sz w:val="20"/>
        </w:rPr>
        <w:t>.</w:t>
      </w:r>
      <w:r w:rsidRPr="00AB3FB1">
        <w:rPr>
          <w:b/>
          <w:i w:val="0"/>
          <w:color w:val="auto"/>
          <w:sz w:val="20"/>
        </w:rPr>
        <w:t xml:space="preserve"> </w:t>
      </w:r>
      <w:r w:rsidR="00162BC5">
        <w:rPr>
          <w:b/>
          <w:i w:val="0"/>
          <w:color w:val="auto"/>
          <w:sz w:val="20"/>
        </w:rPr>
        <w:t>2.</w:t>
      </w:r>
      <w:r w:rsidRPr="00AB3FB1">
        <w:rPr>
          <w:b/>
          <w:i w:val="0"/>
          <w:color w:val="auto"/>
          <w:sz w:val="20"/>
        </w:rPr>
        <w:fldChar w:fldCharType="begin"/>
      </w:r>
      <w:r w:rsidRPr="00AB3FB1">
        <w:rPr>
          <w:b/>
          <w:i w:val="0"/>
          <w:color w:val="auto"/>
          <w:sz w:val="20"/>
        </w:rPr>
        <w:instrText xml:space="preserve"> SEQ Tabulka \* ARABIC </w:instrText>
      </w:r>
      <w:r w:rsidRPr="00AB3FB1">
        <w:rPr>
          <w:b/>
          <w:i w:val="0"/>
          <w:color w:val="auto"/>
          <w:sz w:val="20"/>
        </w:rPr>
        <w:fldChar w:fldCharType="separate"/>
      </w:r>
      <w:r w:rsidR="00FF7036">
        <w:rPr>
          <w:b/>
          <w:i w:val="0"/>
          <w:noProof/>
          <w:color w:val="auto"/>
          <w:sz w:val="20"/>
        </w:rPr>
        <w:t>6</w:t>
      </w:r>
      <w:r w:rsidRPr="00AB3FB1">
        <w:rPr>
          <w:b/>
          <w:i w:val="0"/>
          <w:color w:val="auto"/>
          <w:sz w:val="20"/>
        </w:rPr>
        <w:fldChar w:fldCharType="end"/>
      </w:r>
      <w:r w:rsidR="00AB3FB1" w:rsidRPr="00AB3FB1">
        <w:rPr>
          <w:b/>
          <w:i w:val="0"/>
          <w:color w:val="auto"/>
          <w:sz w:val="20"/>
        </w:rPr>
        <w:t>: Průměrná délka trvání dočasné pracovní neschopnosti podle krajů ČR</w:t>
      </w:r>
      <w:r w:rsidR="00452182">
        <w:rPr>
          <w:b/>
          <w:i w:val="0"/>
          <w:color w:val="auto"/>
          <w:sz w:val="20"/>
        </w:rPr>
        <w:t xml:space="preserve">, </w:t>
      </w:r>
      <w:r w:rsidR="00AB3FB1" w:rsidRPr="00AB3FB1">
        <w:rPr>
          <w:b/>
          <w:i w:val="0"/>
          <w:color w:val="auto"/>
          <w:sz w:val="20"/>
        </w:rPr>
        <w:t>200</w:t>
      </w:r>
      <w:r w:rsidR="00212A81">
        <w:rPr>
          <w:b/>
          <w:i w:val="0"/>
          <w:color w:val="auto"/>
          <w:sz w:val="20"/>
        </w:rPr>
        <w:t>9</w:t>
      </w:r>
      <w:r w:rsidR="00AB3FB1" w:rsidRPr="00AB3FB1">
        <w:rPr>
          <w:b/>
          <w:i w:val="0"/>
          <w:color w:val="auto"/>
          <w:sz w:val="20"/>
        </w:rPr>
        <w:t>–201</w:t>
      </w:r>
      <w:bookmarkEnd w:id="12"/>
      <w:r w:rsidR="00212A81">
        <w:rPr>
          <w:b/>
          <w:i w:val="0"/>
          <w:color w:val="auto"/>
          <w:sz w:val="20"/>
        </w:rPr>
        <w:t>9</w:t>
      </w:r>
    </w:p>
    <w:tbl>
      <w:tblPr>
        <w:tblW w:w="956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8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2"/>
        <w:gridCol w:w="705"/>
      </w:tblGrid>
      <w:tr w:rsidR="00BA0BED" w:rsidRPr="008C2001" w14:paraId="27BCF2F4" w14:textId="0A36E4E5" w:rsidTr="0074692F">
        <w:trPr>
          <w:trHeight w:val="283"/>
        </w:trPr>
        <w:tc>
          <w:tcPr>
            <w:tcW w:w="183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5DADD"/>
            <w:vAlign w:val="center"/>
          </w:tcPr>
          <w:p w14:paraId="0D561D62" w14:textId="017B64C6" w:rsidR="00212A81" w:rsidRPr="008C2001" w:rsidRDefault="003357F4" w:rsidP="003357F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Kraj ČR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72D053C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52EA902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A16A63D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1F45D4F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6AC6FF3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04F855C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5BBEA38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5155157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DDE5F22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6F45DBD" w14:textId="77777777" w:rsidR="00212A81" w:rsidRPr="008C2001" w:rsidRDefault="00212A81" w:rsidP="00212A81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05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76F7D392" w14:textId="1C7C7297" w:rsidR="00212A81" w:rsidRPr="008C2001" w:rsidRDefault="00212A81" w:rsidP="00212A81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BA0BED" w:rsidRPr="008C2001" w14:paraId="2DDB7B7F" w14:textId="6D44C9B8" w:rsidTr="0074692F">
        <w:trPr>
          <w:trHeight w:val="283"/>
        </w:trPr>
        <w:tc>
          <w:tcPr>
            <w:tcW w:w="183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6C14592" w14:textId="77777777" w:rsidR="00E56B7C" w:rsidRPr="008C2001" w:rsidRDefault="00E56B7C" w:rsidP="00E56B7C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C2001">
              <w:rPr>
                <w:rFonts w:cs="Arial"/>
                <w:b/>
                <w:bCs/>
                <w:sz w:val="16"/>
                <w:szCs w:val="16"/>
              </w:rPr>
              <w:t>ČR celkem</w:t>
            </w:r>
          </w:p>
        </w:tc>
        <w:tc>
          <w:tcPr>
            <w:tcW w:w="70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76035" w14:textId="6D81BB8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2A1A7" w14:textId="427E3FA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0059B0" w14:textId="0406E9E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D7C7E" w14:textId="23CBA44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1DD985" w14:textId="2F98FDB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2EA4CC" w14:textId="035D442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750C03" w14:textId="5378340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AAA21" w14:textId="39BF85BF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3D8210" w14:textId="18370A0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70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383FE" w14:textId="3425A66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41,7</w:t>
            </w:r>
          </w:p>
        </w:tc>
        <w:tc>
          <w:tcPr>
            <w:tcW w:w="705" w:type="dxa"/>
            <w:tcBorders>
              <w:top w:val="single" w:sz="8" w:space="0" w:color="auto"/>
            </w:tcBorders>
            <w:vAlign w:val="center"/>
          </w:tcPr>
          <w:p w14:paraId="02FB80E6" w14:textId="57970D89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42,4</w:t>
            </w:r>
          </w:p>
        </w:tc>
      </w:tr>
      <w:tr w:rsidR="00BA0BED" w:rsidRPr="008C2001" w14:paraId="247EF5A2" w14:textId="7E9BB9D2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81D70E8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Hl. m. Praha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E0E9F6" w14:textId="68E7F85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C49C6" w14:textId="50EFC38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270EBD" w14:textId="497075B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D5263" w14:textId="7D75520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E5ED5" w14:textId="6F3B1B0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88D411" w14:textId="7DE2047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C5CF9" w14:textId="61D53B4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C7C3A0" w14:textId="3F2AD3C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C50B" w14:textId="69AAD6C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9BEA79" w14:textId="35C3DBB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38,6</w:t>
            </w:r>
          </w:p>
        </w:tc>
        <w:tc>
          <w:tcPr>
            <w:tcW w:w="705" w:type="dxa"/>
            <w:vAlign w:val="center"/>
          </w:tcPr>
          <w:p w14:paraId="3734AFF5" w14:textId="7EA1341C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</w:tr>
      <w:tr w:rsidR="00BA0BED" w:rsidRPr="008C2001" w14:paraId="1B6EA47E" w14:textId="22984FC0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5A1FAE1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Středočeský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956A7C" w14:textId="3854E2D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2E306" w14:textId="4FCF55E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6C3E0F" w14:textId="39D72F5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5C067" w14:textId="7BA8B43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033265" w14:textId="706E35B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113A7" w14:textId="2994ECB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BA1AB" w14:textId="348380E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85F935" w14:textId="5CB9C6A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B64929" w14:textId="29B08B0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217ABE" w14:textId="1B8401B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39,7</w:t>
            </w:r>
          </w:p>
        </w:tc>
        <w:tc>
          <w:tcPr>
            <w:tcW w:w="705" w:type="dxa"/>
            <w:vAlign w:val="center"/>
          </w:tcPr>
          <w:p w14:paraId="483847CD" w14:textId="4A426D96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40,4</w:t>
            </w:r>
          </w:p>
        </w:tc>
      </w:tr>
      <w:tr w:rsidR="00BA0BED" w:rsidRPr="008C2001" w14:paraId="4233EE58" w14:textId="2914502E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A9249A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Jihočeský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C8AE6" w14:textId="622CDA5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F99D48" w14:textId="404D3AF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139338" w14:textId="089680E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3B0CD" w14:textId="55F826A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A259B3" w14:textId="50864DE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A580ED5" w14:textId="482CE5A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3DBCF3" w14:textId="484476E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867943" w14:textId="61AA6C2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E6E804" w14:textId="690603E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5FB1C8" w14:textId="1B7FA13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705" w:type="dxa"/>
            <w:vAlign w:val="center"/>
          </w:tcPr>
          <w:p w14:paraId="0B54B35B" w14:textId="2488CF6B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44,4</w:t>
            </w:r>
          </w:p>
        </w:tc>
      </w:tr>
      <w:tr w:rsidR="00BA0BED" w:rsidRPr="008C2001" w14:paraId="24A2DCE8" w14:textId="5643AC45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D4B71A5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Plzeňský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C8C11" w14:textId="5B08EB7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63C52" w14:textId="04FD08A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4EEF5" w14:textId="6341518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4FE653" w14:textId="0E1CAE7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3D645" w14:textId="7A50F5F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7FDFEB" w14:textId="568B8DE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E25D1" w14:textId="3BF520F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BDAF0D" w14:textId="76E6B1C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F13D52" w14:textId="7C271D9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CA4417" w14:textId="4471B4C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38,4</w:t>
            </w:r>
          </w:p>
        </w:tc>
        <w:tc>
          <w:tcPr>
            <w:tcW w:w="705" w:type="dxa"/>
            <w:vAlign w:val="center"/>
          </w:tcPr>
          <w:p w14:paraId="7D34B2BF" w14:textId="7531EB9C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</w:tr>
      <w:tr w:rsidR="00BA0BED" w:rsidRPr="008C2001" w14:paraId="266FE237" w14:textId="2A63DA81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016CC1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Karlovarský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C4355F" w14:textId="0D64D37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05327" w14:textId="3FDE03C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C2F09D" w14:textId="410B3B1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956AD0" w14:textId="3C4C42F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2F74BE" w14:textId="5399ED1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9E8C4B" w14:textId="73A39D4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78E90C" w14:textId="37AC590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9135FF" w14:textId="716046C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D139CC" w14:textId="12B824F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A32FDD" w14:textId="44CE496F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39,3</w:t>
            </w:r>
          </w:p>
        </w:tc>
        <w:tc>
          <w:tcPr>
            <w:tcW w:w="705" w:type="dxa"/>
            <w:vAlign w:val="center"/>
          </w:tcPr>
          <w:p w14:paraId="53C24BF2" w14:textId="209FBC51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40,3</w:t>
            </w:r>
          </w:p>
        </w:tc>
      </w:tr>
      <w:tr w:rsidR="00BA0BED" w:rsidRPr="008C2001" w14:paraId="17D4DBD5" w14:textId="72F2CA7C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4622E9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Ústecký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B6484" w14:textId="746BCFD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3BEC80" w14:textId="3151BA7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ECCE75" w14:textId="5505EB3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91DD2" w14:textId="300FBF0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B9C76D" w14:textId="01D97A1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4602C" w14:textId="4EEA89E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8A69B1" w14:textId="34CDAC4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05642B" w14:textId="6D7D231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E0C0A8" w14:textId="51962FF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4BAA65" w14:textId="61E5B72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42,0</w:t>
            </w:r>
          </w:p>
        </w:tc>
        <w:tc>
          <w:tcPr>
            <w:tcW w:w="705" w:type="dxa"/>
            <w:vAlign w:val="center"/>
          </w:tcPr>
          <w:p w14:paraId="674EF6F3" w14:textId="2A027E6B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42,0</w:t>
            </w:r>
          </w:p>
        </w:tc>
      </w:tr>
      <w:tr w:rsidR="00BA0BED" w:rsidRPr="008C2001" w14:paraId="1348BAE0" w14:textId="3F08266F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022683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Liberecký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D5B389" w14:textId="0E3698F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558502" w14:textId="2DD63D8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DC697B" w14:textId="115A48D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C75FA9" w14:textId="39159E5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ADB748" w14:textId="5D47BB6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CF350" w14:textId="6C24716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F19B5" w14:textId="644359E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A16D5" w14:textId="64F7A2F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0AE0AA" w14:textId="6C5AFB4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59BA31" w14:textId="10F19B5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37,7</w:t>
            </w:r>
          </w:p>
        </w:tc>
        <w:tc>
          <w:tcPr>
            <w:tcW w:w="705" w:type="dxa"/>
            <w:vAlign w:val="center"/>
          </w:tcPr>
          <w:p w14:paraId="36B738EE" w14:textId="303637D2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</w:tr>
      <w:tr w:rsidR="00BA0BED" w:rsidRPr="008C2001" w14:paraId="0BE795F1" w14:textId="3191A700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835EB61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Královéhradecký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BC8613" w14:textId="75C09C7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0957E" w14:textId="1C76737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23CFBA" w14:textId="7622975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E4DAF4" w14:textId="33C8ACA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B087F4" w14:textId="5DAD85C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5C4FCB" w14:textId="44AB222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DE268" w14:textId="661DB4B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41,1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38A73" w14:textId="73873B4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30903" w14:textId="5D17A64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39,9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ED8A83" w14:textId="60D4BED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38,8</w:t>
            </w:r>
          </w:p>
        </w:tc>
        <w:tc>
          <w:tcPr>
            <w:tcW w:w="705" w:type="dxa"/>
            <w:vAlign w:val="center"/>
          </w:tcPr>
          <w:p w14:paraId="3BC06FC9" w14:textId="258AF2D1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39,2</w:t>
            </w:r>
          </w:p>
        </w:tc>
      </w:tr>
      <w:tr w:rsidR="00BA0BED" w:rsidRPr="008C2001" w14:paraId="3298B3B9" w14:textId="262E5968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E6FE391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Pardubický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8BEA79" w14:textId="24A799E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AEF69B" w14:textId="24195BD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375933" w14:textId="3909D74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65B88A" w14:textId="48D7914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57D1E" w14:textId="4F8FCFE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7DD2D2" w14:textId="1D78130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0DA3D8" w14:textId="595F7F6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38256" w14:textId="0F7630C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BC1A85" w14:textId="69F305F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525521" w14:textId="12C81BC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40,9</w:t>
            </w:r>
          </w:p>
        </w:tc>
        <w:tc>
          <w:tcPr>
            <w:tcW w:w="705" w:type="dxa"/>
            <w:vAlign w:val="center"/>
          </w:tcPr>
          <w:p w14:paraId="5B28C2D2" w14:textId="5A32CA58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42,2</w:t>
            </w:r>
          </w:p>
        </w:tc>
      </w:tr>
      <w:tr w:rsidR="00BA0BED" w:rsidRPr="008C2001" w14:paraId="2B9DA618" w14:textId="79076356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3386CB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Vysočina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70E66" w14:textId="5A7D98E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019BA" w14:textId="34793C1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77B0AA" w14:textId="2BED52B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C13729" w14:textId="26B2352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6DEBB8" w14:textId="42B2CB3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F8EB28" w14:textId="0E67FC5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21401" w14:textId="5F5EEE5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A6463A" w14:textId="4B2FE6E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E0ED13" w14:textId="105D435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F3A8BF" w14:textId="7E889AD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44,2</w:t>
            </w:r>
          </w:p>
        </w:tc>
        <w:tc>
          <w:tcPr>
            <w:tcW w:w="705" w:type="dxa"/>
            <w:vAlign w:val="center"/>
          </w:tcPr>
          <w:p w14:paraId="2B7AC5D7" w14:textId="2C2FBF5A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45,6</w:t>
            </w:r>
          </w:p>
        </w:tc>
      </w:tr>
      <w:tr w:rsidR="00BA0BED" w:rsidRPr="008C2001" w14:paraId="56665032" w14:textId="6BFA7A72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F9A030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Jihomoravský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F49F63" w14:textId="4B225A8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935ECD" w14:textId="74640E2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89D0A" w14:textId="4D0E15AF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46,4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9D55D0" w14:textId="592E0FF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1C37D" w14:textId="122100B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4B5B" w14:textId="23821B0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88BDB2" w14:textId="26C0C33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351F" w14:textId="2382C44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1CCFD6" w14:textId="24BBAE5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5E1C09" w14:textId="066780C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42,6</w:t>
            </w:r>
          </w:p>
        </w:tc>
        <w:tc>
          <w:tcPr>
            <w:tcW w:w="705" w:type="dxa"/>
            <w:vAlign w:val="center"/>
          </w:tcPr>
          <w:p w14:paraId="03386812" w14:textId="5E76E59C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43,3</w:t>
            </w:r>
          </w:p>
        </w:tc>
      </w:tr>
      <w:tr w:rsidR="00BA0BED" w:rsidRPr="008C2001" w14:paraId="348CCAA9" w14:textId="7C28E924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1F8095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Olomoucký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C9ECC" w14:textId="26D460C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4CE21" w14:textId="5C03F88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848F8D" w14:textId="1B81F9A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83B33E" w14:textId="6AB99CC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803302" w14:textId="7D796FD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319EBB" w14:textId="0BBC681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A33EF4" w14:textId="18B15B0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B2FA5E" w14:textId="18F484C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BDF5C" w14:textId="4886DABB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47,2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F4A5E3" w14:textId="32609A0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45,7</w:t>
            </w:r>
          </w:p>
        </w:tc>
        <w:tc>
          <w:tcPr>
            <w:tcW w:w="705" w:type="dxa"/>
            <w:vAlign w:val="center"/>
          </w:tcPr>
          <w:p w14:paraId="488513CC" w14:textId="62FA1E29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46,1</w:t>
            </w:r>
          </w:p>
        </w:tc>
      </w:tr>
      <w:tr w:rsidR="00BA0BED" w:rsidRPr="008C2001" w14:paraId="1138053A" w14:textId="478D0F43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477D07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Zlínský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B0CB8E" w14:textId="0721E5BE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57,0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7DC67F" w14:textId="11BAB89F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54,8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34F405" w14:textId="7236290D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21D49" w14:textId="66A8F89A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55,7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AA5F93" w14:textId="31B238F4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53,8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214D03" w14:textId="32F4F045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55,5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94584A" w14:textId="48FD8FD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BCD72" w14:textId="3DFD7752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581F3" w14:textId="430E66E7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50,3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E74B14" w14:textId="6A0725A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49,2</w:t>
            </w:r>
          </w:p>
        </w:tc>
        <w:tc>
          <w:tcPr>
            <w:tcW w:w="705" w:type="dxa"/>
            <w:vAlign w:val="center"/>
          </w:tcPr>
          <w:p w14:paraId="098F4C8B" w14:textId="162100B9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49,6</w:t>
            </w:r>
          </w:p>
        </w:tc>
      </w:tr>
      <w:tr w:rsidR="00BA0BED" w:rsidRPr="008C2001" w14:paraId="6EFDDE0A" w14:textId="71003984" w:rsidTr="0074692F">
        <w:trPr>
          <w:trHeight w:val="283"/>
        </w:trPr>
        <w:tc>
          <w:tcPr>
            <w:tcW w:w="18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2D3612" w14:textId="77777777" w:rsidR="00E56B7C" w:rsidRPr="008C2001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C2001">
              <w:rPr>
                <w:rFonts w:cs="Arial"/>
                <w:sz w:val="16"/>
                <w:szCs w:val="16"/>
              </w:rPr>
              <w:t>Moravskoslezský kraj</w:t>
            </w:r>
          </w:p>
        </w:tc>
        <w:tc>
          <w:tcPr>
            <w:tcW w:w="70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3CD907" w14:textId="39539E61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51,5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5ED8C1" w14:textId="25411318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48,9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E3D93" w14:textId="56FEAD7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49,0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7D2BF5" w14:textId="56658C7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51,6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C4414" w14:textId="4101CB5C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50,1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C6039" w14:textId="37C7F25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52,6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2443F3" w14:textId="3A55C260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48,6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4F8191" w14:textId="586234B9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50,0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2A6BAC" w14:textId="32673EA6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48,8</w:t>
            </w:r>
          </w:p>
        </w:tc>
        <w:tc>
          <w:tcPr>
            <w:tcW w:w="7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7170B6" w14:textId="1FA5D833" w:rsidR="00E56B7C" w:rsidRPr="008C2001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47,3</w:t>
            </w:r>
          </w:p>
        </w:tc>
        <w:tc>
          <w:tcPr>
            <w:tcW w:w="705" w:type="dxa"/>
            <w:vAlign w:val="center"/>
          </w:tcPr>
          <w:p w14:paraId="30AB62B5" w14:textId="6D654C07" w:rsidR="00E56B7C" w:rsidRPr="008C2001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48,7</w:t>
            </w:r>
          </w:p>
        </w:tc>
      </w:tr>
    </w:tbl>
    <w:p w14:paraId="674FFC18" w14:textId="139967C1" w:rsidR="006A51FD" w:rsidRDefault="006A51FD" w:rsidP="00D1064D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188A9C0D" w14:textId="7760EB2B" w:rsidR="00D1064D" w:rsidRDefault="00922707" w:rsidP="00D1064D">
      <w:pPr>
        <w:spacing w:after="120"/>
        <w:jc w:val="both"/>
      </w:pPr>
      <w:r>
        <w:lastRenderedPageBreak/>
        <w:t>O</w:t>
      </w:r>
      <w:r w:rsidR="005348D7" w:rsidRPr="000547F8">
        <w:t>soby samostatně výdělečně</w:t>
      </w:r>
      <w:r w:rsidR="00D1064D">
        <w:t xml:space="preserve"> </w:t>
      </w:r>
      <w:r w:rsidR="005348D7" w:rsidRPr="000547F8">
        <w:t>činn</w:t>
      </w:r>
      <w:r w:rsidR="005348D7">
        <w:t>é</w:t>
      </w:r>
      <w:r w:rsidR="005348D7" w:rsidRPr="000547F8">
        <w:t xml:space="preserve"> </w:t>
      </w:r>
      <w:r w:rsidR="00D1064D">
        <w:t xml:space="preserve">(OSVČ) </w:t>
      </w:r>
      <w:r w:rsidR="005348D7" w:rsidRPr="000547F8">
        <w:t>nastupují do pracovní neschopnosti méně často než zaměstnanci (14</w:t>
      </w:r>
      <w:r>
        <w:t> </w:t>
      </w:r>
      <w:r w:rsidR="005348D7" w:rsidRPr="000547F8">
        <w:t xml:space="preserve">případů na 100 </w:t>
      </w:r>
      <w:r w:rsidR="00D1064D">
        <w:t xml:space="preserve">nemocensky </w:t>
      </w:r>
      <w:r w:rsidR="005348D7" w:rsidRPr="000547F8">
        <w:t>pojištěn</w:t>
      </w:r>
      <w:r w:rsidR="00D1064D">
        <w:t>ých OSVČ</w:t>
      </w:r>
      <w:r w:rsidR="005348D7" w:rsidRPr="000547F8">
        <w:t xml:space="preserve"> v roce 2019). Pokud jsou však ze zdravotních důvodů z výkonu práce indisponováni, průměrná délka jejich pracovní neschopnosti značně převyšuje ostatní sledované kategorie </w:t>
      </w:r>
      <w:r w:rsidR="00D1064D">
        <w:t xml:space="preserve">zaměstnanců podle velikosti subjektů </w:t>
      </w:r>
      <w:r w:rsidR="005348D7" w:rsidRPr="000547F8">
        <w:t>(viz graf 2.1</w:t>
      </w:r>
      <w:r w:rsidR="0074692F">
        <w:t>1</w:t>
      </w:r>
      <w:r w:rsidR="005348D7" w:rsidRPr="000547F8">
        <w:t>).</w:t>
      </w:r>
    </w:p>
    <w:p w14:paraId="02652D37" w14:textId="49D848D2" w:rsidR="00D1064D" w:rsidRDefault="00D1064D" w:rsidP="007C121B">
      <w:pPr>
        <w:spacing w:after="120"/>
        <w:jc w:val="both"/>
        <w:rPr>
          <w:b/>
        </w:rPr>
      </w:pPr>
      <w:r>
        <w:t>D</w:t>
      </w:r>
      <w:r w:rsidR="005348D7" w:rsidRPr="000547F8">
        <w:t xml:space="preserve">očasná pracovní neschopnost </w:t>
      </w:r>
      <w:r>
        <w:t xml:space="preserve">OSVČ v roce 2019 </w:t>
      </w:r>
      <w:r w:rsidR="005348D7" w:rsidRPr="000547F8">
        <w:t>trv</w:t>
      </w:r>
      <w:r>
        <w:t>ala</w:t>
      </w:r>
      <w:r w:rsidR="005348D7" w:rsidRPr="000547F8">
        <w:t xml:space="preserve"> průměrně 104 dní</w:t>
      </w:r>
      <w:r>
        <w:t xml:space="preserve">. </w:t>
      </w:r>
      <w:r w:rsidRPr="000547F8">
        <w:t xml:space="preserve">Dokonce doba pracovní neschopnosti OSVČ z důvodu nemoci (105,6 dne) převyšuje délku pracovní neschopnosti z důvodu pracovního či jiného úrazu, což je </w:t>
      </w:r>
      <w:r w:rsidR="007F3530" w:rsidRPr="000547F8">
        <w:t xml:space="preserve">přesně naopak </w:t>
      </w:r>
      <w:r w:rsidR="007F3530">
        <w:t xml:space="preserve">než </w:t>
      </w:r>
      <w:r w:rsidRPr="000547F8">
        <w:t>u</w:t>
      </w:r>
      <w:r>
        <w:t> </w:t>
      </w:r>
      <w:r w:rsidRPr="000547F8">
        <w:t xml:space="preserve">všech kategorií </w:t>
      </w:r>
      <w:r>
        <w:t>velikosti podniku</w:t>
      </w:r>
      <w:r w:rsidRPr="000547F8">
        <w:t>. Delší doba trvání pracovní neschopnosti u OSVČ může souviset se skutečností, že tato skupina pojištěnců v době prvních 14 dní trvání pracovní neschopnosti není finančně zabezpečena jako ostatní pojištěnci, je jim vypláceno až nemocenské od 15. dne. Vzhledem k tomuto faktu pak krátkodobé případy lehčích forem nemocí neřeší pracovní neschopností, tu si nechají vystavit až při onemocnění vážnější chorobou, která si pak vyžádá dlouhodobější pracovní neschopnost.</w:t>
      </w:r>
    </w:p>
    <w:p w14:paraId="523F1655" w14:textId="6911E44E" w:rsidR="007B2E56" w:rsidRDefault="007C121B" w:rsidP="00D1064D">
      <w:pPr>
        <w:spacing w:after="120"/>
        <w:jc w:val="both"/>
        <w:rPr>
          <w:b/>
        </w:rPr>
      </w:pPr>
      <w:r>
        <w:t>U ostatních pracovníků zaměstnaných ve všech velikostních skupinách subjektů (definovaných podle počtu zaměstnanců) délka pracovní neschopnosti nepřesáhla 50 dnů. Nejdelší byla v malých subjektech do 49</w:t>
      </w:r>
      <w:r w:rsidR="007F3530">
        <w:t> </w:t>
      </w:r>
      <w:r>
        <w:t>zaměstnanců (47,5 dne). V ostatních velikostních kategoriích zaměstnavatelů se tato hodnota pohybovala okolo 40 dnů.</w:t>
      </w:r>
    </w:p>
    <w:p w14:paraId="680A90B8" w14:textId="34429405" w:rsidR="00C40474" w:rsidRPr="007C121B" w:rsidRDefault="00162BC5" w:rsidP="009636BA">
      <w:pPr>
        <w:pStyle w:val="Titulek"/>
        <w:keepNext/>
        <w:spacing w:after="60"/>
        <w:rPr>
          <w:b/>
          <w:i w:val="0"/>
          <w:color w:val="auto"/>
          <w:spacing w:val="-4"/>
          <w:sz w:val="20"/>
        </w:rPr>
      </w:pPr>
      <w:r w:rsidRPr="007C121B">
        <w:rPr>
          <w:b/>
          <w:i w:val="0"/>
          <w:color w:val="auto"/>
          <w:spacing w:val="-4"/>
          <w:sz w:val="20"/>
        </w:rPr>
        <w:t>Graf 2.</w:t>
      </w:r>
      <w:r w:rsidR="00E55EDF" w:rsidRPr="007C121B">
        <w:rPr>
          <w:b/>
          <w:i w:val="0"/>
          <w:color w:val="auto"/>
          <w:spacing w:val="-4"/>
          <w:sz w:val="20"/>
        </w:rPr>
        <w:t>1</w:t>
      </w:r>
      <w:r w:rsidR="00BA0BED" w:rsidRPr="007C121B">
        <w:rPr>
          <w:b/>
          <w:i w:val="0"/>
          <w:color w:val="auto"/>
          <w:spacing w:val="-4"/>
          <w:sz w:val="20"/>
        </w:rPr>
        <w:t>1</w:t>
      </w:r>
      <w:r w:rsidR="00C40474" w:rsidRPr="007C121B">
        <w:rPr>
          <w:b/>
          <w:i w:val="0"/>
          <w:color w:val="auto"/>
          <w:spacing w:val="-4"/>
          <w:sz w:val="20"/>
        </w:rPr>
        <w:t xml:space="preserve">: Průměrná délka trvání dočasné pracovní neschopnosti podle velikosti </w:t>
      </w:r>
      <w:r w:rsidR="003357F4" w:rsidRPr="007C121B">
        <w:rPr>
          <w:b/>
          <w:i w:val="0"/>
          <w:color w:val="auto"/>
          <w:spacing w:val="-4"/>
          <w:sz w:val="20"/>
        </w:rPr>
        <w:t>subjektu</w:t>
      </w:r>
      <w:r w:rsidR="00ED6CA6" w:rsidRPr="007C121B">
        <w:rPr>
          <w:b/>
          <w:i w:val="0"/>
          <w:color w:val="auto"/>
          <w:spacing w:val="-4"/>
          <w:sz w:val="20"/>
        </w:rPr>
        <w:t xml:space="preserve"> a příčiny</w:t>
      </w:r>
      <w:r w:rsidR="00452182" w:rsidRPr="007C121B">
        <w:rPr>
          <w:b/>
          <w:i w:val="0"/>
          <w:color w:val="auto"/>
          <w:spacing w:val="-4"/>
          <w:sz w:val="20"/>
        </w:rPr>
        <w:t xml:space="preserve">, </w:t>
      </w:r>
      <w:r w:rsidR="00C40474" w:rsidRPr="007C121B">
        <w:rPr>
          <w:b/>
          <w:i w:val="0"/>
          <w:color w:val="auto"/>
          <w:spacing w:val="-4"/>
          <w:sz w:val="20"/>
        </w:rPr>
        <w:t>201</w:t>
      </w:r>
      <w:r w:rsidR="00E55EDF" w:rsidRPr="007C121B">
        <w:rPr>
          <w:b/>
          <w:i w:val="0"/>
          <w:color w:val="auto"/>
          <w:spacing w:val="-4"/>
          <w:sz w:val="20"/>
        </w:rPr>
        <w:t>9</w:t>
      </w:r>
    </w:p>
    <w:p w14:paraId="7AAD4CD6" w14:textId="5460C917" w:rsidR="00C40474" w:rsidRDefault="00212A81" w:rsidP="009636BA">
      <w:pPr>
        <w:spacing w:before="120" w:after="120"/>
        <w:rPr>
          <w:sz w:val="18"/>
        </w:rPr>
      </w:pPr>
      <w:r>
        <w:rPr>
          <w:noProof/>
        </w:rPr>
        <w:drawing>
          <wp:inline distT="0" distB="0" distL="0" distR="0" wp14:anchorId="74D1CBEA" wp14:editId="4813701C">
            <wp:extent cx="6057900" cy="2381250"/>
            <wp:effectExtent l="0" t="0" r="0" b="0"/>
            <wp:docPr id="50" name="Graf 50">
              <a:extLst xmlns:a="http://schemas.openxmlformats.org/drawingml/2006/main">
                <a:ext uri="{FF2B5EF4-FFF2-40B4-BE49-F238E27FC236}">
                  <a16:creationId xmlns:a16="http://schemas.microsoft.com/office/drawing/2014/main" id="{5CE45E1A-A792-41ED-B94B-46744D1CCE2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 w:rsidR="00C40474" w:rsidRPr="00BC3FF5">
        <w:rPr>
          <w:sz w:val="18"/>
        </w:rPr>
        <w:t>Zdroj: ČSÚ</w:t>
      </w:r>
    </w:p>
    <w:p w14:paraId="2A26B51F" w14:textId="300602F5" w:rsidR="0047735C" w:rsidRDefault="00977F2A" w:rsidP="00BA4F88">
      <w:pPr>
        <w:pStyle w:val="Nadpis3"/>
        <w:jc w:val="both"/>
      </w:pPr>
      <w:bookmarkStart w:id="13" w:name="_Toc41558318"/>
      <w:r>
        <w:t xml:space="preserve">4.2.3 Průměrné procento dočasné pracovní neschopnosti a průměrný denní stav </w:t>
      </w:r>
      <w:r w:rsidR="00F159CF">
        <w:t xml:space="preserve">dočasně </w:t>
      </w:r>
      <w:r>
        <w:t>práce neschopných</w:t>
      </w:r>
      <w:bookmarkEnd w:id="13"/>
    </w:p>
    <w:p w14:paraId="657242C9" w14:textId="0BA4AA8A" w:rsidR="00B90ADC" w:rsidRDefault="00B90ADC" w:rsidP="00BA4F88">
      <w:pPr>
        <w:spacing w:after="120"/>
        <w:jc w:val="both"/>
      </w:pPr>
      <w:r w:rsidRPr="00CD6BF9">
        <w:t xml:space="preserve">Nejkomplexnějším ukazatelem statistiky pracovní neschopnosti pro nemoc a úraz je </w:t>
      </w:r>
      <w:r w:rsidRPr="00BA4F88">
        <w:rPr>
          <w:b/>
          <w:bCs/>
        </w:rPr>
        <w:t xml:space="preserve">průměrné procento dočasné pracovní neschopnosti. </w:t>
      </w:r>
      <w:r w:rsidRPr="00CD6BF9">
        <w:t xml:space="preserve">Zohledňuje jak celkový počet případů pracovní neschopnosti (jak často lidé do pracovní neschopnosti nastupují), tak i průměrné trvání jednoho případu pracovní neschopnosti (jak dlouho v pracovní neschopnosti </w:t>
      </w:r>
      <w:r w:rsidR="00CD6BF9" w:rsidRPr="00CD6BF9">
        <w:t>setrváva</w:t>
      </w:r>
      <w:r w:rsidRPr="00CD6BF9">
        <w:t xml:space="preserve">jí). Statistiky pak doplňuje ještě další relativní ukazatel – </w:t>
      </w:r>
      <w:r w:rsidRPr="00BA4F88">
        <w:rPr>
          <w:b/>
          <w:bCs/>
        </w:rPr>
        <w:t xml:space="preserve">průměrný denní stav </w:t>
      </w:r>
      <w:r w:rsidR="00F159CF" w:rsidRPr="00BA4F88">
        <w:rPr>
          <w:b/>
          <w:bCs/>
        </w:rPr>
        <w:t xml:space="preserve">dočasně </w:t>
      </w:r>
      <w:r w:rsidRPr="00BA4F88">
        <w:rPr>
          <w:b/>
          <w:bCs/>
        </w:rPr>
        <w:t>práce neschopných</w:t>
      </w:r>
      <w:r w:rsidRPr="00CD6BF9">
        <w:t xml:space="preserve">, který nám říká, kolik </w:t>
      </w:r>
      <w:r w:rsidR="005874D5">
        <w:t xml:space="preserve">osob </w:t>
      </w:r>
      <w:r w:rsidRPr="00CD6BF9">
        <w:t>průměrně denně chybělo na pracovišti v důsledku dočasné pracovní neschopnosti pro nemoc a úraz.</w:t>
      </w:r>
    </w:p>
    <w:p w14:paraId="29FF3949" w14:textId="2F433CCB" w:rsidR="003116A3" w:rsidRPr="003116A3" w:rsidRDefault="003116A3" w:rsidP="00BA4F88">
      <w:pPr>
        <w:pStyle w:val="Box1"/>
        <w:spacing w:before="120" w:after="120"/>
        <w:ind w:left="0"/>
        <w:jc w:val="both"/>
        <w:rPr>
          <w:i/>
        </w:rPr>
      </w:pPr>
      <w:r>
        <w:rPr>
          <w:b/>
          <w:i/>
        </w:rPr>
        <w:t>P</w:t>
      </w:r>
      <w:r w:rsidRPr="003116A3">
        <w:rPr>
          <w:b/>
          <w:i/>
        </w:rPr>
        <w:t xml:space="preserve">růměrné procento </w:t>
      </w:r>
      <w:r>
        <w:rPr>
          <w:b/>
          <w:i/>
        </w:rPr>
        <w:t xml:space="preserve">dočasné </w:t>
      </w:r>
      <w:r w:rsidRPr="003116A3">
        <w:rPr>
          <w:b/>
          <w:i/>
        </w:rPr>
        <w:t xml:space="preserve">pracovní neschopnosti </w:t>
      </w:r>
      <w:r w:rsidR="008701E4" w:rsidRPr="00F46EA8">
        <w:rPr>
          <w:i/>
        </w:rPr>
        <w:t xml:space="preserve">– </w:t>
      </w:r>
      <w:r>
        <w:rPr>
          <w:i/>
        </w:rPr>
        <w:t>u</w:t>
      </w:r>
      <w:r w:rsidRPr="003116A3">
        <w:rPr>
          <w:i/>
        </w:rPr>
        <w:t xml:space="preserve">kazatel udává, kolik ze 100 </w:t>
      </w:r>
      <w:r w:rsidR="003C1D64">
        <w:rPr>
          <w:i/>
        </w:rPr>
        <w:t>nemocensky pojištěných</w:t>
      </w:r>
      <w:r w:rsidRPr="003116A3">
        <w:rPr>
          <w:i/>
        </w:rPr>
        <w:t xml:space="preserve"> je průměrně každý den v pracovní neschopnosti pro nemoc</w:t>
      </w:r>
      <w:r>
        <w:rPr>
          <w:i/>
        </w:rPr>
        <w:t xml:space="preserve"> či úraz.</w:t>
      </w:r>
    </w:p>
    <w:p w14:paraId="3F4562E3" w14:textId="77777777" w:rsidR="003116A3" w:rsidRPr="003116A3" w:rsidRDefault="003116A3" w:rsidP="00D724D5">
      <w:pPr>
        <w:pStyle w:val="Box1"/>
        <w:ind w:left="0"/>
        <w:jc w:val="both"/>
        <w:rPr>
          <w:i/>
          <w:u w:val="single"/>
        </w:rPr>
      </w:pPr>
      <w:r w:rsidRPr="003116A3">
        <w:rPr>
          <w:i/>
          <w:u w:val="single"/>
        </w:rPr>
        <w:t>Způsob výpočtu:</w:t>
      </w:r>
    </w:p>
    <w:p w14:paraId="63EF6F3C" w14:textId="00900D43" w:rsidR="00BA4F88" w:rsidRDefault="003116A3" w:rsidP="00D724D5">
      <w:pPr>
        <w:pStyle w:val="Box1"/>
        <w:ind w:left="0"/>
        <w:jc w:val="both"/>
        <w:rPr>
          <w:i/>
        </w:rPr>
      </w:pPr>
      <w:r w:rsidRPr="003116A3">
        <w:rPr>
          <w:i/>
        </w:rPr>
        <w:t xml:space="preserve">Průměrné procento </w:t>
      </w:r>
      <w:r w:rsidR="00C53647">
        <w:rPr>
          <w:i/>
        </w:rPr>
        <w:t xml:space="preserve">dočasné </w:t>
      </w:r>
      <w:r w:rsidRPr="003116A3">
        <w:rPr>
          <w:i/>
        </w:rPr>
        <w:t>pracovní neschopnosti = počet kalendářních dnů dočasné pracovní neschopnosti x 10</w:t>
      </w:r>
      <w:r w:rsidR="0089159B">
        <w:rPr>
          <w:i/>
        </w:rPr>
        <w:t>0</w:t>
      </w:r>
      <w:r w:rsidRPr="003116A3">
        <w:rPr>
          <w:i/>
        </w:rPr>
        <w:t xml:space="preserve"> / (průměrný počet osob nemocensky pojištěných x počet kalendářních dnů ve sledovaném období</w:t>
      </w:r>
      <w:r w:rsidR="0089159B">
        <w:rPr>
          <w:i/>
        </w:rPr>
        <w:t>)</w:t>
      </w:r>
      <w:r w:rsidRPr="003116A3">
        <w:rPr>
          <w:i/>
        </w:rPr>
        <w:t>.</w:t>
      </w:r>
    </w:p>
    <w:p w14:paraId="3159814F" w14:textId="77777777" w:rsidR="00BA4F88" w:rsidRDefault="00BA4F88">
      <w:pPr>
        <w:spacing w:after="0" w:line="240" w:lineRule="auto"/>
        <w:rPr>
          <w:rFonts w:eastAsia="Calibri" w:cs="Arial"/>
          <w:i/>
          <w:szCs w:val="20"/>
        </w:rPr>
      </w:pPr>
      <w:r>
        <w:rPr>
          <w:i/>
        </w:rPr>
        <w:br w:type="page"/>
      </w:r>
    </w:p>
    <w:p w14:paraId="41958B59" w14:textId="1002B968" w:rsidR="0089159B" w:rsidRPr="0089159B" w:rsidRDefault="0089159B" w:rsidP="00D724D5">
      <w:pPr>
        <w:pStyle w:val="Box1"/>
        <w:ind w:left="0"/>
        <w:jc w:val="both"/>
        <w:rPr>
          <w:i/>
        </w:rPr>
      </w:pPr>
      <w:r w:rsidRPr="0089159B">
        <w:rPr>
          <w:b/>
          <w:i/>
        </w:rPr>
        <w:lastRenderedPageBreak/>
        <w:t xml:space="preserve">Průměrný denní stav </w:t>
      </w:r>
      <w:r w:rsidR="001F3E33">
        <w:rPr>
          <w:b/>
          <w:i/>
        </w:rPr>
        <w:t xml:space="preserve">dočasně </w:t>
      </w:r>
      <w:r w:rsidRPr="0089159B">
        <w:rPr>
          <w:b/>
          <w:i/>
        </w:rPr>
        <w:t>práce neschopných</w:t>
      </w:r>
      <w:r>
        <w:rPr>
          <w:b/>
          <w:i/>
        </w:rPr>
        <w:t xml:space="preserve"> </w:t>
      </w:r>
      <w:r w:rsidRPr="00F46EA8">
        <w:rPr>
          <w:i/>
        </w:rPr>
        <w:t xml:space="preserve">– </w:t>
      </w:r>
      <w:r>
        <w:rPr>
          <w:i/>
        </w:rPr>
        <w:t>u</w:t>
      </w:r>
      <w:r w:rsidRPr="0089159B">
        <w:rPr>
          <w:i/>
        </w:rPr>
        <w:t xml:space="preserve">kazatel </w:t>
      </w:r>
      <w:r>
        <w:rPr>
          <w:i/>
        </w:rPr>
        <w:t>vyjadřuje</w:t>
      </w:r>
      <w:r w:rsidRPr="0089159B">
        <w:rPr>
          <w:i/>
        </w:rPr>
        <w:t xml:space="preserve"> </w:t>
      </w:r>
      <w:r w:rsidR="005874D5">
        <w:rPr>
          <w:i/>
        </w:rPr>
        <w:t xml:space="preserve">průměrný </w:t>
      </w:r>
      <w:r w:rsidRPr="0089159B">
        <w:rPr>
          <w:i/>
        </w:rPr>
        <w:t xml:space="preserve">počet nemocensky pojištěných, kteří byli ve sledovaném období (roce) denně nepřítomni v práci z důvodů pracovní neschopnosti. </w:t>
      </w:r>
    </w:p>
    <w:p w14:paraId="210F9C97" w14:textId="77777777" w:rsidR="0089159B" w:rsidRPr="0089159B" w:rsidRDefault="0089159B" w:rsidP="00D724D5">
      <w:pPr>
        <w:pStyle w:val="Box1"/>
        <w:ind w:left="0"/>
        <w:jc w:val="both"/>
        <w:rPr>
          <w:i/>
          <w:u w:val="single"/>
        </w:rPr>
      </w:pPr>
      <w:r w:rsidRPr="0089159B">
        <w:rPr>
          <w:i/>
          <w:u w:val="single"/>
        </w:rPr>
        <w:t>Způsob výpočtu:</w:t>
      </w:r>
    </w:p>
    <w:p w14:paraId="6EF71CBA" w14:textId="0D40D051" w:rsidR="00EE4B1B" w:rsidRPr="00F46EA8" w:rsidRDefault="0089159B" w:rsidP="009636BA">
      <w:pPr>
        <w:pStyle w:val="Box1"/>
        <w:spacing w:after="120"/>
        <w:ind w:left="0"/>
        <w:jc w:val="both"/>
        <w:rPr>
          <w:i/>
        </w:rPr>
      </w:pPr>
      <w:r w:rsidRPr="0089159B">
        <w:rPr>
          <w:i/>
        </w:rPr>
        <w:t>Průměrný denní stav práce neschopných = kalendářní dny dočasné pracovní neschopnosti / počet kalendářních dnů ve sledovaném období</w:t>
      </w:r>
      <w:r>
        <w:rPr>
          <w:i/>
        </w:rPr>
        <w:t>.</w:t>
      </w:r>
    </w:p>
    <w:p w14:paraId="46E233F1" w14:textId="198281FB" w:rsidR="00BA4F88" w:rsidRDefault="00B90ADC" w:rsidP="00BA4F88">
      <w:pPr>
        <w:pStyle w:val="Zkladntextodsazen"/>
        <w:spacing w:after="120" w:line="288" w:lineRule="auto"/>
        <w:ind w:left="0"/>
        <w:jc w:val="both"/>
        <w:rPr>
          <w:rFonts w:cs="Arial"/>
          <w:szCs w:val="24"/>
        </w:rPr>
      </w:pPr>
      <w:r w:rsidRPr="00F551D0">
        <w:rPr>
          <w:rFonts w:cs="Arial"/>
        </w:rPr>
        <w:t xml:space="preserve">Hodnota ukazatele </w:t>
      </w:r>
      <w:r w:rsidRPr="00F551D0">
        <w:rPr>
          <w:rFonts w:cs="Arial"/>
          <w:b/>
        </w:rPr>
        <w:t xml:space="preserve">průměrné procento dočasné pracovní neschopnosti </w:t>
      </w:r>
      <w:r w:rsidRPr="00F551D0">
        <w:rPr>
          <w:rFonts w:cs="Arial"/>
        </w:rPr>
        <w:t>se na počátku devadesátých let pohybovala okolo 5 %, následně se postupně zvyšovala až do roku 2003, kdy dosáhla svého maxima 6,8 %. V souvislosti s postupnými legislativními změnami zpřísňujícími čerpání nemocenských dávek začaly hodnoty ukazatele od roku 200</w:t>
      </w:r>
      <w:r w:rsidR="007F3530">
        <w:rPr>
          <w:rFonts w:cs="Arial"/>
        </w:rPr>
        <w:t>6</w:t>
      </w:r>
      <w:r w:rsidRPr="00F551D0">
        <w:rPr>
          <w:rFonts w:cs="Arial"/>
        </w:rPr>
        <w:t xml:space="preserve"> postupně klesat téměř až na polovinu </w:t>
      </w:r>
      <w:r w:rsidR="0074692F">
        <w:rPr>
          <w:rFonts w:cs="Arial"/>
        </w:rPr>
        <w:t>hodnoty</w:t>
      </w:r>
      <w:r w:rsidRPr="00F551D0">
        <w:rPr>
          <w:rFonts w:cs="Arial"/>
        </w:rPr>
        <w:t xml:space="preserve"> </w:t>
      </w:r>
      <w:r w:rsidR="00F551D0" w:rsidRPr="00F551D0">
        <w:rPr>
          <w:rFonts w:cs="Arial"/>
        </w:rPr>
        <w:t xml:space="preserve">z roku 2003 </w:t>
      </w:r>
      <w:r w:rsidRPr="00F551D0">
        <w:rPr>
          <w:rFonts w:cs="Arial"/>
        </w:rPr>
        <w:t xml:space="preserve">(na 3,5 % v roce 2012). Počínaje rokem 2013 nastal obrat vycházející zřejmě ze skutečnosti, že soubor nemocensky pojištěných osob přivykl přísnějším legislativním podmínkám čerpání nemocenských dávek a </w:t>
      </w:r>
      <w:r w:rsidR="00F551D0" w:rsidRPr="00F551D0">
        <w:rPr>
          <w:rFonts w:cs="Arial"/>
        </w:rPr>
        <w:t>hodnota analyzovaného</w:t>
      </w:r>
      <w:r w:rsidRPr="00F551D0">
        <w:rPr>
          <w:rFonts w:cs="Arial"/>
        </w:rPr>
        <w:t xml:space="preserve"> ukazatele </w:t>
      </w:r>
      <w:r w:rsidR="00BE244F">
        <w:rPr>
          <w:rFonts w:cs="Arial"/>
        </w:rPr>
        <w:t xml:space="preserve">se </w:t>
      </w:r>
      <w:r w:rsidRPr="00F551D0">
        <w:rPr>
          <w:rFonts w:cs="Arial"/>
        </w:rPr>
        <w:t xml:space="preserve">začala opět </w:t>
      </w:r>
      <w:r w:rsidR="00BE244F">
        <w:rPr>
          <w:rFonts w:cs="Arial"/>
        </w:rPr>
        <w:t>zvyšovat</w:t>
      </w:r>
      <w:r w:rsidRPr="00F551D0">
        <w:rPr>
          <w:rFonts w:cs="Arial"/>
        </w:rPr>
        <w:t xml:space="preserve">. </w:t>
      </w:r>
      <w:r w:rsidR="0074692F">
        <w:rPr>
          <w:rFonts w:cs="Arial"/>
        </w:rPr>
        <w:t xml:space="preserve">Svůj podíl na růstu může mít i stárnutí populace a zvyšování průměrného věku zaměstnanců. </w:t>
      </w:r>
      <w:r w:rsidRPr="00F551D0">
        <w:rPr>
          <w:rFonts w:cs="Arial"/>
        </w:rPr>
        <w:t xml:space="preserve">V roce 2015 překročila úroveň </w:t>
      </w:r>
      <w:r w:rsidR="0074692F">
        <w:rPr>
          <w:rFonts w:cs="Arial"/>
        </w:rPr>
        <w:t xml:space="preserve">průměrného procenta pracovní neschopnosti </w:t>
      </w:r>
      <w:r w:rsidRPr="00F551D0">
        <w:rPr>
          <w:rFonts w:cs="Arial"/>
        </w:rPr>
        <w:t>4 % a v roce 201</w:t>
      </w:r>
      <w:r w:rsidR="00C86620">
        <w:rPr>
          <w:rFonts w:cs="Arial"/>
        </w:rPr>
        <w:t>9</w:t>
      </w:r>
      <w:r w:rsidRPr="00F551D0">
        <w:rPr>
          <w:rFonts w:cs="Arial"/>
        </w:rPr>
        <w:t xml:space="preserve"> dosáhla 4,</w:t>
      </w:r>
      <w:r w:rsidR="00C86620">
        <w:rPr>
          <w:rFonts w:cs="Arial"/>
        </w:rPr>
        <w:t>7</w:t>
      </w:r>
      <w:r w:rsidRPr="00F551D0">
        <w:rPr>
          <w:rFonts w:cs="Arial"/>
        </w:rPr>
        <w:t xml:space="preserve"> % (v případě mužů </w:t>
      </w:r>
      <w:r w:rsidR="00F551D0" w:rsidRPr="00F551D0">
        <w:rPr>
          <w:rFonts w:cs="Arial"/>
        </w:rPr>
        <w:t>4</w:t>
      </w:r>
      <w:r w:rsidR="00C86620">
        <w:rPr>
          <w:rFonts w:cs="Arial"/>
        </w:rPr>
        <w:t>,3</w:t>
      </w:r>
      <w:r w:rsidR="00F551D0" w:rsidRPr="00F551D0">
        <w:rPr>
          <w:rFonts w:cs="Arial"/>
        </w:rPr>
        <w:t xml:space="preserve"> </w:t>
      </w:r>
      <w:r w:rsidRPr="00F551D0">
        <w:rPr>
          <w:rFonts w:cs="Arial"/>
        </w:rPr>
        <w:t xml:space="preserve">% a žen </w:t>
      </w:r>
      <w:r w:rsidR="00C86620">
        <w:rPr>
          <w:rFonts w:cs="Arial"/>
        </w:rPr>
        <w:t>5,2</w:t>
      </w:r>
      <w:r w:rsidRPr="00F551D0">
        <w:rPr>
          <w:rFonts w:cs="Arial"/>
        </w:rPr>
        <w:t xml:space="preserve"> %</w:t>
      </w:r>
      <w:r w:rsidRPr="00F551D0">
        <w:rPr>
          <w:rFonts w:cs="Arial"/>
          <w:szCs w:val="24"/>
        </w:rPr>
        <w:t>).</w:t>
      </w:r>
    </w:p>
    <w:p w14:paraId="6EEF8FC5" w14:textId="553EBD70" w:rsidR="00BA4F88" w:rsidRPr="00861DCA" w:rsidRDefault="00BA4F88" w:rsidP="009636BA">
      <w:pPr>
        <w:pStyle w:val="Titulek"/>
        <w:keepNext/>
        <w:spacing w:after="60"/>
        <w:jc w:val="both"/>
        <w:rPr>
          <w:b/>
          <w:i w:val="0"/>
          <w:color w:val="000000" w:themeColor="text1"/>
          <w:sz w:val="20"/>
        </w:rPr>
      </w:pPr>
      <w:r>
        <w:rPr>
          <w:b/>
          <w:i w:val="0"/>
          <w:color w:val="000000" w:themeColor="text1"/>
          <w:sz w:val="20"/>
        </w:rPr>
        <w:t>Graf 2.</w:t>
      </w:r>
      <w:r w:rsidRPr="00861DCA">
        <w:rPr>
          <w:b/>
          <w:i w:val="0"/>
          <w:color w:val="000000" w:themeColor="text1"/>
          <w:sz w:val="20"/>
        </w:rPr>
        <w:t>1</w:t>
      </w:r>
      <w:r w:rsidR="0074692F">
        <w:rPr>
          <w:b/>
          <w:i w:val="0"/>
          <w:color w:val="000000" w:themeColor="text1"/>
          <w:sz w:val="20"/>
        </w:rPr>
        <w:t>2</w:t>
      </w:r>
      <w:r w:rsidRPr="00861DCA">
        <w:rPr>
          <w:b/>
          <w:i w:val="0"/>
          <w:color w:val="000000" w:themeColor="text1"/>
          <w:sz w:val="20"/>
        </w:rPr>
        <w:t xml:space="preserve">: Průměrné procento </w:t>
      </w:r>
      <w:r>
        <w:rPr>
          <w:b/>
          <w:i w:val="0"/>
          <w:color w:val="000000" w:themeColor="text1"/>
          <w:sz w:val="20"/>
        </w:rPr>
        <w:t xml:space="preserve">dočasné </w:t>
      </w:r>
      <w:r w:rsidRPr="00861DCA">
        <w:rPr>
          <w:b/>
          <w:i w:val="0"/>
          <w:color w:val="000000" w:themeColor="text1"/>
          <w:sz w:val="20"/>
        </w:rPr>
        <w:t xml:space="preserve">pracovní neschopnosti </w:t>
      </w:r>
      <w:r>
        <w:rPr>
          <w:b/>
          <w:i w:val="0"/>
          <w:color w:val="000000" w:themeColor="text1"/>
          <w:sz w:val="20"/>
        </w:rPr>
        <w:t>po</w:t>
      </w:r>
      <w:r w:rsidRPr="00861DCA">
        <w:rPr>
          <w:b/>
          <w:i w:val="0"/>
          <w:color w:val="000000" w:themeColor="text1"/>
          <w:sz w:val="20"/>
        </w:rPr>
        <w:t xml:space="preserve">dle odvětví </w:t>
      </w:r>
      <w:r>
        <w:rPr>
          <w:b/>
          <w:i w:val="0"/>
          <w:color w:val="000000" w:themeColor="text1"/>
          <w:sz w:val="20"/>
        </w:rPr>
        <w:t xml:space="preserve">(sekce CZ-NACE), </w:t>
      </w:r>
      <w:r w:rsidRPr="00861DCA">
        <w:rPr>
          <w:b/>
          <w:i w:val="0"/>
          <w:color w:val="000000" w:themeColor="text1"/>
          <w:sz w:val="20"/>
        </w:rPr>
        <w:t>201</w:t>
      </w:r>
      <w:r>
        <w:rPr>
          <w:b/>
          <w:i w:val="0"/>
          <w:color w:val="000000" w:themeColor="text1"/>
          <w:sz w:val="20"/>
        </w:rPr>
        <w:t>9</w:t>
      </w:r>
    </w:p>
    <w:p w14:paraId="1AEC29CE" w14:textId="51C43F49" w:rsidR="00B90ADC" w:rsidRDefault="00BA4F88" w:rsidP="009636BA">
      <w:pPr>
        <w:spacing w:before="120" w:after="120"/>
        <w:jc w:val="both"/>
        <w:rPr>
          <w:rFonts w:cs="Arial"/>
        </w:rPr>
      </w:pPr>
      <w:r>
        <w:rPr>
          <w:noProof/>
        </w:rPr>
        <w:drawing>
          <wp:inline distT="0" distB="0" distL="0" distR="0" wp14:anchorId="64E11C5F" wp14:editId="38DC8A4D">
            <wp:extent cx="6120130" cy="3902075"/>
            <wp:effectExtent l="0" t="0" r="13970" b="3175"/>
            <wp:docPr id="26" name="Graf 26">
              <a:extLst xmlns:a="http://schemas.openxmlformats.org/drawingml/2006/main">
                <a:ext uri="{FF2B5EF4-FFF2-40B4-BE49-F238E27FC236}">
                  <a16:creationId xmlns:a16="http://schemas.microsoft.com/office/drawing/2014/main" id="{8228F872-112B-41C9-A7E1-99E083229E1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 w:rsidRPr="00BC3FF5">
        <w:rPr>
          <w:sz w:val="18"/>
        </w:rPr>
        <w:t>Zdroj: ČSÚ</w:t>
      </w:r>
      <w:r w:rsidR="00B90ADC" w:rsidRPr="00F551D0">
        <w:rPr>
          <w:rFonts w:cs="Arial"/>
        </w:rPr>
        <w:t xml:space="preserve"> </w:t>
      </w:r>
    </w:p>
    <w:p w14:paraId="5E09EAC0" w14:textId="1A290E81" w:rsidR="00BA0BED" w:rsidRDefault="00BA0BED" w:rsidP="00BA4F88">
      <w:pPr>
        <w:pStyle w:val="Zkladntextodsazen"/>
        <w:spacing w:after="120" w:line="288" w:lineRule="auto"/>
        <w:ind w:left="0"/>
        <w:jc w:val="both"/>
        <w:rPr>
          <w:rFonts w:cs="Arial"/>
          <w:szCs w:val="24"/>
        </w:rPr>
      </w:pPr>
      <w:r>
        <w:rPr>
          <w:rFonts w:cs="Arial"/>
          <w:szCs w:val="24"/>
        </w:rPr>
        <w:t xml:space="preserve">Nejvyšší průměrné procento dočasné pracovní neschopnosti </w:t>
      </w:r>
      <w:r w:rsidRPr="00BA4F88">
        <w:rPr>
          <w:rFonts w:cs="Arial"/>
          <w:b/>
          <w:bCs/>
          <w:szCs w:val="24"/>
        </w:rPr>
        <w:t>z hlediska odvětvové činnosti</w:t>
      </w:r>
      <w:r>
        <w:rPr>
          <w:rFonts w:cs="Arial"/>
          <w:szCs w:val="24"/>
        </w:rPr>
        <w:t xml:space="preserve"> bylo zaznamenáno ve Zpracovatelském průmyslu (6,2 %). Jinými slovy, v průměru 6 % pojištěnců pracujících ve Zpracovatelském průmyslu bylo denně v pracovní neschopnosti. Další odvětví s vyšším podílem osob dočasně práce neschopných byla Těžba a dobývání (6,0 %), Administrativní a podpůrné činnosti (5,8 %) a Zemědělství, lesnictví a rybářství (5,4 %). Naopak nejméně pracovníků v pracovní neschopnosti ze 100 pojištěnců bylo </w:t>
      </w:r>
      <w:r w:rsidR="001F3E33">
        <w:rPr>
          <w:rFonts w:cs="Arial"/>
          <w:szCs w:val="24"/>
        </w:rPr>
        <w:t xml:space="preserve">denně </w:t>
      </w:r>
      <w:r>
        <w:rPr>
          <w:rFonts w:cs="Arial"/>
          <w:szCs w:val="24"/>
        </w:rPr>
        <w:t>evidováno v odvětví Informační a komunikační činnosti (1,9), Profesní vědecké činnosti (2,5) a Činnosti v oblasti nemovitostí</w:t>
      </w:r>
      <w:r w:rsidR="0074692F">
        <w:rPr>
          <w:rFonts w:cs="Arial"/>
          <w:szCs w:val="24"/>
        </w:rPr>
        <w:t xml:space="preserve"> (2,6). Podrobněji viz graf 2.12</w:t>
      </w:r>
      <w:r>
        <w:rPr>
          <w:rFonts w:cs="Arial"/>
          <w:szCs w:val="24"/>
        </w:rPr>
        <w:t xml:space="preserve"> a tabulka 2.7.</w:t>
      </w:r>
    </w:p>
    <w:p w14:paraId="51FD527E" w14:textId="77777777" w:rsidR="00BA4F88" w:rsidRDefault="00BA4F88">
      <w:pPr>
        <w:spacing w:after="0" w:line="240" w:lineRule="auto"/>
        <w:rPr>
          <w:rFonts w:cs="Arial"/>
          <w:b/>
          <w:iCs/>
          <w:color w:val="000000" w:themeColor="text1"/>
        </w:rPr>
      </w:pPr>
      <w:bookmarkStart w:id="14" w:name="_Toc10112625"/>
      <w:r>
        <w:rPr>
          <w:rFonts w:cs="Arial"/>
          <w:b/>
          <w:iCs/>
          <w:color w:val="000000" w:themeColor="text1"/>
        </w:rPr>
        <w:br w:type="page"/>
      </w:r>
    </w:p>
    <w:p w14:paraId="6597720A" w14:textId="6E30F6D4" w:rsidR="00735DA6" w:rsidRPr="00BA4F88" w:rsidRDefault="00735DA6" w:rsidP="009C40F8">
      <w:pPr>
        <w:spacing w:after="60" w:line="240" w:lineRule="auto"/>
        <w:jc w:val="both"/>
        <w:rPr>
          <w:rFonts w:cs="Arial"/>
          <w:b/>
          <w:iCs/>
          <w:color w:val="000000" w:themeColor="text1"/>
        </w:rPr>
      </w:pPr>
      <w:r w:rsidRPr="00BA4F88">
        <w:rPr>
          <w:rFonts w:cs="Arial"/>
          <w:b/>
          <w:iCs/>
          <w:color w:val="000000" w:themeColor="text1"/>
        </w:rPr>
        <w:lastRenderedPageBreak/>
        <w:t>Tab</w:t>
      </w:r>
      <w:r w:rsidR="003728E7" w:rsidRPr="00BA4F88">
        <w:rPr>
          <w:rFonts w:cs="Arial"/>
          <w:b/>
          <w:iCs/>
          <w:color w:val="000000" w:themeColor="text1"/>
        </w:rPr>
        <w:t>.</w:t>
      </w:r>
      <w:r w:rsidR="00162BC5" w:rsidRPr="00BA4F88">
        <w:rPr>
          <w:rFonts w:cs="Arial"/>
          <w:b/>
          <w:iCs/>
          <w:color w:val="000000" w:themeColor="text1"/>
        </w:rPr>
        <w:t xml:space="preserve"> 2.</w:t>
      </w:r>
      <w:r w:rsidRPr="00BA4F88">
        <w:rPr>
          <w:rFonts w:cs="Arial"/>
          <w:b/>
          <w:iCs/>
          <w:color w:val="000000" w:themeColor="text1"/>
        </w:rPr>
        <w:fldChar w:fldCharType="begin"/>
      </w:r>
      <w:r w:rsidRPr="00BA4F88">
        <w:rPr>
          <w:rFonts w:cs="Arial"/>
          <w:b/>
          <w:iCs/>
          <w:color w:val="000000" w:themeColor="text1"/>
        </w:rPr>
        <w:instrText xml:space="preserve"> SEQ Tabulka \* ARABIC </w:instrText>
      </w:r>
      <w:r w:rsidRPr="00BA4F88">
        <w:rPr>
          <w:rFonts w:cs="Arial"/>
          <w:b/>
          <w:iCs/>
          <w:color w:val="000000" w:themeColor="text1"/>
        </w:rPr>
        <w:fldChar w:fldCharType="separate"/>
      </w:r>
      <w:r w:rsidR="00FF7036">
        <w:rPr>
          <w:rFonts w:cs="Arial"/>
          <w:b/>
          <w:iCs/>
          <w:noProof/>
          <w:color w:val="000000" w:themeColor="text1"/>
        </w:rPr>
        <w:t>7</w:t>
      </w:r>
      <w:r w:rsidRPr="00BA4F88">
        <w:rPr>
          <w:rFonts w:cs="Arial"/>
          <w:b/>
          <w:iCs/>
          <w:color w:val="000000" w:themeColor="text1"/>
        </w:rPr>
        <w:fldChar w:fldCharType="end"/>
      </w:r>
      <w:r w:rsidRPr="00BA4F88">
        <w:rPr>
          <w:rFonts w:cs="Arial"/>
          <w:b/>
          <w:iCs/>
          <w:color w:val="000000" w:themeColor="text1"/>
        </w:rPr>
        <w:t xml:space="preserve">: Průměrné procento dočasné pracovní neschopnosti </w:t>
      </w:r>
      <w:r w:rsidR="008D7B85" w:rsidRPr="00BA4F88">
        <w:rPr>
          <w:rFonts w:cs="Arial"/>
          <w:b/>
          <w:iCs/>
          <w:color w:val="000000" w:themeColor="text1"/>
        </w:rPr>
        <w:t>po</w:t>
      </w:r>
      <w:r w:rsidR="003728E7" w:rsidRPr="00BA4F88">
        <w:rPr>
          <w:rFonts w:cs="Arial"/>
          <w:b/>
          <w:iCs/>
          <w:color w:val="000000" w:themeColor="text1"/>
        </w:rPr>
        <w:t xml:space="preserve">dle odvětví </w:t>
      </w:r>
      <w:r w:rsidR="00D724D5" w:rsidRPr="00BA4F88">
        <w:rPr>
          <w:rFonts w:cs="Arial"/>
          <w:b/>
          <w:iCs/>
          <w:color w:val="000000" w:themeColor="text1"/>
        </w:rPr>
        <w:t>(sekc</w:t>
      </w:r>
      <w:r w:rsidR="00BA4F88">
        <w:rPr>
          <w:rFonts w:cs="Arial"/>
          <w:b/>
          <w:iCs/>
          <w:color w:val="000000" w:themeColor="text1"/>
        </w:rPr>
        <w:t>e</w:t>
      </w:r>
      <w:r w:rsidR="00D724D5" w:rsidRPr="00BA4F88">
        <w:rPr>
          <w:rFonts w:cs="Arial"/>
          <w:b/>
          <w:iCs/>
          <w:color w:val="000000" w:themeColor="text1"/>
        </w:rPr>
        <w:t xml:space="preserve"> CZ-NACE)</w:t>
      </w:r>
      <w:r w:rsidR="00452182" w:rsidRPr="00BA4F88">
        <w:rPr>
          <w:rFonts w:cs="Arial"/>
          <w:b/>
          <w:iCs/>
          <w:color w:val="000000" w:themeColor="text1"/>
        </w:rPr>
        <w:t xml:space="preserve">, </w:t>
      </w:r>
      <w:r w:rsidR="00BA4F88">
        <w:rPr>
          <w:rFonts w:cs="Arial"/>
          <w:b/>
          <w:iCs/>
          <w:color w:val="000000" w:themeColor="text1"/>
        </w:rPr>
        <w:br/>
      </w:r>
      <w:r w:rsidRPr="00BA4F88">
        <w:rPr>
          <w:rFonts w:cs="Arial"/>
          <w:b/>
          <w:iCs/>
          <w:color w:val="000000" w:themeColor="text1"/>
        </w:rPr>
        <w:t>200</w:t>
      </w:r>
      <w:r w:rsidR="007C262E" w:rsidRPr="00BA4F88">
        <w:rPr>
          <w:rFonts w:cs="Arial"/>
          <w:b/>
          <w:iCs/>
          <w:color w:val="000000" w:themeColor="text1"/>
        </w:rPr>
        <w:t>9</w:t>
      </w:r>
      <w:r w:rsidRPr="00BA4F88">
        <w:rPr>
          <w:rFonts w:cs="Arial"/>
          <w:b/>
          <w:iCs/>
          <w:color w:val="000000" w:themeColor="text1"/>
        </w:rPr>
        <w:t>–201</w:t>
      </w:r>
      <w:bookmarkEnd w:id="14"/>
      <w:r w:rsidR="007C262E" w:rsidRPr="00BA4F88">
        <w:rPr>
          <w:rFonts w:cs="Arial"/>
          <w:b/>
          <w:iCs/>
          <w:color w:val="000000" w:themeColor="text1"/>
        </w:rPr>
        <w:t>9</w:t>
      </w:r>
    </w:p>
    <w:tbl>
      <w:tblPr>
        <w:tblW w:w="94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4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  <w:gridCol w:w="623"/>
      </w:tblGrid>
      <w:tr w:rsidR="007C262E" w:rsidRPr="00735DA6" w14:paraId="437BE0AE" w14:textId="0A4C7BC7" w:rsidTr="001F3E33">
        <w:trPr>
          <w:trHeight w:val="340"/>
        </w:trPr>
        <w:tc>
          <w:tcPr>
            <w:tcW w:w="264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78C9001F" w14:textId="524BD082" w:rsidR="007C262E" w:rsidRPr="00735DA6" w:rsidRDefault="00D724D5" w:rsidP="00D724D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Sekce CZ-NACE</w:t>
            </w:r>
          </w:p>
        </w:tc>
        <w:tc>
          <w:tcPr>
            <w:tcW w:w="62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vAlign w:val="center"/>
          </w:tcPr>
          <w:p w14:paraId="12FC2AB4" w14:textId="0BA40784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216AE28" w14:textId="1775885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B2408FA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0792D7F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3D33057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7F22CDB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0AFB0B1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F1A35B0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5B8A9467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E6C1559" w14:textId="77777777" w:rsidR="007C262E" w:rsidRPr="00735DA6" w:rsidRDefault="007C262E" w:rsidP="007C262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23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33353080" w14:textId="1A92629D" w:rsidR="007C262E" w:rsidRPr="00735DA6" w:rsidRDefault="007C262E" w:rsidP="007C262E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D724D5" w:rsidRPr="00735DA6" w14:paraId="15C724CB" w14:textId="7CDDD8C7" w:rsidTr="001F3E33">
        <w:trPr>
          <w:trHeight w:val="340"/>
        </w:trPr>
        <w:tc>
          <w:tcPr>
            <w:tcW w:w="264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2675C0A" w14:textId="6D3AB0DC" w:rsidR="00D724D5" w:rsidRPr="00735DA6" w:rsidRDefault="00D724D5" w:rsidP="00D724D5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23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vAlign w:val="center"/>
          </w:tcPr>
          <w:p w14:paraId="477A3129" w14:textId="1F31261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42A387" w14:textId="22A403E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85F37" w14:textId="277E09B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B9A469" w14:textId="396512B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E52B68" w14:textId="7BE3D05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BF17C2" w14:textId="1A9BD66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FF6BA8" w14:textId="21C2BA4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D1E160" w14:textId="7E3D1FC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BFF571" w14:textId="5FE0FE5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37DA86" w14:textId="62E9263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4,5</w:t>
            </w:r>
          </w:p>
        </w:tc>
        <w:tc>
          <w:tcPr>
            <w:tcW w:w="623" w:type="dxa"/>
            <w:tcBorders>
              <w:top w:val="single" w:sz="8" w:space="0" w:color="auto"/>
            </w:tcBorders>
            <w:vAlign w:val="center"/>
          </w:tcPr>
          <w:p w14:paraId="65D24FE3" w14:textId="695C9B12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4,7</w:t>
            </w:r>
          </w:p>
        </w:tc>
      </w:tr>
      <w:tr w:rsidR="00D724D5" w:rsidRPr="00735DA6" w14:paraId="4276509A" w14:textId="1C827597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44C155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A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Zemědělství, lesnictví </w:t>
            </w:r>
          </w:p>
          <w:p w14:paraId="13DB389F" w14:textId="1D77B4D3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a rybářství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9592085" w14:textId="7F59DF9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17DA11" w14:textId="208BBEC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15A1C2" w14:textId="6A60C03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EB5250" w14:textId="4213FD3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C1A1CD" w14:textId="7DD93A7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90E09" w14:textId="29CC4A1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4C63EE" w14:textId="5D3ADA1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A29A8B" w14:textId="1C87F36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0FB4B7" w14:textId="46898DB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94B1CF" w14:textId="7162BB2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623" w:type="dxa"/>
            <w:vAlign w:val="center"/>
          </w:tcPr>
          <w:p w14:paraId="53E5E092" w14:textId="14481154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D724D5" w:rsidRPr="00735DA6" w14:paraId="372A64B9" w14:textId="5475D936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FF0E45" w14:textId="57608250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B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Těžba a dobývání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39102E1" w14:textId="03E7C51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D33D3E" w14:textId="2D94767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0E134A2" w14:textId="5C9F31E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D2523" w14:textId="4C104D5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73FA" w14:textId="5F2A4BA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4C0380" w14:textId="2A8F4B5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F42DA" w14:textId="22C5B2F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4A10E" w14:textId="152970A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43534D" w14:textId="05C4BFF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DF9A2C" w14:textId="0EC3C9B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  <w:tc>
          <w:tcPr>
            <w:tcW w:w="623" w:type="dxa"/>
            <w:vAlign w:val="center"/>
          </w:tcPr>
          <w:p w14:paraId="481ACCAD" w14:textId="5E80B4B7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</w:tr>
      <w:tr w:rsidR="00D724D5" w:rsidRPr="00735DA6" w14:paraId="653C6F73" w14:textId="527E14A9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66E5C5" w14:textId="272BF485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C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Zpracovatelský průmysl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06C218B" w14:textId="7782D84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9AB3B" w14:textId="15E8276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7AC93A" w14:textId="421A98F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6AB42" w14:textId="2C22A0A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4E01D" w14:textId="0B0824C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689E8" w14:textId="6CE6AE9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56D29" w14:textId="0025968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099C9B" w14:textId="1740487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C9B091" w14:textId="1CDF4F4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875E60" w14:textId="3B0AF89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5,9</w:t>
            </w:r>
          </w:p>
        </w:tc>
        <w:tc>
          <w:tcPr>
            <w:tcW w:w="623" w:type="dxa"/>
            <w:vAlign w:val="center"/>
          </w:tcPr>
          <w:p w14:paraId="49EB84B7" w14:textId="0D4492DF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6,2</w:t>
            </w:r>
          </w:p>
        </w:tc>
      </w:tr>
      <w:tr w:rsidR="00D724D5" w:rsidRPr="00735DA6" w14:paraId="35F3F59D" w14:textId="59914C8E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B03493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D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Výroba a rozvod elektřiny,</w:t>
            </w:r>
          </w:p>
          <w:p w14:paraId="5A8C823E" w14:textId="5ED72BC4" w:rsidR="00E56B7C" w:rsidRPr="00735DA6" w:rsidRDefault="00D724D5" w:rsidP="003F4A41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plynu,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35DA6">
              <w:rPr>
                <w:rFonts w:cs="Arial"/>
                <w:sz w:val="16"/>
                <w:szCs w:val="16"/>
              </w:rPr>
              <w:t>tepla a vzduchu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F0AECCC" w14:textId="4E7BD7F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6D5AD7" w14:textId="74B82BA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2CD8A" w14:textId="599B187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D3DC08" w14:textId="44542A3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D01E4" w14:textId="575BD49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E3948" w14:textId="31BCD91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85480" w14:textId="40CB12E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AE8811" w14:textId="3A444C6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A6DEA6" w14:textId="1B197E6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B8647D" w14:textId="2014F20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vAlign w:val="center"/>
          </w:tcPr>
          <w:p w14:paraId="3632C691" w14:textId="610D0F12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  <w:tr w:rsidR="00D724D5" w:rsidRPr="00735DA6" w14:paraId="617FBE8B" w14:textId="5C66371E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C9417E" w14:textId="183BAA11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E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Zásobování vodou; činnosti</w:t>
            </w:r>
          </w:p>
          <w:p w14:paraId="6B225895" w14:textId="2EB75922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735DA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s</w:t>
            </w:r>
            <w:r w:rsidRPr="00735DA6">
              <w:rPr>
                <w:rFonts w:cs="Arial"/>
                <w:sz w:val="16"/>
                <w:szCs w:val="16"/>
              </w:rPr>
              <w:t>ouvis</w:t>
            </w:r>
            <w:r>
              <w:rPr>
                <w:rFonts w:cs="Arial"/>
                <w:sz w:val="16"/>
                <w:szCs w:val="16"/>
              </w:rPr>
              <w:t>.</w:t>
            </w:r>
            <w:r w:rsidRPr="00735DA6">
              <w:rPr>
                <w:rFonts w:cs="Arial"/>
                <w:sz w:val="16"/>
                <w:szCs w:val="16"/>
              </w:rPr>
              <w:t xml:space="preserve"> s odpady a sanacemi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5DDFF6F" w14:textId="4BEA83B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AD3016" w14:textId="6BF0FBB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1A7B75" w14:textId="0603F98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FF0B92" w14:textId="4354110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BD899" w14:textId="455D6A2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14963" w14:textId="3FC06A2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4932B4" w14:textId="59D817D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2B1821" w14:textId="6BC3432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4983AE" w14:textId="0139E52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C4D6DF3" w14:textId="16F15C7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623" w:type="dxa"/>
            <w:vAlign w:val="center"/>
          </w:tcPr>
          <w:p w14:paraId="585D4F77" w14:textId="502F86CD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</w:tr>
      <w:tr w:rsidR="00D724D5" w:rsidRPr="00735DA6" w14:paraId="6DE81DC6" w14:textId="3B434180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BDCE55" w14:textId="56232C56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F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Stavebnictví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45D1B7A" w14:textId="75A37C9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A18C0A" w14:textId="3516779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862A89" w14:textId="6FD81BD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1A8783" w14:textId="49518BE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CD79D6" w14:textId="2FAF452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C8115C" w14:textId="2F021D9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4ED1C3" w14:textId="2BF4FC1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D1E96E" w14:textId="6ACEE29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F4CE4A" w14:textId="091EBD2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AE8F7" w14:textId="32B3768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vAlign w:val="center"/>
          </w:tcPr>
          <w:p w14:paraId="1E34AABC" w14:textId="5FAAFC0B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</w:tr>
      <w:tr w:rsidR="00D724D5" w:rsidRPr="00735DA6" w14:paraId="0F5AD46A" w14:textId="7DF2614F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10EF17" w14:textId="6FE6B990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G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 xml:space="preserve">Velkoobchod a maloobchod; </w:t>
            </w:r>
          </w:p>
          <w:p w14:paraId="7CCB3128" w14:textId="1856AD1A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údržba </w:t>
            </w:r>
            <w:r w:rsidRPr="00735DA6">
              <w:rPr>
                <w:rFonts w:cs="Arial"/>
                <w:sz w:val="16"/>
                <w:szCs w:val="16"/>
              </w:rPr>
              <w:t>motor</w:t>
            </w:r>
            <w:r>
              <w:rPr>
                <w:rFonts w:cs="Arial"/>
                <w:sz w:val="16"/>
                <w:szCs w:val="16"/>
              </w:rPr>
              <w:t xml:space="preserve">. </w:t>
            </w:r>
            <w:r w:rsidRPr="00735DA6">
              <w:rPr>
                <w:rFonts w:cs="Arial"/>
                <w:sz w:val="16"/>
                <w:szCs w:val="16"/>
              </w:rPr>
              <w:t>vozidel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2B9CC1A" w14:textId="7493D70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29D208" w14:textId="1EEE38B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6B322E" w14:textId="4AFD7BC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70EE2C" w14:textId="1BC0789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DD132" w14:textId="7DC7160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FF4261" w14:textId="28A3354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A26D90" w14:textId="5DCC5DB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51FD91" w14:textId="390903E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794564" w14:textId="2C356C8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68037D" w14:textId="1C3D043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vAlign w:val="center"/>
          </w:tcPr>
          <w:p w14:paraId="568BFCE6" w14:textId="58F91B34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</w:tr>
      <w:tr w:rsidR="00D724D5" w:rsidRPr="00735DA6" w14:paraId="6E45C095" w14:textId="5269BBCF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939FAE" w14:textId="72B49755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H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Doprava a skladování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0774C05" w14:textId="6BFE592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61A063" w14:textId="5028BED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52EF6C" w14:textId="76DCD11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7ED02" w14:textId="1F9C96E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0C3959" w14:textId="443C2B1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00DA15" w14:textId="072C7B8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BB2DCC" w14:textId="764EE34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D8C09B" w14:textId="5DA5D61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61B773" w14:textId="1345FFC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79901" w14:textId="78655C3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623" w:type="dxa"/>
            <w:vAlign w:val="center"/>
          </w:tcPr>
          <w:p w14:paraId="3D56E8DD" w14:textId="36EBCBFD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</w:tr>
      <w:tr w:rsidR="00D724D5" w:rsidRPr="00735DA6" w14:paraId="3874006C" w14:textId="3707C995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281851F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I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 xml:space="preserve">Ubytování, stravování </w:t>
            </w:r>
          </w:p>
          <w:p w14:paraId="04FA12D6" w14:textId="324EC7DC" w:rsidR="00E56B7C" w:rsidRPr="00735DA6" w:rsidRDefault="00D724D5" w:rsidP="003F4A41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</w:t>
            </w:r>
            <w:r w:rsidRPr="00735DA6">
              <w:rPr>
                <w:rFonts w:cs="Arial"/>
                <w:sz w:val="16"/>
                <w:szCs w:val="16"/>
              </w:rPr>
              <w:t>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735DA6">
              <w:rPr>
                <w:rFonts w:cs="Arial"/>
                <w:sz w:val="16"/>
                <w:szCs w:val="16"/>
              </w:rPr>
              <w:t>pohostinství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6CD1423" w14:textId="2CF883A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B15537" w14:textId="227E9CC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1EDEAC" w14:textId="284026F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512F19" w14:textId="1875C8D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8897E9" w14:textId="3705DD9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38D0EF" w14:textId="2E89F20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45470" w14:textId="5B1A798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1830F1" w14:textId="4FD4F11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A68BD" w14:textId="0A4A142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30F6AB" w14:textId="00F0DF5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623" w:type="dxa"/>
            <w:vAlign w:val="center"/>
          </w:tcPr>
          <w:p w14:paraId="40CD3A63" w14:textId="61CB1889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D724D5" w:rsidRPr="00735DA6" w14:paraId="2CF18655" w14:textId="39D59CC5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142C2B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J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 xml:space="preserve">Informační a komunikační </w:t>
            </w:r>
          </w:p>
          <w:p w14:paraId="55410447" w14:textId="09A47C8E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AD407D7" w14:textId="0F5D6ED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4DF7DA" w14:textId="4438082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A3ACA" w14:textId="27DA954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1E33FE" w14:textId="49030EA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D8498" w14:textId="3C01CFC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49594" w14:textId="42AF7C5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3B5137" w14:textId="5D7A1C3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A78DF6" w14:textId="2C6881A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FDEE42" w14:textId="02FEAE2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AA364A" w14:textId="6C2E89B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  <w:tc>
          <w:tcPr>
            <w:tcW w:w="623" w:type="dxa"/>
            <w:vAlign w:val="center"/>
          </w:tcPr>
          <w:p w14:paraId="52EBFE84" w14:textId="51D338E5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1,9</w:t>
            </w:r>
          </w:p>
        </w:tc>
      </w:tr>
      <w:tr w:rsidR="00D724D5" w:rsidRPr="00735DA6" w14:paraId="24C30B8F" w14:textId="28DE2456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BB2F5D" w14:textId="1E376118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K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Peněžnictví a pojišťovnictví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64497622" w14:textId="74C4246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14DD5F" w14:textId="26A41F0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D7681" w14:textId="45B1EBA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0968" w14:textId="102259C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CDACC1" w14:textId="259A51F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693704" w14:textId="33162EC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705232" w14:textId="7B918A9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0E156A" w14:textId="25E451B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5867C3" w14:textId="426E875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917F06" w14:textId="32D3219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3" w:type="dxa"/>
            <w:vAlign w:val="center"/>
          </w:tcPr>
          <w:p w14:paraId="6D24D1C1" w14:textId="37255D8A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</w:tr>
      <w:tr w:rsidR="00D724D5" w:rsidRPr="00735DA6" w14:paraId="3004D91A" w14:textId="7E3DF073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9F2285" w14:textId="41EF0FBD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L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Činnosti v oblasti nemovitostí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20D1BCA3" w14:textId="347A9CD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FC43A7" w14:textId="6A7857A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BC1066" w14:textId="558E164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CDCB67" w14:textId="7E08983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013105" w14:textId="47036AC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C2574C" w14:textId="4B8F550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9BC736" w14:textId="6FB61B6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366333" w14:textId="1C1F410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884351" w14:textId="0C925B2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8B3F37" w14:textId="6376A45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vAlign w:val="center"/>
          </w:tcPr>
          <w:p w14:paraId="293E6AB5" w14:textId="78CE1658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</w:tr>
      <w:tr w:rsidR="00D724D5" w:rsidRPr="00735DA6" w14:paraId="43470756" w14:textId="722D5B8C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B38B88" w14:textId="7777777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M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Profesní, vědecké </w:t>
            </w:r>
          </w:p>
          <w:p w14:paraId="45099628" w14:textId="1CBB2C79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a technické činnosti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5B1051A5" w14:textId="425C4D5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D262F6" w14:textId="254B692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2B3674" w14:textId="753CF7D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D4FE19" w14:textId="69E6364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24C599" w14:textId="2D17517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BD411F" w14:textId="1269F7C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B780121" w14:textId="3B5CEE2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D028AE" w14:textId="7673DF3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B55EF2" w14:textId="5A75F65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084B8B" w14:textId="6461C62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vAlign w:val="center"/>
          </w:tcPr>
          <w:p w14:paraId="511DEFD6" w14:textId="521BE4A1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</w:tr>
      <w:tr w:rsidR="00D724D5" w:rsidRPr="00735DA6" w14:paraId="4E7010CA" w14:textId="41865D93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E1AC1" w14:textId="419F6607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N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Administrativní a podpůrné</w:t>
            </w:r>
          </w:p>
          <w:p w14:paraId="16F14131" w14:textId="121E6719" w:rsidR="00E56B7C" w:rsidRPr="00735DA6" w:rsidRDefault="00D724D5" w:rsidP="003F4A41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</w:t>
            </w:r>
            <w:r w:rsidRPr="00735DA6">
              <w:rPr>
                <w:rFonts w:cs="Arial"/>
                <w:sz w:val="16"/>
                <w:szCs w:val="16"/>
              </w:rPr>
              <w:t xml:space="preserve"> </w:t>
            </w:r>
            <w:r>
              <w:rPr>
                <w:rFonts w:cs="Arial"/>
                <w:sz w:val="16"/>
                <w:szCs w:val="16"/>
              </w:rPr>
              <w:t xml:space="preserve">  </w:t>
            </w:r>
            <w:r w:rsidR="00E56B7C">
              <w:rPr>
                <w:rFonts w:cs="Arial"/>
                <w:sz w:val="16"/>
                <w:szCs w:val="16"/>
              </w:rPr>
              <w:t>č</w:t>
            </w:r>
            <w:r w:rsidRPr="00735DA6">
              <w:rPr>
                <w:rFonts w:cs="Arial"/>
                <w:sz w:val="16"/>
                <w:szCs w:val="16"/>
              </w:rPr>
              <w:t>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69046B6" w14:textId="230319F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5EAB33" w14:textId="61AC9C0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DA986D" w14:textId="7157D69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16395A" w14:textId="244828D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A334E6" w14:textId="45F502B2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311122" w14:textId="26BC499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AF3F4" w14:textId="7AF5738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1DD719" w14:textId="7E6FF38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D18C6F" w14:textId="36F3FFC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055A90" w14:textId="7F77014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623" w:type="dxa"/>
            <w:vAlign w:val="center"/>
          </w:tcPr>
          <w:p w14:paraId="5AC0B0D5" w14:textId="49163EF5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</w:tr>
      <w:tr w:rsidR="00D724D5" w:rsidRPr="00735DA6" w14:paraId="2DC08FF3" w14:textId="774063EE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B0DD7" w14:textId="453295D8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O </w:t>
            </w:r>
            <w:r>
              <w:rPr>
                <w:rFonts w:cs="Arial"/>
                <w:sz w:val="16"/>
                <w:szCs w:val="16"/>
              </w:rPr>
              <w:t>–</w:t>
            </w:r>
            <w:r w:rsidRPr="00735DA6">
              <w:rPr>
                <w:rFonts w:cs="Arial"/>
                <w:sz w:val="16"/>
                <w:szCs w:val="16"/>
              </w:rPr>
              <w:t xml:space="preserve"> Veřejná správa a obrana; </w:t>
            </w:r>
          </w:p>
          <w:p w14:paraId="3C41045A" w14:textId="502C2CC6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povinné soc</w:t>
            </w:r>
            <w:r>
              <w:rPr>
                <w:rFonts w:cs="Arial"/>
                <w:sz w:val="16"/>
                <w:szCs w:val="16"/>
              </w:rPr>
              <w:t>. z</w:t>
            </w:r>
            <w:r w:rsidRPr="00735DA6">
              <w:rPr>
                <w:rFonts w:cs="Arial"/>
                <w:sz w:val="16"/>
                <w:szCs w:val="16"/>
              </w:rPr>
              <w:t>abezpečení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C77452F" w14:textId="65F0E37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50CAE9" w14:textId="57439C3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51ACC" w14:textId="005CEB9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1C8E5" w14:textId="154C83B9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64C94B" w14:textId="6E2029D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AFC64" w14:textId="5A3D35E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01605F" w14:textId="743FE8E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DAE066" w14:textId="45BE04E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DF7243" w14:textId="6A73FF0D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3994" w14:textId="1BDB909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623" w:type="dxa"/>
            <w:vAlign w:val="center"/>
          </w:tcPr>
          <w:p w14:paraId="7C4690A7" w14:textId="12A72677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</w:tr>
      <w:tr w:rsidR="00D724D5" w:rsidRPr="00735DA6" w14:paraId="069F2D11" w14:textId="360A183F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5F250F" w14:textId="67A3A954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P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Vzdělávání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7833DF8A" w14:textId="66F04A7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1D8ABE" w14:textId="4BC3EF2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049C7" w14:textId="067CE5D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FB3E53" w14:textId="2BD3554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92A043" w14:textId="30E89E86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1B0754" w14:textId="5EEBE18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F4F06A" w14:textId="6FEDBE0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B7F69C" w14:textId="4A16D78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7CB249" w14:textId="3110D0A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D07EDA" w14:textId="1F3D6D6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vAlign w:val="center"/>
          </w:tcPr>
          <w:p w14:paraId="3C50F5C4" w14:textId="45CAC2C8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  <w:tr w:rsidR="00D724D5" w:rsidRPr="00735DA6" w14:paraId="6D52FE06" w14:textId="25A373D5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09DAC" w14:textId="5DBE40C2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Q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Zdravotní a sociální péče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00F1DFBD" w14:textId="0FF039B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FDA7AC" w14:textId="30C88C0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1669AC" w14:textId="2459336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E0AC74" w14:textId="0046612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447DC3" w14:textId="2345206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996E59" w14:textId="64E53E5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2B01E8" w14:textId="1E02205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F4F641" w14:textId="1E6D90D7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97CE57" w14:textId="618C1CA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D3B851" w14:textId="21ABC58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623" w:type="dxa"/>
            <w:vAlign w:val="center"/>
          </w:tcPr>
          <w:p w14:paraId="0A9F6628" w14:textId="0249F758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</w:tr>
      <w:tr w:rsidR="00D724D5" w:rsidRPr="00735DA6" w14:paraId="3FEFE2B5" w14:textId="59ACDC62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96CDAE7" w14:textId="7A4D78F0" w:rsidR="00D724D5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R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 xml:space="preserve">Kulturní, zábavní a rekreační </w:t>
            </w:r>
          </w:p>
          <w:p w14:paraId="23E81D19" w14:textId="1A9EE5F5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      </w:t>
            </w:r>
            <w:r w:rsidRPr="00735DA6">
              <w:rPr>
                <w:rFonts w:cs="Arial"/>
                <w:sz w:val="16"/>
                <w:szCs w:val="16"/>
              </w:rPr>
              <w:t>činnosti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3FB61D68" w14:textId="7DCD344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B117BC" w14:textId="63C8030E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E83DFF" w14:textId="66F6B8D4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9F2A0A" w14:textId="61904845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2,3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1CA9A3" w14:textId="3CA51D0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A48A2F" w14:textId="0EE12291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562138" w14:textId="58A630B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51A5C" w14:textId="28DD900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114465" w14:textId="01202D4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798BAA" w14:textId="4F99B42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623" w:type="dxa"/>
            <w:vAlign w:val="center"/>
          </w:tcPr>
          <w:p w14:paraId="578F91B0" w14:textId="694F5D4B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</w:tr>
      <w:tr w:rsidR="00D724D5" w:rsidRPr="00735DA6" w14:paraId="75CA98EC" w14:textId="392D2061" w:rsidTr="001F3E33">
        <w:trPr>
          <w:trHeight w:val="340"/>
        </w:trPr>
        <w:tc>
          <w:tcPr>
            <w:tcW w:w="264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D90D72" w14:textId="08A528F2" w:rsidR="00D724D5" w:rsidRPr="00735DA6" w:rsidRDefault="00D724D5" w:rsidP="00D724D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35DA6">
              <w:rPr>
                <w:rFonts w:cs="Arial"/>
                <w:sz w:val="16"/>
                <w:szCs w:val="16"/>
              </w:rPr>
              <w:t xml:space="preserve">S </w:t>
            </w:r>
            <w:r>
              <w:rPr>
                <w:rFonts w:cs="Arial"/>
                <w:sz w:val="16"/>
                <w:szCs w:val="16"/>
              </w:rPr>
              <w:t xml:space="preserve">– </w:t>
            </w:r>
            <w:r w:rsidRPr="00735DA6">
              <w:rPr>
                <w:rFonts w:cs="Arial"/>
                <w:sz w:val="16"/>
                <w:szCs w:val="16"/>
              </w:rPr>
              <w:t>Ostatní činnosti</w:t>
            </w:r>
          </w:p>
        </w:tc>
        <w:tc>
          <w:tcPr>
            <w:tcW w:w="623" w:type="dxa"/>
            <w:tcBorders>
              <w:top w:val="nil"/>
              <w:left w:val="single" w:sz="8" w:space="0" w:color="auto"/>
              <w:bottom w:val="nil"/>
              <w:right w:val="nil"/>
            </w:tcBorders>
            <w:vAlign w:val="center"/>
          </w:tcPr>
          <w:p w14:paraId="490B20ED" w14:textId="34C5690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E5CA7F" w14:textId="055A4E8F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963C2E" w14:textId="1A75F04C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FACF1" w14:textId="6F5A24C8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EA79AE" w14:textId="2F9B353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B0A22" w14:textId="6D5B0D53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D0B95B" w14:textId="7F7EF74A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63AD67" w14:textId="24541E30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001DFC" w14:textId="6CD426B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6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8B3706" w14:textId="79CE134B" w:rsidR="00D724D5" w:rsidRPr="00735DA6" w:rsidRDefault="00D724D5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623" w:type="dxa"/>
            <w:vAlign w:val="center"/>
          </w:tcPr>
          <w:p w14:paraId="133FEB41" w14:textId="7DDCD7F8" w:rsidR="00D724D5" w:rsidRPr="00735DA6" w:rsidRDefault="00D724D5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</w:tr>
    </w:tbl>
    <w:p w14:paraId="70387E1B" w14:textId="29A3ED73" w:rsidR="00735DA6" w:rsidRDefault="00735DA6" w:rsidP="00BA4F88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602C0955" w14:textId="18FE4B6B" w:rsidR="00BA4F88" w:rsidRDefault="00BA4F88" w:rsidP="00BA4F88">
      <w:pPr>
        <w:spacing w:after="120"/>
        <w:jc w:val="both"/>
        <w:rPr>
          <w:rFonts w:cs="Arial"/>
        </w:rPr>
      </w:pPr>
      <w:r w:rsidRPr="00350E69">
        <w:rPr>
          <w:rFonts w:cs="Arial"/>
        </w:rPr>
        <w:t>Z </w:t>
      </w:r>
      <w:r w:rsidRPr="00BA4F88">
        <w:rPr>
          <w:rFonts w:cs="Arial"/>
          <w:b/>
          <w:bCs/>
        </w:rPr>
        <w:t>regionálního pohledu</w:t>
      </w:r>
      <w:r w:rsidRPr="00350E69">
        <w:rPr>
          <w:rFonts w:cs="Arial"/>
        </w:rPr>
        <w:t xml:space="preserve"> zaznamenal nejvyšší hodnotu průměrného procenta pracovní neschopnosti Moravskoslezský (5,8 %) a Zlínský kraj (5,6 %). Hl. m. Praha díky nejnižšímu počtu případů na 100 pojištěnců a díky krátké průměrné době trvání těchto pracovní</w:t>
      </w:r>
      <w:r w:rsidR="001F3E33">
        <w:rPr>
          <w:rFonts w:cs="Arial"/>
        </w:rPr>
        <w:t>ch</w:t>
      </w:r>
      <w:r w:rsidRPr="00350E69">
        <w:rPr>
          <w:rFonts w:cs="Arial"/>
        </w:rPr>
        <w:t xml:space="preserve"> neschopností zaujímá nejnižší procento práce neschopných na 100 pojištěnců denně. Zatímco hodnoty všech ostatních 13 krajů se nachází v rozmezí </w:t>
      </w:r>
      <w:r>
        <w:rPr>
          <w:rFonts w:cs="Arial"/>
        </w:rPr>
        <w:br/>
      </w:r>
      <w:r w:rsidRPr="00350E69">
        <w:rPr>
          <w:rFonts w:cs="Arial"/>
        </w:rPr>
        <w:t>4,6–5,8 %, ukazatel v Praze v roce 2019 dosáhl hodnoty pouze 3,6 %. Toto výsadní postavení si kraj hl. m. Praha drží už řadu let, jak je zřejmé z tabulky 2.8.</w:t>
      </w:r>
    </w:p>
    <w:p w14:paraId="1FBE4C77" w14:textId="7F1B3A68" w:rsidR="00BA4F88" w:rsidRDefault="00BA4F88" w:rsidP="009636BA">
      <w:pPr>
        <w:spacing w:after="120"/>
        <w:jc w:val="both"/>
        <w:rPr>
          <w:sz w:val="18"/>
        </w:rPr>
      </w:pPr>
      <w:r w:rsidRPr="0057761D">
        <w:t xml:space="preserve">Podle </w:t>
      </w:r>
      <w:r w:rsidRPr="00BA4F88">
        <w:rPr>
          <w:b/>
          <w:bCs/>
        </w:rPr>
        <w:t>detailnějšího územního členění</w:t>
      </w:r>
      <w:r w:rsidRPr="0057761D">
        <w:t xml:space="preserve"> se okresem s nejvyšším průměrným procentem dočasné pracovní neschopnosti v roce 2019 opět staly Prachatice (6,8 %), následované okresy Břeclav (6,7 %) a Karviná (6,</w:t>
      </w:r>
      <w:r w:rsidR="00BE244F">
        <w:t>6</w:t>
      </w:r>
      <w:r>
        <w:t> </w:t>
      </w:r>
      <w:r w:rsidRPr="0057761D">
        <w:t>%). Nejnižší hodnotu průměrného procenta pracovní neschopnosti vykazovaly stejně jako v předchozích letech okresy Jeseník</w:t>
      </w:r>
      <w:r w:rsidRPr="0057761D">
        <w:rPr>
          <w:rStyle w:val="Znakapoznpodarou"/>
        </w:rPr>
        <w:footnoteReference w:id="2"/>
      </w:r>
      <w:r w:rsidRPr="0057761D">
        <w:t xml:space="preserve"> (2,5 %) a již zmíněná Praha (3,6 %). Hodnotu ukazatele pod hranicí 4 % zaznamenaly ještě okresy Brno-město (3,6 %) a Mělník (necelá 4 %). Podrobné informace za celou Českou republiku </w:t>
      </w:r>
      <w:r>
        <w:t>nabízí kartogram 2.2</w:t>
      </w:r>
      <w:r w:rsidRPr="0057761D">
        <w:t>.</w:t>
      </w:r>
    </w:p>
    <w:p w14:paraId="46B17A71" w14:textId="356C1C50" w:rsidR="00BD4955" w:rsidRDefault="00BD4955" w:rsidP="009636BA">
      <w:pPr>
        <w:pStyle w:val="Titulek"/>
        <w:keepNext/>
        <w:spacing w:after="60"/>
        <w:jc w:val="both"/>
      </w:pPr>
      <w:r>
        <w:rPr>
          <w:b/>
          <w:i w:val="0"/>
          <w:color w:val="000000" w:themeColor="text1"/>
          <w:sz w:val="20"/>
          <w:szCs w:val="20"/>
        </w:rPr>
        <w:lastRenderedPageBreak/>
        <w:t>Graf 2.</w:t>
      </w:r>
      <w:r w:rsidRPr="00861DCA">
        <w:rPr>
          <w:b/>
          <w:i w:val="0"/>
          <w:color w:val="000000" w:themeColor="text1"/>
          <w:sz w:val="20"/>
          <w:szCs w:val="20"/>
        </w:rPr>
        <w:t>1</w:t>
      </w:r>
      <w:r w:rsidR="001F3E33">
        <w:rPr>
          <w:b/>
          <w:i w:val="0"/>
          <w:color w:val="000000" w:themeColor="text1"/>
          <w:sz w:val="20"/>
          <w:szCs w:val="20"/>
        </w:rPr>
        <w:t>3</w:t>
      </w:r>
      <w:r w:rsidRPr="00861DCA">
        <w:rPr>
          <w:b/>
          <w:i w:val="0"/>
          <w:color w:val="000000" w:themeColor="text1"/>
          <w:sz w:val="20"/>
          <w:szCs w:val="20"/>
        </w:rPr>
        <w:t xml:space="preserve">: Průměrné procento </w:t>
      </w:r>
      <w:r>
        <w:rPr>
          <w:b/>
          <w:i w:val="0"/>
          <w:color w:val="000000" w:themeColor="text1"/>
          <w:sz w:val="20"/>
          <w:szCs w:val="20"/>
        </w:rPr>
        <w:t xml:space="preserve">dočasné </w:t>
      </w:r>
      <w:r w:rsidRPr="00861DCA">
        <w:rPr>
          <w:b/>
          <w:i w:val="0"/>
          <w:color w:val="000000" w:themeColor="text1"/>
          <w:sz w:val="20"/>
          <w:szCs w:val="20"/>
        </w:rPr>
        <w:t xml:space="preserve">pracovní neschopnosti </w:t>
      </w:r>
      <w:r>
        <w:rPr>
          <w:b/>
          <w:i w:val="0"/>
          <w:color w:val="000000" w:themeColor="text1"/>
          <w:sz w:val="20"/>
          <w:szCs w:val="20"/>
        </w:rPr>
        <w:t>po</w:t>
      </w:r>
      <w:r w:rsidRPr="00861DCA">
        <w:rPr>
          <w:b/>
          <w:i w:val="0"/>
          <w:color w:val="000000" w:themeColor="text1"/>
          <w:sz w:val="20"/>
          <w:szCs w:val="20"/>
        </w:rPr>
        <w:t xml:space="preserve">dle </w:t>
      </w:r>
      <w:r>
        <w:rPr>
          <w:b/>
          <w:i w:val="0"/>
          <w:color w:val="000000" w:themeColor="text1"/>
          <w:sz w:val="20"/>
          <w:szCs w:val="20"/>
        </w:rPr>
        <w:t xml:space="preserve">krajů ČR, </w:t>
      </w:r>
      <w:r w:rsidRPr="00861DCA">
        <w:rPr>
          <w:b/>
          <w:i w:val="0"/>
          <w:color w:val="000000" w:themeColor="text1"/>
          <w:sz w:val="20"/>
          <w:szCs w:val="20"/>
        </w:rPr>
        <w:t>201</w:t>
      </w:r>
      <w:r>
        <w:rPr>
          <w:b/>
          <w:i w:val="0"/>
          <w:color w:val="000000" w:themeColor="text1"/>
          <w:sz w:val="20"/>
          <w:szCs w:val="20"/>
        </w:rPr>
        <w:t>9</w:t>
      </w:r>
    </w:p>
    <w:p w14:paraId="6CA30AF3" w14:textId="4A1B5847" w:rsidR="00BD4955" w:rsidRPr="00BD4955" w:rsidRDefault="00BD4955" w:rsidP="009636BA">
      <w:pPr>
        <w:spacing w:before="120" w:after="120"/>
        <w:rPr>
          <w:b/>
        </w:rPr>
      </w:pPr>
      <w:r>
        <w:rPr>
          <w:noProof/>
        </w:rPr>
        <w:drawing>
          <wp:inline distT="0" distB="0" distL="0" distR="0" wp14:anchorId="45E7FDF2" wp14:editId="534705FF">
            <wp:extent cx="6172200" cy="2867025"/>
            <wp:effectExtent l="0" t="0" r="0" b="9525"/>
            <wp:docPr id="14" name="Graf 14">
              <a:extLst xmlns:a="http://schemas.openxmlformats.org/drawingml/2006/main">
                <a:ext uri="{FF2B5EF4-FFF2-40B4-BE49-F238E27FC236}">
                  <a16:creationId xmlns:a16="http://schemas.microsoft.com/office/drawing/2014/main" id="{0C52F2C6-4731-43E1-B8D9-831F8B19C1B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  <w:r w:rsidRPr="00BC3FF5">
        <w:rPr>
          <w:sz w:val="18"/>
        </w:rPr>
        <w:t>Zdroj: ČSÚ</w:t>
      </w:r>
    </w:p>
    <w:p w14:paraId="4D640D04" w14:textId="581F57EC" w:rsidR="00861DCA" w:rsidRDefault="00C95F74" w:rsidP="009636BA">
      <w:pPr>
        <w:spacing w:after="60"/>
        <w:jc w:val="both"/>
        <w:rPr>
          <w:b/>
        </w:rPr>
      </w:pPr>
      <w:r>
        <w:rPr>
          <w:b/>
        </w:rPr>
        <w:t>Kartogram 2.2</w:t>
      </w:r>
      <w:r w:rsidR="00162BC5" w:rsidRPr="00D724D5">
        <w:rPr>
          <w:b/>
        </w:rPr>
        <w:t>:</w:t>
      </w:r>
      <w:r w:rsidR="00861DCA" w:rsidRPr="00D724D5">
        <w:rPr>
          <w:b/>
        </w:rPr>
        <w:t xml:space="preserve"> Průměrné procento dočasné pracovní neschop</w:t>
      </w:r>
      <w:r w:rsidR="00FB1AE3" w:rsidRPr="00D724D5">
        <w:rPr>
          <w:b/>
        </w:rPr>
        <w:t>nosti v</w:t>
      </w:r>
      <w:r w:rsidR="00D724D5" w:rsidRPr="00D724D5">
        <w:rPr>
          <w:b/>
        </w:rPr>
        <w:t> okresech a krajích</w:t>
      </w:r>
      <w:r w:rsidR="00FB1AE3" w:rsidRPr="00D724D5">
        <w:rPr>
          <w:b/>
        </w:rPr>
        <w:t xml:space="preserve"> ČR</w:t>
      </w:r>
      <w:r w:rsidR="00452182" w:rsidRPr="00D724D5">
        <w:rPr>
          <w:b/>
        </w:rPr>
        <w:t xml:space="preserve">, </w:t>
      </w:r>
      <w:r w:rsidR="00FB1AE3" w:rsidRPr="00D724D5">
        <w:rPr>
          <w:b/>
        </w:rPr>
        <w:t>201</w:t>
      </w:r>
      <w:r w:rsidR="00D724D5" w:rsidRPr="00D724D5">
        <w:rPr>
          <w:b/>
        </w:rPr>
        <w:t>9</w:t>
      </w:r>
    </w:p>
    <w:p w14:paraId="443C5383" w14:textId="0774686D" w:rsidR="00861DCA" w:rsidRPr="00452182" w:rsidRDefault="00D724D5" w:rsidP="009636BA">
      <w:pPr>
        <w:jc w:val="both"/>
        <w:rPr>
          <w:rFonts w:cs="Arial"/>
          <w:sz w:val="18"/>
          <w:szCs w:val="18"/>
        </w:rPr>
      </w:pPr>
      <w:r w:rsidRPr="00D724D5">
        <w:rPr>
          <w:b/>
          <w:noProof/>
        </w:rPr>
        <w:drawing>
          <wp:inline distT="0" distB="0" distL="0" distR="0" wp14:anchorId="0FF42237" wp14:editId="1CD02D61">
            <wp:extent cx="6118860" cy="3931920"/>
            <wp:effectExtent l="0" t="0" r="0" b="0"/>
            <wp:docPr id="43" name="Obrázek 43" descr="D:\hykysova23070\Documents\GroupWise\Alča_2020b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hykysova23070\Documents\GroupWise\Alča_2020b_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08" b="1825"/>
                    <a:stretch/>
                  </pic:blipFill>
                  <pic:spPr bwMode="auto">
                    <a:xfrm>
                      <a:off x="0" y="0"/>
                      <a:ext cx="6120130" cy="393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61DCA" w:rsidRPr="00452182">
        <w:rPr>
          <w:rFonts w:cs="Arial"/>
          <w:sz w:val="18"/>
          <w:szCs w:val="18"/>
        </w:rPr>
        <w:t>Zdroj: ČSÚ</w:t>
      </w:r>
    </w:p>
    <w:p w14:paraId="1D1AB257" w14:textId="77777777" w:rsidR="001F3E33" w:rsidRPr="00D12F2B" w:rsidRDefault="001F3E33" w:rsidP="001F3E33">
      <w:pPr>
        <w:pStyle w:val="Zkladntextodsazen"/>
        <w:spacing w:after="120" w:line="288" w:lineRule="auto"/>
        <w:ind w:left="0"/>
        <w:jc w:val="both"/>
        <w:rPr>
          <w:rFonts w:cs="Arial"/>
        </w:rPr>
      </w:pPr>
      <w:bookmarkStart w:id="15" w:name="_Toc10112626"/>
      <w:r w:rsidRPr="00D12F2B">
        <w:rPr>
          <w:rFonts w:cs="Arial"/>
        </w:rPr>
        <w:t>Obdobný ukazate</w:t>
      </w:r>
      <w:r>
        <w:rPr>
          <w:rFonts w:cs="Arial"/>
        </w:rPr>
        <w:t>l jako průměrné procento dočasné</w:t>
      </w:r>
      <w:r w:rsidRPr="00D12F2B">
        <w:rPr>
          <w:rFonts w:cs="Arial"/>
        </w:rPr>
        <w:t xml:space="preserve"> pracovní neschopnosti, avšak v absolutním vyjádření představuje </w:t>
      </w:r>
      <w:r w:rsidRPr="00D12F2B">
        <w:rPr>
          <w:rFonts w:cs="Arial"/>
          <w:b/>
        </w:rPr>
        <w:t>průměrný denní stav dočasně práce neschopných</w:t>
      </w:r>
      <w:r w:rsidRPr="00D12F2B">
        <w:rPr>
          <w:rFonts w:cs="Arial"/>
        </w:rPr>
        <w:t>. Říká, kolik nemocensky pojištěných osob bylo ve sledovaném období (zde roce) průměrně denně nepřítomno v práci z důvodu pracovní neschopnosti pro nemoc a úraz.</w:t>
      </w:r>
    </w:p>
    <w:p w14:paraId="2089D926" w14:textId="77777777" w:rsidR="009C40F8" w:rsidRDefault="009C40F8">
      <w:pPr>
        <w:spacing w:after="0" w:line="240" w:lineRule="auto"/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14:paraId="502A59A2" w14:textId="1D86E05C" w:rsidR="00C57E6B" w:rsidRDefault="00C57E6B" w:rsidP="00CA6C66">
      <w:pPr>
        <w:spacing w:after="60"/>
        <w:jc w:val="both"/>
      </w:pPr>
      <w:r w:rsidRPr="00C57E6B">
        <w:rPr>
          <w:b/>
          <w:color w:val="000000" w:themeColor="text1"/>
        </w:rPr>
        <w:lastRenderedPageBreak/>
        <w:t>Tab</w:t>
      </w:r>
      <w:r w:rsidR="009B39CA">
        <w:rPr>
          <w:b/>
          <w:color w:val="000000" w:themeColor="text1"/>
        </w:rPr>
        <w:t>.</w:t>
      </w:r>
      <w:r w:rsidR="00162BC5">
        <w:rPr>
          <w:b/>
          <w:color w:val="000000" w:themeColor="text1"/>
        </w:rPr>
        <w:t xml:space="preserve"> 2.</w:t>
      </w:r>
      <w:r w:rsidRPr="00C57E6B">
        <w:rPr>
          <w:b/>
          <w:color w:val="000000" w:themeColor="text1"/>
        </w:rPr>
        <w:fldChar w:fldCharType="begin"/>
      </w:r>
      <w:r w:rsidRPr="00C57E6B">
        <w:rPr>
          <w:b/>
          <w:color w:val="000000" w:themeColor="text1"/>
        </w:rPr>
        <w:instrText xml:space="preserve"> SEQ Tabulka \* ARABIC </w:instrText>
      </w:r>
      <w:r w:rsidRPr="00C57E6B">
        <w:rPr>
          <w:b/>
          <w:color w:val="000000" w:themeColor="text1"/>
        </w:rPr>
        <w:fldChar w:fldCharType="separate"/>
      </w:r>
      <w:r w:rsidR="00FF7036">
        <w:rPr>
          <w:b/>
          <w:noProof/>
          <w:color w:val="000000" w:themeColor="text1"/>
        </w:rPr>
        <w:t>8</w:t>
      </w:r>
      <w:r w:rsidRPr="00C57E6B">
        <w:rPr>
          <w:b/>
          <w:color w:val="000000" w:themeColor="text1"/>
        </w:rPr>
        <w:fldChar w:fldCharType="end"/>
      </w:r>
      <w:r w:rsidRPr="00C57E6B">
        <w:rPr>
          <w:b/>
          <w:color w:val="000000" w:themeColor="text1"/>
        </w:rPr>
        <w:t>: Průměrné procento dočasné pracovní neschopnosti podle krajů ČR</w:t>
      </w:r>
      <w:r w:rsidR="00452182">
        <w:rPr>
          <w:b/>
          <w:color w:val="000000" w:themeColor="text1"/>
        </w:rPr>
        <w:t xml:space="preserve">, </w:t>
      </w:r>
      <w:r w:rsidRPr="00C57E6B">
        <w:rPr>
          <w:b/>
          <w:color w:val="000000" w:themeColor="text1"/>
        </w:rPr>
        <w:t>200</w:t>
      </w:r>
      <w:r w:rsidR="00350E69">
        <w:rPr>
          <w:b/>
          <w:color w:val="000000" w:themeColor="text1"/>
        </w:rPr>
        <w:t>9</w:t>
      </w:r>
      <w:r w:rsidRPr="00C57E6B">
        <w:rPr>
          <w:b/>
          <w:color w:val="000000" w:themeColor="text1"/>
        </w:rPr>
        <w:t>–201</w:t>
      </w:r>
      <w:bookmarkEnd w:id="15"/>
      <w:r w:rsidR="00350E69">
        <w:rPr>
          <w:b/>
          <w:color w:val="000000" w:themeColor="text1"/>
        </w:rPr>
        <w:t>9</w:t>
      </w:r>
    </w:p>
    <w:tbl>
      <w:tblPr>
        <w:tblW w:w="957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7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0"/>
        <w:gridCol w:w="703"/>
      </w:tblGrid>
      <w:tr w:rsidR="00350E69" w:rsidRPr="00861DCA" w14:paraId="0CF3608D" w14:textId="24DCD482" w:rsidTr="001F3E33">
        <w:trPr>
          <w:trHeight w:val="283"/>
        </w:trPr>
        <w:tc>
          <w:tcPr>
            <w:tcW w:w="18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5A26FB5E" w14:textId="45DBD56A" w:rsidR="00350E69" w:rsidRPr="00861DCA" w:rsidRDefault="00D724D5" w:rsidP="00D724D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Kraj ČR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85CC1B6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298040A1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83C2E57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7CA8EE0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0D82E52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075DEDF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4F3FE1B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F683DA1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D113203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7B885D7" w14:textId="77777777" w:rsidR="00350E69" w:rsidRPr="00861DCA" w:rsidRDefault="00350E69" w:rsidP="00350E6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03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46D13C25" w14:textId="63FD24C4" w:rsidR="00350E69" w:rsidRPr="00861DCA" w:rsidRDefault="00350E69" w:rsidP="00350E69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2019</w:t>
            </w:r>
          </w:p>
        </w:tc>
      </w:tr>
      <w:tr w:rsidR="00E56B7C" w:rsidRPr="00861DCA" w14:paraId="6322A58B" w14:textId="01785E6E" w:rsidTr="001F3E33">
        <w:trPr>
          <w:trHeight w:val="283"/>
        </w:trPr>
        <w:tc>
          <w:tcPr>
            <w:tcW w:w="187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FCBB3B9" w14:textId="77777777" w:rsidR="00E56B7C" w:rsidRPr="00861DCA" w:rsidRDefault="00E56B7C" w:rsidP="00E56B7C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861DCA">
              <w:rPr>
                <w:rFonts w:cs="Arial"/>
                <w:b/>
                <w:bCs/>
                <w:sz w:val="16"/>
                <w:szCs w:val="16"/>
              </w:rPr>
              <w:t>ČR celkem</w:t>
            </w:r>
          </w:p>
        </w:tc>
        <w:tc>
          <w:tcPr>
            <w:tcW w:w="70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2733EA" w14:textId="20BE4EB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F6868" w14:textId="2C8674A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5533CD" w14:textId="5DA811C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10707" w14:textId="0CC789D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67834A" w14:textId="5CC62D6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248F83" w14:textId="6BECB21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3A2886E" w14:textId="0CB62BC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58B6C2" w14:textId="5A014A2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67FF4D" w14:textId="6C390F5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A0A1D" w14:textId="2CD9938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3" w:type="dxa"/>
            <w:tcBorders>
              <w:top w:val="single" w:sz="8" w:space="0" w:color="auto"/>
            </w:tcBorders>
            <w:vAlign w:val="center"/>
          </w:tcPr>
          <w:p w14:paraId="01CB52AB" w14:textId="470152C5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4,7</w:t>
            </w:r>
          </w:p>
        </w:tc>
      </w:tr>
      <w:tr w:rsidR="00E56B7C" w:rsidRPr="00861DCA" w14:paraId="0E8209F9" w14:textId="5AF10F5B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35A960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Hl. m. Praha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9692BE" w14:textId="2D7B91F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888387" w14:textId="5F70843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2A994D" w14:textId="77FE1DF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47EED8" w14:textId="69B9747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A2C66E" w14:textId="67FF969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EA374CE" w14:textId="75EC39E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C4CCA4" w14:textId="1FE9EB0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EB8632" w14:textId="0CD22CB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588051B" w14:textId="15EF370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38A796" w14:textId="528733B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3,4</w:t>
            </w:r>
          </w:p>
        </w:tc>
        <w:tc>
          <w:tcPr>
            <w:tcW w:w="703" w:type="dxa"/>
            <w:vAlign w:val="center"/>
          </w:tcPr>
          <w:p w14:paraId="6CE6F48A" w14:textId="08F5BA68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</w:tr>
      <w:tr w:rsidR="00E56B7C" w:rsidRPr="00861DCA" w14:paraId="497ABE3A" w14:textId="05EB5BAF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DC55F43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Středočeský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DB86F1" w14:textId="605D45A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D4BCB2" w14:textId="446C924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57B6C8" w14:textId="2F2151D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0BE063" w14:textId="49DA206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AC059E" w14:textId="3D3C301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603519" w14:textId="3C8FBF5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E1CA7C" w14:textId="0A620DE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1DF0B" w14:textId="64A1E3D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76ADB2" w14:textId="7ED9C09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F25383" w14:textId="738086A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3" w:type="dxa"/>
            <w:vAlign w:val="center"/>
          </w:tcPr>
          <w:p w14:paraId="312907BD" w14:textId="02E2D71B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</w:tr>
      <w:tr w:rsidR="00E56B7C" w:rsidRPr="00861DCA" w14:paraId="3C5E828E" w14:textId="32B39307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E097CF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Jihočeský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766C2" w14:textId="0F85B4E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3DEACE" w14:textId="48D6BC0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65C1DE" w14:textId="763FB58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CB442D" w14:textId="2C0CF33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36D14" w14:textId="71BAF75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7C867C" w14:textId="5253AAF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640244E" w14:textId="0F2F65C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BD9555" w14:textId="2FA9331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16C549" w14:textId="2356B2E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B281B" w14:textId="1E55BC0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03" w:type="dxa"/>
            <w:vAlign w:val="center"/>
          </w:tcPr>
          <w:p w14:paraId="2E1C2F7D" w14:textId="4F1272F4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</w:tr>
      <w:tr w:rsidR="00E56B7C" w:rsidRPr="00861DCA" w14:paraId="1EA52584" w14:textId="358D9E72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C346E6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Plzeňský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9AC786B" w14:textId="12940E7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4552C" w14:textId="39620A3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944A95" w14:textId="4F2C9C2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FE088D" w14:textId="535CEBF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9ADB92" w14:textId="3AE7F8C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63B6A" w14:textId="7297BB0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82475F" w14:textId="1565889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F8D6A3" w14:textId="4E97F5D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4EFDDC" w14:textId="7E1B4E6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6DC82C" w14:textId="1ADF7F6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3" w:type="dxa"/>
            <w:vAlign w:val="center"/>
          </w:tcPr>
          <w:p w14:paraId="15044D9D" w14:textId="660E3895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</w:tr>
      <w:tr w:rsidR="00E56B7C" w:rsidRPr="00861DCA" w14:paraId="0BB5B788" w14:textId="799D490F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9CF126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Karlovarský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FD745B" w14:textId="1B53E84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58687" w14:textId="0962F2A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E696C0" w14:textId="66CE8EF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3215F2" w14:textId="7F10CF7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80C8B8" w14:textId="2927C2B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A11295" w14:textId="67B8EF6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2D2DD" w14:textId="6EDA38A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706857" w14:textId="1B7094E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5F956A" w14:textId="6E9F7AA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F3EC1C" w14:textId="328E77E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3" w:type="dxa"/>
            <w:vAlign w:val="center"/>
          </w:tcPr>
          <w:p w14:paraId="2208B931" w14:textId="09BDC44F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</w:tr>
      <w:tr w:rsidR="00E56B7C" w:rsidRPr="00861DCA" w14:paraId="276C2DBE" w14:textId="1B6FB578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54E8936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Ústecký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E08F0D" w14:textId="12CADA6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DCB8F7" w14:textId="6658739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B0D45E" w14:textId="29562DD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FDEB6" w14:textId="5ABAB2B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9FA74F" w14:textId="4E83C07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E26E91" w14:textId="4A4D8A1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B8ADF5" w14:textId="4619814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F65E73" w14:textId="0D703FA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268CC" w14:textId="0F12E1C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3CB403E" w14:textId="1055C92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3" w:type="dxa"/>
            <w:vAlign w:val="center"/>
          </w:tcPr>
          <w:p w14:paraId="27916F9F" w14:textId="2AA9583D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</w:tr>
      <w:tr w:rsidR="00E56B7C" w:rsidRPr="00861DCA" w14:paraId="7A3F3B25" w14:textId="288A59AA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C2393BB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Liberecký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0A7599" w14:textId="5EACDDB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4E5DB2" w14:textId="4694816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F6D8441" w14:textId="0714A85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7E91" w14:textId="4913E2C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3F490E" w14:textId="0100196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E289C1" w14:textId="51F44C6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CBB1FD" w14:textId="1304854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67820F0" w14:textId="764B1A3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9944B7C" w14:textId="3ADF190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20CC01" w14:textId="2BB409D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  <w:tc>
          <w:tcPr>
            <w:tcW w:w="703" w:type="dxa"/>
            <w:vAlign w:val="center"/>
          </w:tcPr>
          <w:p w14:paraId="5E9E9ABC" w14:textId="4B3F5FED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</w:tr>
      <w:tr w:rsidR="00E56B7C" w:rsidRPr="00861DCA" w14:paraId="52FF439D" w14:textId="59245C3B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6CCF326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Královéhradecký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6DAC3C" w14:textId="6A9FEFE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751E6F" w14:textId="1ED0976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1D81B6" w14:textId="1DB7E42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105E07D" w14:textId="52B90F4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81C5D2" w14:textId="0EB2D19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8EDBC8" w14:textId="6193B44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928755" w14:textId="5ABA816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5EB580" w14:textId="34B3EAA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5BF73" w14:textId="6900D80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6E715A" w14:textId="1E5553D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3" w:type="dxa"/>
            <w:vAlign w:val="center"/>
          </w:tcPr>
          <w:p w14:paraId="62F31913" w14:textId="54058C49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</w:tr>
      <w:tr w:rsidR="00E56B7C" w:rsidRPr="00861DCA" w14:paraId="26BD700A" w14:textId="19260CF6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D1C789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Pardubický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DABEE5" w14:textId="7F43EB2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A4D81" w14:textId="2CAC17F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DC2083" w14:textId="324E43D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D8027B" w14:textId="6FB2159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AE3E7B3" w14:textId="71DEC4F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C8EA6" w14:textId="09DE734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9613B" w14:textId="3FE603A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3CFA0" w14:textId="3DF2373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5119FF" w14:textId="079C4BF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5F228E" w14:textId="4485ED8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3" w:type="dxa"/>
            <w:vAlign w:val="center"/>
          </w:tcPr>
          <w:p w14:paraId="63CBF29C" w14:textId="69C2103D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</w:tr>
      <w:tr w:rsidR="00E56B7C" w:rsidRPr="00861DCA" w14:paraId="5F5F44B3" w14:textId="5722D40C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C7FE9ED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Vysočina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D52DEA" w14:textId="79EEADF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F0D99" w14:textId="10DDFC1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C98B23" w14:textId="1CA2A52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FEBA56A" w14:textId="789C2E7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35BC56" w14:textId="6A76E70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86E724" w14:textId="23587E6F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5E16E2" w14:textId="69A9F9D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A0CEE3" w14:textId="70D3BFA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2DE528" w14:textId="218C7D3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D11C3" w14:textId="7261998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3" w:type="dxa"/>
            <w:vAlign w:val="center"/>
          </w:tcPr>
          <w:p w14:paraId="6E2DBB6E" w14:textId="403FC258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</w:tr>
      <w:tr w:rsidR="00E56B7C" w:rsidRPr="00861DCA" w14:paraId="2E1B11B7" w14:textId="1CA6F8C6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4DB5F37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Jihomoravský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2C6796" w14:textId="102431B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8EAB7A" w14:textId="487EBE7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5533D3" w14:textId="54909A8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B1EA96" w14:textId="186CC2B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815A86" w14:textId="0045591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7AC54F" w14:textId="0174106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F040A3" w14:textId="543BD27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9E5B" w14:textId="0C25F876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B83EDB0" w14:textId="144094F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42509A" w14:textId="088F9F6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3" w:type="dxa"/>
            <w:vAlign w:val="center"/>
          </w:tcPr>
          <w:p w14:paraId="4CA2754F" w14:textId="6066C94C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</w:tr>
      <w:tr w:rsidR="00E56B7C" w:rsidRPr="00861DCA" w14:paraId="43562D3E" w14:textId="02708098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F83775D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Olomoucký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35F85A" w14:textId="1A6B7567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857726" w14:textId="02979E5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38E092" w14:textId="04081245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0C0CF1" w14:textId="69C4FF6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595378" w14:textId="3F5F591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E3D4DF" w14:textId="3ECFB10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6A4448" w14:textId="3BCD7A6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CA4CC2" w14:textId="6D70669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EF76B4" w14:textId="2E97D47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4,5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A9DB7D" w14:textId="7745B00A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4,7</w:t>
            </w:r>
          </w:p>
        </w:tc>
        <w:tc>
          <w:tcPr>
            <w:tcW w:w="703" w:type="dxa"/>
            <w:vAlign w:val="center"/>
          </w:tcPr>
          <w:p w14:paraId="31020AF5" w14:textId="001A493F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5,0</w:t>
            </w:r>
          </w:p>
        </w:tc>
      </w:tr>
      <w:tr w:rsidR="00E56B7C" w:rsidRPr="00861DCA" w14:paraId="69262733" w14:textId="44F5A5E9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126D67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Zlínský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3892E" w14:textId="30ACB37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29B3B" w14:textId="2E79CB6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4,6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29E107" w14:textId="1BFC516E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AAA508" w14:textId="7AB9B96C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89F56F" w14:textId="4B831E24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99486A" w14:textId="1D03953B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7BE0FB" w14:textId="3CC004A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72A1D2" w14:textId="12794212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B6EEAC" w14:textId="7D4DEFE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5,2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F3737" w14:textId="4EFEA42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5,3</w:t>
            </w:r>
          </w:p>
        </w:tc>
        <w:tc>
          <w:tcPr>
            <w:tcW w:w="703" w:type="dxa"/>
            <w:vAlign w:val="center"/>
          </w:tcPr>
          <w:p w14:paraId="1EEAA560" w14:textId="3AF01D2C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5,6</w:t>
            </w:r>
          </w:p>
        </w:tc>
      </w:tr>
      <w:tr w:rsidR="00E56B7C" w:rsidRPr="00861DCA" w14:paraId="4FB6BA6A" w14:textId="1A7AA8BE" w:rsidTr="001F3E33">
        <w:trPr>
          <w:trHeight w:val="283"/>
        </w:trPr>
        <w:tc>
          <w:tcPr>
            <w:tcW w:w="187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BAB0DB" w14:textId="77777777" w:rsidR="00E56B7C" w:rsidRPr="00861DCA" w:rsidRDefault="00E56B7C" w:rsidP="00E56B7C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861DCA">
              <w:rPr>
                <w:rFonts w:cs="Arial"/>
                <w:sz w:val="16"/>
                <w:szCs w:val="16"/>
              </w:rPr>
              <w:t>Moravskoslezský kraj</w:t>
            </w:r>
          </w:p>
        </w:tc>
        <w:tc>
          <w:tcPr>
            <w:tcW w:w="70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114AE4" w14:textId="7F5D4B9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730E74" w14:textId="00FF093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FE5B46" w14:textId="357F92F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004BD2" w14:textId="0C13DE33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4,0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698463" w14:textId="3F67B961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08C6A5" w14:textId="687200A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4,4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B98B60" w14:textId="4ECAE0F8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4,8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2496D9" w14:textId="2C132989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BBECC7" w14:textId="3E010E20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77885A" w14:textId="774694DD" w:rsidR="00E56B7C" w:rsidRPr="00861DCA" w:rsidRDefault="00E56B7C" w:rsidP="00E56B7C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5,4</w:t>
            </w:r>
          </w:p>
        </w:tc>
        <w:tc>
          <w:tcPr>
            <w:tcW w:w="703" w:type="dxa"/>
            <w:vAlign w:val="center"/>
          </w:tcPr>
          <w:p w14:paraId="6EA84B6D" w14:textId="01C05EA0" w:rsidR="00E56B7C" w:rsidRPr="00861DCA" w:rsidRDefault="00E56B7C" w:rsidP="00E56B7C">
            <w:pPr>
              <w:spacing w:after="0" w:line="240" w:lineRule="auto"/>
              <w:jc w:val="center"/>
            </w:pPr>
            <w:r>
              <w:rPr>
                <w:rFonts w:cs="Arial"/>
                <w:color w:val="000000"/>
                <w:sz w:val="16"/>
                <w:szCs w:val="16"/>
              </w:rPr>
              <w:t>5,8</w:t>
            </w:r>
          </w:p>
        </w:tc>
      </w:tr>
    </w:tbl>
    <w:p w14:paraId="2257DE2B" w14:textId="3B7B6ACC" w:rsidR="00C57E6B" w:rsidRDefault="00C57E6B" w:rsidP="00224AD6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192B7A09" w14:textId="53A0F161" w:rsidR="00C00742" w:rsidRPr="00602560" w:rsidRDefault="00C00742" w:rsidP="00224AD6">
      <w:pPr>
        <w:pStyle w:val="Zkladntextodsazen"/>
        <w:spacing w:after="120" w:line="288" w:lineRule="auto"/>
        <w:ind w:left="0"/>
        <w:jc w:val="both"/>
        <w:rPr>
          <w:rFonts w:cs="Arial"/>
          <w:highlight w:val="yellow"/>
        </w:rPr>
      </w:pPr>
      <w:r w:rsidRPr="00D12F2B">
        <w:rPr>
          <w:rFonts w:cs="Arial"/>
        </w:rPr>
        <w:t>V roce 201</w:t>
      </w:r>
      <w:r w:rsidR="00D12F2B" w:rsidRPr="00D12F2B">
        <w:rPr>
          <w:rFonts w:cs="Arial"/>
        </w:rPr>
        <w:t>9</w:t>
      </w:r>
      <w:r w:rsidRPr="00D12F2B">
        <w:rPr>
          <w:rFonts w:cs="Arial"/>
        </w:rPr>
        <w:t xml:space="preserve"> </w:t>
      </w:r>
      <w:r w:rsidR="003E2F90" w:rsidRPr="00D12F2B">
        <w:rPr>
          <w:rFonts w:cs="Arial"/>
        </w:rPr>
        <w:t>kvůli</w:t>
      </w:r>
      <w:r w:rsidRPr="00D12F2B">
        <w:rPr>
          <w:rFonts w:cs="Arial"/>
        </w:rPr>
        <w:t xml:space="preserve"> dočasné pracovní neschopnosti způsobené nemocí či úrazem denně chybělo na</w:t>
      </w:r>
      <w:r w:rsidR="00BA3658" w:rsidRPr="00D12F2B">
        <w:rPr>
          <w:rFonts w:cs="Arial"/>
        </w:rPr>
        <w:t> </w:t>
      </w:r>
      <w:r w:rsidRPr="00D12F2B">
        <w:rPr>
          <w:rFonts w:cs="Arial"/>
        </w:rPr>
        <w:t xml:space="preserve">pracovištích </w:t>
      </w:r>
      <w:r w:rsidR="00D12F2B" w:rsidRPr="00D12F2B">
        <w:rPr>
          <w:rFonts w:cs="Arial"/>
        </w:rPr>
        <w:t>222 479</w:t>
      </w:r>
      <w:r w:rsidRPr="00D12F2B">
        <w:rPr>
          <w:rFonts w:cs="Arial"/>
        </w:rPr>
        <w:t xml:space="preserve"> nemocensky pojištěných osob. Oproti předchozímu roku, kdy hodnota činila </w:t>
      </w:r>
      <w:r w:rsidR="00D12F2B" w:rsidRPr="00D12F2B">
        <w:rPr>
          <w:rFonts w:cs="Arial"/>
        </w:rPr>
        <w:t>211</w:t>
      </w:r>
      <w:r w:rsidR="00930322">
        <w:rPr>
          <w:rFonts w:cs="Arial"/>
        </w:rPr>
        <w:t> </w:t>
      </w:r>
      <w:r w:rsidR="00D12F2B" w:rsidRPr="00D12F2B">
        <w:rPr>
          <w:rFonts w:cs="Arial"/>
        </w:rPr>
        <w:t>391</w:t>
      </w:r>
      <w:r w:rsidR="00930322">
        <w:rPr>
          <w:rFonts w:cs="Arial"/>
        </w:rPr>
        <w:t> </w:t>
      </w:r>
      <w:r w:rsidRPr="00D12F2B">
        <w:rPr>
          <w:rFonts w:cs="Arial"/>
        </w:rPr>
        <w:t xml:space="preserve">pojištěnců, se jedná o </w:t>
      </w:r>
      <w:r w:rsidR="00D12F2B" w:rsidRPr="00D12F2B">
        <w:rPr>
          <w:rFonts w:cs="Arial"/>
        </w:rPr>
        <w:t>5</w:t>
      </w:r>
      <w:r w:rsidRPr="00D12F2B">
        <w:rPr>
          <w:rFonts w:cs="Arial"/>
        </w:rPr>
        <w:t xml:space="preserve">% nárůst (o </w:t>
      </w:r>
      <w:r w:rsidR="00D12F2B" w:rsidRPr="00D12F2B">
        <w:rPr>
          <w:rFonts w:cs="Arial"/>
        </w:rPr>
        <w:t>11,1</w:t>
      </w:r>
      <w:r w:rsidRPr="00D12F2B">
        <w:rPr>
          <w:rFonts w:cs="Arial"/>
        </w:rPr>
        <w:t xml:space="preserve"> tis. více). Pro nemoc bylo v neschopnosti </w:t>
      </w:r>
      <w:r w:rsidR="00D12F2B" w:rsidRPr="00D12F2B">
        <w:rPr>
          <w:rFonts w:cs="Arial"/>
        </w:rPr>
        <w:t>191 514</w:t>
      </w:r>
      <w:r w:rsidRPr="00D12F2B">
        <w:rPr>
          <w:rFonts w:cs="Arial"/>
        </w:rPr>
        <w:t xml:space="preserve"> pojištěnců, v důsledku pracovního úrazu </w:t>
      </w:r>
      <w:r w:rsidR="00D12F2B" w:rsidRPr="00D12F2B">
        <w:rPr>
          <w:rFonts w:cs="Arial"/>
        </w:rPr>
        <w:t>6 939</w:t>
      </w:r>
      <w:r w:rsidRPr="00D12F2B">
        <w:rPr>
          <w:rFonts w:cs="Arial"/>
        </w:rPr>
        <w:t xml:space="preserve"> a následkem ostatních úrazů </w:t>
      </w:r>
      <w:r w:rsidR="00D12F2B" w:rsidRPr="00D12F2B">
        <w:rPr>
          <w:rFonts w:cs="Arial"/>
        </w:rPr>
        <w:t>24 027</w:t>
      </w:r>
      <w:r w:rsidRPr="00D12F2B">
        <w:rPr>
          <w:rFonts w:cs="Arial"/>
        </w:rPr>
        <w:t xml:space="preserve"> nemocensky pojištěných.</w:t>
      </w:r>
      <w:r w:rsidR="002B4B3B" w:rsidRPr="00D12F2B">
        <w:rPr>
          <w:rFonts w:cs="Arial"/>
        </w:rPr>
        <w:t xml:space="preserve"> Nejvíce pojištěnců </w:t>
      </w:r>
      <w:r w:rsidR="00777C02">
        <w:rPr>
          <w:rFonts w:cs="Arial"/>
        </w:rPr>
        <w:t>(</w:t>
      </w:r>
      <w:r w:rsidR="00777C02" w:rsidRPr="00D12F2B">
        <w:rPr>
          <w:rFonts w:cs="Arial"/>
        </w:rPr>
        <w:t>76 900 osob)</w:t>
      </w:r>
      <w:r w:rsidR="00777C02">
        <w:rPr>
          <w:rFonts w:cs="Arial"/>
        </w:rPr>
        <w:t xml:space="preserve"> </w:t>
      </w:r>
      <w:r w:rsidR="002B4B3B" w:rsidRPr="00D12F2B">
        <w:rPr>
          <w:rFonts w:cs="Arial"/>
        </w:rPr>
        <w:t>chybělo ve Zpracovatelském průmyslu</w:t>
      </w:r>
      <w:r w:rsidR="00A97D20">
        <w:rPr>
          <w:rFonts w:cs="Arial"/>
        </w:rPr>
        <w:t>, kde jich také nejvíce pracuje</w:t>
      </w:r>
      <w:r w:rsidR="002B4B3B" w:rsidRPr="00D12F2B">
        <w:rPr>
          <w:rFonts w:cs="Arial"/>
        </w:rPr>
        <w:t>, dále v odvětví Velkoobchod a maloobchod, opravy a údržba motorových vozidel (</w:t>
      </w:r>
      <w:r w:rsidR="00D12F2B" w:rsidRPr="00D12F2B">
        <w:rPr>
          <w:rFonts w:cs="Arial"/>
        </w:rPr>
        <w:t>30 684</w:t>
      </w:r>
      <w:r w:rsidR="002B4B3B" w:rsidRPr="00D12F2B">
        <w:rPr>
          <w:rFonts w:cs="Arial"/>
        </w:rPr>
        <w:t xml:space="preserve"> osob), zatímco nejméně pojištěnců v odvětví Výroba a rozvod elektřiny, plynu, tepla a klimatizovaného vzduchu (1 </w:t>
      </w:r>
      <w:r w:rsidR="00D12F2B" w:rsidRPr="00D12F2B">
        <w:rPr>
          <w:rFonts w:cs="Arial"/>
        </w:rPr>
        <w:t>179</w:t>
      </w:r>
      <w:r w:rsidR="002B4B3B" w:rsidRPr="00D12F2B">
        <w:rPr>
          <w:rFonts w:cs="Arial"/>
        </w:rPr>
        <w:t xml:space="preserve"> osob)</w:t>
      </w:r>
      <w:r w:rsidR="00D12F2B" w:rsidRPr="00D12F2B">
        <w:rPr>
          <w:rFonts w:cs="Arial"/>
        </w:rPr>
        <w:t xml:space="preserve"> a Činnosti v oblasti nemovitostí (1 797)</w:t>
      </w:r>
      <w:r w:rsidR="002B4B3B" w:rsidRPr="00D12F2B">
        <w:rPr>
          <w:rFonts w:cs="Arial"/>
        </w:rPr>
        <w:t>.</w:t>
      </w:r>
      <w:r w:rsidR="00107F98" w:rsidRPr="00D12F2B">
        <w:rPr>
          <w:rFonts w:cs="Arial"/>
        </w:rPr>
        <w:t xml:space="preserve"> Tyto hodnoty jsou do značné míry ovlivněné tím, jaký podíl zaujímá daná sekce v národním hospodářství a kolik zaměstnává osob.</w:t>
      </w:r>
    </w:p>
    <w:p w14:paraId="76B9F61E" w14:textId="5BEE94B5" w:rsidR="001341B9" w:rsidRPr="001341B9" w:rsidRDefault="001341B9" w:rsidP="00CA6C66">
      <w:pPr>
        <w:pStyle w:val="Titulek"/>
        <w:keepNext/>
        <w:spacing w:after="60"/>
        <w:rPr>
          <w:b/>
          <w:i w:val="0"/>
          <w:color w:val="000000" w:themeColor="text1"/>
          <w:sz w:val="20"/>
        </w:rPr>
      </w:pPr>
      <w:bookmarkStart w:id="16" w:name="_Toc10112627"/>
      <w:r w:rsidRPr="001341B9">
        <w:rPr>
          <w:b/>
          <w:i w:val="0"/>
          <w:color w:val="000000" w:themeColor="text1"/>
          <w:sz w:val="20"/>
        </w:rPr>
        <w:t>Tab</w:t>
      </w:r>
      <w:r w:rsidR="003E2F90">
        <w:rPr>
          <w:b/>
          <w:i w:val="0"/>
          <w:color w:val="000000" w:themeColor="text1"/>
          <w:sz w:val="20"/>
        </w:rPr>
        <w:t>.</w:t>
      </w:r>
      <w:r w:rsidRPr="001341B9">
        <w:rPr>
          <w:b/>
          <w:i w:val="0"/>
          <w:color w:val="000000" w:themeColor="text1"/>
          <w:sz w:val="20"/>
        </w:rPr>
        <w:t xml:space="preserve"> 2.</w:t>
      </w:r>
      <w:r w:rsidRPr="001341B9">
        <w:rPr>
          <w:b/>
          <w:i w:val="0"/>
          <w:color w:val="000000" w:themeColor="text1"/>
          <w:sz w:val="20"/>
        </w:rPr>
        <w:fldChar w:fldCharType="begin"/>
      </w:r>
      <w:r w:rsidRPr="001341B9">
        <w:rPr>
          <w:b/>
          <w:i w:val="0"/>
          <w:color w:val="000000" w:themeColor="text1"/>
          <w:sz w:val="20"/>
        </w:rPr>
        <w:instrText xml:space="preserve"> SEQ Tabulka \* ARABIC </w:instrText>
      </w:r>
      <w:r w:rsidRPr="001341B9">
        <w:rPr>
          <w:b/>
          <w:i w:val="0"/>
          <w:color w:val="000000" w:themeColor="text1"/>
          <w:sz w:val="20"/>
        </w:rPr>
        <w:fldChar w:fldCharType="separate"/>
      </w:r>
      <w:r w:rsidR="00FF7036">
        <w:rPr>
          <w:b/>
          <w:i w:val="0"/>
          <w:noProof/>
          <w:color w:val="000000" w:themeColor="text1"/>
          <w:sz w:val="20"/>
        </w:rPr>
        <w:t>9</w:t>
      </w:r>
      <w:r w:rsidRPr="001341B9">
        <w:rPr>
          <w:b/>
          <w:i w:val="0"/>
          <w:color w:val="000000" w:themeColor="text1"/>
          <w:sz w:val="20"/>
        </w:rPr>
        <w:fldChar w:fldCharType="end"/>
      </w:r>
      <w:r w:rsidRPr="001341B9">
        <w:rPr>
          <w:b/>
          <w:i w:val="0"/>
          <w:color w:val="000000" w:themeColor="text1"/>
          <w:sz w:val="20"/>
        </w:rPr>
        <w:t>: Průměrný denní stav dočasně práce neschopných</w:t>
      </w:r>
      <w:r w:rsidR="00452182">
        <w:rPr>
          <w:b/>
          <w:i w:val="0"/>
          <w:color w:val="000000" w:themeColor="text1"/>
          <w:sz w:val="20"/>
        </w:rPr>
        <w:t xml:space="preserve">, </w:t>
      </w:r>
      <w:r w:rsidRPr="001341B9">
        <w:rPr>
          <w:b/>
          <w:i w:val="0"/>
          <w:color w:val="000000" w:themeColor="text1"/>
          <w:sz w:val="20"/>
        </w:rPr>
        <w:t>200</w:t>
      </w:r>
      <w:r w:rsidR="00602560">
        <w:rPr>
          <w:b/>
          <w:i w:val="0"/>
          <w:color w:val="000000" w:themeColor="text1"/>
          <w:sz w:val="20"/>
        </w:rPr>
        <w:t>9</w:t>
      </w:r>
      <w:r w:rsidRPr="001341B9">
        <w:rPr>
          <w:b/>
          <w:i w:val="0"/>
          <w:color w:val="000000" w:themeColor="text1"/>
          <w:sz w:val="20"/>
        </w:rPr>
        <w:t>–201</w:t>
      </w:r>
      <w:r w:rsidR="00602560">
        <w:rPr>
          <w:b/>
          <w:i w:val="0"/>
          <w:color w:val="000000" w:themeColor="text1"/>
          <w:sz w:val="20"/>
        </w:rPr>
        <w:t>9</w:t>
      </w:r>
      <w:r w:rsidRPr="001341B9">
        <w:rPr>
          <w:b/>
          <w:i w:val="0"/>
          <w:color w:val="000000" w:themeColor="text1"/>
          <w:sz w:val="20"/>
        </w:rPr>
        <w:t xml:space="preserve"> (v tis</w:t>
      </w:r>
      <w:r w:rsidR="00452182">
        <w:rPr>
          <w:b/>
          <w:i w:val="0"/>
          <w:color w:val="000000" w:themeColor="text1"/>
          <w:sz w:val="20"/>
        </w:rPr>
        <w:t>.</w:t>
      </w:r>
      <w:r w:rsidRPr="001341B9">
        <w:rPr>
          <w:b/>
          <w:i w:val="0"/>
          <w:color w:val="000000" w:themeColor="text1"/>
          <w:sz w:val="20"/>
        </w:rPr>
        <w:t>)</w:t>
      </w:r>
      <w:bookmarkEnd w:id="16"/>
    </w:p>
    <w:tbl>
      <w:tblPr>
        <w:tblW w:w="962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39"/>
        <w:gridCol w:w="740"/>
        <w:gridCol w:w="739"/>
        <w:gridCol w:w="739"/>
        <w:gridCol w:w="740"/>
        <w:gridCol w:w="738"/>
        <w:gridCol w:w="739"/>
        <w:gridCol w:w="754"/>
        <w:gridCol w:w="738"/>
        <w:gridCol w:w="738"/>
        <w:gridCol w:w="740"/>
        <w:gridCol w:w="738"/>
        <w:gridCol w:w="738"/>
      </w:tblGrid>
      <w:tr w:rsidR="00777C02" w:rsidRPr="001341B9" w14:paraId="24E575CD" w14:textId="77777777" w:rsidTr="001F3E33">
        <w:trPr>
          <w:trHeight w:val="340"/>
        </w:trPr>
        <w:tc>
          <w:tcPr>
            <w:tcW w:w="739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B154718" w14:textId="277E664F" w:rsidR="00777C02" w:rsidRPr="001341B9" w:rsidRDefault="00777C02" w:rsidP="00777C0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Rok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A5538AF" w14:textId="77777777" w:rsidR="00777C02" w:rsidRPr="001F3E33" w:rsidRDefault="00777C02" w:rsidP="001341B9">
            <w:pPr>
              <w:spacing w:after="0" w:line="240" w:lineRule="auto"/>
              <w:jc w:val="center"/>
              <w:rPr>
                <w:rFonts w:cs="Arial"/>
                <w:b/>
                <w:sz w:val="16"/>
                <w:szCs w:val="16"/>
              </w:rPr>
            </w:pPr>
            <w:r w:rsidRPr="001F3E33">
              <w:rPr>
                <w:rFonts w:cs="Arial"/>
                <w:b/>
                <w:sz w:val="16"/>
                <w:szCs w:val="16"/>
              </w:rPr>
              <w:t>Celkem</w:t>
            </w:r>
          </w:p>
        </w:tc>
        <w:tc>
          <w:tcPr>
            <w:tcW w:w="1478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26C9107" w14:textId="28AA7B79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A049241" w14:textId="6B7FC38A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1341B9">
              <w:rPr>
                <w:rFonts w:cs="Arial"/>
                <w:sz w:val="16"/>
                <w:szCs w:val="16"/>
              </w:rPr>
              <w:t>ro nemoc</w:t>
            </w:r>
          </w:p>
        </w:tc>
        <w:tc>
          <w:tcPr>
            <w:tcW w:w="1477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1C6BCA37" w14:textId="2C0200AC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54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E396A88" w14:textId="6D27D511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1341B9">
              <w:rPr>
                <w:rFonts w:cs="Arial"/>
                <w:sz w:val="16"/>
                <w:szCs w:val="16"/>
              </w:rPr>
              <w:t>ro pracovní úrazy</w:t>
            </w:r>
          </w:p>
        </w:tc>
        <w:tc>
          <w:tcPr>
            <w:tcW w:w="14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BB8D958" w14:textId="3EA4F872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74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6D76DB35" w14:textId="0197F0FE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</w:t>
            </w:r>
            <w:r w:rsidRPr="001341B9">
              <w:rPr>
                <w:rFonts w:cs="Arial"/>
                <w:sz w:val="16"/>
                <w:szCs w:val="16"/>
              </w:rPr>
              <w:t>ro ostatní úrazy</w:t>
            </w:r>
          </w:p>
        </w:tc>
        <w:tc>
          <w:tcPr>
            <w:tcW w:w="147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2DBDB"/>
            <w:vAlign w:val="center"/>
            <w:hideMark/>
          </w:tcPr>
          <w:p w14:paraId="03C48315" w14:textId="2038FB3C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777C02" w:rsidRPr="001341B9" w14:paraId="5BCF78AD" w14:textId="77777777" w:rsidTr="001F3E33">
        <w:trPr>
          <w:trHeight w:val="340"/>
        </w:trPr>
        <w:tc>
          <w:tcPr>
            <w:tcW w:w="739" w:type="dxa"/>
            <w:vMerge/>
            <w:tcBorders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1E503A8" w14:textId="16FA9DA4" w:rsidR="00777C02" w:rsidRPr="001341B9" w:rsidRDefault="00777C02" w:rsidP="00777C0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</w:p>
        </w:tc>
        <w:tc>
          <w:tcPr>
            <w:tcW w:w="740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9C9F0C4" w14:textId="77777777" w:rsidR="00777C02" w:rsidRPr="001341B9" w:rsidRDefault="00777C02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3265389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05FA1C9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FCE6EF8" w14:textId="77777777" w:rsidR="00777C02" w:rsidRPr="001341B9" w:rsidRDefault="00777C02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D83D67D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5C874AB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54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6309651" w14:textId="77777777" w:rsidR="00777C02" w:rsidRPr="001341B9" w:rsidRDefault="00777C02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103853C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7F1B002C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74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49E28CB9" w14:textId="77777777" w:rsidR="00777C02" w:rsidRPr="001341B9" w:rsidRDefault="00777C02" w:rsidP="001341B9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133D7A70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73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388EDD60" w14:textId="77777777" w:rsidR="00777C02" w:rsidRPr="001341B9" w:rsidRDefault="00777C02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1341B9" w:rsidRPr="001341B9" w14:paraId="2A99F413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06F50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2B0B4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178,0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5BA97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83,0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81D0F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95,0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3A622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156,8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D55F5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68,3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B87F2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88,5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F1D0A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DDA0C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86EE377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1923E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82F5F7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22BC2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4,4</w:t>
            </w:r>
          </w:p>
        </w:tc>
      </w:tr>
      <w:tr w:rsidR="001341B9" w:rsidRPr="001341B9" w14:paraId="62E4BE1D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353BB1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3FD76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162,2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369B9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FC23F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85,5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FD477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141,6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ACC1F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62,7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D99A05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78,9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A9A06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7C0F27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DFC5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A5B5A0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357AD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B5720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4,5</w:t>
            </w:r>
          </w:p>
        </w:tc>
      </w:tr>
      <w:tr w:rsidR="001341B9" w:rsidRPr="001341B9" w14:paraId="35371529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5E43DF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5EC8B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153,2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479E8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71,2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9A614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82,0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93141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133,6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76D01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57,9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71A918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75,7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4D82D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A2598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051C34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BD1A7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E00E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649F1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4,3</w:t>
            </w:r>
          </w:p>
        </w:tc>
      </w:tr>
      <w:tr w:rsidR="001341B9" w:rsidRPr="001341B9" w14:paraId="5591263C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D339266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8417F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154,4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9922F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71,6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9DE762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689B8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130,3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2260B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55,6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E4C61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74,7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10F8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D11A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E6AC6E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5E3FB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17,5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F7CF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28F02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6,2</w:t>
            </w:r>
          </w:p>
        </w:tc>
      </w:tr>
      <w:tr w:rsidR="001341B9" w:rsidRPr="001341B9" w14:paraId="76356447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74BC91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572C850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160,5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7B836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74,0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6CADD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86,5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558CD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135,9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108BA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58,0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D5283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77,9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463A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E1FE04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7EBB8C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1C212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0A8D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0CAFC1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6,7</w:t>
            </w:r>
          </w:p>
        </w:tc>
      </w:tr>
      <w:tr w:rsidR="001341B9" w:rsidRPr="001341B9" w14:paraId="31D80B8D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954EFE6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84515A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165,0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31BAD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75,1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BD9BF7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89,9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923D1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139,9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3FBDD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58,7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C6259A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81,2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4178F7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E718C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AF4B2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E24F7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0F423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6C752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6,7</w:t>
            </w:r>
          </w:p>
        </w:tc>
      </w:tr>
      <w:tr w:rsidR="001341B9" w:rsidRPr="001341B9" w14:paraId="49278A04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83FEFA5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D97B7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183,1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6234A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83,5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8A11BA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99,6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D6F579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156,2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93E1D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66,2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B4B1E5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90,0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7BC8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69825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B9BC30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7558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19,9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0BECF2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1EA18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7,4</w:t>
            </w:r>
          </w:p>
        </w:tc>
      </w:tr>
      <w:tr w:rsidR="001341B9" w:rsidRPr="001341B9" w14:paraId="53407454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CE68A5C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5699C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191,9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5738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87,1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90CFCE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104,8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4EB84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164,2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015D6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69,4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68325F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94,8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61421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30AB6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02C09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2,2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63020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5167AA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12,9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2A35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7,8</w:t>
            </w:r>
          </w:p>
        </w:tc>
      </w:tr>
      <w:tr w:rsidR="001341B9" w:rsidRPr="001341B9" w14:paraId="54602CB8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BB97F3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C1328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199,1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BC1213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0E431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108,5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316BB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170,2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DACC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D97C8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97,7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8BDA4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7,1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40CFD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A718DD2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A85B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21,8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C94BF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13,3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745EA8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8,5</w:t>
            </w:r>
          </w:p>
        </w:tc>
      </w:tr>
      <w:tr w:rsidR="001341B9" w:rsidRPr="001341B9" w14:paraId="7E0A6D51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8A078F2" w14:textId="77777777" w:rsidR="001341B9" w:rsidRPr="001341B9" w:rsidRDefault="001341B9" w:rsidP="001341B9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4C9730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211,4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50B38E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96,5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B04FB0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114,9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1EBDA5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181,4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5E19B7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77,8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0D52D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103,7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305914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7,0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D60C9C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4,8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AEAD4B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3ACA06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22,9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650F5D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14,0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B42B1" w14:textId="77777777" w:rsidR="001341B9" w:rsidRPr="001341B9" w:rsidRDefault="001341B9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341B9">
              <w:rPr>
                <w:rFonts w:cs="Arial"/>
                <w:sz w:val="16"/>
                <w:szCs w:val="16"/>
              </w:rPr>
              <w:t>8,9</w:t>
            </w:r>
          </w:p>
        </w:tc>
      </w:tr>
      <w:tr w:rsidR="00602560" w:rsidRPr="00602560" w14:paraId="6CA6E423" w14:textId="77777777" w:rsidTr="001F3E33">
        <w:trPr>
          <w:trHeight w:val="340"/>
        </w:trPr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5A9B99" w14:textId="77777777" w:rsidR="00602560" w:rsidRPr="00602560" w:rsidRDefault="00602560" w:rsidP="0060256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103178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222,5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46B038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101,5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E33634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121,0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324E8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191,5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CBC513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82,2</w:t>
            </w:r>
          </w:p>
        </w:tc>
        <w:tc>
          <w:tcPr>
            <w:tcW w:w="73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C546037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109,3</w:t>
            </w:r>
          </w:p>
        </w:tc>
        <w:tc>
          <w:tcPr>
            <w:tcW w:w="754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FBF08D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6,9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483182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4,7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A00B70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2,3</w:t>
            </w:r>
          </w:p>
        </w:tc>
        <w:tc>
          <w:tcPr>
            <w:tcW w:w="740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39EE8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24,0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853EE3E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14,6</w:t>
            </w: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E790B3" w14:textId="77777777" w:rsidR="00602560" w:rsidRPr="00602560" w:rsidRDefault="00602560" w:rsidP="00BD495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02560">
              <w:rPr>
                <w:rFonts w:cs="Arial"/>
                <w:sz w:val="16"/>
                <w:szCs w:val="16"/>
              </w:rPr>
              <w:t>9,4</w:t>
            </w:r>
          </w:p>
        </w:tc>
      </w:tr>
    </w:tbl>
    <w:p w14:paraId="398F578C" w14:textId="77777777" w:rsidR="00224AD6" w:rsidRDefault="001341B9" w:rsidP="009636BA">
      <w:pPr>
        <w:spacing w:before="60" w:after="120"/>
        <w:rPr>
          <w:sz w:val="18"/>
        </w:rPr>
      </w:pPr>
      <w:r w:rsidRPr="00BC3FF5">
        <w:rPr>
          <w:sz w:val="18"/>
        </w:rPr>
        <w:t>Zdroj: ČSÚ</w:t>
      </w:r>
    </w:p>
    <w:p w14:paraId="301C8F8C" w14:textId="2D665D97" w:rsidR="004744DF" w:rsidRDefault="00224AD6" w:rsidP="001F3E33">
      <w:pPr>
        <w:spacing w:before="120" w:after="120"/>
        <w:jc w:val="both"/>
        <w:rPr>
          <w:sz w:val="18"/>
        </w:rPr>
      </w:pPr>
      <w:r w:rsidRPr="00067C77">
        <w:rPr>
          <w:rFonts w:cs="Arial"/>
        </w:rPr>
        <w:t xml:space="preserve">Vývoj hodnot ukazatele průměrný denní stav dočasně práce neschopných v posledních deseti letech je zřejmý z tabulky 2.9. Zatímco před deseti lety bylo 88 % osob v pracovní neschopnosti indisponováno z důvodu nemoci, v roce 2019 to bylo 86 %. Naopak vzrostl podíl osob, které byly v pracovní neschopnosti </w:t>
      </w:r>
      <w:r>
        <w:rPr>
          <w:rFonts w:cs="Arial"/>
        </w:rPr>
        <w:t>pro</w:t>
      </w:r>
      <w:r w:rsidRPr="00067C77">
        <w:rPr>
          <w:rFonts w:cs="Arial"/>
        </w:rPr>
        <w:t xml:space="preserve"> mimopracovní úraz, z necelých 8 % v roce 2009 na 11 % v roce 2019</w:t>
      </w:r>
      <w:r>
        <w:rPr>
          <w:rFonts w:cs="Arial"/>
        </w:rPr>
        <w:t>.</w:t>
      </w:r>
      <w:r w:rsidR="004744DF">
        <w:rPr>
          <w:sz w:val="18"/>
        </w:rPr>
        <w:br w:type="page"/>
      </w:r>
    </w:p>
    <w:p w14:paraId="04A309D6" w14:textId="66DE7082" w:rsidR="00EE4B1B" w:rsidRPr="00E56B7C" w:rsidRDefault="00977F2A" w:rsidP="00E80A21">
      <w:pPr>
        <w:pStyle w:val="Nadpis2"/>
      </w:pPr>
      <w:bookmarkStart w:id="17" w:name="_Toc41558319"/>
      <w:r w:rsidRPr="00E56B7C">
        <w:lastRenderedPageBreak/>
        <w:t>4.3 Ukončené případy dočasné pracovní neschopnosti</w:t>
      </w:r>
      <w:bookmarkEnd w:id="17"/>
    </w:p>
    <w:p w14:paraId="1D55CC65" w14:textId="21FB12C2" w:rsidR="00DB7F87" w:rsidRPr="00F71C24" w:rsidRDefault="00FD1F88" w:rsidP="00E80A21">
      <w:pPr>
        <w:spacing w:after="120"/>
        <w:jc w:val="both"/>
        <w:rPr>
          <w:rFonts w:cs="Arial"/>
          <w:szCs w:val="20"/>
        </w:rPr>
      </w:pPr>
      <w:r w:rsidRPr="00F71C24">
        <w:rPr>
          <w:rFonts w:cs="Arial"/>
          <w:szCs w:val="20"/>
        </w:rPr>
        <w:t>Zatímco doposud se analýza týkala nově hlášených případů dočasné praco</w:t>
      </w:r>
      <w:r w:rsidR="006E41A2" w:rsidRPr="00F71C24">
        <w:rPr>
          <w:rFonts w:cs="Arial"/>
          <w:szCs w:val="20"/>
        </w:rPr>
        <w:t>vní neschopnosti (kapitola 4.2),</w:t>
      </w:r>
      <w:r w:rsidRPr="00F71C24">
        <w:rPr>
          <w:rFonts w:cs="Arial"/>
          <w:szCs w:val="20"/>
        </w:rPr>
        <w:t xml:space="preserve"> jak data zpracovává ČSÚ</w:t>
      </w:r>
      <w:r w:rsidR="006E41A2" w:rsidRPr="00F71C24">
        <w:rPr>
          <w:rFonts w:cs="Arial"/>
          <w:szCs w:val="20"/>
        </w:rPr>
        <w:t xml:space="preserve"> z evidence ČSSZ</w:t>
      </w:r>
      <w:r w:rsidRPr="00F71C24">
        <w:rPr>
          <w:rFonts w:cs="Arial"/>
          <w:szCs w:val="20"/>
        </w:rPr>
        <w:t xml:space="preserve">, jiný pohled nabízí </w:t>
      </w:r>
      <w:r w:rsidR="006E41A2" w:rsidRPr="00F71C24">
        <w:rPr>
          <w:rFonts w:cs="Arial"/>
          <w:szCs w:val="20"/>
        </w:rPr>
        <w:t xml:space="preserve">data </w:t>
      </w:r>
      <w:r w:rsidR="00621C38">
        <w:rPr>
          <w:rFonts w:cs="Arial"/>
          <w:szCs w:val="20"/>
        </w:rPr>
        <w:t xml:space="preserve">o ukončených případech pracovní neschopnosti </w:t>
      </w:r>
      <w:r w:rsidR="006E41A2" w:rsidRPr="00F71C24">
        <w:rPr>
          <w:rFonts w:cs="Arial"/>
          <w:szCs w:val="20"/>
        </w:rPr>
        <w:t>přímo publikovaná ČSSZ</w:t>
      </w:r>
      <w:r w:rsidR="00C70335">
        <w:rPr>
          <w:rFonts w:cs="Arial"/>
          <w:szCs w:val="20"/>
        </w:rPr>
        <w:t xml:space="preserve">. </w:t>
      </w:r>
      <w:r w:rsidRPr="00F71C24">
        <w:rPr>
          <w:rFonts w:cs="Arial"/>
          <w:szCs w:val="20"/>
        </w:rPr>
        <w:t>Rozdíly v počtech nově hlášených a ukončených případů dočasné pracovní neschopnosti jsou dány odlišnou metodikou sběru dat.</w:t>
      </w:r>
      <w:r w:rsidR="005B4A93" w:rsidRPr="00F71C24">
        <w:rPr>
          <w:rFonts w:cs="Arial"/>
          <w:szCs w:val="20"/>
        </w:rPr>
        <w:t xml:space="preserve"> Trendy vývoje těchto ukazatelů jsou </w:t>
      </w:r>
      <w:r w:rsidR="006E41A2" w:rsidRPr="00F71C24">
        <w:rPr>
          <w:rFonts w:cs="Arial"/>
          <w:szCs w:val="20"/>
        </w:rPr>
        <w:t xml:space="preserve">však </w:t>
      </w:r>
      <w:r w:rsidR="005B4A93" w:rsidRPr="00F71C24">
        <w:rPr>
          <w:rFonts w:cs="Arial"/>
          <w:szCs w:val="20"/>
        </w:rPr>
        <w:t>konzistentní.</w:t>
      </w:r>
    </w:p>
    <w:p w14:paraId="5CE6CEC3" w14:textId="25738F07" w:rsidR="001522B9" w:rsidRPr="00F71C24" w:rsidRDefault="001522B9" w:rsidP="00E80A21">
      <w:pPr>
        <w:spacing w:after="120"/>
        <w:jc w:val="both"/>
        <w:rPr>
          <w:rFonts w:cs="Arial"/>
        </w:rPr>
      </w:pPr>
      <w:r w:rsidRPr="00F71C24">
        <w:rPr>
          <w:rFonts w:cs="Arial"/>
          <w:szCs w:val="20"/>
        </w:rPr>
        <w:t>Na rozdíl od statistik nově hlášených případů dočasné neschopnosti,</w:t>
      </w:r>
      <w:r w:rsidR="00C70335">
        <w:rPr>
          <w:rFonts w:cs="Arial"/>
          <w:szCs w:val="20"/>
        </w:rPr>
        <w:t xml:space="preserve"> </w:t>
      </w:r>
      <w:r w:rsidR="006E41A2" w:rsidRPr="00F71C24">
        <w:rPr>
          <w:rFonts w:cs="Arial"/>
        </w:rPr>
        <w:t>ČSSZ publikuje</w:t>
      </w:r>
      <w:r w:rsidR="00107F98" w:rsidRPr="00F71C24">
        <w:rPr>
          <w:rFonts w:cs="Arial"/>
        </w:rPr>
        <w:t xml:space="preserve"> </w:t>
      </w:r>
      <w:r w:rsidR="00621C38">
        <w:rPr>
          <w:rFonts w:cs="Arial"/>
        </w:rPr>
        <w:t xml:space="preserve">statistiku </w:t>
      </w:r>
      <w:r w:rsidRPr="00F71C24">
        <w:rPr>
          <w:rFonts w:cs="Arial"/>
        </w:rPr>
        <w:t xml:space="preserve">dočasné pracovní neschopnosti </w:t>
      </w:r>
      <w:r w:rsidR="006E41A2" w:rsidRPr="00F71C24">
        <w:rPr>
          <w:rFonts w:cs="Arial"/>
        </w:rPr>
        <w:t>z pohledu</w:t>
      </w:r>
      <w:r w:rsidRPr="00F71C24">
        <w:rPr>
          <w:rFonts w:cs="Arial"/>
        </w:rPr>
        <w:t xml:space="preserve"> </w:t>
      </w:r>
      <w:r w:rsidR="006E41A2" w:rsidRPr="00F71C24">
        <w:rPr>
          <w:rFonts w:cs="Arial"/>
          <w:b/>
        </w:rPr>
        <w:t>případů</w:t>
      </w:r>
      <w:r w:rsidRPr="00F71C24">
        <w:rPr>
          <w:rFonts w:cs="Arial"/>
          <w:b/>
        </w:rPr>
        <w:t xml:space="preserve"> ukončen</w:t>
      </w:r>
      <w:r w:rsidR="006E41A2" w:rsidRPr="00F71C24">
        <w:rPr>
          <w:rFonts w:cs="Arial"/>
          <w:b/>
        </w:rPr>
        <w:t>ých</w:t>
      </w:r>
      <w:r w:rsidRPr="00F71C24">
        <w:rPr>
          <w:rFonts w:cs="Arial"/>
          <w:b/>
        </w:rPr>
        <w:t xml:space="preserve"> ve sledovaném roce</w:t>
      </w:r>
      <w:r w:rsidRPr="00F71C24">
        <w:rPr>
          <w:rFonts w:cs="Arial"/>
        </w:rPr>
        <w:t>. Některé případy vzniklé na konci roku jsou tak v závislosti na délce jejich trvání evidovány až ve</w:t>
      </w:r>
      <w:r w:rsidR="00BA3658" w:rsidRPr="00F71C24">
        <w:rPr>
          <w:rFonts w:cs="Arial"/>
        </w:rPr>
        <w:t> </w:t>
      </w:r>
      <w:r w:rsidRPr="00F71C24">
        <w:rPr>
          <w:rFonts w:cs="Arial"/>
        </w:rPr>
        <w:t>zpracování dat roku následujícího. Pro zpestření pohledu na</w:t>
      </w:r>
      <w:r w:rsidR="00BA3658" w:rsidRPr="00F71C24">
        <w:rPr>
          <w:rFonts w:cs="Arial"/>
        </w:rPr>
        <w:t> </w:t>
      </w:r>
      <w:r w:rsidRPr="00F71C24">
        <w:rPr>
          <w:rFonts w:cs="Arial"/>
        </w:rPr>
        <w:t xml:space="preserve">statistiku nemocnosti byla vybraná data z tohoto zdroje využita v této kapitole. </w:t>
      </w:r>
      <w:r w:rsidR="00F71C24" w:rsidRPr="00F71C24">
        <w:rPr>
          <w:rFonts w:cs="Arial"/>
        </w:rPr>
        <w:t xml:space="preserve">Statistiky ukončených případů jsou k dispozici v třídění z pohledu pojištěnce, nikoliv zaměstnavatele, jak bylo dosud prezentováno a jak uvádí ČSÚ. ČSSZ </w:t>
      </w:r>
      <w:r w:rsidR="001F3E33">
        <w:rPr>
          <w:rFonts w:cs="Arial"/>
        </w:rPr>
        <w:t>třídí data např. po</w:t>
      </w:r>
      <w:r w:rsidR="00F71C24" w:rsidRPr="00F71C24">
        <w:rPr>
          <w:rFonts w:cs="Arial"/>
        </w:rPr>
        <w:t xml:space="preserve">dle věku dočasně práce neschopných, délky trvání </w:t>
      </w:r>
      <w:r w:rsidR="001F3E33">
        <w:rPr>
          <w:rFonts w:cs="Arial"/>
        </w:rPr>
        <w:t>případů či</w:t>
      </w:r>
      <w:r w:rsidR="00F71C24" w:rsidRPr="00F71C24">
        <w:rPr>
          <w:rFonts w:cs="Arial"/>
        </w:rPr>
        <w:t xml:space="preserve"> skupin diagnóz.</w:t>
      </w:r>
    </w:p>
    <w:p w14:paraId="5CD949AF" w14:textId="031A9972" w:rsidR="001522B9" w:rsidRPr="00F71C24" w:rsidRDefault="001522B9" w:rsidP="00E80A21">
      <w:pPr>
        <w:pStyle w:val="Box1"/>
        <w:spacing w:before="120" w:after="120"/>
        <w:ind w:left="0"/>
        <w:jc w:val="both"/>
        <w:rPr>
          <w:i/>
        </w:rPr>
      </w:pPr>
      <w:r w:rsidRPr="00F71C24">
        <w:rPr>
          <w:b/>
          <w:i/>
        </w:rPr>
        <w:t xml:space="preserve">Ukončené případy pracovní neschopnosti </w:t>
      </w:r>
      <w:r w:rsidRPr="00F71C24">
        <w:rPr>
          <w:i/>
        </w:rPr>
        <w:t>– zahrnují veškerá onemocnění a úrazy, které zapříčinily alespoň jednodenní pracovní neschopnost u nemocensky pojištěných osob ukončenou v daném roce. Nezahrnuje tedy onemocnění a úrazy, u nichž pracovní neschopnost přesahovala do</w:t>
      </w:r>
      <w:r w:rsidR="00BA3658" w:rsidRPr="00F71C24">
        <w:rPr>
          <w:i/>
        </w:rPr>
        <w:t> </w:t>
      </w:r>
      <w:r w:rsidRPr="00F71C24">
        <w:rPr>
          <w:i/>
        </w:rPr>
        <w:t>dalšího roku, ani ty případy, kdy nebylo vystaveno „Rozhodnutí o dočasné pracovní neschopnosti“.</w:t>
      </w:r>
    </w:p>
    <w:p w14:paraId="3F2F93BE" w14:textId="08F88E2D" w:rsidR="00911E25" w:rsidRPr="00E11837" w:rsidRDefault="00F25E9B" w:rsidP="00E80A21">
      <w:pPr>
        <w:spacing w:after="120"/>
        <w:jc w:val="both"/>
        <w:rPr>
          <w:highlight w:val="yellow"/>
        </w:rPr>
      </w:pPr>
      <w:r w:rsidRPr="00F25E9B">
        <w:t>ČSSZ</w:t>
      </w:r>
      <w:r w:rsidR="00A63DFD" w:rsidRPr="00F25E9B">
        <w:t xml:space="preserve"> </w:t>
      </w:r>
      <w:r w:rsidR="00911E25" w:rsidRPr="00F25E9B">
        <w:t>za rok 201</w:t>
      </w:r>
      <w:r w:rsidRPr="00F25E9B">
        <w:t>9 evidovala 1 832 412</w:t>
      </w:r>
      <w:r w:rsidR="00911E25" w:rsidRPr="00F25E9B">
        <w:t xml:space="preserve"> ukončených případů dočasné pracovní neschopnosti, což je o </w:t>
      </w:r>
      <w:r w:rsidRPr="00F25E9B">
        <w:t>3,4</w:t>
      </w:r>
      <w:r w:rsidR="00911E25" w:rsidRPr="00F25E9B">
        <w:t xml:space="preserve"> % více než v</w:t>
      </w:r>
      <w:r w:rsidR="00BE244F">
        <w:t> </w:t>
      </w:r>
      <w:r w:rsidR="00911E25" w:rsidRPr="00F25E9B">
        <w:t>roce</w:t>
      </w:r>
      <w:r w:rsidR="00BE244F">
        <w:t xml:space="preserve"> 2018</w:t>
      </w:r>
      <w:r w:rsidR="00911E25" w:rsidRPr="00F25E9B">
        <w:t xml:space="preserve">. </w:t>
      </w:r>
    </w:p>
    <w:p w14:paraId="6985CB0A" w14:textId="0D0533DF" w:rsidR="00BD4955" w:rsidRPr="00435730" w:rsidRDefault="00BD4955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435730">
        <w:rPr>
          <w:b/>
          <w:i w:val="0"/>
          <w:color w:val="auto"/>
          <w:sz w:val="20"/>
        </w:rPr>
        <w:t>Tab. 3.</w:t>
      </w:r>
      <w:r w:rsidR="00AE1E5F">
        <w:rPr>
          <w:b/>
          <w:i w:val="0"/>
          <w:color w:val="auto"/>
          <w:sz w:val="20"/>
        </w:rPr>
        <w:t>1</w:t>
      </w:r>
      <w:r w:rsidRPr="00435730">
        <w:rPr>
          <w:b/>
          <w:i w:val="0"/>
          <w:color w:val="auto"/>
          <w:sz w:val="20"/>
        </w:rPr>
        <w:t xml:space="preserve">: Ukončené případy </w:t>
      </w:r>
      <w:r>
        <w:rPr>
          <w:b/>
          <w:i w:val="0"/>
          <w:color w:val="auto"/>
          <w:sz w:val="20"/>
        </w:rPr>
        <w:t xml:space="preserve">dočasné </w:t>
      </w:r>
      <w:r w:rsidRPr="00435730">
        <w:rPr>
          <w:b/>
          <w:i w:val="0"/>
          <w:color w:val="auto"/>
          <w:sz w:val="20"/>
        </w:rPr>
        <w:t xml:space="preserve">pracovní neschopnosti </w:t>
      </w:r>
      <w:r>
        <w:rPr>
          <w:b/>
          <w:i w:val="0"/>
          <w:color w:val="auto"/>
          <w:sz w:val="20"/>
        </w:rPr>
        <w:t xml:space="preserve">a průměrná délka jejich trvání </w:t>
      </w:r>
      <w:r w:rsidRPr="00435730">
        <w:rPr>
          <w:b/>
          <w:i w:val="0"/>
          <w:color w:val="auto"/>
          <w:sz w:val="20"/>
        </w:rPr>
        <w:t>podle věkových skupin</w:t>
      </w:r>
      <w:r w:rsidR="00AD5BC6">
        <w:rPr>
          <w:b/>
          <w:i w:val="0"/>
          <w:color w:val="auto"/>
          <w:sz w:val="20"/>
        </w:rPr>
        <w:t xml:space="preserve"> a pohlaví</w:t>
      </w:r>
      <w:r w:rsidRPr="00435730">
        <w:rPr>
          <w:b/>
          <w:i w:val="0"/>
          <w:color w:val="auto"/>
          <w:sz w:val="20"/>
        </w:rPr>
        <w:t>, 2019</w:t>
      </w:r>
    </w:p>
    <w:tbl>
      <w:tblPr>
        <w:tblW w:w="8723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38"/>
        <w:gridCol w:w="1247"/>
        <w:gridCol w:w="1247"/>
        <w:gridCol w:w="1248"/>
        <w:gridCol w:w="1247"/>
        <w:gridCol w:w="1247"/>
        <w:gridCol w:w="1249"/>
      </w:tblGrid>
      <w:tr w:rsidR="00BD4955" w:rsidRPr="00435730" w14:paraId="15E61803" w14:textId="77777777" w:rsidTr="001F3E33">
        <w:trPr>
          <w:trHeight w:val="571"/>
        </w:trPr>
        <w:tc>
          <w:tcPr>
            <w:tcW w:w="1238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4CCB3FA9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Věková skupina</w:t>
            </w:r>
          </w:p>
        </w:tc>
        <w:tc>
          <w:tcPr>
            <w:tcW w:w="3742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2C5607FE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Ukončené případy </w:t>
            </w:r>
            <w:r w:rsidRPr="00435730">
              <w:rPr>
                <w:rFonts w:cs="Arial"/>
                <w:sz w:val="16"/>
                <w:szCs w:val="16"/>
              </w:rPr>
              <w:t>DPN</w:t>
            </w:r>
          </w:p>
        </w:tc>
        <w:tc>
          <w:tcPr>
            <w:tcW w:w="3743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BDB"/>
            <w:vAlign w:val="center"/>
            <w:hideMark/>
          </w:tcPr>
          <w:p w14:paraId="28193E67" w14:textId="77777777" w:rsidR="009F5FBB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 xml:space="preserve">Průměrná délka trvání 1 ukončeného </w:t>
            </w:r>
          </w:p>
          <w:p w14:paraId="7B7D6DB1" w14:textId="357D6F0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případu DPN ve dnech</w:t>
            </w:r>
          </w:p>
        </w:tc>
      </w:tr>
      <w:tr w:rsidR="00BD4955" w:rsidRPr="00435730" w14:paraId="27351F4E" w14:textId="77777777" w:rsidTr="001F3E33">
        <w:trPr>
          <w:trHeight w:val="300"/>
        </w:trPr>
        <w:tc>
          <w:tcPr>
            <w:tcW w:w="1238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33F68B" w14:textId="77777777" w:rsidR="00BD4955" w:rsidRPr="00435730" w:rsidRDefault="00BD4955" w:rsidP="007B531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5F8608F6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249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3412B6BC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124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CF91D51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Celkem</w:t>
            </w:r>
          </w:p>
        </w:tc>
        <w:tc>
          <w:tcPr>
            <w:tcW w:w="249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2DBDB"/>
            <w:vAlign w:val="center"/>
          </w:tcPr>
          <w:p w14:paraId="0BE69029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BD4955" w:rsidRPr="00435730" w14:paraId="76A7B2A1" w14:textId="77777777" w:rsidTr="001F3E33">
        <w:trPr>
          <w:trHeight w:val="315"/>
        </w:trPr>
        <w:tc>
          <w:tcPr>
            <w:tcW w:w="1238" w:type="dxa"/>
            <w:vMerge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BFEC5D5" w14:textId="77777777" w:rsidR="00BD4955" w:rsidRPr="00435730" w:rsidRDefault="00BD4955" w:rsidP="007B531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37F855B2" w14:textId="77777777" w:rsidR="00BD4955" w:rsidRPr="00435730" w:rsidRDefault="00BD4955" w:rsidP="007B531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4CFC54EC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124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752B19D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1247" w:type="dxa"/>
            <w:vMerge/>
            <w:tcBorders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  <w:hideMark/>
          </w:tcPr>
          <w:p w14:paraId="0A747947" w14:textId="77777777" w:rsidR="00BD4955" w:rsidRPr="00435730" w:rsidRDefault="00BD4955" w:rsidP="007B5316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247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00" w:fill="F2DBDB"/>
            <w:vAlign w:val="center"/>
          </w:tcPr>
          <w:p w14:paraId="315D56D6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00" w:fill="F2DBDB"/>
            <w:vAlign w:val="center"/>
          </w:tcPr>
          <w:p w14:paraId="64D91280" w14:textId="77777777" w:rsidR="00BD4955" w:rsidRPr="00435730" w:rsidRDefault="00BD4955" w:rsidP="007B531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1F3E33" w:rsidRPr="00435730" w14:paraId="59A1D829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A7CCD8A" w14:textId="77777777" w:rsidR="001F3E33" w:rsidRPr="00435730" w:rsidRDefault="001F3E33" w:rsidP="001F3E33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435730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5F522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730">
              <w:rPr>
                <w:b/>
                <w:sz w:val="16"/>
              </w:rPr>
              <w:t>1 832 412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F9F690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730">
              <w:rPr>
                <w:b/>
                <w:sz w:val="16"/>
              </w:rPr>
              <w:t>862 359</w:t>
            </w:r>
          </w:p>
        </w:tc>
        <w:tc>
          <w:tcPr>
            <w:tcW w:w="12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074CAA8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435730">
              <w:rPr>
                <w:b/>
                <w:sz w:val="16"/>
              </w:rPr>
              <w:t>970 052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</w:tcBorders>
            <w:shd w:val="clear" w:color="auto" w:fill="auto"/>
            <w:noWrap/>
            <w:vAlign w:val="center"/>
          </w:tcPr>
          <w:p w14:paraId="3B8F486D" w14:textId="29064FA1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6BED">
              <w:rPr>
                <w:sz w:val="16"/>
              </w:rPr>
              <w:t>41,0</w:t>
            </w:r>
          </w:p>
        </w:tc>
        <w:tc>
          <w:tcPr>
            <w:tcW w:w="1247" w:type="dxa"/>
            <w:tcBorders>
              <w:top w:val="single" w:sz="8" w:space="0" w:color="000000"/>
            </w:tcBorders>
            <w:shd w:val="clear" w:color="auto" w:fill="auto"/>
            <w:vAlign w:val="center"/>
          </w:tcPr>
          <w:p w14:paraId="02DA5CB0" w14:textId="43CE827B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6BED">
              <w:rPr>
                <w:sz w:val="16"/>
              </w:rPr>
              <w:t>39,1</w:t>
            </w:r>
          </w:p>
        </w:tc>
        <w:tc>
          <w:tcPr>
            <w:tcW w:w="1249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0E226C4F" w14:textId="4BA81C36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846BED">
              <w:rPr>
                <w:sz w:val="16"/>
              </w:rPr>
              <w:t>42,7</w:t>
            </w:r>
          </w:p>
        </w:tc>
      </w:tr>
      <w:tr w:rsidR="001F3E33" w:rsidRPr="00435730" w14:paraId="7F872D98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0EE75FC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mladší 20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311D43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25 112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3C6F94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13 780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3914B3F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11 332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1800787F" w14:textId="78547EB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17,9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651B53FC" w14:textId="433B902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15,7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6471DF0F" w14:textId="58AE43D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20,5</w:t>
            </w:r>
          </w:p>
        </w:tc>
      </w:tr>
      <w:tr w:rsidR="001F3E33" w:rsidRPr="00435730" w14:paraId="2CF01D11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FED16AD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20–29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58BF1CB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398 917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7D7D5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210 065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1AFCD1D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188 851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705C96FE" w14:textId="5EEA06B0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25,8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2B1976BA" w14:textId="11382D07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20,9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0AEC7924" w14:textId="0D0B6D88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31,2</w:t>
            </w:r>
          </w:p>
        </w:tc>
      </w:tr>
      <w:tr w:rsidR="001F3E33" w:rsidRPr="00435730" w14:paraId="57EEEAE1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97D77E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30–39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2A6BB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397 548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334959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200 366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1A703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197 182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10C0E31A" w14:textId="611517D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33,7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52D51B16" w14:textId="13A53B94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28,7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547CEF23" w14:textId="15F02F7B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38,8</w:t>
            </w:r>
          </w:p>
        </w:tc>
      </w:tr>
      <w:tr w:rsidR="001F3E33" w:rsidRPr="00435730" w14:paraId="0D26A48D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3B5996D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40–49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8CB9C59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469 832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39F38C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195 799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8412D4E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274 033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5773F54E" w14:textId="317F9A06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42,2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1696A7BA" w14:textId="7199598C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41,7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2CAD3DBF" w14:textId="4D3050BD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42,6</w:t>
            </w:r>
          </w:p>
        </w:tc>
      </w:tr>
      <w:tr w:rsidR="001F3E33" w:rsidRPr="00435730" w14:paraId="2BA18EA3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8378BC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50–59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B9106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411 764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B76D05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167 022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DE2A7E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244 742</w:t>
            </w:r>
          </w:p>
        </w:tc>
        <w:tc>
          <w:tcPr>
            <w:tcW w:w="1247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B10D6CD" w14:textId="0D145B3C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54,5</w:t>
            </w:r>
          </w:p>
        </w:tc>
        <w:tc>
          <w:tcPr>
            <w:tcW w:w="1247" w:type="dxa"/>
            <w:shd w:val="clear" w:color="auto" w:fill="auto"/>
            <w:vAlign w:val="center"/>
          </w:tcPr>
          <w:p w14:paraId="400D44B3" w14:textId="5AED74A9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56,9</w:t>
            </w:r>
          </w:p>
        </w:tc>
        <w:tc>
          <w:tcPr>
            <w:tcW w:w="1249" w:type="dxa"/>
            <w:tcBorders>
              <w:left w:val="nil"/>
            </w:tcBorders>
            <w:shd w:val="clear" w:color="auto" w:fill="auto"/>
            <w:vAlign w:val="center"/>
          </w:tcPr>
          <w:p w14:paraId="581152C7" w14:textId="6534343F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52,9</w:t>
            </w:r>
          </w:p>
        </w:tc>
      </w:tr>
      <w:tr w:rsidR="001F3E33" w:rsidRPr="00435730" w14:paraId="0E990D39" w14:textId="77777777" w:rsidTr="00846BED">
        <w:trPr>
          <w:trHeight w:val="300"/>
        </w:trPr>
        <w:tc>
          <w:tcPr>
            <w:tcW w:w="123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FE9BDBB" w14:textId="77777777" w:rsidR="001F3E33" w:rsidRPr="00435730" w:rsidRDefault="001F3E33" w:rsidP="001F3E33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435730">
              <w:rPr>
                <w:rFonts w:cs="Arial"/>
                <w:sz w:val="16"/>
                <w:szCs w:val="16"/>
              </w:rPr>
              <w:t>60 a více let</w:t>
            </w:r>
          </w:p>
        </w:tc>
        <w:tc>
          <w:tcPr>
            <w:tcW w:w="124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520A9D0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129 239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11F8C93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75 327</w:t>
            </w:r>
          </w:p>
        </w:tc>
        <w:tc>
          <w:tcPr>
            <w:tcW w:w="12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2608831" w14:textId="77777777" w:rsidR="001F3E33" w:rsidRPr="00435730" w:rsidRDefault="001F3E33" w:rsidP="001F3E33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435730">
              <w:rPr>
                <w:sz w:val="16"/>
              </w:rPr>
              <w:t>53 912</w:t>
            </w:r>
          </w:p>
        </w:tc>
        <w:tc>
          <w:tcPr>
            <w:tcW w:w="1247" w:type="dxa"/>
            <w:tcBorders>
              <w:left w:val="single" w:sz="8" w:space="0" w:color="auto"/>
              <w:bottom w:val="nil"/>
            </w:tcBorders>
            <w:shd w:val="clear" w:color="auto" w:fill="auto"/>
            <w:noWrap/>
            <w:vAlign w:val="center"/>
          </w:tcPr>
          <w:p w14:paraId="3C55A0C2" w14:textId="10F420D6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66,9</w:t>
            </w:r>
          </w:p>
        </w:tc>
        <w:tc>
          <w:tcPr>
            <w:tcW w:w="1247" w:type="dxa"/>
            <w:tcBorders>
              <w:bottom w:val="nil"/>
            </w:tcBorders>
            <w:shd w:val="clear" w:color="auto" w:fill="auto"/>
            <w:vAlign w:val="center"/>
          </w:tcPr>
          <w:p w14:paraId="3C051977" w14:textId="0B5F8175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75,2</w:t>
            </w:r>
          </w:p>
        </w:tc>
        <w:tc>
          <w:tcPr>
            <w:tcW w:w="1249" w:type="dxa"/>
            <w:tcBorders>
              <w:left w:val="nil"/>
              <w:bottom w:val="nil"/>
            </w:tcBorders>
            <w:shd w:val="clear" w:color="auto" w:fill="auto"/>
            <w:vAlign w:val="center"/>
          </w:tcPr>
          <w:p w14:paraId="2AAECA71" w14:textId="234879EB" w:rsidR="001F3E33" w:rsidRPr="00846BED" w:rsidRDefault="001F3E33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846BED">
              <w:rPr>
                <w:sz w:val="16"/>
              </w:rPr>
              <w:t>55,5</w:t>
            </w:r>
          </w:p>
        </w:tc>
      </w:tr>
    </w:tbl>
    <w:p w14:paraId="209CF1B7" w14:textId="77777777" w:rsidR="00BD4955" w:rsidRPr="00435730" w:rsidRDefault="00BD4955" w:rsidP="00E80A21">
      <w:pPr>
        <w:spacing w:before="60" w:after="120"/>
        <w:rPr>
          <w:sz w:val="18"/>
        </w:rPr>
      </w:pPr>
      <w:r w:rsidRPr="00435730">
        <w:rPr>
          <w:sz w:val="18"/>
        </w:rPr>
        <w:t>Zdroj: ČSSZ</w:t>
      </w:r>
    </w:p>
    <w:p w14:paraId="73CF06B9" w14:textId="503B77C2" w:rsidR="005847D6" w:rsidRPr="00F25E9B" w:rsidRDefault="005847D6" w:rsidP="00E80A21">
      <w:pPr>
        <w:spacing w:after="120"/>
        <w:jc w:val="both"/>
      </w:pPr>
      <w:r w:rsidRPr="00F25E9B">
        <w:t xml:space="preserve">Celková </w:t>
      </w:r>
      <w:r w:rsidRPr="007B5DF3">
        <w:rPr>
          <w:b/>
        </w:rPr>
        <w:t>prostonaná doba</w:t>
      </w:r>
      <w:r w:rsidRPr="00F25E9B">
        <w:t xml:space="preserve"> </w:t>
      </w:r>
      <w:r w:rsidR="00F25E9B" w:rsidRPr="00F25E9B">
        <w:t xml:space="preserve">v roce 2019 </w:t>
      </w:r>
      <w:r w:rsidRPr="00F25E9B">
        <w:t xml:space="preserve">činila </w:t>
      </w:r>
      <w:r w:rsidR="00F25E9B" w:rsidRPr="00F25E9B">
        <w:t xml:space="preserve">75 058 722 </w:t>
      </w:r>
      <w:r w:rsidRPr="00F25E9B">
        <w:t xml:space="preserve">dnů, což je o </w:t>
      </w:r>
      <w:r w:rsidR="00F25E9B" w:rsidRPr="00F25E9B">
        <w:t>5</w:t>
      </w:r>
      <w:r w:rsidRPr="00F25E9B">
        <w:t xml:space="preserve"> mil. dnů více než v</w:t>
      </w:r>
      <w:r w:rsidR="00F25E9B" w:rsidRPr="00F25E9B">
        <w:t xml:space="preserve"> předešlém </w:t>
      </w:r>
      <w:r w:rsidRPr="00F25E9B">
        <w:t xml:space="preserve">roce. </w:t>
      </w:r>
      <w:r w:rsidR="00F25E9B" w:rsidRPr="00F25E9B">
        <w:t>Jeden případ dočasné pracovní nesch</w:t>
      </w:r>
      <w:r w:rsidR="00846BED">
        <w:t>opnosti trval v průměru 41,0 dnů</w:t>
      </w:r>
      <w:r w:rsidR="00F25E9B" w:rsidRPr="00F25E9B">
        <w:t xml:space="preserve">. </w:t>
      </w:r>
      <w:r w:rsidRPr="00F25E9B">
        <w:t xml:space="preserve">Nejdelší dobu </w:t>
      </w:r>
      <w:r w:rsidR="00621C38">
        <w:t xml:space="preserve">pracovní neschopnosti </w:t>
      </w:r>
      <w:r w:rsidRPr="00F25E9B">
        <w:t>si vyžádaly nemoci a</w:t>
      </w:r>
      <w:r w:rsidR="00812420">
        <w:t> </w:t>
      </w:r>
      <w:r w:rsidRPr="00F25E9B">
        <w:t xml:space="preserve">úrazy </w:t>
      </w:r>
      <w:r w:rsidR="00F25E9B" w:rsidRPr="00F25E9B">
        <w:t>v Moravskoslezském</w:t>
      </w:r>
      <w:r w:rsidRPr="00F25E9B">
        <w:t xml:space="preserve"> kraji, a sice v průměru </w:t>
      </w:r>
      <w:r w:rsidR="00F25E9B" w:rsidRPr="00F25E9B">
        <w:t xml:space="preserve">49,7 dne na 1 případ a ve Zlínském </w:t>
      </w:r>
      <w:r w:rsidR="00592FC3">
        <w:t>kraji</w:t>
      </w:r>
      <w:r w:rsidRPr="00F25E9B">
        <w:t xml:space="preserve"> 49,</w:t>
      </w:r>
      <w:r w:rsidR="00F25E9B" w:rsidRPr="00F25E9B">
        <w:t>1</w:t>
      </w:r>
      <w:r w:rsidRPr="00F25E9B">
        <w:t xml:space="preserve"> dne na 1</w:t>
      </w:r>
      <w:r w:rsidR="00812420">
        <w:t> </w:t>
      </w:r>
      <w:r w:rsidRPr="00F25E9B">
        <w:t>pracovní neschopnost.</w:t>
      </w:r>
    </w:p>
    <w:p w14:paraId="40AA34EF" w14:textId="6B81C2C2" w:rsidR="00BD4955" w:rsidRDefault="00BD4955" w:rsidP="00E80A21">
      <w:pPr>
        <w:spacing w:after="120"/>
        <w:jc w:val="both"/>
        <w:rPr>
          <w:b/>
          <w:iCs/>
          <w:szCs w:val="18"/>
        </w:rPr>
      </w:pPr>
      <w:r w:rsidRPr="007B5DF3">
        <w:t xml:space="preserve">Doba, kterou si pracovní neschopnost vyžádala, rostla s věkem (viz tab. 3.1), a to od 17,9 dne ve věkové skupině osob mladších 20 let až po 66,9 dne ve věkové skupině 60letých a starších. To je způsobeno zejména poklesem </w:t>
      </w:r>
      <w:r w:rsidR="000C339D">
        <w:t xml:space="preserve">počtu </w:t>
      </w:r>
      <w:r w:rsidRPr="007B5DF3">
        <w:t>krátkodobých případů pracovní neschopnosti pro nemoci dýchací soustavy a naopak nárůstem dlouhodobých případů pracovní neschopnosti pro nádorová onemocnění a nemoci oběhové soustavy se zvyšujícím se věkem.</w:t>
      </w:r>
      <w:bookmarkStart w:id="18" w:name="_Toc10112628"/>
    </w:p>
    <w:bookmarkEnd w:id="18"/>
    <w:p w14:paraId="3864015A" w14:textId="4ABDC3D3" w:rsidR="002C7BFB" w:rsidRPr="00217506" w:rsidRDefault="00214352" w:rsidP="00E80A21">
      <w:pPr>
        <w:spacing w:after="120"/>
        <w:jc w:val="both"/>
      </w:pPr>
      <w:r w:rsidRPr="00217506">
        <w:t xml:space="preserve">Pracovní neschopnost </w:t>
      </w:r>
      <w:r w:rsidR="00B977B5" w:rsidRPr="00217506">
        <w:t>plyne</w:t>
      </w:r>
      <w:r w:rsidRPr="00217506">
        <w:t xml:space="preserve"> z různých příčin a statistiky </w:t>
      </w:r>
      <w:r w:rsidR="00B977B5" w:rsidRPr="00217506">
        <w:t>ČSSZ</w:t>
      </w:r>
      <w:r w:rsidRPr="00217506">
        <w:t xml:space="preserve"> nabízí</w:t>
      </w:r>
      <w:r w:rsidR="00715016" w:rsidRPr="00217506">
        <w:t xml:space="preserve"> přehled </w:t>
      </w:r>
      <w:r w:rsidR="00B977B5" w:rsidRPr="00217506">
        <w:t xml:space="preserve">ukončených </w:t>
      </w:r>
      <w:r w:rsidR="00715016" w:rsidRPr="00217506">
        <w:t xml:space="preserve">případů pracovní neschopnosti </w:t>
      </w:r>
      <w:r w:rsidR="00715016" w:rsidRPr="00217506">
        <w:rPr>
          <w:b/>
        </w:rPr>
        <w:t>podle diagnóz</w:t>
      </w:r>
      <w:r w:rsidR="00715016" w:rsidRPr="00217506">
        <w:t>. N</w:t>
      </w:r>
      <w:r w:rsidR="002C7BFB" w:rsidRPr="00217506">
        <w:t xml:space="preserve">ejčastějším důvodem pracovní neschopnosti zůstávají </w:t>
      </w:r>
      <w:r w:rsidR="002C7BFB" w:rsidRPr="00846BED">
        <w:rPr>
          <w:b/>
        </w:rPr>
        <w:t>nemoci dýchací soustavy</w:t>
      </w:r>
      <w:r w:rsidR="002C7BFB" w:rsidRPr="00217506">
        <w:t>, které v roce 201</w:t>
      </w:r>
      <w:r w:rsidR="00B977B5" w:rsidRPr="00217506">
        <w:t>9</w:t>
      </w:r>
      <w:r w:rsidR="002C7BFB" w:rsidRPr="00217506">
        <w:t xml:space="preserve"> </w:t>
      </w:r>
      <w:r w:rsidR="00715016" w:rsidRPr="00217506">
        <w:t>způsobily</w:t>
      </w:r>
      <w:r w:rsidR="002C7BFB" w:rsidRPr="00217506">
        <w:t xml:space="preserve"> 3</w:t>
      </w:r>
      <w:r w:rsidR="00715016" w:rsidRPr="00217506">
        <w:t xml:space="preserve">7 % všech případů. </w:t>
      </w:r>
      <w:r w:rsidR="002C7BFB" w:rsidRPr="00217506">
        <w:t xml:space="preserve">Z nemocí této skupiny jsou </w:t>
      </w:r>
      <w:r w:rsidR="00715016" w:rsidRPr="00217506">
        <w:t xml:space="preserve">neschopenky </w:t>
      </w:r>
      <w:r w:rsidR="000C339D" w:rsidRPr="00217506">
        <w:t>vystav</w:t>
      </w:r>
      <w:r w:rsidR="000C339D">
        <w:t>ová</w:t>
      </w:r>
      <w:r w:rsidR="000C339D" w:rsidRPr="00217506">
        <w:t xml:space="preserve">ny </w:t>
      </w:r>
      <w:r w:rsidR="002C7BFB" w:rsidRPr="00217506">
        <w:t xml:space="preserve">zejména </w:t>
      </w:r>
      <w:r w:rsidR="00715016" w:rsidRPr="00217506">
        <w:t xml:space="preserve">kvůli </w:t>
      </w:r>
      <w:r w:rsidR="00B977B5" w:rsidRPr="00217506">
        <w:t>akutní infekci</w:t>
      </w:r>
      <w:r w:rsidR="002C7BFB" w:rsidRPr="00217506">
        <w:t xml:space="preserve"> </w:t>
      </w:r>
      <w:r w:rsidR="00B977B5" w:rsidRPr="00217506">
        <w:t xml:space="preserve">dýchacích </w:t>
      </w:r>
      <w:r w:rsidR="002C7BFB" w:rsidRPr="00217506">
        <w:t>cest</w:t>
      </w:r>
      <w:r w:rsidR="00B977B5" w:rsidRPr="00217506">
        <w:t xml:space="preserve"> </w:t>
      </w:r>
      <w:r w:rsidR="00715016" w:rsidRPr="00217506">
        <w:t>či chřipce</w:t>
      </w:r>
      <w:r w:rsidR="002C7BFB" w:rsidRPr="00217506">
        <w:t>. Na</w:t>
      </w:r>
      <w:r w:rsidR="00BA3658" w:rsidRPr="00217506">
        <w:t> </w:t>
      </w:r>
      <w:r w:rsidR="002C7BFB" w:rsidRPr="00217506">
        <w:t>druhou stranu</w:t>
      </w:r>
      <w:r w:rsidR="000C339D">
        <w:t>,</w:t>
      </w:r>
      <w:r w:rsidR="002C7BFB" w:rsidRPr="00217506">
        <w:t xml:space="preserve"> o</w:t>
      </w:r>
      <w:r w:rsidR="00AA7749" w:rsidRPr="00217506">
        <w:t xml:space="preserve">nemocnění dýchací </w:t>
      </w:r>
      <w:r w:rsidR="00AA7749" w:rsidRPr="00217506">
        <w:lastRenderedPageBreak/>
        <w:t>soustavy tvořila</w:t>
      </w:r>
      <w:r w:rsidR="002C7BFB" w:rsidRPr="00217506">
        <w:t xml:space="preserve"> pouze </w:t>
      </w:r>
      <w:r w:rsidR="00217506" w:rsidRPr="00217506">
        <w:t>14</w:t>
      </w:r>
      <w:r w:rsidR="002C7BFB" w:rsidRPr="00217506">
        <w:t xml:space="preserve"> % </w:t>
      </w:r>
      <w:r w:rsidR="00217506" w:rsidRPr="00217506">
        <w:t>(10,4</w:t>
      </w:r>
      <w:r w:rsidR="002C7BFB" w:rsidRPr="00217506">
        <w:t xml:space="preserve"> mil. dnů) z celkového počtu prostonaných dnů, což znamená v průměru nejkratší dobu pracovní neschopnosti </w:t>
      </w:r>
      <w:r w:rsidR="00AA7749" w:rsidRPr="00217506">
        <w:t>ze všech skupin diagnóz, a sice 15,5 dne na 1 případ.</w:t>
      </w:r>
    </w:p>
    <w:p w14:paraId="6F94AF43" w14:textId="73314D6E" w:rsidR="002C7BFB" w:rsidRPr="00217506" w:rsidRDefault="002C7BFB" w:rsidP="00E80A21">
      <w:pPr>
        <w:spacing w:after="120"/>
        <w:jc w:val="both"/>
      </w:pPr>
      <w:r w:rsidRPr="00217506">
        <w:t xml:space="preserve">Druhou nejčastější příčinu pracovní neschopnosti </w:t>
      </w:r>
      <w:r w:rsidR="00AA7749" w:rsidRPr="00217506">
        <w:t>představovaly</w:t>
      </w:r>
      <w:r w:rsidRPr="00217506">
        <w:t xml:space="preserve"> </w:t>
      </w:r>
      <w:r w:rsidRPr="00846BED">
        <w:rPr>
          <w:b/>
        </w:rPr>
        <w:t xml:space="preserve">nemoci </w:t>
      </w:r>
      <w:r w:rsidR="00217506" w:rsidRPr="00846BED">
        <w:rPr>
          <w:b/>
        </w:rPr>
        <w:t>pohybové</w:t>
      </w:r>
      <w:r w:rsidRPr="00846BED">
        <w:rPr>
          <w:b/>
        </w:rPr>
        <w:t xml:space="preserve"> soustavy</w:t>
      </w:r>
      <w:r w:rsidR="00217506" w:rsidRPr="00217506">
        <w:t>, které v roce 2019</w:t>
      </w:r>
      <w:r w:rsidRPr="00217506">
        <w:t xml:space="preserve"> tvořily pětinu všech případů </w:t>
      </w:r>
      <w:r w:rsidR="00C161D6" w:rsidRPr="00217506">
        <w:t>pracovní neschopnost</w:t>
      </w:r>
      <w:r w:rsidRPr="00217506">
        <w:t xml:space="preserve">i. Tyto nemoci se vyznačují poměrně dlouhou délkou trvání jednoho případu – </w:t>
      </w:r>
      <w:r w:rsidR="00C161D6" w:rsidRPr="00217506">
        <w:t xml:space="preserve">v průměru </w:t>
      </w:r>
      <w:r w:rsidRPr="00217506">
        <w:t>ví</w:t>
      </w:r>
      <w:r w:rsidR="00217506" w:rsidRPr="00217506">
        <w:t>ce než 2 kalendářní měsíce (6</w:t>
      </w:r>
      <w:r w:rsidR="00AA7749" w:rsidRPr="00217506">
        <w:t>6</w:t>
      </w:r>
      <w:r w:rsidR="00217506" w:rsidRPr="00217506">
        <w:t xml:space="preserve"> dnů</w:t>
      </w:r>
      <w:r w:rsidRPr="00217506">
        <w:t>)</w:t>
      </w:r>
      <w:r w:rsidR="00C161D6" w:rsidRPr="00217506">
        <w:t xml:space="preserve"> na 1 případ</w:t>
      </w:r>
      <w:r w:rsidRPr="00217506">
        <w:t>. Na</w:t>
      </w:r>
      <w:r w:rsidR="00BA3658" w:rsidRPr="00217506">
        <w:t> </w:t>
      </w:r>
      <w:r w:rsidRPr="00217506">
        <w:t>celkovém počtu prostonan</w:t>
      </w:r>
      <w:r w:rsidR="00217506" w:rsidRPr="00217506">
        <w:t>ých dnů se tato kategorie podílela</w:t>
      </w:r>
      <w:r w:rsidRPr="00217506">
        <w:t xml:space="preserve"> třetinou (</w:t>
      </w:r>
      <w:r w:rsidR="00217506" w:rsidRPr="00217506">
        <w:t xml:space="preserve">23,7 mil. dnů), </w:t>
      </w:r>
      <w:r w:rsidRPr="00217506">
        <w:t xml:space="preserve">což je dlouhodobě nejvyšší podíl. Z nemocí </w:t>
      </w:r>
      <w:r w:rsidR="00217506" w:rsidRPr="00217506">
        <w:t>pohybové</w:t>
      </w:r>
      <w:r w:rsidRPr="00217506">
        <w:t xml:space="preserve"> soustavy zapříčiňují pracovní neschopnost nejčastěji onemocnění páteře.</w:t>
      </w:r>
    </w:p>
    <w:p w14:paraId="361487D0" w14:textId="4133DFC8" w:rsidR="002C7BFB" w:rsidRPr="00217506" w:rsidRDefault="00217506" w:rsidP="00E80A21">
      <w:pPr>
        <w:spacing w:after="120"/>
        <w:jc w:val="both"/>
      </w:pPr>
      <w:r w:rsidRPr="00217506">
        <w:t xml:space="preserve">Další častou příčinou </w:t>
      </w:r>
      <w:r w:rsidR="002C7BFB" w:rsidRPr="00217506">
        <w:t>pracovní neschopnosti s 1</w:t>
      </w:r>
      <w:r w:rsidR="00AA7749" w:rsidRPr="00217506">
        <w:t>1</w:t>
      </w:r>
      <w:r w:rsidR="002C7BFB" w:rsidRPr="00217506">
        <w:t>% podílem na všech p</w:t>
      </w:r>
      <w:r w:rsidR="00AA7749" w:rsidRPr="00217506">
        <w:t xml:space="preserve">řípadech byly </w:t>
      </w:r>
      <w:r w:rsidRPr="00846BED">
        <w:rPr>
          <w:b/>
        </w:rPr>
        <w:t>úrazy a</w:t>
      </w:r>
      <w:r w:rsidR="00BA3658" w:rsidRPr="00846BED">
        <w:rPr>
          <w:b/>
        </w:rPr>
        <w:t> </w:t>
      </w:r>
      <w:r w:rsidR="00AA7749" w:rsidRPr="00846BED">
        <w:rPr>
          <w:b/>
        </w:rPr>
        <w:t>otravy</w:t>
      </w:r>
      <w:r w:rsidRPr="00217506">
        <w:t xml:space="preserve">. </w:t>
      </w:r>
      <w:r w:rsidR="002C7BFB" w:rsidRPr="00217506">
        <w:t xml:space="preserve">Průměrná délka trvání pracovní neschopnosti byla v případě této skupiny nemocí </w:t>
      </w:r>
      <w:r w:rsidRPr="00217506">
        <w:t>53</w:t>
      </w:r>
      <w:r w:rsidR="002C7BFB" w:rsidRPr="00217506">
        <w:t xml:space="preserve"> dn</w:t>
      </w:r>
      <w:r w:rsidRPr="00217506">
        <w:t xml:space="preserve">ů a celkový počet prostonaných dní </w:t>
      </w:r>
      <w:r w:rsidR="00846BED">
        <w:t>činil</w:t>
      </w:r>
      <w:r w:rsidRPr="00217506">
        <w:t xml:space="preserve"> 10,6 mil., což představovalo druhou</w:t>
      </w:r>
      <w:r w:rsidR="002C7BFB" w:rsidRPr="00217506">
        <w:t xml:space="preserve"> nejvyšší </w:t>
      </w:r>
      <w:r w:rsidRPr="00217506">
        <w:t>hodnotu ze všech skupin diagnóz.</w:t>
      </w:r>
    </w:p>
    <w:p w14:paraId="31FF32E9" w14:textId="008A42DE" w:rsidR="00CF7D03" w:rsidRPr="001B4494" w:rsidRDefault="00CF7D03" w:rsidP="009636BA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1B4494">
        <w:rPr>
          <w:b/>
          <w:i w:val="0"/>
          <w:color w:val="auto"/>
          <w:sz w:val="20"/>
        </w:rPr>
        <w:t>Graf 3.</w:t>
      </w:r>
      <w:r w:rsidR="00835887">
        <w:rPr>
          <w:b/>
          <w:i w:val="0"/>
          <w:color w:val="auto"/>
          <w:sz w:val="20"/>
        </w:rPr>
        <w:t>1</w:t>
      </w:r>
      <w:r w:rsidRPr="001B4494">
        <w:rPr>
          <w:b/>
          <w:i w:val="0"/>
          <w:color w:val="auto"/>
          <w:sz w:val="20"/>
        </w:rPr>
        <w:t>: Struktura ukončených případů dočasné pracovní ne</w:t>
      </w:r>
      <w:r w:rsidR="001B4494" w:rsidRPr="001B4494">
        <w:rPr>
          <w:b/>
          <w:i w:val="0"/>
          <w:color w:val="auto"/>
          <w:sz w:val="20"/>
        </w:rPr>
        <w:t>schopnosti podle skupin diagnóz, 2019</w:t>
      </w:r>
    </w:p>
    <w:p w14:paraId="3AABC9DA" w14:textId="7651877C" w:rsidR="007B2E56" w:rsidRPr="00E11837" w:rsidRDefault="001B4494" w:rsidP="009636BA">
      <w:pPr>
        <w:spacing w:before="120" w:after="120"/>
        <w:jc w:val="both"/>
        <w:rPr>
          <w:highlight w:val="yellow"/>
        </w:rPr>
      </w:pPr>
      <w:r>
        <w:rPr>
          <w:noProof/>
        </w:rPr>
        <w:drawing>
          <wp:inline distT="0" distB="0" distL="0" distR="0" wp14:anchorId="74CADE07" wp14:editId="131774D6">
            <wp:extent cx="6086475" cy="3552825"/>
            <wp:effectExtent l="0" t="0" r="9525" b="9525"/>
            <wp:docPr id="53" name="Graf 5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  <w:r w:rsidR="00477449" w:rsidRPr="001B4494">
        <w:rPr>
          <w:sz w:val="18"/>
        </w:rPr>
        <w:t xml:space="preserve">Zdroj: </w:t>
      </w:r>
      <w:r w:rsidRPr="001B4494">
        <w:rPr>
          <w:sz w:val="18"/>
        </w:rPr>
        <w:t>ČSSZ</w:t>
      </w:r>
    </w:p>
    <w:p w14:paraId="739BBAC5" w14:textId="743272CD" w:rsidR="00477449" w:rsidRPr="007D31E2" w:rsidRDefault="00477449" w:rsidP="00E80A21">
      <w:pPr>
        <w:spacing w:after="120"/>
        <w:jc w:val="both"/>
      </w:pPr>
      <w:r w:rsidRPr="007D31E2">
        <w:t xml:space="preserve">Nejdelší </w:t>
      </w:r>
      <w:r w:rsidRPr="007D31E2">
        <w:rPr>
          <w:b/>
        </w:rPr>
        <w:t>průměrná délka</w:t>
      </w:r>
      <w:r w:rsidRPr="007D31E2">
        <w:t xml:space="preserve"> trvání pracov</w:t>
      </w:r>
      <w:r w:rsidR="007D31E2" w:rsidRPr="007D31E2">
        <w:t>ní neschopnosti byla v roce 2019</w:t>
      </w:r>
      <w:r w:rsidR="002E3478" w:rsidRPr="007D31E2">
        <w:t xml:space="preserve"> evidována </w:t>
      </w:r>
      <w:r w:rsidRPr="007D31E2">
        <w:t>u</w:t>
      </w:r>
      <w:r w:rsidR="00BA3658" w:rsidRPr="007D31E2">
        <w:t> </w:t>
      </w:r>
      <w:r w:rsidR="007D31E2" w:rsidRPr="007D31E2">
        <w:t xml:space="preserve">tuberkulózy (189 dnů). Další </w:t>
      </w:r>
      <w:r w:rsidR="00AD5BC6">
        <w:t>skupinou diagnóz</w:t>
      </w:r>
      <w:r w:rsidR="007D31E2" w:rsidRPr="007D31E2">
        <w:t>, která je doprovázena dlouhou pracovní neschopností, jsou zhoubné novotvary</w:t>
      </w:r>
      <w:r w:rsidRPr="007D31E2">
        <w:t xml:space="preserve"> (</w:t>
      </w:r>
      <w:r w:rsidR="007D31E2" w:rsidRPr="007D31E2">
        <w:t>181</w:t>
      </w:r>
      <w:r w:rsidR="00E86B27">
        <w:t> </w:t>
      </w:r>
      <w:r w:rsidR="007D31E2" w:rsidRPr="007D31E2">
        <w:t>dnů).</w:t>
      </w:r>
      <w:r w:rsidRPr="007D31E2">
        <w:t xml:space="preserve"> </w:t>
      </w:r>
      <w:r w:rsidR="00846BED">
        <w:t xml:space="preserve">V roce 2019 trvala pracovní neschopnost u této </w:t>
      </w:r>
      <w:r w:rsidR="00592FC3">
        <w:t>skupiny nemocí</w:t>
      </w:r>
      <w:r w:rsidR="00846BED">
        <w:t xml:space="preserve"> </w:t>
      </w:r>
      <w:r w:rsidR="007D31E2" w:rsidRPr="007D31E2">
        <w:t>173 dní</w:t>
      </w:r>
      <w:r w:rsidR="00846BED">
        <w:t xml:space="preserve"> u mužů, zatímco u žen 187</w:t>
      </w:r>
      <w:r w:rsidR="007D31E2" w:rsidRPr="007D31E2">
        <w:t>. N</w:t>
      </w:r>
      <w:r w:rsidRPr="007D31E2">
        <w:t>emoci spojené s</w:t>
      </w:r>
      <w:r w:rsidR="007D31E2" w:rsidRPr="007D31E2">
        <w:t> </w:t>
      </w:r>
      <w:r w:rsidRPr="007D31E2">
        <w:t>těhotenstvím</w:t>
      </w:r>
      <w:r w:rsidR="007D31E2" w:rsidRPr="007D31E2">
        <w:t>, porodem</w:t>
      </w:r>
      <w:r w:rsidR="002E3478" w:rsidRPr="007D31E2">
        <w:t xml:space="preserve"> a</w:t>
      </w:r>
      <w:r w:rsidR="00AD5BC6">
        <w:t> </w:t>
      </w:r>
      <w:r w:rsidR="00B27488" w:rsidRPr="007D31E2">
        <w:t>šestinedělím</w:t>
      </w:r>
      <w:r w:rsidR="009C6CD3" w:rsidRPr="007D31E2">
        <w:t xml:space="preserve"> </w:t>
      </w:r>
      <w:r w:rsidR="007D31E2" w:rsidRPr="007D31E2">
        <w:t>si vyžádaly v průměru 100 dní v pracovní neschopnosti.</w:t>
      </w:r>
    </w:p>
    <w:p w14:paraId="3A5F7973" w14:textId="123BB65C" w:rsidR="00E80A21" w:rsidRDefault="00477449" w:rsidP="00E80A21">
      <w:pPr>
        <w:spacing w:after="120"/>
        <w:jc w:val="both"/>
      </w:pPr>
      <w:r w:rsidRPr="009870D2">
        <w:t>Z </w:t>
      </w:r>
      <w:r w:rsidR="002E3478" w:rsidRPr="009870D2">
        <w:t xml:space="preserve">hlediska </w:t>
      </w:r>
      <w:r w:rsidR="002E3478" w:rsidRPr="00846BED">
        <w:rPr>
          <w:b/>
        </w:rPr>
        <w:t>pohlaví</w:t>
      </w:r>
      <w:r w:rsidR="002E3478" w:rsidRPr="009870D2">
        <w:t xml:space="preserve"> je výskyt </w:t>
      </w:r>
      <w:r w:rsidRPr="009870D2">
        <w:t xml:space="preserve">pracovní neschopnosti </w:t>
      </w:r>
      <w:r w:rsidR="002E3478" w:rsidRPr="009870D2">
        <w:t>četnější u</w:t>
      </w:r>
      <w:r w:rsidRPr="009870D2">
        <w:t xml:space="preserve"> žen</w:t>
      </w:r>
      <w:r w:rsidR="00D94CF4" w:rsidRPr="009870D2">
        <w:t xml:space="preserve">, v </w:t>
      </w:r>
      <w:r w:rsidRPr="009870D2">
        <w:t>roce 201</w:t>
      </w:r>
      <w:r w:rsidR="007D31E2" w:rsidRPr="009870D2">
        <w:t xml:space="preserve">9 ženy </w:t>
      </w:r>
      <w:r w:rsidR="00AD5BC6">
        <w:t>ukončily</w:t>
      </w:r>
      <w:r w:rsidR="00AD5BC6" w:rsidRPr="009870D2">
        <w:t xml:space="preserve"> </w:t>
      </w:r>
      <w:r w:rsidR="009870D2" w:rsidRPr="009870D2">
        <w:t>970 tis. případů pracovní neschopnosti, muži 862 tis</w:t>
      </w:r>
      <w:r w:rsidRPr="009870D2">
        <w:t>.</w:t>
      </w:r>
      <w:r w:rsidR="009870D2" w:rsidRPr="009870D2">
        <w:t xml:space="preserve"> neschopenek.</w:t>
      </w:r>
      <w:r w:rsidRPr="009870D2">
        <w:t xml:space="preserve"> Pracovní neschopnost u žen také trvala v průměru o </w:t>
      </w:r>
      <w:r w:rsidR="009870D2" w:rsidRPr="009870D2">
        <w:t>4</w:t>
      </w:r>
      <w:r w:rsidR="00D94CF4" w:rsidRPr="009870D2">
        <w:t xml:space="preserve"> dny</w:t>
      </w:r>
      <w:r w:rsidRPr="009870D2">
        <w:t xml:space="preserve"> déle než u mužů. Tento rozdíl </w:t>
      </w:r>
      <w:r w:rsidR="00D94CF4" w:rsidRPr="009870D2">
        <w:t>pře</w:t>
      </w:r>
      <w:r w:rsidRPr="009870D2">
        <w:t>trvá</w:t>
      </w:r>
      <w:r w:rsidR="00D94CF4" w:rsidRPr="009870D2">
        <w:t>vá</w:t>
      </w:r>
      <w:r w:rsidRPr="009870D2">
        <w:t xml:space="preserve"> dlouhodobě a </w:t>
      </w:r>
      <w:r w:rsidR="00D94CF4" w:rsidRPr="009870D2">
        <w:t xml:space="preserve">je dán zejména </w:t>
      </w:r>
      <w:r w:rsidR="00C161D6" w:rsidRPr="009870D2">
        <w:t>indispozicem</w:t>
      </w:r>
      <w:r w:rsidR="00D94CF4" w:rsidRPr="009870D2">
        <w:t>i spojenými</w:t>
      </w:r>
      <w:r w:rsidRPr="009870D2">
        <w:t xml:space="preserve"> s těhotenstvím. Výraznější rozdíl </w:t>
      </w:r>
      <w:r w:rsidR="00D94CF4" w:rsidRPr="009870D2">
        <w:t xml:space="preserve">v trvání pracovní neschopnosti </w:t>
      </w:r>
      <w:r w:rsidR="009873AF" w:rsidRPr="009870D2">
        <w:t xml:space="preserve">podle pohlaví </w:t>
      </w:r>
      <w:r w:rsidRPr="009870D2">
        <w:t>se objevuje i</w:t>
      </w:r>
      <w:r w:rsidR="00812420">
        <w:t> </w:t>
      </w:r>
      <w:r w:rsidRPr="009870D2">
        <w:t>u</w:t>
      </w:r>
      <w:r w:rsidR="00812420">
        <w:t> </w:t>
      </w:r>
      <w:r w:rsidRPr="009870D2">
        <w:t>dalších diagnóz</w:t>
      </w:r>
      <w:r w:rsidR="009873AF" w:rsidRPr="009870D2">
        <w:t>.</w:t>
      </w:r>
      <w:r w:rsidRPr="009870D2">
        <w:t xml:space="preserve"> </w:t>
      </w:r>
      <w:r w:rsidR="009870D2">
        <w:t>Ženy byly v roce 2019 v pracovní neschopnosti z důvodu duševního onemocnění</w:t>
      </w:r>
      <w:r w:rsidR="006C2905">
        <w:t xml:space="preserve"> téměř 2krát</w:t>
      </w:r>
      <w:r w:rsidR="009870D2">
        <w:t xml:space="preserve"> častěji než muži. </w:t>
      </w:r>
      <w:r w:rsidRPr="006C2905">
        <w:t xml:space="preserve">Muži jsou naopak náchylnější na nemoci oběhové soustavy a mnohem častěji než ženy jsou </w:t>
      </w:r>
      <w:r w:rsidR="00AD5BC6">
        <w:t xml:space="preserve">v </w:t>
      </w:r>
      <w:r w:rsidRPr="006C2905">
        <w:t>pr</w:t>
      </w:r>
      <w:r w:rsidR="00AD5BC6">
        <w:t>a</w:t>
      </w:r>
      <w:r w:rsidRPr="006C2905">
        <w:t>c</w:t>
      </w:r>
      <w:r w:rsidR="00AD5BC6">
        <w:t>ovní</w:t>
      </w:r>
      <w:r w:rsidRPr="006C2905">
        <w:t xml:space="preserve"> neschopn</w:t>
      </w:r>
      <w:r w:rsidR="00AD5BC6">
        <w:t>osti</w:t>
      </w:r>
      <w:r w:rsidRPr="006C2905">
        <w:t xml:space="preserve"> pro </w:t>
      </w:r>
      <w:r w:rsidR="006C2905" w:rsidRPr="006C2905">
        <w:t xml:space="preserve">úrazy a </w:t>
      </w:r>
      <w:r w:rsidRPr="006C2905">
        <w:t>otravy.</w:t>
      </w:r>
    </w:p>
    <w:p w14:paraId="415AABB9" w14:textId="77777777" w:rsidR="00E80A21" w:rsidRDefault="00E80A21">
      <w:pPr>
        <w:spacing w:after="0" w:line="240" w:lineRule="auto"/>
      </w:pPr>
      <w:r>
        <w:br w:type="page"/>
      </w:r>
    </w:p>
    <w:p w14:paraId="27BFA280" w14:textId="79E0A679" w:rsidR="00D021CA" w:rsidRPr="00115925" w:rsidRDefault="00D021CA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115925">
        <w:rPr>
          <w:b/>
          <w:i w:val="0"/>
          <w:color w:val="auto"/>
          <w:sz w:val="20"/>
        </w:rPr>
        <w:lastRenderedPageBreak/>
        <w:t>Tab</w:t>
      </w:r>
      <w:r w:rsidR="00C161D6" w:rsidRPr="00115925">
        <w:rPr>
          <w:b/>
          <w:i w:val="0"/>
          <w:color w:val="auto"/>
          <w:sz w:val="20"/>
        </w:rPr>
        <w:t>.</w:t>
      </w:r>
      <w:r w:rsidRPr="00115925">
        <w:rPr>
          <w:b/>
          <w:i w:val="0"/>
          <w:color w:val="auto"/>
          <w:sz w:val="20"/>
        </w:rPr>
        <w:t xml:space="preserve"> 3.</w:t>
      </w:r>
      <w:r w:rsidR="00EB78CE" w:rsidRPr="00115925">
        <w:rPr>
          <w:b/>
          <w:i w:val="0"/>
          <w:color w:val="auto"/>
          <w:sz w:val="20"/>
        </w:rPr>
        <w:t>2</w:t>
      </w:r>
      <w:r w:rsidRPr="00115925">
        <w:rPr>
          <w:b/>
          <w:i w:val="0"/>
          <w:color w:val="auto"/>
          <w:sz w:val="20"/>
        </w:rPr>
        <w:t xml:space="preserve">: Ukončené případy </w:t>
      </w:r>
      <w:r w:rsidR="008D7B85">
        <w:rPr>
          <w:b/>
          <w:i w:val="0"/>
          <w:color w:val="auto"/>
          <w:sz w:val="20"/>
        </w:rPr>
        <w:t xml:space="preserve">dočasné </w:t>
      </w:r>
      <w:r w:rsidRPr="00115925">
        <w:rPr>
          <w:b/>
          <w:i w:val="0"/>
          <w:color w:val="auto"/>
          <w:sz w:val="20"/>
        </w:rPr>
        <w:t xml:space="preserve">pracovní neschopnosti </w:t>
      </w:r>
      <w:r w:rsidR="008D7B85">
        <w:rPr>
          <w:b/>
          <w:i w:val="0"/>
          <w:color w:val="auto"/>
          <w:sz w:val="20"/>
        </w:rPr>
        <w:t xml:space="preserve">a průměrná délka jejich trvání </w:t>
      </w:r>
      <w:r w:rsidRPr="00115925">
        <w:rPr>
          <w:b/>
          <w:i w:val="0"/>
          <w:color w:val="auto"/>
          <w:sz w:val="20"/>
        </w:rPr>
        <w:t>podle skupin diagnóz a pohlaví</w:t>
      </w:r>
      <w:r w:rsidR="00452182" w:rsidRPr="00115925">
        <w:rPr>
          <w:b/>
          <w:i w:val="0"/>
          <w:color w:val="auto"/>
          <w:sz w:val="20"/>
        </w:rPr>
        <w:t xml:space="preserve">, </w:t>
      </w:r>
      <w:r w:rsidR="00115925" w:rsidRPr="00115925">
        <w:rPr>
          <w:b/>
          <w:i w:val="0"/>
          <w:color w:val="auto"/>
          <w:sz w:val="20"/>
        </w:rPr>
        <w:t>2019</w:t>
      </w:r>
    </w:p>
    <w:tbl>
      <w:tblPr>
        <w:tblW w:w="941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48"/>
        <w:gridCol w:w="1077"/>
        <w:gridCol w:w="1077"/>
        <w:gridCol w:w="1077"/>
        <w:gridCol w:w="1077"/>
        <w:gridCol w:w="1077"/>
        <w:gridCol w:w="1077"/>
      </w:tblGrid>
      <w:tr w:rsidR="00553FDB" w:rsidRPr="00115925" w14:paraId="736E8B44" w14:textId="77777777" w:rsidTr="00846BED">
        <w:trPr>
          <w:trHeight w:val="660"/>
        </w:trPr>
        <w:tc>
          <w:tcPr>
            <w:tcW w:w="2948" w:type="dxa"/>
            <w:vMerge w:val="restart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48DED658" w14:textId="74971ABC" w:rsidR="00553FDB" w:rsidRPr="00115925" w:rsidRDefault="00553FDB" w:rsidP="00553FDB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15925">
              <w:rPr>
                <w:rFonts w:cs="Arial"/>
                <w:sz w:val="16"/>
                <w:szCs w:val="16"/>
              </w:rPr>
              <w:t xml:space="preserve">Skupiny diagnóz </w:t>
            </w:r>
          </w:p>
        </w:tc>
        <w:tc>
          <w:tcPr>
            <w:tcW w:w="32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7D1CDF4" w14:textId="13BF34D0" w:rsidR="00553FDB" w:rsidRPr="00115925" w:rsidRDefault="00553FDB" w:rsidP="005252C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Ukončené případy DPN</w:t>
            </w:r>
          </w:p>
        </w:tc>
        <w:tc>
          <w:tcPr>
            <w:tcW w:w="323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vAlign w:val="center"/>
            <w:hideMark/>
          </w:tcPr>
          <w:p w14:paraId="6B0D2C6F" w14:textId="77777777" w:rsidR="00553FDB" w:rsidRPr="00115925" w:rsidRDefault="00553FDB" w:rsidP="005252C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Průměrné trvání 1 ukončeného případu DPN ve dnech</w:t>
            </w:r>
          </w:p>
        </w:tc>
      </w:tr>
      <w:tr w:rsidR="00115925" w:rsidRPr="00115925" w14:paraId="36A50A31" w14:textId="77777777" w:rsidTr="00846BED">
        <w:trPr>
          <w:trHeight w:val="300"/>
        </w:trPr>
        <w:tc>
          <w:tcPr>
            <w:tcW w:w="2948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72E1B419" w14:textId="77777777" w:rsidR="00115925" w:rsidRPr="00115925" w:rsidRDefault="00115925" w:rsidP="005252C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57C721C9" w14:textId="77777777" w:rsidR="00115925" w:rsidRPr="00115925" w:rsidRDefault="00115925" w:rsidP="005252C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21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0D67FBDB" w14:textId="58CAF8B0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  <w:tc>
          <w:tcPr>
            <w:tcW w:w="107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4D75F91E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21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41E2D8D4" w14:textId="682D8771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podle pohlaví</w:t>
            </w:r>
          </w:p>
        </w:tc>
      </w:tr>
      <w:tr w:rsidR="00115925" w:rsidRPr="00E11837" w14:paraId="2C9FA342" w14:textId="77777777" w:rsidTr="00846BED">
        <w:trPr>
          <w:trHeight w:val="300"/>
        </w:trPr>
        <w:tc>
          <w:tcPr>
            <w:tcW w:w="2948" w:type="dxa"/>
            <w:vMerge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484D715" w14:textId="77777777" w:rsidR="00115925" w:rsidRPr="00115925" w:rsidRDefault="00115925" w:rsidP="005252CA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077" w:type="dxa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273C464E" w14:textId="77777777" w:rsidR="00115925" w:rsidRPr="00115925" w:rsidRDefault="00115925" w:rsidP="005252CA">
            <w:pPr>
              <w:spacing w:after="0" w:line="240" w:lineRule="auto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4E61D39C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19FFE722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  <w:tc>
          <w:tcPr>
            <w:tcW w:w="1077" w:type="dxa"/>
            <w:vMerge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8F63852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18DB8945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muži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92DC9B3" w14:textId="77777777" w:rsidR="00115925" w:rsidRPr="00115925" w:rsidRDefault="00115925" w:rsidP="00B93A4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ženy</w:t>
            </w:r>
          </w:p>
        </w:tc>
      </w:tr>
      <w:tr w:rsidR="00846BED" w:rsidRPr="00115925" w14:paraId="341C911E" w14:textId="77777777" w:rsidTr="00846BED">
        <w:trPr>
          <w:trHeight w:val="283"/>
        </w:trPr>
        <w:tc>
          <w:tcPr>
            <w:tcW w:w="294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46DC8B" w14:textId="2F5B22FC" w:rsidR="00846BED" w:rsidRPr="00115925" w:rsidRDefault="00846BED" w:rsidP="00846BED">
            <w:pPr>
              <w:spacing w:after="0" w:line="240" w:lineRule="auto"/>
              <w:rPr>
                <w:rFonts w:cs="Arial"/>
                <w:b/>
                <w:bCs/>
                <w:color w:val="000000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b/>
                <w:bCs/>
                <w:color w:val="000000"/>
                <w:sz w:val="16"/>
                <w:szCs w:val="16"/>
              </w:rPr>
              <w:t>Celkem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877180" w14:textId="6FD84EEA" w:rsidR="00846BED" w:rsidRPr="009870D2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9870D2">
              <w:rPr>
                <w:rFonts w:cs="Arial"/>
                <w:b/>
                <w:color w:val="000000"/>
                <w:sz w:val="16"/>
                <w:szCs w:val="16"/>
              </w:rPr>
              <w:t>1 832 412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1A0D65" w14:textId="530EEDD8" w:rsidR="00846BED" w:rsidRPr="009870D2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9870D2">
              <w:rPr>
                <w:rFonts w:cs="Arial"/>
                <w:b/>
                <w:color w:val="000000"/>
                <w:sz w:val="16"/>
                <w:szCs w:val="16"/>
              </w:rPr>
              <w:t>862 360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D80E0FD" w14:textId="3ECC3DC7" w:rsidR="00846BED" w:rsidRPr="009870D2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9870D2">
              <w:rPr>
                <w:rFonts w:cs="Arial"/>
                <w:b/>
                <w:color w:val="000000"/>
                <w:sz w:val="16"/>
                <w:szCs w:val="16"/>
              </w:rPr>
              <w:t>970 052</w:t>
            </w:r>
          </w:p>
        </w:tc>
        <w:tc>
          <w:tcPr>
            <w:tcW w:w="1077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267CF3" w14:textId="31B2C0E1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846BED">
              <w:rPr>
                <w:b/>
                <w:sz w:val="16"/>
              </w:rPr>
              <w:t>41,0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945104" w14:textId="1F174A2F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846BED">
              <w:rPr>
                <w:b/>
                <w:sz w:val="16"/>
              </w:rPr>
              <w:t>39,1</w:t>
            </w:r>
          </w:p>
        </w:tc>
        <w:tc>
          <w:tcPr>
            <w:tcW w:w="107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F4DF05" w14:textId="346C64DB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  <w:highlight w:val="yellow"/>
              </w:rPr>
            </w:pPr>
            <w:r w:rsidRPr="00846BED">
              <w:rPr>
                <w:b/>
                <w:sz w:val="16"/>
              </w:rPr>
              <w:t>42,7</w:t>
            </w:r>
          </w:p>
        </w:tc>
      </w:tr>
      <w:tr w:rsidR="00846BED" w:rsidRPr="00115925" w14:paraId="5CFA04C5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6F7FE9F" w14:textId="18D596D1" w:rsidR="00846BED" w:rsidRPr="00115925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Tuberkulóza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EFE19E" w14:textId="27F5AA6A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113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AF4BA8" w14:textId="4B16822E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77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F63D07" w14:textId="6EB25BB4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37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BCCD36" w14:textId="0B8E0E8B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189,3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19917F" w14:textId="55042E3B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206,9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F78CB" w14:textId="55BE5499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152,5</w:t>
            </w:r>
          </w:p>
        </w:tc>
      </w:tr>
      <w:tr w:rsidR="00846BED" w:rsidRPr="00115925" w14:paraId="6E914AD8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5F1AC" w14:textId="30673168" w:rsidR="00846BED" w:rsidRPr="00115925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115925">
              <w:rPr>
                <w:rFonts w:cs="Arial"/>
                <w:sz w:val="16"/>
                <w:szCs w:val="16"/>
              </w:rPr>
              <w:t>Zhoubné novotvary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655A34" w14:textId="1B947CC1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14 505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426D83" w14:textId="72035144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6 730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6FEE4B" w14:textId="48D62E08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7 776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0107C2" w14:textId="4828CAC5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180,8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937F54" w14:textId="3ED4DAAE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173,1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88C242" w14:textId="60102048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187,4</w:t>
            </w:r>
          </w:p>
        </w:tc>
      </w:tr>
      <w:tr w:rsidR="00846BED" w:rsidRPr="00115925" w14:paraId="7D6C9FBA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6F13DBF" w14:textId="056697AE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duševní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DABD32" w14:textId="3EB26A79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47 732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992E30" w14:textId="170E6C65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16 732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08DA733" w14:textId="72AD8ABB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31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115925">
              <w:rPr>
                <w:rFonts w:cs="Arial"/>
                <w:sz w:val="16"/>
                <w:szCs w:val="16"/>
              </w:rPr>
              <w:t>000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8DE640" w14:textId="29BA3A02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84,3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C7144B" w14:textId="66329FE4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81,0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4626293" w14:textId="38F3E33E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86,1</w:t>
            </w:r>
          </w:p>
        </w:tc>
      </w:tr>
      <w:tr w:rsidR="00846BED" w:rsidRPr="00115925" w14:paraId="6D1924AD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B38AC5D" w14:textId="5434D47C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nervové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39471F" w14:textId="4C8FA7E1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28 196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A5A36" w14:textId="28A30BB3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11 667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3139D51" w14:textId="53AD6A16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16 529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BEB7D5" w14:textId="5FA3242B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81,5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9F2FE1" w14:textId="37718F8D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84,5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FCD236" w14:textId="10463A6C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79,3</w:t>
            </w:r>
          </w:p>
        </w:tc>
      </w:tr>
      <w:tr w:rsidR="00846BED" w:rsidRPr="00115925" w14:paraId="709E4B21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A0F07D" w14:textId="32CCCC89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oběhové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36DE20" w14:textId="796093DD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51 461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F44F10" w14:textId="190545B7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28 832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789DFB1" w14:textId="73530313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22 629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490B71" w14:textId="229B0DA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78,9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48D861" w14:textId="5665F72C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88,4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A1C20C" w14:textId="3C271869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66,7</w:t>
            </w:r>
          </w:p>
        </w:tc>
      </w:tr>
      <w:tr w:rsidR="00846BED" w:rsidRPr="00115925" w14:paraId="443C8CE2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3B52C19" w14:textId="1B0F866C" w:rsidR="00846BED" w:rsidRPr="00115925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115925">
              <w:rPr>
                <w:rFonts w:cs="Arial"/>
                <w:sz w:val="16"/>
                <w:szCs w:val="16"/>
              </w:rPr>
              <w:t>Nemoci dýchací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697F57" w14:textId="2027879E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673 274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24718A6" w14:textId="04E05BF9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309 142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C8995A9" w14:textId="44CB1081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364 133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6626D0" w14:textId="2EEC32F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15,5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EBAEFC" w14:textId="4F86A7F0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15,0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A4E6F2" w14:textId="2C1EFDE0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15,8</w:t>
            </w:r>
          </w:p>
        </w:tc>
      </w:tr>
      <w:tr w:rsidR="00846BED" w:rsidRPr="00115925" w14:paraId="6FDF0A9A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F59211" w14:textId="1803A75E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trávicí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F17975" w14:textId="359728AC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134 272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CD4AD4" w14:textId="3876A58F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71 768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BC923E" w14:textId="11EE4AEB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62 503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B4CC18" w14:textId="230940A9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28,7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06B60B" w14:textId="3587D21D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29,1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82B177" w14:textId="77075C7A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28,2</w:t>
            </w:r>
          </w:p>
        </w:tc>
      </w:tr>
      <w:tr w:rsidR="00846BED" w:rsidRPr="00115925" w14:paraId="1EB66EE0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AA6B71F" w14:textId="06A8E8E5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kůže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CBFFCC" w14:textId="6ABE18C6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30 928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20FF4A" w14:textId="5BCE9825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17 589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EE8CFA" w14:textId="3325774E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13 339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A18065" w14:textId="22FAFDC1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32,6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C77796" w14:textId="316A6FDA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31,9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43879E" w14:textId="6B334176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33,5</w:t>
            </w:r>
          </w:p>
        </w:tc>
      </w:tr>
      <w:tr w:rsidR="00846BED" w:rsidRPr="00115925" w14:paraId="577ABF6B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C83CDF" w14:textId="700A39CC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pohybové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7D42B60" w14:textId="0D55AF54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359 083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90DF16" w14:textId="7E6A1CAF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180 534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CB2756" w14:textId="48354585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178 549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2D8437" w14:textId="009E8C01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65,9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35F412" w14:textId="51E64D4F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60,4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AE111F4" w14:textId="64B6E6DF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71,3</w:t>
            </w:r>
          </w:p>
        </w:tc>
      </w:tr>
      <w:tr w:rsidR="00846BED" w:rsidRPr="00115925" w14:paraId="6C98ACFE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0E4D81" w14:textId="68E8D8F8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Nemoci močové a pohlavní soustavy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C01B58" w14:textId="6FF2C3B2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75 720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E5AB66" w14:textId="75A3D092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16 648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7ED5D3E" w14:textId="1ED271D4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59 073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8FD4F56" w14:textId="128D580E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32,6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D986DC" w14:textId="3552134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36,8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78010" w14:textId="7744DCF4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31,4</w:t>
            </w:r>
          </w:p>
        </w:tc>
      </w:tr>
      <w:tr w:rsidR="00846BED" w:rsidRPr="00115925" w14:paraId="1844F00A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8317B8B" w14:textId="07324603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Těhotenství, porod, šestinedělí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5D534B" w14:textId="29F7138B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34 420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514F3E" w14:textId="7E545FBD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x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A59E60D" w14:textId="779E86F1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34 420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9870F2" w14:textId="763C4586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99,8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31DBC3" w14:textId="2DE1474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x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8BE9B" w14:textId="26520E5D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99,8</w:t>
            </w:r>
          </w:p>
        </w:tc>
      </w:tr>
      <w:tr w:rsidR="00846BED" w:rsidRPr="00115925" w14:paraId="44C9088A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B97E29" w14:textId="79A1D172" w:rsidR="00846BED" w:rsidRPr="00E11837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sz w:val="16"/>
                <w:szCs w:val="16"/>
              </w:rPr>
              <w:t>Úrazy, otravy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29AC29" w14:textId="6A47FD4C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198 881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3BE5C63" w14:textId="6D1138D8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126 239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8EB2459" w14:textId="55872C45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72 642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D5CBF2" w14:textId="07C9CDB6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53,0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FDC60E" w14:textId="7278B943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yellow"/>
              </w:rPr>
            </w:pPr>
            <w:r w:rsidRPr="00846BED">
              <w:rPr>
                <w:sz w:val="16"/>
              </w:rPr>
              <w:t>51,7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A3B0F9" w14:textId="63E5057D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46BED">
              <w:rPr>
                <w:sz w:val="16"/>
              </w:rPr>
              <w:t>55,2</w:t>
            </w:r>
          </w:p>
        </w:tc>
      </w:tr>
      <w:tr w:rsidR="00846BED" w:rsidRPr="00115925" w14:paraId="0034F8C9" w14:textId="77777777" w:rsidTr="00846BED">
        <w:trPr>
          <w:trHeight w:val="283"/>
        </w:trPr>
        <w:tc>
          <w:tcPr>
            <w:tcW w:w="294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F1E2A3" w14:textId="13C6E8E7" w:rsidR="00846BED" w:rsidRPr="00115925" w:rsidRDefault="00846BED" w:rsidP="00846BED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115925">
              <w:rPr>
                <w:rFonts w:cs="Arial"/>
                <w:sz w:val="16"/>
                <w:szCs w:val="16"/>
              </w:rPr>
              <w:t>Nemoci ostatní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907FB4" w14:textId="78D0E9CD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183 826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7FD2DE" w14:textId="03302C6F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76 403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C94426" w14:textId="3DB1A689" w:rsidR="00846BED" w:rsidRPr="00115925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115925">
              <w:rPr>
                <w:rFonts w:cs="Arial"/>
                <w:color w:val="000000"/>
                <w:sz w:val="16"/>
                <w:szCs w:val="16"/>
              </w:rPr>
              <w:t>107 424</w:t>
            </w:r>
          </w:p>
        </w:tc>
        <w:tc>
          <w:tcPr>
            <w:tcW w:w="1077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4833CF" w14:textId="672374E8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46BED">
              <w:rPr>
                <w:sz w:val="16"/>
              </w:rPr>
              <w:t>35,3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F8430D" w14:textId="4487A02E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46BED">
              <w:rPr>
                <w:sz w:val="16"/>
              </w:rPr>
              <w:t>28,6</w:t>
            </w:r>
          </w:p>
        </w:tc>
        <w:tc>
          <w:tcPr>
            <w:tcW w:w="10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0FBB3" w14:textId="2C305AA6" w:rsidR="00846BED" w:rsidRPr="00846BED" w:rsidRDefault="00846BED" w:rsidP="00846BED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846BED">
              <w:rPr>
                <w:sz w:val="16"/>
              </w:rPr>
              <w:t>40,1</w:t>
            </w:r>
          </w:p>
        </w:tc>
      </w:tr>
    </w:tbl>
    <w:p w14:paraId="23DBBA7F" w14:textId="4C7A95D9" w:rsidR="00D021CA" w:rsidRDefault="00D021CA" w:rsidP="009636BA">
      <w:pPr>
        <w:spacing w:before="60" w:after="120"/>
        <w:rPr>
          <w:sz w:val="18"/>
        </w:rPr>
      </w:pPr>
      <w:r w:rsidRPr="00115925">
        <w:rPr>
          <w:sz w:val="18"/>
        </w:rPr>
        <w:t xml:space="preserve">Zdroj: </w:t>
      </w:r>
      <w:r w:rsidR="00115925" w:rsidRPr="00115925">
        <w:rPr>
          <w:sz w:val="18"/>
        </w:rPr>
        <w:t>ČSSZ</w:t>
      </w:r>
    </w:p>
    <w:p w14:paraId="0731EA6D" w14:textId="77777777" w:rsidR="00BE43F4" w:rsidRDefault="00BE43F4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>
        <w:br w:type="page"/>
      </w:r>
    </w:p>
    <w:p w14:paraId="5D68B437" w14:textId="59B17066" w:rsidR="00977F2A" w:rsidRDefault="00977F2A" w:rsidP="00E80A21">
      <w:pPr>
        <w:pStyle w:val="Nadpis2"/>
      </w:pPr>
      <w:bookmarkStart w:id="19" w:name="_Toc41558320"/>
      <w:r>
        <w:lastRenderedPageBreak/>
        <w:t>4.4 Výdaje na nemocenské</w:t>
      </w:r>
      <w:bookmarkEnd w:id="19"/>
    </w:p>
    <w:p w14:paraId="12A6EDCE" w14:textId="2873F11E" w:rsidR="0073249C" w:rsidRPr="00E80782" w:rsidRDefault="0073249C" w:rsidP="00E80A21">
      <w:pPr>
        <w:spacing w:after="120"/>
        <w:jc w:val="both"/>
      </w:pPr>
      <w:r w:rsidRPr="00E80782">
        <w:rPr>
          <w:b/>
        </w:rPr>
        <w:t>Systém nemocenského pojištění</w:t>
      </w:r>
      <w:r w:rsidRPr="00E80782">
        <w:t xml:space="preserve"> je určen pro výdělečně činné osoby, které při ztrátě příjmu v případech </w:t>
      </w:r>
      <w:r w:rsidR="00E11837">
        <w:t>tzv.</w:t>
      </w:r>
      <w:r w:rsidR="00930322">
        <w:t> </w:t>
      </w:r>
      <w:r w:rsidRPr="00E80782">
        <w:t xml:space="preserve">krátkodobých sociálních </w:t>
      </w:r>
      <w:r w:rsidR="00A97D20">
        <w:t xml:space="preserve">událostí </w:t>
      </w:r>
      <w:r w:rsidRPr="00E80782">
        <w:t>zabezpečuje peněžitými dávkami nemocenského pojištění.</w:t>
      </w:r>
    </w:p>
    <w:p w14:paraId="398CA60B" w14:textId="722272C9" w:rsidR="00AB63D9" w:rsidRDefault="00AB63D9" w:rsidP="009636BA">
      <w:pPr>
        <w:spacing w:after="60"/>
        <w:jc w:val="both"/>
      </w:pPr>
      <w:r>
        <w:t>Z nemocenského pojištění se poskytuje 6 peněžitých dávek, a to:</w:t>
      </w:r>
    </w:p>
    <w:p w14:paraId="3272B6B6" w14:textId="77777777" w:rsidR="00AB63D9" w:rsidRDefault="00AB63D9" w:rsidP="00AB63D9">
      <w:pPr>
        <w:spacing w:after="0"/>
        <w:jc w:val="both"/>
      </w:pPr>
      <w:r>
        <w:t xml:space="preserve">    Nemocenské</w:t>
      </w:r>
    </w:p>
    <w:p w14:paraId="7302E20C" w14:textId="0EA03089" w:rsidR="00AB63D9" w:rsidRDefault="00AB63D9" w:rsidP="00AB63D9">
      <w:pPr>
        <w:spacing w:after="0"/>
        <w:jc w:val="both"/>
      </w:pPr>
      <w:r>
        <w:t xml:space="preserve">    Peněžitá pomoc v mateřství</w:t>
      </w:r>
    </w:p>
    <w:p w14:paraId="50A6C9B7" w14:textId="77777777" w:rsidR="00AB63D9" w:rsidRDefault="00AB63D9" w:rsidP="00AB63D9">
      <w:pPr>
        <w:spacing w:after="0"/>
        <w:jc w:val="both"/>
      </w:pPr>
      <w:r>
        <w:t xml:space="preserve">    Ošetřovné</w:t>
      </w:r>
    </w:p>
    <w:p w14:paraId="299545ED" w14:textId="77777777" w:rsidR="00AB63D9" w:rsidRDefault="00AB63D9" w:rsidP="00AB63D9">
      <w:pPr>
        <w:spacing w:after="0"/>
        <w:jc w:val="both"/>
      </w:pPr>
      <w:r>
        <w:t xml:space="preserve">    Vyrovnávací příspěvek v těhotenství a v mateřství</w:t>
      </w:r>
    </w:p>
    <w:p w14:paraId="5EA863C5" w14:textId="393AE5CF" w:rsidR="00AB63D9" w:rsidRDefault="00AB63D9" w:rsidP="00AB63D9">
      <w:pPr>
        <w:spacing w:after="0"/>
        <w:jc w:val="both"/>
      </w:pPr>
      <w:r>
        <w:t xml:space="preserve">    Dávka otcovské poporodní péče (tzv. otcovská)</w:t>
      </w:r>
    </w:p>
    <w:p w14:paraId="61BAEBF4" w14:textId="40C6540F" w:rsidR="00AB63D9" w:rsidRPr="0073249C" w:rsidRDefault="00AB63D9" w:rsidP="00E80A21">
      <w:pPr>
        <w:spacing w:after="120"/>
        <w:jc w:val="both"/>
        <w:rPr>
          <w:highlight w:val="yellow"/>
        </w:rPr>
      </w:pPr>
      <w:r>
        <w:t xml:space="preserve">    Dlouhodobé ošetřovné</w:t>
      </w:r>
    </w:p>
    <w:p w14:paraId="3923C672" w14:textId="25824EF5" w:rsidR="000B068F" w:rsidRPr="00E80782" w:rsidRDefault="000B068F" w:rsidP="00E80A21">
      <w:pPr>
        <w:spacing w:after="120"/>
        <w:jc w:val="both"/>
      </w:pPr>
      <w:r>
        <w:t xml:space="preserve">Výše dávek nemocenského pojištění </w:t>
      </w:r>
      <w:r w:rsidRPr="00846BED">
        <w:rPr>
          <w:b/>
        </w:rPr>
        <w:t>závisí</w:t>
      </w:r>
      <w:r>
        <w:t xml:space="preserve"> na dosahovaném </w:t>
      </w:r>
      <w:r w:rsidRPr="00846BED">
        <w:rPr>
          <w:b/>
        </w:rPr>
        <w:t>výdělku</w:t>
      </w:r>
      <w:r>
        <w:t xml:space="preserve">, </w:t>
      </w:r>
      <w:r w:rsidRPr="00846BED">
        <w:rPr>
          <w:b/>
        </w:rPr>
        <w:t>redukčních hranicích</w:t>
      </w:r>
      <w:r>
        <w:t xml:space="preserve"> pro redukci denního vyměřovacího základu, </w:t>
      </w:r>
      <w:r w:rsidRPr="00846BED">
        <w:rPr>
          <w:b/>
        </w:rPr>
        <w:t xml:space="preserve">redukci mezi </w:t>
      </w:r>
      <w:r>
        <w:t xml:space="preserve">jednotlivými redukčními </w:t>
      </w:r>
      <w:r w:rsidRPr="00846BED">
        <w:rPr>
          <w:b/>
        </w:rPr>
        <w:t>hranicemi</w:t>
      </w:r>
      <w:r>
        <w:t xml:space="preserve"> a na </w:t>
      </w:r>
      <w:r w:rsidRPr="00846BED">
        <w:rPr>
          <w:b/>
        </w:rPr>
        <w:t>procentní sazbě</w:t>
      </w:r>
      <w:r>
        <w:t xml:space="preserve"> pro jednotlivé dávky.</w:t>
      </w:r>
    </w:p>
    <w:p w14:paraId="21D450ED" w14:textId="56A77437" w:rsidR="0073249C" w:rsidRDefault="0073249C" w:rsidP="00E80A21">
      <w:pPr>
        <w:spacing w:after="120"/>
        <w:jc w:val="both"/>
      </w:pPr>
      <w:r w:rsidRPr="00E80782">
        <w:t>Všechny dávky nemocenského pojištění vyplácí okresní správa sociálního zabezpečení a hradí se ze</w:t>
      </w:r>
      <w:r w:rsidR="00BA3658">
        <w:t> </w:t>
      </w:r>
      <w:r w:rsidRPr="00E80782">
        <w:t>státního rozpočtu (z příjmů z pojistného). Dávky nemocenského pojištění se vyplácejí za kalendářní dny.</w:t>
      </w:r>
    </w:p>
    <w:p w14:paraId="71224329" w14:textId="12D10EE5" w:rsidR="009E1B64" w:rsidRPr="0073249C" w:rsidRDefault="009E1B64" w:rsidP="00E80A21">
      <w:pPr>
        <w:spacing w:after="120"/>
        <w:jc w:val="both"/>
      </w:pPr>
      <w:r>
        <w:t>OSVČ a zahraniční zaměstnanci, pokud si platí pojistné na nemocenské pojištění, mají nárok jen na nemocenské, peněžitou pomoc v mateřství, otcovskou a dlouhodobé ošetřovné.</w:t>
      </w:r>
    </w:p>
    <w:p w14:paraId="59DC08BD" w14:textId="4E23EDD9" w:rsidR="0073249C" w:rsidRDefault="0073249C" w:rsidP="00E80A21">
      <w:pPr>
        <w:pStyle w:val="Box1"/>
        <w:spacing w:before="120" w:after="120"/>
        <w:ind w:left="0"/>
        <w:jc w:val="both"/>
        <w:rPr>
          <w:i/>
        </w:rPr>
      </w:pPr>
      <w:r>
        <w:rPr>
          <w:b/>
          <w:i/>
        </w:rPr>
        <w:t>Nemocenské</w:t>
      </w:r>
      <w:r w:rsidRPr="00F46EA8">
        <w:rPr>
          <w:b/>
          <w:i/>
        </w:rPr>
        <w:t xml:space="preserve"> </w:t>
      </w:r>
      <w:r w:rsidRPr="007445BF">
        <w:rPr>
          <w:i/>
        </w:rPr>
        <w:t xml:space="preserve">– </w:t>
      </w:r>
      <w:r>
        <w:rPr>
          <w:i/>
        </w:rPr>
        <w:t>je základní peněžitou dávkou systému nemocenského pojištění. Na nemocenské má nárok pojištěnec, který je uznán ošetřujícím lékařem dočasně práce neschopným, a to od</w:t>
      </w:r>
      <w:r w:rsidR="00BA3658">
        <w:rPr>
          <w:i/>
        </w:rPr>
        <w:t> </w:t>
      </w:r>
      <w:r>
        <w:rPr>
          <w:i/>
        </w:rPr>
        <w:t>15.</w:t>
      </w:r>
      <w:r w:rsidR="00E80782">
        <w:rPr>
          <w:i/>
        </w:rPr>
        <w:t> </w:t>
      </w:r>
      <w:r>
        <w:rPr>
          <w:i/>
        </w:rPr>
        <w:t>kalendářního dne trvání dočasné pracovní neschopnosti do konce dočasné pracovní neschopnosti, maximálně však 380</w:t>
      </w:r>
      <w:r w:rsidR="00930322">
        <w:rPr>
          <w:i/>
        </w:rPr>
        <w:t> </w:t>
      </w:r>
      <w:r>
        <w:rPr>
          <w:i/>
        </w:rPr>
        <w:t>kalendářních dnů počítaných od vzniku dočasné pracovní neschopnosti</w:t>
      </w:r>
      <w:r w:rsidRPr="00F46EA8">
        <w:rPr>
          <w:i/>
        </w:rPr>
        <w:t>.</w:t>
      </w:r>
    </w:p>
    <w:p w14:paraId="41F379B3" w14:textId="51BB8955" w:rsidR="0073249C" w:rsidRDefault="00E80782" w:rsidP="00E80A21">
      <w:pPr>
        <w:spacing w:after="120"/>
        <w:jc w:val="both"/>
      </w:pPr>
      <w:r w:rsidRPr="00E80782">
        <w:t>V roce 201</w:t>
      </w:r>
      <w:r w:rsidR="00160E81">
        <w:t>9</w:t>
      </w:r>
      <w:r w:rsidR="0073249C" w:rsidRPr="00E80782">
        <w:t xml:space="preserve"> bylo pojištěncům </w:t>
      </w:r>
      <w:r w:rsidR="0073249C" w:rsidRPr="00846BED">
        <w:rPr>
          <w:b/>
        </w:rPr>
        <w:t>vyplaceno nemocenské</w:t>
      </w:r>
      <w:r w:rsidR="0073249C" w:rsidRPr="00E80782">
        <w:t xml:space="preserve"> v celkové hodnotě </w:t>
      </w:r>
      <w:r w:rsidRPr="00846BED">
        <w:rPr>
          <w:b/>
        </w:rPr>
        <w:t>2</w:t>
      </w:r>
      <w:r w:rsidR="00160E81" w:rsidRPr="00846BED">
        <w:rPr>
          <w:b/>
        </w:rPr>
        <w:t>6</w:t>
      </w:r>
      <w:r w:rsidRPr="00846BED">
        <w:rPr>
          <w:b/>
        </w:rPr>
        <w:t>,7</w:t>
      </w:r>
      <w:r w:rsidR="0073249C" w:rsidRPr="00846BED">
        <w:rPr>
          <w:b/>
        </w:rPr>
        <w:t xml:space="preserve"> mld. Kč</w:t>
      </w:r>
      <w:r w:rsidR="0073249C" w:rsidRPr="00E80782">
        <w:t>, což představuje téměř 6</w:t>
      </w:r>
      <w:r w:rsidR="00160E81">
        <w:t>9</w:t>
      </w:r>
      <w:r w:rsidR="0073249C" w:rsidRPr="00E80782">
        <w:t>% podíl celkových výdajů na dávky systému nemocenského pojištění. Meziročně vzrostly výdaje na</w:t>
      </w:r>
      <w:r w:rsidR="00BA3658">
        <w:t> </w:t>
      </w:r>
      <w:r w:rsidR="0073249C" w:rsidRPr="00E80782">
        <w:t xml:space="preserve">nemocenské o </w:t>
      </w:r>
      <w:r w:rsidRPr="00E80782">
        <w:t>4</w:t>
      </w:r>
      <w:r w:rsidR="0073249C" w:rsidRPr="00E80782">
        <w:t xml:space="preserve"> mld. Kč, tj. o </w:t>
      </w:r>
      <w:r w:rsidR="00160E81" w:rsidRPr="00160E81">
        <w:t>17,6</w:t>
      </w:r>
      <w:r w:rsidR="0073249C" w:rsidRPr="00160E81">
        <w:t xml:space="preserve"> %.</w:t>
      </w:r>
      <w:r w:rsidRPr="00E80782">
        <w:t xml:space="preserve"> </w:t>
      </w:r>
      <w:r w:rsidR="00255736">
        <w:t xml:space="preserve">Jen pro srovnání mezi rokem 2017 a 2018 vzrostly výdaje o 24 %. V absolutní hodnotě však výdaje za nemocenské v roce 2019 </w:t>
      </w:r>
      <w:r w:rsidR="000F56B0">
        <w:t>ne</w:t>
      </w:r>
      <w:r w:rsidR="00255736">
        <w:t>překonaly objem vyplacených prostředků v roce 200</w:t>
      </w:r>
      <w:r w:rsidR="000F56B0">
        <w:t>7</w:t>
      </w:r>
      <w:r w:rsidR="00255736">
        <w:t xml:space="preserve">, kdy činily téměř </w:t>
      </w:r>
      <w:r w:rsidR="000F56B0">
        <w:t>27</w:t>
      </w:r>
      <w:r w:rsidR="00255736">
        <w:t>,8 mld. Kč.</w:t>
      </w:r>
    </w:p>
    <w:p w14:paraId="70841445" w14:textId="7E9C43CE" w:rsidR="004C1315" w:rsidRDefault="004C1315" w:rsidP="00E80A21">
      <w:pPr>
        <w:spacing w:after="120"/>
        <w:jc w:val="both"/>
      </w:pPr>
      <w:r>
        <w:t>Za nárůstem výdajů stojí zejména růst mezd a nárůst</w:t>
      </w:r>
      <w:r w:rsidR="001A0E1D">
        <w:t xml:space="preserve"> </w:t>
      </w:r>
      <w:r>
        <w:t>poč</w:t>
      </w:r>
      <w:r w:rsidR="001A0E1D">
        <w:t>tu</w:t>
      </w:r>
      <w:r>
        <w:t xml:space="preserve"> proplácených dnů</w:t>
      </w:r>
      <w:r w:rsidR="001A0E1D">
        <w:t>. Výše průměrné denní dávky nemocenského v roce 2019 činila 491 Kč.</w:t>
      </w:r>
      <w:r w:rsidR="00AD5B09">
        <w:t xml:space="preserve"> V předchozím roce byla vyplácená denní dávka v průměru 447 Kč, což je o 10 % méně.</w:t>
      </w:r>
    </w:p>
    <w:p w14:paraId="40D568A8" w14:textId="3DD916FD" w:rsidR="00DE4807" w:rsidRPr="00DE4807" w:rsidRDefault="00DE4807" w:rsidP="00E80A21">
      <w:pPr>
        <w:spacing w:after="120"/>
        <w:jc w:val="both"/>
      </w:pPr>
      <w:r w:rsidRPr="00DE4807">
        <w:t xml:space="preserve">V roce 2017 </w:t>
      </w:r>
      <w:r w:rsidRPr="00DE4807">
        <w:rPr>
          <w:b/>
        </w:rPr>
        <w:t>bylo přijato několik významných legislativních opatření</w:t>
      </w:r>
      <w:r w:rsidRPr="00DE4807">
        <w:t xml:space="preserve"> v oblasti nemocenského pojištění </w:t>
      </w:r>
      <w:r w:rsidRPr="00DE4807">
        <w:rPr>
          <w:b/>
        </w:rPr>
        <w:t>s účinností od roku 2018</w:t>
      </w:r>
      <w:r w:rsidRPr="00DE4807">
        <w:t>, která zásadním způsobem ovlivnila jeho finanční bilanci. Jednalo se o </w:t>
      </w:r>
      <w:r w:rsidRPr="00DE4807">
        <w:rPr>
          <w:b/>
        </w:rPr>
        <w:t>zvýšení nemocenského od 31. kalendářního dne DPN</w:t>
      </w:r>
      <w:r w:rsidRPr="00DE4807">
        <w:t xml:space="preserve"> nebo karantény z 60 % na 66 % redukovaného denního vyměřovacího základu a od </w:t>
      </w:r>
      <w:r w:rsidRPr="00592FC3">
        <w:rPr>
          <w:b/>
        </w:rPr>
        <w:t>61. kalendářního dne DPN</w:t>
      </w:r>
      <w:r w:rsidRPr="00DE4807">
        <w:t xml:space="preserve"> nebo karantény </w:t>
      </w:r>
      <w:r>
        <w:t xml:space="preserve">z 60 % </w:t>
      </w:r>
      <w:r w:rsidRPr="00DE4807">
        <w:t>na 72 % redukovaného denního vyměřovacího základu s účinností od 1. ledna 2018 a dále o rozšíření okruhu dávek poskytovaných z</w:t>
      </w:r>
      <w:r w:rsidR="00812420">
        <w:t> </w:t>
      </w:r>
      <w:r w:rsidRPr="00DE4807">
        <w:t>nemocenského pojištění o novou dávku otcovské poporodní péče (</w:t>
      </w:r>
      <w:r w:rsidR="00140A9B">
        <w:t>tzv.</w:t>
      </w:r>
      <w:r w:rsidRPr="00DE4807">
        <w:t xml:space="preserve"> „otcovská“) s účinností od 1. února 2018 a dávku dlouhodobého ošetřovného s účinností od 1. června 2018.</w:t>
      </w:r>
    </w:p>
    <w:p w14:paraId="3490A8C3" w14:textId="7723EAA3" w:rsidR="0073249C" w:rsidRPr="006B087F" w:rsidRDefault="0073249C" w:rsidP="00E80A21">
      <w:pPr>
        <w:spacing w:after="120"/>
        <w:jc w:val="both"/>
      </w:pPr>
      <w:r w:rsidRPr="006B087F">
        <w:t>K nejdramatičtějším změnám v úrovni výdajů na nemocenské došlo v roce 2009 v souvislosti s</w:t>
      </w:r>
      <w:r w:rsidR="00C161D6" w:rsidRPr="006B087F">
        <w:t xml:space="preserve"> </w:t>
      </w:r>
      <w:r w:rsidRPr="006B087F">
        <w:t>legislativní úpravou nemocenského pojištění. Nový zákon o nemocenském pojištění znatelně snížil výši dávek nemocenského pojištění a zejména stanovil, že po dobu prvních 14 dnů pracovní neschopnosti je zaměstnanec zabezpečen náhradou mzdy nebo platu, kterou mu poskytuje zaměstnavatel (</w:t>
      </w:r>
      <w:r w:rsidR="006B087F" w:rsidRPr="006B087F">
        <w:t xml:space="preserve">do 1. 7. 2019 </w:t>
      </w:r>
      <w:r w:rsidRPr="006B087F">
        <w:t>s</w:t>
      </w:r>
      <w:r w:rsidR="00812420">
        <w:t> </w:t>
      </w:r>
      <w:r w:rsidRPr="006B087F">
        <w:t>výjimkou prvních 3 pracovních dnů). Poskytování náhrady mzdy nebo platu zaměstnavatelem bylo přijetím úsporných opatření v letech 2011 až 2013 dočasně prodlouženo z prvních 14 na 21 dnů pracovní neschopnosti. V důsledku těchto legislativních změn došlo k rapidnímu poklesu nemocnosti, což rovněž mělo vliv na pokles výdajů na nemocenské.</w:t>
      </w:r>
      <w:r w:rsidR="00C161D6" w:rsidRPr="006B087F">
        <w:t xml:space="preserve"> V roce 2013 byly výdaje </w:t>
      </w:r>
      <w:r w:rsidR="00B50ECC" w:rsidRPr="006B087F">
        <w:t>o více než 10 mld. Kč nižší než před zákonnou úpravou v roce 2008.</w:t>
      </w:r>
    </w:p>
    <w:p w14:paraId="216512BE" w14:textId="5340A635" w:rsidR="004744DF" w:rsidRDefault="00D96350" w:rsidP="00E80A21">
      <w:pPr>
        <w:spacing w:after="120"/>
        <w:jc w:val="both"/>
        <w:rPr>
          <w:szCs w:val="20"/>
        </w:rPr>
      </w:pPr>
      <w:r w:rsidRPr="006B087F">
        <w:rPr>
          <w:szCs w:val="20"/>
        </w:rPr>
        <w:lastRenderedPageBreak/>
        <w:t>Podrobnější informace k výdajům na nemocenské a dalším dávkám, které jsou poskytovány ze systému nemocenského pojištění, naleznete na internetových stránkách MPSV v</w:t>
      </w:r>
      <w:r w:rsidR="004744DF" w:rsidRPr="006B087F">
        <w:rPr>
          <w:szCs w:val="20"/>
        </w:rPr>
        <w:t xml:space="preserve"> analýze </w:t>
      </w:r>
      <w:hyperlink r:id="rId28" w:history="1">
        <w:r w:rsidR="004744DF" w:rsidRPr="006B087F">
          <w:rPr>
            <w:rStyle w:val="Hypertextovodkaz"/>
            <w:szCs w:val="20"/>
          </w:rPr>
          <w:t>Informace o vyplacených dávkách resortu MPSV ČR</w:t>
        </w:r>
      </w:hyperlink>
      <w:r w:rsidR="004744DF" w:rsidRPr="006B087F">
        <w:rPr>
          <w:szCs w:val="20"/>
        </w:rPr>
        <w:t>.</w:t>
      </w:r>
    </w:p>
    <w:p w14:paraId="0D349539" w14:textId="000E24B6" w:rsidR="00E743C4" w:rsidRPr="00E743C4" w:rsidRDefault="00E743C4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bookmarkStart w:id="20" w:name="_Toc10112629"/>
      <w:r w:rsidRPr="00E743C4">
        <w:rPr>
          <w:b/>
          <w:i w:val="0"/>
          <w:color w:val="auto"/>
          <w:sz w:val="20"/>
        </w:rPr>
        <w:t>Tab</w:t>
      </w:r>
      <w:r w:rsidR="00B50ECC">
        <w:rPr>
          <w:b/>
          <w:i w:val="0"/>
          <w:color w:val="auto"/>
          <w:sz w:val="20"/>
        </w:rPr>
        <w:t>.</w:t>
      </w:r>
      <w:r w:rsidRPr="00E743C4">
        <w:rPr>
          <w:b/>
          <w:i w:val="0"/>
          <w:color w:val="auto"/>
          <w:sz w:val="20"/>
        </w:rPr>
        <w:t xml:space="preserve"> 4.</w:t>
      </w:r>
      <w:r w:rsidR="004B5B2E">
        <w:rPr>
          <w:b/>
          <w:i w:val="0"/>
          <w:color w:val="auto"/>
          <w:sz w:val="20"/>
        </w:rPr>
        <w:t>1</w:t>
      </w:r>
      <w:r w:rsidRPr="00E743C4">
        <w:rPr>
          <w:b/>
          <w:i w:val="0"/>
          <w:color w:val="auto"/>
          <w:sz w:val="20"/>
        </w:rPr>
        <w:t>: Výdaje na dávky nemocenského pojištění</w:t>
      </w:r>
      <w:r w:rsidR="00452182">
        <w:rPr>
          <w:b/>
          <w:i w:val="0"/>
          <w:color w:val="auto"/>
          <w:sz w:val="20"/>
        </w:rPr>
        <w:t xml:space="preserve">, </w:t>
      </w:r>
      <w:r w:rsidRPr="00E743C4">
        <w:rPr>
          <w:b/>
          <w:i w:val="0"/>
          <w:color w:val="auto"/>
          <w:sz w:val="20"/>
        </w:rPr>
        <w:t>200</w:t>
      </w:r>
      <w:r w:rsidR="00255736">
        <w:rPr>
          <w:b/>
          <w:i w:val="0"/>
          <w:color w:val="auto"/>
          <w:sz w:val="20"/>
        </w:rPr>
        <w:t>9</w:t>
      </w:r>
      <w:r w:rsidRPr="00E743C4">
        <w:rPr>
          <w:b/>
          <w:i w:val="0"/>
          <w:color w:val="auto"/>
          <w:sz w:val="20"/>
        </w:rPr>
        <w:t>–201</w:t>
      </w:r>
      <w:r w:rsidR="00255736">
        <w:rPr>
          <w:b/>
          <w:i w:val="0"/>
          <w:color w:val="auto"/>
          <w:sz w:val="20"/>
        </w:rPr>
        <w:t>9</w:t>
      </w:r>
      <w:r w:rsidRPr="00E743C4">
        <w:rPr>
          <w:b/>
          <w:i w:val="0"/>
          <w:color w:val="auto"/>
          <w:sz w:val="20"/>
        </w:rPr>
        <w:t xml:space="preserve"> (v mld. Kč)</w:t>
      </w:r>
      <w:bookmarkEnd w:id="20"/>
    </w:p>
    <w:tbl>
      <w:tblPr>
        <w:tblW w:w="9496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324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  <w:gridCol w:w="652"/>
      </w:tblGrid>
      <w:tr w:rsidR="00255736" w:rsidRPr="00E743C4" w14:paraId="30BFB059" w14:textId="6BBF351E" w:rsidTr="00171BD2">
        <w:trPr>
          <w:trHeight w:val="315"/>
        </w:trPr>
        <w:tc>
          <w:tcPr>
            <w:tcW w:w="232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2EE3CAD" w14:textId="6B6B6628" w:rsidR="00255736" w:rsidRPr="00E743C4" w:rsidRDefault="00777C02" w:rsidP="00777C02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Druh dávky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74BBD0D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FA05C62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605126F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BA12FD3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31B4831A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51640ED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1C5C50C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B254E6D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13E892E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0721A4E6" w14:textId="77777777" w:rsidR="00255736" w:rsidRPr="00E743C4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652" w:type="dxa"/>
            <w:tcBorders>
              <w:top w:val="single" w:sz="8" w:space="0" w:color="auto"/>
              <w:bottom w:val="single" w:sz="8" w:space="0" w:color="auto"/>
            </w:tcBorders>
            <w:shd w:val="clear" w:color="auto" w:fill="F5DADD"/>
            <w:vAlign w:val="center"/>
          </w:tcPr>
          <w:p w14:paraId="2165B16B" w14:textId="5554108A" w:rsidR="00255736" w:rsidRPr="00255736" w:rsidRDefault="00255736" w:rsidP="00255736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2019</w:t>
            </w:r>
          </w:p>
        </w:tc>
      </w:tr>
      <w:tr w:rsidR="00255736" w:rsidRPr="00E743C4" w14:paraId="2A09B405" w14:textId="150B6097" w:rsidTr="00171BD2">
        <w:trPr>
          <w:trHeight w:val="300"/>
        </w:trPr>
        <w:tc>
          <w:tcPr>
            <w:tcW w:w="232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DD00ED" w14:textId="77777777" w:rsidR="00255736" w:rsidRPr="00E743C4" w:rsidRDefault="00255736" w:rsidP="00255736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Celkem</w:t>
            </w:r>
          </w:p>
        </w:tc>
        <w:tc>
          <w:tcPr>
            <w:tcW w:w="65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4CF0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26,03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9697E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22,79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4E75C0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21,51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D0811C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19,38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99DEC2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20,14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78B815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22,08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43ACE67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24,11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F0D17E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26,28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5B455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28,32</w:t>
            </w:r>
          </w:p>
        </w:tc>
        <w:tc>
          <w:tcPr>
            <w:tcW w:w="652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7F486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E743C4">
              <w:rPr>
                <w:rFonts w:cs="Arial"/>
                <w:b/>
                <w:bCs/>
                <w:sz w:val="16"/>
                <w:szCs w:val="16"/>
              </w:rPr>
              <w:t>33,97</w:t>
            </w:r>
          </w:p>
        </w:tc>
        <w:tc>
          <w:tcPr>
            <w:tcW w:w="652" w:type="dxa"/>
            <w:tcBorders>
              <w:top w:val="single" w:sz="8" w:space="0" w:color="auto"/>
            </w:tcBorders>
            <w:vAlign w:val="center"/>
          </w:tcPr>
          <w:p w14:paraId="70854E41" w14:textId="451805CE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255736">
              <w:rPr>
                <w:rFonts w:cs="Arial"/>
                <w:b/>
                <w:bCs/>
                <w:sz w:val="16"/>
                <w:szCs w:val="16"/>
              </w:rPr>
              <w:t>38,89</w:t>
            </w:r>
          </w:p>
        </w:tc>
      </w:tr>
      <w:tr w:rsidR="00255736" w:rsidRPr="00E743C4" w14:paraId="628A8E71" w14:textId="45A382C8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514BEF6B" w14:textId="77777777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nemocenské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74D9268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18,22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49A8E95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14,94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700D24E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13,35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434D410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11,47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05C5843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12,04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056EDCF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13,88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091F000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15,43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0550539A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16,99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75A3EC9F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18,29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000000" w:fill="F5DADD"/>
            <w:noWrap/>
            <w:vAlign w:val="center"/>
            <w:hideMark/>
          </w:tcPr>
          <w:p w14:paraId="2CB97A0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22,68</w:t>
            </w:r>
          </w:p>
        </w:tc>
        <w:tc>
          <w:tcPr>
            <w:tcW w:w="652" w:type="dxa"/>
            <w:shd w:val="clear" w:color="auto" w:fill="F5DADD"/>
            <w:vAlign w:val="center"/>
          </w:tcPr>
          <w:p w14:paraId="2CDD0F6B" w14:textId="37A550C4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26,67</w:t>
            </w:r>
          </w:p>
        </w:tc>
      </w:tr>
      <w:tr w:rsidR="00255736" w:rsidRPr="00E743C4" w14:paraId="5B083129" w14:textId="5C184153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8877E95" w14:textId="77777777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ošetřovné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A159B7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0,73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BFB9BB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0,43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90D54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0,64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552E7EC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0,68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8982E7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0,84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3C3E8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0,85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36FDE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1,06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B790B6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1,18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C37716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1,40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05793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1,63</w:t>
            </w:r>
          </w:p>
        </w:tc>
        <w:tc>
          <w:tcPr>
            <w:tcW w:w="652" w:type="dxa"/>
            <w:vAlign w:val="center"/>
          </w:tcPr>
          <w:p w14:paraId="298EE9FD" w14:textId="6AB36AC5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1,73</w:t>
            </w:r>
          </w:p>
        </w:tc>
      </w:tr>
      <w:tr w:rsidR="00255736" w:rsidRPr="00E743C4" w14:paraId="7DD4B230" w14:textId="0013FBEF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452C73C" w14:textId="4BA8B6C9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peněžitá pomoc v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743C4">
              <w:rPr>
                <w:rFonts w:cs="Arial"/>
                <w:sz w:val="16"/>
                <w:szCs w:val="16"/>
              </w:rPr>
              <w:t>mateřství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037E0C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7,08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74A1A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7,41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2CD0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7,51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70F3B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7,22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438436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7,26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33CA5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7,33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7E5F9F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7,61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CB45A5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8,11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F9B57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8,62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B42AA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9,40</w:t>
            </w:r>
          </w:p>
        </w:tc>
        <w:tc>
          <w:tcPr>
            <w:tcW w:w="652" w:type="dxa"/>
            <w:vAlign w:val="center"/>
          </w:tcPr>
          <w:p w14:paraId="19B4B6AD" w14:textId="44D0BCD4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10,10</w:t>
            </w:r>
          </w:p>
        </w:tc>
      </w:tr>
      <w:tr w:rsidR="00255736" w:rsidRPr="00E743C4" w14:paraId="520D6410" w14:textId="16E8D812" w:rsidTr="00171BD2">
        <w:trPr>
          <w:trHeight w:val="45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B26FF5C" w14:textId="77777777" w:rsidR="00B27488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v</w:t>
            </w:r>
            <w:r w:rsidRPr="00E743C4">
              <w:rPr>
                <w:rFonts w:cs="Arial"/>
                <w:sz w:val="16"/>
                <w:szCs w:val="16"/>
              </w:rPr>
              <w:t>yrovnávací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743C4">
              <w:rPr>
                <w:rFonts w:cs="Arial"/>
                <w:sz w:val="16"/>
                <w:szCs w:val="16"/>
              </w:rPr>
              <w:t xml:space="preserve">příspěvek </w:t>
            </w:r>
          </w:p>
          <w:p w14:paraId="63C4C8C2" w14:textId="058F41BD" w:rsidR="00255736" w:rsidRPr="00E743C4" w:rsidRDefault="00255736" w:rsidP="00B27488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v</w:t>
            </w:r>
            <w:r w:rsidR="00B27488">
              <w:rPr>
                <w:rFonts w:cs="Arial"/>
                <w:sz w:val="16"/>
                <w:szCs w:val="16"/>
              </w:rPr>
              <w:t xml:space="preserve"> </w:t>
            </w:r>
            <w:r w:rsidRPr="00E743C4">
              <w:rPr>
                <w:rFonts w:cs="Arial"/>
                <w:sz w:val="16"/>
                <w:szCs w:val="16"/>
              </w:rPr>
              <w:t>těhotenství a</w:t>
            </w:r>
            <w:r>
              <w:rPr>
                <w:rFonts w:cs="Arial"/>
                <w:sz w:val="16"/>
                <w:szCs w:val="16"/>
              </w:rPr>
              <w:t xml:space="preserve"> </w:t>
            </w:r>
            <w:r w:rsidRPr="00E743C4">
              <w:rPr>
                <w:rFonts w:cs="Arial"/>
                <w:sz w:val="16"/>
                <w:szCs w:val="16"/>
              </w:rPr>
              <w:t>mateřství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9BB81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0,005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F11C9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0,004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BE2EAC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0,006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B56B6C7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AED75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0,007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6873555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C16083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454BF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0,009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1812357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0,008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35B92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0,009</w:t>
            </w:r>
          </w:p>
        </w:tc>
        <w:tc>
          <w:tcPr>
            <w:tcW w:w="652" w:type="dxa"/>
            <w:vAlign w:val="center"/>
          </w:tcPr>
          <w:p w14:paraId="7DB5DDA3" w14:textId="4504B1C6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0,009</w:t>
            </w:r>
          </w:p>
        </w:tc>
      </w:tr>
      <w:tr w:rsidR="00255736" w:rsidRPr="00E743C4" w14:paraId="7FB4F66E" w14:textId="6024C0A2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C4918D" w14:textId="7342285A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otcovská poporodní péče</w:t>
            </w:r>
            <w:r w:rsidRPr="00E743C4">
              <w:rPr>
                <w:rFonts w:cs="Arial"/>
                <w:sz w:val="16"/>
                <w:szCs w:val="16"/>
                <w:vertAlign w:val="superscript"/>
              </w:rPr>
              <w:t>1)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14310F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AAD030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017CB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19F93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07B1F3B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E69E942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26661D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C2837E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DF5A32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813AA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0,221</w:t>
            </w:r>
          </w:p>
        </w:tc>
        <w:tc>
          <w:tcPr>
            <w:tcW w:w="652" w:type="dxa"/>
            <w:vAlign w:val="center"/>
          </w:tcPr>
          <w:p w14:paraId="7CFF0088" w14:textId="5DC46102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0,273</w:t>
            </w:r>
          </w:p>
        </w:tc>
      </w:tr>
      <w:tr w:rsidR="00255736" w:rsidRPr="00E743C4" w14:paraId="73315847" w14:textId="51CA7074" w:rsidTr="00171BD2">
        <w:trPr>
          <w:trHeight w:val="300"/>
        </w:trPr>
        <w:tc>
          <w:tcPr>
            <w:tcW w:w="2324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5ED644" w14:textId="29E2810C" w:rsidR="00255736" w:rsidRPr="00E743C4" w:rsidRDefault="00255736" w:rsidP="00255736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E743C4">
              <w:rPr>
                <w:rFonts w:cs="Arial"/>
                <w:sz w:val="16"/>
                <w:szCs w:val="16"/>
              </w:rPr>
              <w:t>dlouhodobé ošetřovné</w:t>
            </w:r>
            <w:r w:rsidRPr="00E743C4">
              <w:rPr>
                <w:rFonts w:cs="Arial"/>
                <w:sz w:val="16"/>
                <w:szCs w:val="16"/>
                <w:vertAlign w:val="superscript"/>
              </w:rPr>
              <w:t>2)</w:t>
            </w:r>
          </w:p>
        </w:tc>
        <w:tc>
          <w:tcPr>
            <w:tcW w:w="65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46A376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9DC6DC4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86BE20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CA061F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A59B138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DF0A901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06846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2FD2843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4FE5C39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E743C4">
              <w:rPr>
                <w:rFonts w:ascii="Calibri" w:hAnsi="Calibri"/>
                <w:color w:val="000000"/>
                <w:sz w:val="22"/>
                <w:szCs w:val="22"/>
              </w:rPr>
              <w:t>-</w:t>
            </w:r>
          </w:p>
        </w:tc>
        <w:tc>
          <w:tcPr>
            <w:tcW w:w="6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24ADEE" w14:textId="77777777" w:rsidR="00255736" w:rsidRPr="00E743C4" w:rsidRDefault="00255736" w:rsidP="00181862">
            <w:pPr>
              <w:spacing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 w:rsidRPr="00E743C4">
              <w:rPr>
                <w:rFonts w:cs="Arial"/>
                <w:color w:val="000000"/>
                <w:sz w:val="16"/>
                <w:szCs w:val="16"/>
              </w:rPr>
              <w:t>0,032</w:t>
            </w:r>
          </w:p>
        </w:tc>
        <w:tc>
          <w:tcPr>
            <w:tcW w:w="652" w:type="dxa"/>
            <w:vAlign w:val="center"/>
          </w:tcPr>
          <w:p w14:paraId="5E48ED1A" w14:textId="2EBCEBEB" w:rsidR="00255736" w:rsidRPr="00255736" w:rsidRDefault="00255736" w:rsidP="00181862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255736">
              <w:rPr>
                <w:rFonts w:cs="Arial"/>
                <w:sz w:val="16"/>
                <w:szCs w:val="16"/>
              </w:rPr>
              <w:t>0,110</w:t>
            </w:r>
          </w:p>
        </w:tc>
      </w:tr>
    </w:tbl>
    <w:p w14:paraId="04488802" w14:textId="43195F7E" w:rsidR="00B3110D" w:rsidRPr="00B3110D" w:rsidRDefault="00B3110D" w:rsidP="00766701">
      <w:pPr>
        <w:pStyle w:val="Odstavecseseznamem"/>
        <w:numPr>
          <w:ilvl w:val="0"/>
          <w:numId w:val="25"/>
        </w:numPr>
        <w:spacing w:before="120" w:after="0"/>
        <w:ind w:left="284" w:hanging="142"/>
        <w:jc w:val="both"/>
        <w:rPr>
          <w:rFonts w:ascii="Arial" w:hAnsi="Arial" w:cs="Arial"/>
          <w:sz w:val="16"/>
        </w:rPr>
      </w:pPr>
      <w:r w:rsidRPr="00B3110D">
        <w:rPr>
          <w:rFonts w:ascii="Arial" w:hAnsi="Arial" w:cs="Arial"/>
          <w:sz w:val="16"/>
        </w:rPr>
        <w:t>Zavedení dávky otcovské poporodní péče, tzv. "otcovská" – účinnost od 1. února 2018</w:t>
      </w:r>
    </w:p>
    <w:p w14:paraId="5D18CC9A" w14:textId="56C64FC2" w:rsidR="00B3110D" w:rsidRDefault="00B3110D" w:rsidP="004C5CA5">
      <w:pPr>
        <w:pStyle w:val="Odstavecseseznamem"/>
        <w:numPr>
          <w:ilvl w:val="0"/>
          <w:numId w:val="25"/>
        </w:numPr>
        <w:spacing w:before="120"/>
        <w:ind w:left="284" w:hanging="153"/>
        <w:jc w:val="both"/>
        <w:rPr>
          <w:rFonts w:ascii="Arial" w:hAnsi="Arial" w:cs="Arial"/>
          <w:sz w:val="16"/>
        </w:rPr>
      </w:pPr>
      <w:r w:rsidRPr="00B3110D">
        <w:rPr>
          <w:rFonts w:ascii="Arial" w:hAnsi="Arial" w:cs="Arial"/>
          <w:sz w:val="16"/>
        </w:rPr>
        <w:t>Zavedení dávky dlouhodobé ošetřovné – účinnost od 1. června 2018</w:t>
      </w:r>
    </w:p>
    <w:p w14:paraId="141E0FFE" w14:textId="767B48A5" w:rsidR="00BD4955" w:rsidRDefault="007B2E56" w:rsidP="008F1CE9">
      <w:pPr>
        <w:spacing w:before="60" w:after="120"/>
        <w:jc w:val="both"/>
      </w:pPr>
      <w:r w:rsidRPr="007B2E56">
        <w:rPr>
          <w:rFonts w:cs="Arial"/>
          <w:sz w:val="18"/>
          <w:szCs w:val="28"/>
        </w:rPr>
        <w:t>Zdroj: ČSSZ</w:t>
      </w:r>
    </w:p>
    <w:p w14:paraId="168334D3" w14:textId="62F9617E" w:rsidR="00BD4955" w:rsidRDefault="00BD4955" w:rsidP="008F1CE9">
      <w:pPr>
        <w:spacing w:after="120"/>
        <w:jc w:val="both"/>
      </w:pPr>
      <w:r w:rsidRPr="0093401E">
        <w:t>Již od roku 2007 postupně klesal objem vyplacených dávek nemocenského až do roku 2012 (celkem o 16,4 mld. Kč), kdy dosáhl pouze 41 % objemu nemocenského vyplaceného v roce 2007.</w:t>
      </w:r>
      <w:r w:rsidRPr="00B44354">
        <w:t xml:space="preserve"> V posledních pěti letech dochází k nárůstu objemu vyplacených dávek nemocenského, od roku 2017 rost</w:t>
      </w:r>
      <w:r>
        <w:t>l daleko</w:t>
      </w:r>
      <w:r w:rsidRPr="00B44354">
        <w:t xml:space="preserve"> dynamičtěji. Za poslední dva roky se výdaje zvýšily o 8,4 mld. Kč, tj. o 46 %</w:t>
      </w:r>
      <w:r>
        <w:t>.</w:t>
      </w:r>
    </w:p>
    <w:p w14:paraId="6746ED9F" w14:textId="7309955E" w:rsidR="00B3110D" w:rsidRPr="00B3110D" w:rsidRDefault="00B3110D" w:rsidP="00766701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B3110D">
        <w:rPr>
          <w:b/>
          <w:i w:val="0"/>
          <w:color w:val="auto"/>
          <w:sz w:val="20"/>
        </w:rPr>
        <w:t xml:space="preserve">Graf </w:t>
      </w:r>
      <w:r w:rsidR="00776BA8">
        <w:rPr>
          <w:b/>
          <w:i w:val="0"/>
          <w:color w:val="auto"/>
          <w:sz w:val="20"/>
        </w:rPr>
        <w:t>4</w:t>
      </w:r>
      <w:r w:rsidR="00162BC5">
        <w:rPr>
          <w:b/>
          <w:i w:val="0"/>
          <w:color w:val="auto"/>
          <w:sz w:val="20"/>
        </w:rPr>
        <w:t>.</w:t>
      </w:r>
      <w:r w:rsidRPr="00B3110D">
        <w:rPr>
          <w:b/>
          <w:i w:val="0"/>
          <w:color w:val="auto"/>
          <w:sz w:val="20"/>
        </w:rPr>
        <w:t xml:space="preserve">1: Výdaje na nemocenské a průměrné procento </w:t>
      </w:r>
      <w:r w:rsidR="008D7B85">
        <w:rPr>
          <w:b/>
          <w:i w:val="0"/>
          <w:color w:val="auto"/>
          <w:sz w:val="20"/>
        </w:rPr>
        <w:t xml:space="preserve">dočasné </w:t>
      </w:r>
      <w:r w:rsidRPr="00B3110D">
        <w:rPr>
          <w:b/>
          <w:i w:val="0"/>
          <w:color w:val="auto"/>
          <w:sz w:val="20"/>
        </w:rPr>
        <w:t>pracovní neschopnosti</w:t>
      </w:r>
      <w:r w:rsidR="00452182">
        <w:rPr>
          <w:b/>
          <w:i w:val="0"/>
          <w:color w:val="auto"/>
          <w:sz w:val="20"/>
        </w:rPr>
        <w:t xml:space="preserve">, </w:t>
      </w:r>
      <w:r w:rsidRPr="00B3110D">
        <w:rPr>
          <w:b/>
          <w:i w:val="0"/>
          <w:color w:val="auto"/>
          <w:sz w:val="20"/>
        </w:rPr>
        <w:t>200</w:t>
      </w:r>
      <w:r w:rsidR="00C0077A">
        <w:rPr>
          <w:b/>
          <w:i w:val="0"/>
          <w:color w:val="auto"/>
          <w:sz w:val="20"/>
        </w:rPr>
        <w:t>9</w:t>
      </w:r>
      <w:r>
        <w:rPr>
          <w:b/>
          <w:i w:val="0"/>
          <w:color w:val="auto"/>
          <w:sz w:val="20"/>
        </w:rPr>
        <w:t>–201</w:t>
      </w:r>
      <w:r w:rsidR="00C0077A">
        <w:rPr>
          <w:b/>
          <w:i w:val="0"/>
          <w:color w:val="auto"/>
          <w:sz w:val="20"/>
        </w:rPr>
        <w:t>9</w:t>
      </w:r>
      <w:r w:rsidR="008D7B85">
        <w:rPr>
          <w:b/>
          <w:i w:val="0"/>
          <w:color w:val="auto"/>
          <w:sz w:val="20"/>
        </w:rPr>
        <w:t xml:space="preserve"> (v</w:t>
      </w:r>
      <w:r w:rsidR="00812420">
        <w:rPr>
          <w:b/>
          <w:i w:val="0"/>
          <w:color w:val="auto"/>
          <w:sz w:val="20"/>
        </w:rPr>
        <w:t> </w:t>
      </w:r>
      <w:r w:rsidR="008D7B85">
        <w:rPr>
          <w:b/>
          <w:i w:val="0"/>
          <w:color w:val="auto"/>
          <w:sz w:val="20"/>
        </w:rPr>
        <w:t>mld. Kč a v %)</w:t>
      </w:r>
    </w:p>
    <w:p w14:paraId="3EF52446" w14:textId="77777777" w:rsidR="00BD4955" w:rsidRDefault="00C0077A" w:rsidP="00BD4955">
      <w:pPr>
        <w:spacing w:before="120" w:after="120"/>
        <w:jc w:val="both"/>
        <w:rPr>
          <w:rFonts w:cs="Arial"/>
          <w:sz w:val="18"/>
          <w:szCs w:val="18"/>
        </w:rPr>
      </w:pPr>
      <w:r>
        <w:rPr>
          <w:noProof/>
        </w:rPr>
        <w:drawing>
          <wp:inline distT="0" distB="0" distL="0" distR="0" wp14:anchorId="4350CEA1" wp14:editId="78DEDFD1">
            <wp:extent cx="6120130" cy="3644265"/>
            <wp:effectExtent l="0" t="0" r="13970" b="13335"/>
            <wp:docPr id="3" name="Graf 3">
              <a:extLst xmlns:a="http://schemas.openxmlformats.org/drawingml/2006/main">
                <a:ext uri="{FF2B5EF4-FFF2-40B4-BE49-F238E27FC236}">
                  <a16:creationId xmlns:a16="http://schemas.microsoft.com/office/drawing/2014/main" id="{4C835998-BD0E-4DF5-8028-AAD16774F81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2C2DDB39" w14:textId="61BD871C" w:rsidR="00E90976" w:rsidRPr="00BD4955" w:rsidRDefault="00E90976" w:rsidP="008F1CE9">
      <w:pPr>
        <w:spacing w:after="120"/>
        <w:jc w:val="both"/>
      </w:pPr>
      <w:r w:rsidRPr="007B2E56">
        <w:rPr>
          <w:rFonts w:cs="Arial"/>
          <w:sz w:val="18"/>
          <w:szCs w:val="18"/>
        </w:rPr>
        <w:t>Zdroj: ČSSZ, ČSÚ</w:t>
      </w:r>
    </w:p>
    <w:p w14:paraId="1ADCDE50" w14:textId="77777777" w:rsidR="004744DF" w:rsidRDefault="004744DF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>
        <w:br w:type="page"/>
      </w:r>
    </w:p>
    <w:p w14:paraId="6F691807" w14:textId="71BA8067" w:rsidR="00977F2A" w:rsidRDefault="00977F2A" w:rsidP="008F1CE9">
      <w:pPr>
        <w:pStyle w:val="Nadpis2"/>
      </w:pPr>
      <w:bookmarkStart w:id="21" w:name="_Toc41558321"/>
      <w:r>
        <w:lastRenderedPageBreak/>
        <w:t>4.</w:t>
      </w:r>
      <w:r w:rsidR="00661E61">
        <w:t>5</w:t>
      </w:r>
      <w:r>
        <w:t xml:space="preserve"> </w:t>
      </w:r>
      <w:r w:rsidR="00C62BD6">
        <w:t>Pracovní úrazy</w:t>
      </w:r>
      <w:bookmarkEnd w:id="21"/>
    </w:p>
    <w:p w14:paraId="011AAE76" w14:textId="77777777" w:rsidR="004223A0" w:rsidRPr="006A6265" w:rsidRDefault="004223A0" w:rsidP="008F1CE9">
      <w:pPr>
        <w:spacing w:after="120"/>
        <w:jc w:val="both"/>
      </w:pPr>
      <w:r w:rsidRPr="006A6265">
        <w:t xml:space="preserve">V oblasti pracovní úrazovosti ukládá česká i evropská legislativa zaměstnavatelům řadu povinností související s evidencí, hlášením a objasněním příčin a okolností vzniku každého pracovního úrazu. </w:t>
      </w:r>
    </w:p>
    <w:p w14:paraId="55B052BA" w14:textId="177FD4BE" w:rsidR="004223A0" w:rsidRPr="000D5A03" w:rsidRDefault="00700B12" w:rsidP="008F1CE9">
      <w:pPr>
        <w:pStyle w:val="Box1"/>
        <w:spacing w:before="120" w:after="120"/>
        <w:ind w:left="0"/>
        <w:jc w:val="both"/>
        <w:rPr>
          <w:i/>
        </w:rPr>
      </w:pPr>
      <w:r w:rsidRPr="000D5A03">
        <w:rPr>
          <w:b/>
          <w:i/>
        </w:rPr>
        <w:t xml:space="preserve">Pracovní úraz </w:t>
      </w:r>
      <w:r w:rsidRPr="000D5A03">
        <w:rPr>
          <w:i/>
        </w:rPr>
        <w:t>– pracovním úrazem se rozumí poškození zdraví nebo smrt</w:t>
      </w:r>
      <w:r w:rsidR="002B03C8" w:rsidRPr="000D5A03">
        <w:rPr>
          <w:i/>
        </w:rPr>
        <w:t xml:space="preserve"> zaměstnance, došlo-li k</w:t>
      </w:r>
      <w:r w:rsidR="00BF7B0E" w:rsidRPr="000D5A03">
        <w:rPr>
          <w:i/>
        </w:rPr>
        <w:t> </w:t>
      </w:r>
      <w:r w:rsidR="002B03C8" w:rsidRPr="000D5A03">
        <w:rPr>
          <w:i/>
        </w:rPr>
        <w:t>nim</w:t>
      </w:r>
      <w:r w:rsidRPr="000D5A03">
        <w:rPr>
          <w:i/>
        </w:rPr>
        <w:t xml:space="preserve"> nezávisle na jeho vůli krátkodobým, náhlým a násilným působením </w:t>
      </w:r>
      <w:r w:rsidR="002B03C8" w:rsidRPr="000D5A03">
        <w:rPr>
          <w:i/>
        </w:rPr>
        <w:t>zevních</w:t>
      </w:r>
      <w:r w:rsidRPr="000D5A03">
        <w:rPr>
          <w:i/>
        </w:rPr>
        <w:t xml:space="preserve"> vlivů při plnění pracovních úkolů nebo v přímé souvislosti s ním (viz § </w:t>
      </w:r>
      <w:r w:rsidR="002B03C8" w:rsidRPr="000D5A03">
        <w:rPr>
          <w:i/>
        </w:rPr>
        <w:t>271k</w:t>
      </w:r>
      <w:r w:rsidRPr="000D5A03">
        <w:rPr>
          <w:i/>
        </w:rPr>
        <w:t xml:space="preserve"> odst. 1 až 3 zákona č. 262/2006 Sb., zákoník práce</w:t>
      </w:r>
      <w:r w:rsidR="002B03C8" w:rsidRPr="000D5A03">
        <w:rPr>
          <w:i/>
        </w:rPr>
        <w:t>, ve znění pozdějších předpisů</w:t>
      </w:r>
      <w:r w:rsidRPr="000D5A03">
        <w:rPr>
          <w:i/>
        </w:rPr>
        <w:t>).</w:t>
      </w:r>
    </w:p>
    <w:p w14:paraId="4846D2F8" w14:textId="77777777" w:rsidR="004223A0" w:rsidRPr="008F1CE9" w:rsidRDefault="004223A0" w:rsidP="00777C02">
      <w:pPr>
        <w:pStyle w:val="Box1"/>
        <w:ind w:left="0"/>
        <w:jc w:val="both"/>
        <w:rPr>
          <w:b/>
          <w:i/>
          <w:sz w:val="16"/>
          <w:szCs w:val="16"/>
          <w:highlight w:val="yellow"/>
        </w:rPr>
      </w:pPr>
    </w:p>
    <w:p w14:paraId="4C6CA5B5" w14:textId="74DFC99F" w:rsidR="004223A0" w:rsidRPr="000D5A03" w:rsidRDefault="004223A0" w:rsidP="00777C02">
      <w:pPr>
        <w:pStyle w:val="Box1"/>
        <w:ind w:left="0"/>
        <w:jc w:val="both"/>
        <w:rPr>
          <w:i/>
        </w:rPr>
      </w:pPr>
      <w:r w:rsidRPr="000D5A03">
        <w:rPr>
          <w:b/>
          <w:i/>
        </w:rPr>
        <w:t>Smrtelný pracovní úraz</w:t>
      </w:r>
      <w:r w:rsidRPr="000D5A03">
        <w:rPr>
          <w:i/>
        </w:rPr>
        <w:t xml:space="preserve"> – je takové poškození zdraví, na jehož následky úrazem postižený zaměstnanec nejpozději do 1 roku zemřel.</w:t>
      </w:r>
    </w:p>
    <w:p w14:paraId="7F1DFFDE" w14:textId="77777777" w:rsidR="004223A0" w:rsidRPr="008F1CE9" w:rsidRDefault="004223A0" w:rsidP="00777C02">
      <w:pPr>
        <w:pStyle w:val="Box1"/>
        <w:ind w:left="0"/>
        <w:jc w:val="both"/>
        <w:rPr>
          <w:b/>
          <w:i/>
          <w:sz w:val="16"/>
          <w:szCs w:val="16"/>
          <w:highlight w:val="yellow"/>
        </w:rPr>
      </w:pPr>
    </w:p>
    <w:p w14:paraId="3CEDF62A" w14:textId="70967C7A" w:rsidR="004223A0" w:rsidRPr="000D5A03" w:rsidRDefault="004223A0" w:rsidP="00777C02">
      <w:pPr>
        <w:pStyle w:val="Box1"/>
        <w:ind w:left="0"/>
        <w:jc w:val="both"/>
        <w:rPr>
          <w:i/>
        </w:rPr>
      </w:pPr>
      <w:r w:rsidRPr="000D5A03">
        <w:rPr>
          <w:b/>
          <w:i/>
        </w:rPr>
        <w:t>Závažný pracovní úraz</w:t>
      </w:r>
      <w:r w:rsidRPr="000D5A03">
        <w:rPr>
          <w:i/>
        </w:rPr>
        <w:t xml:space="preserve"> – je takové poškození zdraví, trvá-li hospitalizace úrazem postiženého zaměstnance </w:t>
      </w:r>
      <w:r w:rsidR="004F4000">
        <w:rPr>
          <w:i/>
        </w:rPr>
        <w:t>déle</w:t>
      </w:r>
      <w:r w:rsidRPr="000D5A03">
        <w:rPr>
          <w:i/>
        </w:rPr>
        <w:t xml:space="preserve"> než 5 dnů.</w:t>
      </w:r>
    </w:p>
    <w:p w14:paraId="53A13CD5" w14:textId="77777777" w:rsidR="004223A0" w:rsidRPr="008F1CE9" w:rsidRDefault="004223A0" w:rsidP="00777C02">
      <w:pPr>
        <w:pStyle w:val="Box1"/>
        <w:ind w:left="0"/>
        <w:jc w:val="both"/>
        <w:rPr>
          <w:b/>
          <w:i/>
          <w:sz w:val="16"/>
          <w:szCs w:val="16"/>
          <w:highlight w:val="yellow"/>
        </w:rPr>
      </w:pPr>
    </w:p>
    <w:p w14:paraId="6BA79DCE" w14:textId="77777777" w:rsidR="004223A0" w:rsidRPr="000D5A03" w:rsidRDefault="004223A0" w:rsidP="00766701">
      <w:pPr>
        <w:pStyle w:val="Box1"/>
        <w:spacing w:before="120" w:after="120"/>
        <w:ind w:left="0"/>
        <w:jc w:val="both"/>
        <w:rPr>
          <w:i/>
        </w:rPr>
      </w:pPr>
      <w:r w:rsidRPr="000D5A03">
        <w:rPr>
          <w:b/>
          <w:i/>
        </w:rPr>
        <w:t xml:space="preserve">Pracovní úrazy s pracovní neschopností delší než 3 dny </w:t>
      </w:r>
      <w:r w:rsidRPr="000D5A03">
        <w:rPr>
          <w:i/>
        </w:rPr>
        <w:t>– ukazatel zahrnuje případy pracovních úrazů, které měly za následek pracovní neschopnost delší než tři kalendářní dny. Do těchto tří dnů se nezapočítává den, ve kterém k úrazu došlo.</w:t>
      </w:r>
    </w:p>
    <w:p w14:paraId="792A5DBC" w14:textId="5C446908" w:rsidR="004223A0" w:rsidRPr="00B41D33" w:rsidRDefault="004223A0" w:rsidP="008F1CE9">
      <w:pPr>
        <w:spacing w:after="120"/>
        <w:jc w:val="both"/>
      </w:pPr>
      <w:r w:rsidRPr="00B41D33">
        <w:t xml:space="preserve">Ohlášení pracovního úrazu místně příslušnému Oblastnímu inspektorátu práce (OIP) podléhá smrtelný pracovní </w:t>
      </w:r>
      <w:r w:rsidR="00386434" w:rsidRPr="00B41D33">
        <w:t>úraz</w:t>
      </w:r>
      <w:r w:rsidRPr="00B41D33">
        <w:t xml:space="preserve"> a pracovní úraz s hospitalizací delší než 5 dnů </w:t>
      </w:r>
      <w:r w:rsidR="00B41D33" w:rsidRPr="00B41D33">
        <w:t>(tzv. závažný pracovní úraz) nebo lze-li vzhledem k povaze zranění takovou dobu hospitalizace předpokládat</w:t>
      </w:r>
      <w:r w:rsidRPr="00B41D33">
        <w:t>. Vyhotovit záznam o úrazu (vč. případného hlášení změn) a zaslat jej na místně příslušný OIP je zaměstnavatel povinen u</w:t>
      </w:r>
      <w:r w:rsidR="008A15C0" w:rsidRPr="00B41D33">
        <w:t> </w:t>
      </w:r>
      <w:r w:rsidRPr="00B41D33">
        <w:t>smrtelného úrazu, závažného úrazu i</w:t>
      </w:r>
      <w:r w:rsidR="00812420">
        <w:t> </w:t>
      </w:r>
      <w:r w:rsidRPr="00B41D33">
        <w:t>u</w:t>
      </w:r>
      <w:r w:rsidR="00812420">
        <w:t> </w:t>
      </w:r>
      <w:r w:rsidRPr="00B41D33">
        <w:t>pracovního úrazu s pracovní neschopností delší než 3 dny. V závislosti na druhu a okolnostech vzniku pracovního úrazu se pracovní úraz ohlašuje a záznam o něm se zasílá ještě na další stanovené orgány a</w:t>
      </w:r>
      <w:r w:rsidR="00812420">
        <w:t> </w:t>
      </w:r>
      <w:r w:rsidRPr="00B41D33">
        <w:t>instituce. Evidenci všech úrazů, tedy i takových, kterými nebyla způsobena pracovní neschopnost nebo jimi byla způsobena pracovní neschopnost nepřesahující 3</w:t>
      </w:r>
      <w:r w:rsidR="008A15C0" w:rsidRPr="00B41D33">
        <w:t> </w:t>
      </w:r>
      <w:r w:rsidRPr="00B41D33">
        <w:t>kalendářní dny, je zaměstnavatel povinen vést v knize úrazů.</w:t>
      </w:r>
    </w:p>
    <w:p w14:paraId="695AFFB0" w14:textId="38B63A02" w:rsidR="004223A0" w:rsidRPr="00B41D33" w:rsidRDefault="004223A0" w:rsidP="008F1CE9">
      <w:pPr>
        <w:spacing w:after="120"/>
        <w:jc w:val="both"/>
        <w:rPr>
          <w:rFonts w:cs="Arial"/>
        </w:rPr>
      </w:pPr>
      <w:r w:rsidRPr="00B41D33">
        <w:rPr>
          <w:bCs/>
        </w:rPr>
        <w:t>Absolutní počet nově hlášených případů dočasné pracovní neschopnosti</w:t>
      </w:r>
      <w:r w:rsidRPr="00B41D33">
        <w:rPr>
          <w:rFonts w:cs="Arial"/>
        </w:rPr>
        <w:t xml:space="preserve"> pro pracovní úraz meziročně </w:t>
      </w:r>
      <w:r w:rsidR="00BF7B0E" w:rsidRPr="00B41D33">
        <w:rPr>
          <w:rFonts w:cs="Arial"/>
        </w:rPr>
        <w:t>poklesl</w:t>
      </w:r>
      <w:r w:rsidRPr="00B41D33">
        <w:rPr>
          <w:rFonts w:cs="Arial"/>
        </w:rPr>
        <w:t xml:space="preserve"> ze </w:t>
      </w:r>
      <w:r w:rsidR="00B41D33" w:rsidRPr="00B41D33">
        <w:rPr>
          <w:rFonts w:cs="Arial"/>
        </w:rPr>
        <w:t xml:space="preserve">46 223 </w:t>
      </w:r>
      <w:r w:rsidRPr="00B41D33">
        <w:rPr>
          <w:rFonts w:cs="Arial"/>
        </w:rPr>
        <w:t>případů v roce 201</w:t>
      </w:r>
      <w:r w:rsidR="00B41D33" w:rsidRPr="00B41D33">
        <w:rPr>
          <w:rFonts w:cs="Arial"/>
        </w:rPr>
        <w:t>8</w:t>
      </w:r>
      <w:r w:rsidRPr="00B41D33">
        <w:rPr>
          <w:rFonts w:cs="Arial"/>
        </w:rPr>
        <w:t xml:space="preserve"> na případ</w:t>
      </w:r>
      <w:r w:rsidR="00BF7B0E" w:rsidRPr="00B41D33">
        <w:rPr>
          <w:rFonts w:cs="Arial"/>
        </w:rPr>
        <w:t>ů</w:t>
      </w:r>
      <w:r w:rsidRPr="00B41D33">
        <w:rPr>
          <w:rFonts w:cs="Arial"/>
        </w:rPr>
        <w:t xml:space="preserve"> </w:t>
      </w:r>
      <w:r w:rsidR="00B41D33" w:rsidRPr="00B41D33">
        <w:rPr>
          <w:rFonts w:cs="Arial"/>
        </w:rPr>
        <w:t xml:space="preserve">44 552 </w:t>
      </w:r>
      <w:r w:rsidRPr="00B41D33">
        <w:rPr>
          <w:rFonts w:cs="Arial"/>
        </w:rPr>
        <w:t>v roc</w:t>
      </w:r>
      <w:r w:rsidR="00BF7B0E" w:rsidRPr="00B41D33">
        <w:rPr>
          <w:rFonts w:cs="Arial"/>
        </w:rPr>
        <w:t>e 201</w:t>
      </w:r>
      <w:r w:rsidR="00B41D33" w:rsidRPr="00B41D33">
        <w:rPr>
          <w:rFonts w:cs="Arial"/>
        </w:rPr>
        <w:t>9</w:t>
      </w:r>
      <w:r w:rsidRPr="00B41D33">
        <w:rPr>
          <w:rFonts w:cs="Arial"/>
        </w:rPr>
        <w:t xml:space="preserve"> (tj. o </w:t>
      </w:r>
      <w:r w:rsidR="00B41D33" w:rsidRPr="00B41D33">
        <w:rPr>
          <w:rFonts w:cs="Arial"/>
        </w:rPr>
        <w:t>3,6</w:t>
      </w:r>
      <w:r w:rsidRPr="00B41D33">
        <w:rPr>
          <w:rFonts w:cs="Arial"/>
        </w:rPr>
        <w:t xml:space="preserve"> %). Z tohoto celkového počtu bylo </w:t>
      </w:r>
      <w:r w:rsidR="00F33271" w:rsidRPr="00B41D33">
        <w:rPr>
          <w:rFonts w:cs="Arial"/>
        </w:rPr>
        <w:t>4</w:t>
      </w:r>
      <w:r w:rsidR="00B41D33" w:rsidRPr="00B41D33">
        <w:rPr>
          <w:rFonts w:cs="Arial"/>
        </w:rPr>
        <w:t>3</w:t>
      </w:r>
      <w:r w:rsidR="00812420">
        <w:rPr>
          <w:rFonts w:cs="Arial"/>
        </w:rPr>
        <w:t> </w:t>
      </w:r>
      <w:r w:rsidR="00B41D33" w:rsidRPr="00B41D33">
        <w:rPr>
          <w:rFonts w:cs="Arial"/>
        </w:rPr>
        <w:t>959</w:t>
      </w:r>
      <w:r w:rsidRPr="00B41D33">
        <w:rPr>
          <w:rFonts w:cs="Arial"/>
        </w:rPr>
        <w:t xml:space="preserve"> případů (98,</w:t>
      </w:r>
      <w:r w:rsidR="00B41D33" w:rsidRPr="00B41D33">
        <w:rPr>
          <w:rFonts w:cs="Arial"/>
        </w:rPr>
        <w:t>7</w:t>
      </w:r>
      <w:r w:rsidRPr="00B41D33">
        <w:rPr>
          <w:rFonts w:cs="Arial"/>
        </w:rPr>
        <w:t xml:space="preserve"> %) </w:t>
      </w:r>
      <w:r w:rsidRPr="00B41D33">
        <w:rPr>
          <w:rFonts w:cs="Arial"/>
          <w:b/>
        </w:rPr>
        <w:t>pracovních úrazů s pracovní neschopností delší než 3 kalendářní dny</w:t>
      </w:r>
      <w:r w:rsidRPr="00B41D33">
        <w:rPr>
          <w:rFonts w:cs="Arial"/>
        </w:rPr>
        <w:t xml:space="preserve"> (tedy těch, které podléhají povinnosti vyhotovit záznam o úrazu a zaslat jej OIP). Nadále se v této kapitole budeme věnovat této skupině pracovních úrazů.</w:t>
      </w:r>
    </w:p>
    <w:p w14:paraId="630FEFA8" w14:textId="72954A53" w:rsidR="004744DF" w:rsidRDefault="004223A0" w:rsidP="00766701">
      <w:pPr>
        <w:spacing w:after="120"/>
        <w:jc w:val="both"/>
      </w:pPr>
      <w:r w:rsidRPr="00B41D33">
        <w:rPr>
          <w:rFonts w:cs="Arial"/>
        </w:rPr>
        <w:t>V pracovní úrazovosti je dlouhodobě patrný rozdíl mezi pohlavími, muži zde výrazně dominují. Z celkového počtu pracovních úrazů připadal</w:t>
      </w:r>
      <w:r w:rsidR="00B41D33" w:rsidRPr="00B41D33">
        <w:rPr>
          <w:rFonts w:cs="Arial"/>
        </w:rPr>
        <w:t>y</w:t>
      </w:r>
      <w:r w:rsidRPr="00B41D33">
        <w:rPr>
          <w:rFonts w:cs="Arial"/>
        </w:rPr>
        <w:t xml:space="preserve"> v roce 201</w:t>
      </w:r>
      <w:r w:rsidR="00B41D33" w:rsidRPr="00B41D33">
        <w:rPr>
          <w:rFonts w:cs="Arial"/>
        </w:rPr>
        <w:t>9</w:t>
      </w:r>
      <w:r w:rsidRPr="00B41D33">
        <w:rPr>
          <w:rFonts w:cs="Arial"/>
        </w:rPr>
        <w:t xml:space="preserve"> na muže </w:t>
      </w:r>
      <w:r w:rsidR="00B41D33" w:rsidRPr="00B41D33">
        <w:rPr>
          <w:rFonts w:cs="Arial"/>
        </w:rPr>
        <w:t>dvě třetiny</w:t>
      </w:r>
      <w:r w:rsidR="00F33271" w:rsidRPr="00B41D33">
        <w:rPr>
          <w:rFonts w:cs="Arial"/>
        </w:rPr>
        <w:t xml:space="preserve"> (v roce 200</w:t>
      </w:r>
      <w:r w:rsidR="00B41D33" w:rsidRPr="00B41D33">
        <w:rPr>
          <w:rFonts w:cs="Arial"/>
        </w:rPr>
        <w:t>9</w:t>
      </w:r>
      <w:r w:rsidR="00F33271" w:rsidRPr="00B41D33">
        <w:rPr>
          <w:rFonts w:cs="Arial"/>
        </w:rPr>
        <w:t xml:space="preserve"> dokonce 7</w:t>
      </w:r>
      <w:r w:rsidR="00B41D33" w:rsidRPr="00B41D33">
        <w:rPr>
          <w:rFonts w:cs="Arial"/>
        </w:rPr>
        <w:t>1</w:t>
      </w:r>
      <w:r w:rsidR="00F33271" w:rsidRPr="00B41D33">
        <w:rPr>
          <w:rFonts w:cs="Arial"/>
        </w:rPr>
        <w:t>,</w:t>
      </w:r>
      <w:r w:rsidR="00B41D33" w:rsidRPr="00B41D33">
        <w:rPr>
          <w:rFonts w:cs="Arial"/>
        </w:rPr>
        <w:t>6</w:t>
      </w:r>
      <w:r w:rsidRPr="00B41D33">
        <w:rPr>
          <w:rFonts w:cs="Arial"/>
        </w:rPr>
        <w:t xml:space="preserve"> %) pracovních úrazů, což je </w:t>
      </w:r>
      <w:r w:rsidRPr="00171BD2">
        <w:rPr>
          <w:rFonts w:cs="Arial"/>
          <w:b/>
        </w:rPr>
        <w:t>dáno</w:t>
      </w:r>
      <w:r w:rsidRPr="00B41D33">
        <w:rPr>
          <w:rFonts w:cs="Arial"/>
        </w:rPr>
        <w:t xml:space="preserve"> </w:t>
      </w:r>
      <w:r w:rsidR="00B41D33" w:rsidRPr="00B41D33">
        <w:rPr>
          <w:rFonts w:cs="Arial"/>
        </w:rPr>
        <w:t>zejména</w:t>
      </w:r>
      <w:r w:rsidRPr="00B41D33">
        <w:rPr>
          <w:rFonts w:cs="Arial"/>
        </w:rPr>
        <w:t> </w:t>
      </w:r>
      <w:r w:rsidRPr="00171BD2">
        <w:rPr>
          <w:rFonts w:cs="Arial"/>
          <w:b/>
        </w:rPr>
        <w:t>odlišnou strukturou zaměstnanosti žen a mužů</w:t>
      </w:r>
      <w:r w:rsidRPr="00B41D33">
        <w:rPr>
          <w:rFonts w:cs="Arial"/>
        </w:rPr>
        <w:t xml:space="preserve">. </w:t>
      </w:r>
      <w:r w:rsidR="002E5F48">
        <w:rPr>
          <w:rFonts w:cs="Arial"/>
        </w:rPr>
        <w:t xml:space="preserve">V odvětvích rizikovějších na pracovní úrazy jako je např. Těžba a dobývání, Zpracovatelský průmysl, Stavebnictví, Doprava a skladování mezi zaměstnanci převládají muži. </w:t>
      </w:r>
      <w:r w:rsidRPr="00877861">
        <w:t xml:space="preserve">Ještě výraznější rozdíl </w:t>
      </w:r>
      <w:r w:rsidR="00171BD2">
        <w:t xml:space="preserve">hodnot </w:t>
      </w:r>
      <w:r w:rsidRPr="00877861">
        <w:t xml:space="preserve">mezi pohlavími </w:t>
      </w:r>
      <w:r w:rsidR="007915E6" w:rsidRPr="00877861">
        <w:t>lze vidět</w:t>
      </w:r>
      <w:r w:rsidRPr="00877861">
        <w:t xml:space="preserve"> u smrtelných pracovních úrazů.</w:t>
      </w:r>
      <w:r w:rsidR="00F33271" w:rsidRPr="00877861">
        <w:t xml:space="preserve"> V roce 201</w:t>
      </w:r>
      <w:r w:rsidR="00877861" w:rsidRPr="00877861">
        <w:t>9</w:t>
      </w:r>
      <w:r w:rsidR="00F33271" w:rsidRPr="00877861">
        <w:t xml:space="preserve"> se muži se podíleli na smrtelných úrazech z 9</w:t>
      </w:r>
      <w:r w:rsidR="00386434" w:rsidRPr="00877861">
        <w:t>5</w:t>
      </w:r>
      <w:r w:rsidR="00F33271" w:rsidRPr="00877861">
        <w:t xml:space="preserve"> %.</w:t>
      </w:r>
      <w:r w:rsidR="00386434" w:rsidRPr="00877861">
        <w:t xml:space="preserve"> Oproti </w:t>
      </w:r>
      <w:r w:rsidR="00F03E5C" w:rsidRPr="00877861">
        <w:t>předchozímu</w:t>
      </w:r>
      <w:r w:rsidR="00386434" w:rsidRPr="00877861">
        <w:t xml:space="preserve"> roku došlo k </w:t>
      </w:r>
      <w:r w:rsidR="00877861" w:rsidRPr="00877861">
        <w:t>poklesu</w:t>
      </w:r>
      <w:r w:rsidR="00386434" w:rsidRPr="00877861">
        <w:t xml:space="preserve"> </w:t>
      </w:r>
      <w:r w:rsidR="00F03E5C" w:rsidRPr="00877861">
        <w:t>smrtelných pracovních úrazů z</w:t>
      </w:r>
      <w:r w:rsidR="00877861" w:rsidRPr="00877861">
        <w:t>e</w:t>
      </w:r>
      <w:r w:rsidR="00F03E5C" w:rsidRPr="00877861">
        <w:t> </w:t>
      </w:r>
      <w:r w:rsidR="00877861" w:rsidRPr="00877861">
        <w:t xml:space="preserve">123 </w:t>
      </w:r>
      <w:r w:rsidR="00F03E5C" w:rsidRPr="00877861">
        <w:t xml:space="preserve">na </w:t>
      </w:r>
      <w:r w:rsidR="00877861" w:rsidRPr="00877861">
        <w:t>92</w:t>
      </w:r>
      <w:r w:rsidR="00F03E5C" w:rsidRPr="00877861">
        <w:t xml:space="preserve">, tj. o </w:t>
      </w:r>
      <w:r w:rsidR="00877861" w:rsidRPr="00877861">
        <w:t>25</w:t>
      </w:r>
      <w:r w:rsidR="00F03E5C" w:rsidRPr="00877861">
        <w:t xml:space="preserve"> %. </w:t>
      </w:r>
      <w:r w:rsidR="00877861" w:rsidRPr="00877861">
        <w:t>Muži zaznamenali 87 smrtelných pracovních úrazů, což je meziročně o 30 méně.</w:t>
      </w:r>
    </w:p>
    <w:p w14:paraId="596830F9" w14:textId="77777777" w:rsidR="004744DF" w:rsidRDefault="004744DF">
      <w:pPr>
        <w:spacing w:after="0" w:line="240" w:lineRule="auto"/>
      </w:pPr>
      <w:r>
        <w:br w:type="page"/>
      </w:r>
    </w:p>
    <w:p w14:paraId="10A96B56" w14:textId="30C83BDA" w:rsidR="00532BBD" w:rsidRPr="00532BBD" w:rsidRDefault="00532BBD" w:rsidP="00CA6C66">
      <w:pPr>
        <w:pStyle w:val="Titulek"/>
        <w:keepNext/>
        <w:spacing w:after="60"/>
        <w:rPr>
          <w:b/>
          <w:i w:val="0"/>
          <w:color w:val="auto"/>
          <w:sz w:val="20"/>
        </w:rPr>
      </w:pPr>
      <w:bookmarkStart w:id="22" w:name="_Toc10112630"/>
      <w:r w:rsidRPr="00532BBD">
        <w:rPr>
          <w:b/>
          <w:i w:val="0"/>
          <w:color w:val="auto"/>
          <w:sz w:val="20"/>
        </w:rPr>
        <w:lastRenderedPageBreak/>
        <w:t>Tab</w:t>
      </w:r>
      <w:r w:rsidR="00F03E5C">
        <w:rPr>
          <w:b/>
          <w:i w:val="0"/>
          <w:color w:val="auto"/>
          <w:sz w:val="20"/>
        </w:rPr>
        <w:t>.</w:t>
      </w:r>
      <w:r w:rsidRPr="00532BBD">
        <w:rPr>
          <w:b/>
          <w:i w:val="0"/>
          <w:color w:val="auto"/>
          <w:sz w:val="20"/>
        </w:rPr>
        <w:t xml:space="preserve"> 5.</w:t>
      </w:r>
      <w:r w:rsidR="00F547BE">
        <w:rPr>
          <w:b/>
          <w:i w:val="0"/>
          <w:color w:val="auto"/>
          <w:sz w:val="20"/>
        </w:rPr>
        <w:t>1</w:t>
      </w:r>
      <w:r w:rsidRPr="00532BBD">
        <w:rPr>
          <w:b/>
          <w:i w:val="0"/>
          <w:color w:val="auto"/>
          <w:sz w:val="20"/>
        </w:rPr>
        <w:t>: Pracovní úrazy podle pohlaví</w:t>
      </w:r>
      <w:r w:rsidR="00452182">
        <w:rPr>
          <w:b/>
          <w:i w:val="0"/>
          <w:color w:val="auto"/>
          <w:sz w:val="20"/>
        </w:rPr>
        <w:t xml:space="preserve">, </w:t>
      </w:r>
      <w:r w:rsidRPr="00532BBD">
        <w:rPr>
          <w:b/>
          <w:i w:val="0"/>
          <w:color w:val="auto"/>
          <w:sz w:val="20"/>
        </w:rPr>
        <w:t>200</w:t>
      </w:r>
      <w:r w:rsidR="00730070">
        <w:rPr>
          <w:b/>
          <w:i w:val="0"/>
          <w:color w:val="auto"/>
          <w:sz w:val="20"/>
        </w:rPr>
        <w:t>9</w:t>
      </w:r>
      <w:r w:rsidRPr="00532BBD">
        <w:rPr>
          <w:b/>
          <w:i w:val="0"/>
          <w:color w:val="auto"/>
          <w:sz w:val="20"/>
        </w:rPr>
        <w:t>–201</w:t>
      </w:r>
      <w:bookmarkEnd w:id="22"/>
      <w:r w:rsidR="00730070">
        <w:rPr>
          <w:b/>
          <w:i w:val="0"/>
          <w:color w:val="auto"/>
          <w:sz w:val="20"/>
        </w:rPr>
        <w:t>9</w:t>
      </w:r>
    </w:p>
    <w:tbl>
      <w:tblPr>
        <w:tblW w:w="960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09"/>
        <w:gridCol w:w="1092"/>
        <w:gridCol w:w="960"/>
        <w:gridCol w:w="960"/>
        <w:gridCol w:w="1092"/>
        <w:gridCol w:w="907"/>
        <w:gridCol w:w="908"/>
        <w:gridCol w:w="956"/>
        <w:gridCol w:w="908"/>
        <w:gridCol w:w="908"/>
      </w:tblGrid>
      <w:tr w:rsidR="002E5F48" w:rsidRPr="0041370D" w14:paraId="1462FB3B" w14:textId="77777777" w:rsidTr="00171BD2">
        <w:trPr>
          <w:trHeight w:val="300"/>
        </w:trPr>
        <w:tc>
          <w:tcPr>
            <w:tcW w:w="909" w:type="dxa"/>
            <w:vMerge w:val="restart"/>
            <w:tcBorders>
              <w:top w:val="single" w:sz="8" w:space="0" w:color="auto"/>
              <w:left w:val="nil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92DE98F" w14:textId="4681B2F4" w:rsidR="002E5F48" w:rsidRPr="0041370D" w:rsidRDefault="002E5F48" w:rsidP="002E5F4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Rok</w:t>
            </w:r>
          </w:p>
        </w:tc>
        <w:tc>
          <w:tcPr>
            <w:tcW w:w="1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165E691" w14:textId="42C680E5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Pracovní úrazy</w:t>
            </w:r>
            <w:r w:rsidRPr="0041370D">
              <w:rPr>
                <w:rFonts w:cs="Arial"/>
                <w:sz w:val="16"/>
                <w:szCs w:val="16"/>
              </w:rPr>
              <w:br/>
              <w:t>s pracovní neschopností</w:t>
            </w:r>
          </w:p>
        </w:tc>
        <w:tc>
          <w:tcPr>
            <w:tcW w:w="192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1D4B3DCB" w14:textId="302B2131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10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1B3253A" w14:textId="77777777" w:rsidR="002E5F48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Pracovní úrazy</w:t>
            </w:r>
            <w:r w:rsidRPr="0041370D">
              <w:rPr>
                <w:rFonts w:cs="Arial"/>
                <w:sz w:val="16"/>
                <w:szCs w:val="16"/>
              </w:rPr>
              <w:br/>
              <w:t xml:space="preserve">s pracovní neschopností </w:t>
            </w:r>
            <w:r w:rsidRPr="0041370D">
              <w:rPr>
                <w:rFonts w:cs="Arial"/>
                <w:sz w:val="16"/>
                <w:szCs w:val="16"/>
              </w:rPr>
              <w:br/>
              <w:t xml:space="preserve">delší než </w:t>
            </w:r>
          </w:p>
          <w:p w14:paraId="6A8E448C" w14:textId="592E565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 dny</w:t>
            </w:r>
          </w:p>
        </w:tc>
        <w:tc>
          <w:tcPr>
            <w:tcW w:w="181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EE8AAB7" w14:textId="75FB00C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  <w:tc>
          <w:tcPr>
            <w:tcW w:w="95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EEA11FC" w14:textId="07BAD486" w:rsidR="002E5F48" w:rsidRPr="0041370D" w:rsidRDefault="002E5F48" w:rsidP="002E5F48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Smrtelné </w:t>
            </w:r>
            <w:r>
              <w:rPr>
                <w:rFonts w:cs="Arial"/>
                <w:sz w:val="16"/>
                <w:szCs w:val="16"/>
              </w:rPr>
              <w:br/>
              <w:t>pracovní úrazy</w:t>
            </w:r>
          </w:p>
        </w:tc>
        <w:tc>
          <w:tcPr>
            <w:tcW w:w="1816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  <w:shd w:val="clear" w:color="000000" w:fill="F5DADD"/>
            <w:vAlign w:val="center"/>
            <w:hideMark/>
          </w:tcPr>
          <w:p w14:paraId="24C0D2C8" w14:textId="05DAD2E1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podle pohlaví</w:t>
            </w:r>
          </w:p>
        </w:tc>
      </w:tr>
      <w:tr w:rsidR="002E5F48" w:rsidRPr="0041370D" w14:paraId="789BDE22" w14:textId="77777777" w:rsidTr="00171BD2">
        <w:trPr>
          <w:trHeight w:val="315"/>
        </w:trPr>
        <w:tc>
          <w:tcPr>
            <w:tcW w:w="909" w:type="dxa"/>
            <w:vMerge/>
            <w:tcBorders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344CBF3B" w14:textId="6372CF25" w:rsidR="002E5F48" w:rsidRPr="0041370D" w:rsidRDefault="002E5F48" w:rsidP="0041370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092" w:type="dxa"/>
            <w:vMerge/>
            <w:tcBorders>
              <w:top w:val="single" w:sz="8" w:space="0" w:color="000000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7F510821" w14:textId="77777777" w:rsidR="002E5F48" w:rsidRPr="0041370D" w:rsidRDefault="002E5F48" w:rsidP="0041370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62B1E80D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9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5E20238C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109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1200901F" w14:textId="77777777" w:rsidR="002E5F48" w:rsidRPr="0041370D" w:rsidRDefault="002E5F48" w:rsidP="0041370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07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3AA5BC12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032CCAF8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ženy</w:t>
            </w:r>
          </w:p>
        </w:tc>
        <w:tc>
          <w:tcPr>
            <w:tcW w:w="95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14:paraId="68734A0F" w14:textId="77777777" w:rsidR="002E5F48" w:rsidRPr="0041370D" w:rsidRDefault="002E5F48" w:rsidP="0041370D">
            <w:pPr>
              <w:spacing w:after="0"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29ED039C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muži</w:t>
            </w:r>
          </w:p>
        </w:tc>
        <w:tc>
          <w:tcPr>
            <w:tcW w:w="90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vAlign w:val="center"/>
            <w:hideMark/>
          </w:tcPr>
          <w:p w14:paraId="04B04035" w14:textId="77777777" w:rsidR="002E5F48" w:rsidRPr="0041370D" w:rsidRDefault="002E5F48" w:rsidP="0041370D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ženy</w:t>
            </w:r>
          </w:p>
        </w:tc>
      </w:tr>
      <w:tr w:rsidR="0041370D" w:rsidRPr="0041370D" w14:paraId="59EE4C6D" w14:textId="77777777" w:rsidTr="00171BD2">
        <w:trPr>
          <w:trHeight w:val="300"/>
        </w:trPr>
        <w:tc>
          <w:tcPr>
            <w:tcW w:w="90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FAFB50C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2009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C16C5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50 173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67384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35 985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E6C56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14 188</w:t>
            </w:r>
          </w:p>
        </w:tc>
        <w:tc>
          <w:tcPr>
            <w:tcW w:w="1092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2EB5BC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48 568</w:t>
            </w:r>
          </w:p>
        </w:tc>
        <w:tc>
          <w:tcPr>
            <w:tcW w:w="907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EE089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34 763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9F8CFB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13 805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944B708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105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2E7FCD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97</w:t>
            </w:r>
          </w:p>
        </w:tc>
        <w:tc>
          <w:tcPr>
            <w:tcW w:w="908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E9C9C5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8</w:t>
            </w:r>
          </w:p>
        </w:tc>
      </w:tr>
      <w:tr w:rsidR="0041370D" w:rsidRPr="0041370D" w14:paraId="7576E8DA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5F6E4D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5CD8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51 678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9A30B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36 701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4CE98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14 977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A7A739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50 047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C724F9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35 460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E25A8B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14 587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DB86A87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DB8354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9EF86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9</w:t>
            </w:r>
          </w:p>
        </w:tc>
      </w:tr>
      <w:tr w:rsidR="0041370D" w:rsidRPr="0041370D" w14:paraId="758BE457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DCFF91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93D7F9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47 111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8D1459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33 619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F67C5C4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13 492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1AB91D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45 482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3C36E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32 354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012D33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13 128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3DF7F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5F8D6F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C1C414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8</w:t>
            </w:r>
          </w:p>
        </w:tc>
      </w:tr>
      <w:tr w:rsidR="0041370D" w:rsidRPr="0041370D" w14:paraId="1E186C83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2C3DCD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EFBC1B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44 108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42E691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31 455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09409F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12 653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A4E1E0A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43 543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E36E8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31 019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D14057D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12 524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35B15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6A2A32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2E1737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</w:t>
            </w:r>
          </w:p>
        </w:tc>
      </w:tr>
      <w:tr w:rsidR="0041370D" w:rsidRPr="0041370D" w14:paraId="0E6503E8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0798DD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80146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42 927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9B7D2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30 418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41CEA7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12 509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5B4CAA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42 355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98FE8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29 955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68988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12 400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AFF13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C6C9F1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106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3DE41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7</w:t>
            </w:r>
          </w:p>
        </w:tc>
      </w:tr>
      <w:tr w:rsidR="0041370D" w:rsidRPr="0041370D" w14:paraId="795B03A0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45386D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67C7DC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45 058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F6B04C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31 737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7A35FE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13 321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A2BBF8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44 301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11E28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31 188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82C08D2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13 113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5B2778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00615D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818F16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</w:t>
            </w:r>
          </w:p>
        </w:tc>
      </w:tr>
      <w:tr w:rsidR="0041370D" w:rsidRPr="0041370D" w14:paraId="1B29078E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3A7074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D01E9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46 331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3360BA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32 117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12846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14 214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76F470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45 621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04B3E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31 605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7789E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14 016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F13D1A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131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BC1E969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9242841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11</w:t>
            </w:r>
          </w:p>
        </w:tc>
      </w:tr>
      <w:tr w:rsidR="0041370D" w:rsidRPr="0041370D" w14:paraId="465AA70F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0138012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24EFD4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47 379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11882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32 592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EA249B2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14 787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F1E43D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46 713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CDE94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32 102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7C137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14 611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0312DE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104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F7C4A8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101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406475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</w:t>
            </w:r>
          </w:p>
        </w:tc>
      </w:tr>
      <w:tr w:rsidR="0041370D" w:rsidRPr="0041370D" w14:paraId="2426EF29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EC7BA0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384E4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47 491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1FA1F4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32 575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94F54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41370D">
              <w:rPr>
                <w:rFonts w:cs="Arial"/>
                <w:color w:val="000000"/>
                <w:sz w:val="16"/>
                <w:szCs w:val="16"/>
              </w:rPr>
              <w:t>14 916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921390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46 870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05377C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32 120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12E3E0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14 750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0F66CB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95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E74D12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91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845E6A" w14:textId="77777777" w:rsidR="0041370D" w:rsidRPr="0041370D" w:rsidRDefault="0041370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</w:t>
            </w:r>
          </w:p>
        </w:tc>
      </w:tr>
      <w:tr w:rsidR="0041370D" w:rsidRPr="0041370D" w14:paraId="0DA2A678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B1CBE5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2018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3E7B50F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46 223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19C203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31 340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634C476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14 883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618E67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45 666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6A0CD5A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30 947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F2B78E" w14:textId="77777777" w:rsidR="0041370D" w:rsidRPr="0041370D" w:rsidRDefault="0041370D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41370D">
              <w:rPr>
                <w:rFonts w:cs="Arial"/>
                <w:sz w:val="16"/>
                <w:szCs w:val="16"/>
              </w:rPr>
              <w:t>14 719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8B5D4" w14:textId="3862C638" w:rsidR="0041370D" w:rsidRPr="0041370D" w:rsidRDefault="00532BBD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123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E4476E" w14:textId="0038F35F" w:rsidR="0041370D" w:rsidRPr="0041370D" w:rsidRDefault="00F03E5C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117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51064" w14:textId="034C6905" w:rsidR="0041370D" w:rsidRPr="0041370D" w:rsidRDefault="00F03E5C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</w:t>
            </w:r>
          </w:p>
        </w:tc>
      </w:tr>
      <w:tr w:rsidR="00730070" w:rsidRPr="0041370D" w14:paraId="6DB237E1" w14:textId="77777777" w:rsidTr="00171BD2">
        <w:trPr>
          <w:trHeight w:val="300"/>
        </w:trPr>
        <w:tc>
          <w:tcPr>
            <w:tcW w:w="909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21D3815F" w14:textId="04AD1654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2019</w:t>
            </w:r>
          </w:p>
        </w:tc>
        <w:tc>
          <w:tcPr>
            <w:tcW w:w="1092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6DA2D" w14:textId="345A02FB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44 552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BCC0D2" w14:textId="7C3136CA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30 068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93E1547" w14:textId="070FDAE6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14 484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C3083B" w14:textId="01B9659C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43 959</w:t>
            </w: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1F8531" w14:textId="407BB7F6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29 663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</w:tcPr>
          <w:p w14:paraId="0A4586C4" w14:textId="654D2B3D" w:rsidR="00730070" w:rsidRPr="0041370D" w:rsidRDefault="00730070" w:rsidP="0073007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14 296</w:t>
            </w:r>
          </w:p>
        </w:tc>
        <w:tc>
          <w:tcPr>
            <w:tcW w:w="9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284FB824" w14:textId="17B78266" w:rsidR="00730070" w:rsidRPr="00777C02" w:rsidRDefault="00777C02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77C02">
              <w:rPr>
                <w:rFonts w:cs="Arial"/>
                <w:sz w:val="16"/>
                <w:szCs w:val="16"/>
              </w:rPr>
              <w:t>92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57F3A1" w14:textId="23FA2462" w:rsidR="00730070" w:rsidRPr="00777C02" w:rsidRDefault="00777C02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77C02">
              <w:rPr>
                <w:rFonts w:cs="Arial"/>
                <w:sz w:val="16"/>
                <w:szCs w:val="16"/>
              </w:rPr>
              <w:t>87</w:t>
            </w:r>
          </w:p>
        </w:tc>
        <w:tc>
          <w:tcPr>
            <w:tcW w:w="9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A23F4" w14:textId="52B76418" w:rsidR="00730070" w:rsidRPr="00777C02" w:rsidRDefault="00777C02" w:rsidP="00812420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777C02">
              <w:rPr>
                <w:rFonts w:cs="Arial"/>
                <w:sz w:val="16"/>
                <w:szCs w:val="16"/>
              </w:rPr>
              <w:t>5</w:t>
            </w:r>
          </w:p>
        </w:tc>
      </w:tr>
    </w:tbl>
    <w:p w14:paraId="4543F612" w14:textId="47EEA816" w:rsidR="00E712BD" w:rsidRPr="007B2E56" w:rsidRDefault="00532BBD" w:rsidP="00766701">
      <w:pPr>
        <w:spacing w:before="60" w:after="120"/>
        <w:rPr>
          <w:sz w:val="18"/>
          <w:szCs w:val="28"/>
        </w:rPr>
      </w:pPr>
      <w:r w:rsidRPr="007B2E56">
        <w:rPr>
          <w:sz w:val="18"/>
          <w:szCs w:val="28"/>
        </w:rPr>
        <w:t xml:space="preserve">Zdroj: </w:t>
      </w:r>
      <w:r w:rsidR="00776E3B" w:rsidRPr="007B2E56">
        <w:rPr>
          <w:sz w:val="18"/>
          <w:szCs w:val="28"/>
        </w:rPr>
        <w:t xml:space="preserve">ČSÚ, </w:t>
      </w:r>
      <w:r w:rsidRPr="007B2E56">
        <w:rPr>
          <w:sz w:val="18"/>
          <w:szCs w:val="28"/>
        </w:rPr>
        <w:t>SÚIP</w:t>
      </w:r>
    </w:p>
    <w:p w14:paraId="33C0757D" w14:textId="13B27D63" w:rsidR="00BD4955" w:rsidRPr="00502CF4" w:rsidRDefault="00BD4955" w:rsidP="008F1CE9">
      <w:pPr>
        <w:spacing w:after="120"/>
        <w:jc w:val="both"/>
      </w:pPr>
      <w:r w:rsidRPr="00502CF4">
        <w:t>Za posledních deset let došlo k celkovému poklesu počtu pracovních úrazů s DPN delší než 3 dny o 10 %, výraznější byl pokles u mužů (o 15 %) než u žen (o 4 %). Rozdíl dynamiky poklesu u obou pohlaví má na svědomí již zmíněná změna zastoupení mužů a žen na celkové pracovní úrazovosti v čase. Nutno podotknout, že počet pracovních úrazů ve sledovaném období se nesnižoval proporcionálně, pokles byl zastaven v roce 2013 a od roku 2014 dochází k mírnému meziročnímu nárůstu počtu pracovních úrazů, který v roce 2018 opět vystřídal pokles. Podobný vývojový trend má i relativní ukazatel počtu pracovních úrazů s DPN delší než 3</w:t>
      </w:r>
      <w:r w:rsidR="00812420">
        <w:t> </w:t>
      </w:r>
      <w:r w:rsidRPr="00502CF4">
        <w:t>dny na 100 000 nemocensky pojištěných osob (viz graf 5.1).</w:t>
      </w:r>
    </w:p>
    <w:p w14:paraId="62B35223" w14:textId="0C30342B" w:rsidR="00E712BD" w:rsidRPr="00E712BD" w:rsidRDefault="00E712BD" w:rsidP="00766701">
      <w:pPr>
        <w:pStyle w:val="Titulek"/>
        <w:keepNext/>
        <w:spacing w:after="60"/>
        <w:rPr>
          <w:b/>
          <w:i w:val="0"/>
          <w:color w:val="auto"/>
          <w:sz w:val="20"/>
        </w:rPr>
      </w:pPr>
      <w:r w:rsidRPr="00E712BD">
        <w:rPr>
          <w:b/>
          <w:i w:val="0"/>
          <w:color w:val="auto"/>
          <w:sz w:val="20"/>
        </w:rPr>
        <w:t>Graf</w:t>
      </w:r>
      <w:r w:rsidR="00E73306">
        <w:rPr>
          <w:b/>
          <w:i w:val="0"/>
          <w:color w:val="auto"/>
          <w:sz w:val="20"/>
        </w:rPr>
        <w:t xml:space="preserve"> 5</w:t>
      </w:r>
      <w:r w:rsidRPr="00E712BD">
        <w:rPr>
          <w:b/>
          <w:i w:val="0"/>
          <w:color w:val="auto"/>
          <w:sz w:val="20"/>
        </w:rPr>
        <w:t>.1: Pracovní úrazy s pracovní neschopností delší než 3 dny na 100 tis. pojištěnců</w:t>
      </w:r>
      <w:r w:rsidR="00452182">
        <w:rPr>
          <w:b/>
          <w:i w:val="0"/>
          <w:color w:val="auto"/>
          <w:sz w:val="20"/>
        </w:rPr>
        <w:t xml:space="preserve">, </w:t>
      </w:r>
      <w:r w:rsidRPr="00E712BD">
        <w:rPr>
          <w:b/>
          <w:i w:val="0"/>
          <w:color w:val="auto"/>
          <w:sz w:val="20"/>
        </w:rPr>
        <w:t>200</w:t>
      </w:r>
      <w:r w:rsidR="00A82471">
        <w:rPr>
          <w:b/>
          <w:i w:val="0"/>
          <w:color w:val="auto"/>
          <w:sz w:val="20"/>
        </w:rPr>
        <w:t>9</w:t>
      </w:r>
      <w:r w:rsidRPr="00E712BD">
        <w:rPr>
          <w:b/>
          <w:i w:val="0"/>
          <w:color w:val="auto"/>
          <w:sz w:val="20"/>
        </w:rPr>
        <w:t>–201</w:t>
      </w:r>
      <w:r w:rsidR="00A82471">
        <w:rPr>
          <w:b/>
          <w:i w:val="0"/>
          <w:color w:val="auto"/>
          <w:sz w:val="20"/>
        </w:rPr>
        <w:t>9</w:t>
      </w:r>
    </w:p>
    <w:p w14:paraId="35EBF041" w14:textId="6BD5B5AB" w:rsidR="00E712BD" w:rsidRPr="00BD4955" w:rsidRDefault="00A82471" w:rsidP="00766701">
      <w:pPr>
        <w:spacing w:before="120" w:after="120"/>
        <w:rPr>
          <w:sz w:val="16"/>
        </w:rPr>
      </w:pPr>
      <w:r>
        <w:rPr>
          <w:noProof/>
        </w:rPr>
        <w:drawing>
          <wp:inline distT="0" distB="0" distL="0" distR="0" wp14:anchorId="134080D2" wp14:editId="259A5BA2">
            <wp:extent cx="6103620" cy="2743200"/>
            <wp:effectExtent l="0" t="0" r="11430" b="0"/>
            <wp:docPr id="7" name="Graf 7">
              <a:extLst xmlns:a="http://schemas.openxmlformats.org/drawingml/2006/main">
                <a:ext uri="{FF2B5EF4-FFF2-40B4-BE49-F238E27FC236}">
                  <a16:creationId xmlns:a16="http://schemas.microsoft.com/office/drawing/2014/main" id="{EAD8D332-0C47-4FB7-8621-FF80B46C8D5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  <w:r w:rsidR="00E712BD" w:rsidRPr="007B2E56">
        <w:rPr>
          <w:sz w:val="18"/>
          <w:szCs w:val="28"/>
        </w:rPr>
        <w:t>Zdroj: ČSÚ</w:t>
      </w:r>
    </w:p>
    <w:p w14:paraId="7F24B3D5" w14:textId="18ACCCAC" w:rsidR="0025379B" w:rsidRPr="00930322" w:rsidRDefault="0025379B" w:rsidP="008F1CE9">
      <w:pPr>
        <w:spacing w:after="120"/>
        <w:jc w:val="both"/>
        <w:rPr>
          <w:spacing w:val="-2"/>
        </w:rPr>
      </w:pPr>
      <w:r w:rsidRPr="00930322">
        <w:rPr>
          <w:spacing w:val="-2"/>
        </w:rPr>
        <w:t xml:space="preserve">V absolutním vyjádření </w:t>
      </w:r>
      <w:r w:rsidRPr="00930322">
        <w:rPr>
          <w:b/>
          <w:spacing w:val="-2"/>
        </w:rPr>
        <w:t>nejvíce pracovních úrazů</w:t>
      </w:r>
      <w:r w:rsidRPr="00930322">
        <w:rPr>
          <w:spacing w:val="-2"/>
        </w:rPr>
        <w:t xml:space="preserve"> s DPN delší než 3 dny se v roce 201</w:t>
      </w:r>
      <w:r w:rsidR="00181862" w:rsidRPr="00930322">
        <w:rPr>
          <w:spacing w:val="-2"/>
        </w:rPr>
        <w:t>9</w:t>
      </w:r>
      <w:r w:rsidRPr="00930322">
        <w:rPr>
          <w:spacing w:val="-2"/>
        </w:rPr>
        <w:t xml:space="preserve"> událo </w:t>
      </w:r>
      <w:r w:rsidRPr="00930322">
        <w:rPr>
          <w:b/>
          <w:spacing w:val="-2"/>
        </w:rPr>
        <w:t>ve</w:t>
      </w:r>
      <w:r w:rsidR="008A15C0" w:rsidRPr="00930322">
        <w:rPr>
          <w:b/>
          <w:spacing w:val="-2"/>
        </w:rPr>
        <w:t> </w:t>
      </w:r>
      <w:r w:rsidRPr="00930322">
        <w:rPr>
          <w:b/>
          <w:spacing w:val="-2"/>
        </w:rPr>
        <w:t>Zpracovatelském průmyslu</w:t>
      </w:r>
      <w:r w:rsidRPr="00930322">
        <w:rPr>
          <w:spacing w:val="-2"/>
        </w:rPr>
        <w:t xml:space="preserve"> (1</w:t>
      </w:r>
      <w:r w:rsidR="00502CF4" w:rsidRPr="00930322">
        <w:rPr>
          <w:spacing w:val="-2"/>
        </w:rPr>
        <w:t>8 044</w:t>
      </w:r>
      <w:r w:rsidRPr="00930322">
        <w:rPr>
          <w:spacing w:val="-2"/>
        </w:rPr>
        <w:t xml:space="preserve"> případů), následují odvětví Velkoobchod a maloobchod, opravy a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údržba motorových vozidel (5 </w:t>
      </w:r>
      <w:r w:rsidR="005E2102" w:rsidRPr="00930322">
        <w:rPr>
          <w:spacing w:val="-2"/>
        </w:rPr>
        <w:t>2</w:t>
      </w:r>
      <w:r w:rsidR="00502CF4" w:rsidRPr="00930322">
        <w:rPr>
          <w:spacing w:val="-2"/>
        </w:rPr>
        <w:t>45</w:t>
      </w:r>
      <w:r w:rsidRPr="00930322">
        <w:rPr>
          <w:spacing w:val="-2"/>
        </w:rPr>
        <w:t xml:space="preserve"> případů) a Doprava a skladování (4 </w:t>
      </w:r>
      <w:r w:rsidR="00502CF4" w:rsidRPr="00930322">
        <w:rPr>
          <w:spacing w:val="-2"/>
        </w:rPr>
        <w:t>427</w:t>
      </w:r>
      <w:r w:rsidRPr="00930322">
        <w:rPr>
          <w:spacing w:val="-2"/>
        </w:rPr>
        <w:t xml:space="preserve"> případ</w:t>
      </w:r>
      <w:r w:rsidR="00502CF4" w:rsidRPr="00930322">
        <w:rPr>
          <w:spacing w:val="-2"/>
        </w:rPr>
        <w:t>ů</w:t>
      </w:r>
      <w:r w:rsidRPr="00930322">
        <w:rPr>
          <w:spacing w:val="-2"/>
        </w:rPr>
        <w:t xml:space="preserve">). Pokud však zohledníme zaměstnanost v jednotlivých odvětvích a použijeme </w:t>
      </w:r>
      <w:r w:rsidRPr="00930322">
        <w:rPr>
          <w:b/>
          <w:spacing w:val="-2"/>
        </w:rPr>
        <w:t>relativní ukazatel</w:t>
      </w:r>
      <w:r w:rsidRPr="00930322">
        <w:rPr>
          <w:spacing w:val="-2"/>
        </w:rPr>
        <w:t xml:space="preserve"> </w:t>
      </w:r>
      <w:r w:rsidR="005E2102" w:rsidRPr="00930322">
        <w:rPr>
          <w:spacing w:val="-2"/>
        </w:rPr>
        <w:t>vz</w:t>
      </w:r>
      <w:r w:rsidRPr="00930322">
        <w:rPr>
          <w:spacing w:val="-2"/>
        </w:rPr>
        <w:t>tažený na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100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tis.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 xml:space="preserve">pojištěnců, </w:t>
      </w:r>
      <w:r w:rsidRPr="00930322">
        <w:rPr>
          <w:b/>
          <w:spacing w:val="-2"/>
        </w:rPr>
        <w:t xml:space="preserve">nejrizikovějším </w:t>
      </w:r>
      <w:r w:rsidRPr="00930322">
        <w:rPr>
          <w:spacing w:val="-2"/>
        </w:rPr>
        <w:t xml:space="preserve">odvětvím je </w:t>
      </w:r>
      <w:r w:rsidRPr="00930322">
        <w:rPr>
          <w:b/>
          <w:spacing w:val="-2"/>
        </w:rPr>
        <w:t>Zemědělství, lesnictví a rybářství</w:t>
      </w:r>
      <w:r w:rsidRPr="00930322">
        <w:rPr>
          <w:spacing w:val="-2"/>
        </w:rPr>
        <w:t xml:space="preserve"> (2 </w:t>
      </w:r>
      <w:r w:rsidR="00502CF4" w:rsidRPr="00930322">
        <w:rPr>
          <w:spacing w:val="-2"/>
        </w:rPr>
        <w:t>239</w:t>
      </w:r>
      <w:r w:rsidRPr="00930322">
        <w:rPr>
          <w:spacing w:val="-2"/>
        </w:rPr>
        <w:t xml:space="preserve"> pracovních úrazů na 100 tis. pojištěnců), dále odvětví Zásobování vodou, činnosti související s odpadními vodami, odpady a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sanacemi (1 </w:t>
      </w:r>
      <w:r w:rsidR="00502CF4" w:rsidRPr="00930322">
        <w:rPr>
          <w:spacing w:val="-2"/>
        </w:rPr>
        <w:t>815</w:t>
      </w:r>
      <w:r w:rsidRPr="00930322">
        <w:rPr>
          <w:spacing w:val="-2"/>
        </w:rPr>
        <w:t xml:space="preserve">), </w:t>
      </w:r>
      <w:r w:rsidR="005E2102" w:rsidRPr="00930322">
        <w:rPr>
          <w:spacing w:val="-2"/>
        </w:rPr>
        <w:t>Těžba a</w:t>
      </w:r>
      <w:r w:rsidR="00930322">
        <w:rPr>
          <w:spacing w:val="-2"/>
        </w:rPr>
        <w:t> </w:t>
      </w:r>
      <w:r w:rsidR="005E2102" w:rsidRPr="00930322">
        <w:rPr>
          <w:spacing w:val="-2"/>
        </w:rPr>
        <w:t xml:space="preserve">dobývání (1 </w:t>
      </w:r>
      <w:r w:rsidR="00502CF4" w:rsidRPr="00930322">
        <w:rPr>
          <w:spacing w:val="-2"/>
        </w:rPr>
        <w:t>589</w:t>
      </w:r>
      <w:r w:rsidR="005E2102" w:rsidRPr="00930322">
        <w:rPr>
          <w:spacing w:val="-2"/>
        </w:rPr>
        <w:t xml:space="preserve">), </w:t>
      </w:r>
      <w:r w:rsidR="00502CF4" w:rsidRPr="00930322">
        <w:rPr>
          <w:spacing w:val="-2"/>
        </w:rPr>
        <w:t>Doprava a skladování (1 472) a t</w:t>
      </w:r>
      <w:r w:rsidRPr="00930322">
        <w:rPr>
          <w:spacing w:val="-2"/>
        </w:rPr>
        <w:t>eprve poté následuje Zpracovatelský průmysl (1</w:t>
      </w:r>
      <w:r w:rsidR="00502CF4" w:rsidRPr="00930322">
        <w:rPr>
          <w:spacing w:val="-2"/>
        </w:rPr>
        <w:t xml:space="preserve"> 463). </w:t>
      </w:r>
      <w:r w:rsidR="00502CF4" w:rsidRPr="00930322">
        <w:rPr>
          <w:spacing w:val="-2"/>
        </w:rPr>
        <w:lastRenderedPageBreak/>
        <w:t xml:space="preserve">Průměrně na 100 tisíc pojištěnců připadalo 929 pracovních úrazů s pracovní neschopností delší než 3 dny. </w:t>
      </w:r>
      <w:r w:rsidRPr="00930322">
        <w:rPr>
          <w:spacing w:val="-2"/>
        </w:rPr>
        <w:t>Nejméně rizikovým</w:t>
      </w:r>
      <w:r w:rsidR="00502CF4" w:rsidRPr="00930322">
        <w:rPr>
          <w:spacing w:val="-2"/>
        </w:rPr>
        <w:t>i</w:t>
      </w:r>
      <w:r w:rsidRPr="00930322">
        <w:rPr>
          <w:spacing w:val="-2"/>
        </w:rPr>
        <w:t xml:space="preserve"> se jeví odvětví Informační a</w:t>
      </w:r>
      <w:r w:rsidR="008A15C0" w:rsidRPr="00930322">
        <w:rPr>
          <w:spacing w:val="-2"/>
        </w:rPr>
        <w:t> </w:t>
      </w:r>
      <w:r w:rsidRPr="00930322">
        <w:rPr>
          <w:spacing w:val="-2"/>
        </w:rPr>
        <w:t>komunikační činnosti s 9</w:t>
      </w:r>
      <w:r w:rsidR="00502CF4" w:rsidRPr="00930322">
        <w:rPr>
          <w:spacing w:val="-2"/>
        </w:rPr>
        <w:t>1</w:t>
      </w:r>
      <w:r w:rsidRPr="00930322">
        <w:rPr>
          <w:spacing w:val="-2"/>
        </w:rPr>
        <w:t xml:space="preserve"> pracovními úrazy a Peněžnictví a</w:t>
      </w:r>
      <w:r w:rsidR="00812420" w:rsidRPr="00930322">
        <w:rPr>
          <w:spacing w:val="-2"/>
        </w:rPr>
        <w:t> </w:t>
      </w:r>
      <w:r w:rsidR="00171BD2" w:rsidRPr="00930322">
        <w:rPr>
          <w:spacing w:val="-2"/>
        </w:rPr>
        <w:t>pojišťovnictví s</w:t>
      </w:r>
      <w:r w:rsidRPr="00930322">
        <w:rPr>
          <w:spacing w:val="-2"/>
        </w:rPr>
        <w:t xml:space="preserve"> </w:t>
      </w:r>
      <w:r w:rsidR="00502CF4" w:rsidRPr="00930322">
        <w:rPr>
          <w:spacing w:val="-2"/>
        </w:rPr>
        <w:t>99</w:t>
      </w:r>
      <w:r w:rsidRPr="00930322">
        <w:rPr>
          <w:spacing w:val="-2"/>
        </w:rPr>
        <w:t xml:space="preserve"> pracovními úrazy</w:t>
      </w:r>
      <w:r w:rsidR="004F4000" w:rsidRPr="00930322">
        <w:rPr>
          <w:spacing w:val="-2"/>
        </w:rPr>
        <w:t>, které si vyžádaly 3denní a delší pracovní neschopnost</w:t>
      </w:r>
      <w:r w:rsidR="00F03E5C" w:rsidRPr="00930322">
        <w:rPr>
          <w:spacing w:val="-2"/>
        </w:rPr>
        <w:t xml:space="preserve"> v přepočtu na 100</w:t>
      </w:r>
      <w:r w:rsidR="004F4000">
        <w:rPr>
          <w:spacing w:val="-2"/>
        </w:rPr>
        <w:t> </w:t>
      </w:r>
      <w:r w:rsidR="00F03E5C" w:rsidRPr="00930322">
        <w:rPr>
          <w:spacing w:val="-2"/>
        </w:rPr>
        <w:t>tis. pojištěnců</w:t>
      </w:r>
      <w:r w:rsidRPr="00930322">
        <w:rPr>
          <w:spacing w:val="-2"/>
        </w:rPr>
        <w:t>.</w:t>
      </w:r>
    </w:p>
    <w:p w14:paraId="7F3FD44E" w14:textId="4AFCA2C7" w:rsidR="0025379B" w:rsidRPr="0025379B" w:rsidRDefault="0025379B" w:rsidP="008F1CE9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25379B">
        <w:rPr>
          <w:b/>
          <w:i w:val="0"/>
          <w:color w:val="auto"/>
          <w:sz w:val="20"/>
        </w:rPr>
        <w:t xml:space="preserve">Graf 5.2: Pracovní úrazy s pracovní neschopností delší než 3 dny na 100 tis. pojištěnců </w:t>
      </w:r>
      <w:r w:rsidR="00C95F74">
        <w:rPr>
          <w:b/>
          <w:i w:val="0"/>
          <w:color w:val="auto"/>
          <w:sz w:val="20"/>
        </w:rPr>
        <w:t>po</w:t>
      </w:r>
      <w:r w:rsidRPr="0025379B">
        <w:rPr>
          <w:b/>
          <w:i w:val="0"/>
          <w:color w:val="auto"/>
          <w:sz w:val="20"/>
        </w:rPr>
        <w:t xml:space="preserve">dle odvětví </w:t>
      </w:r>
      <w:r w:rsidR="00777C02">
        <w:rPr>
          <w:b/>
          <w:i w:val="0"/>
          <w:color w:val="auto"/>
          <w:sz w:val="20"/>
        </w:rPr>
        <w:t>(sekc</w:t>
      </w:r>
      <w:r w:rsidR="008F1CE9">
        <w:rPr>
          <w:b/>
          <w:i w:val="0"/>
          <w:color w:val="auto"/>
          <w:sz w:val="20"/>
        </w:rPr>
        <w:t>e</w:t>
      </w:r>
      <w:r w:rsidR="00777C02">
        <w:rPr>
          <w:b/>
          <w:i w:val="0"/>
          <w:color w:val="auto"/>
          <w:sz w:val="20"/>
        </w:rPr>
        <w:t xml:space="preserve"> CZ-NACE)</w:t>
      </w:r>
      <w:r w:rsidR="00452182">
        <w:rPr>
          <w:b/>
          <w:i w:val="0"/>
          <w:color w:val="auto"/>
          <w:sz w:val="20"/>
        </w:rPr>
        <w:t xml:space="preserve">, </w:t>
      </w:r>
      <w:r w:rsidRPr="0025379B">
        <w:rPr>
          <w:b/>
          <w:i w:val="0"/>
          <w:color w:val="auto"/>
          <w:sz w:val="20"/>
        </w:rPr>
        <w:t>201</w:t>
      </w:r>
      <w:r w:rsidR="00A82471">
        <w:rPr>
          <w:b/>
          <w:i w:val="0"/>
          <w:color w:val="auto"/>
          <w:sz w:val="20"/>
        </w:rPr>
        <w:t>9</w:t>
      </w:r>
    </w:p>
    <w:p w14:paraId="5EFE3865" w14:textId="33559228" w:rsidR="0025379B" w:rsidRPr="00BD4955" w:rsidRDefault="00A82471" w:rsidP="008F1CE9">
      <w:pPr>
        <w:spacing w:after="120"/>
        <w:jc w:val="both"/>
      </w:pPr>
      <w:r>
        <w:rPr>
          <w:noProof/>
        </w:rPr>
        <w:drawing>
          <wp:inline distT="0" distB="0" distL="0" distR="0" wp14:anchorId="0012FBE7" wp14:editId="455BE9DB">
            <wp:extent cx="6120765" cy="3482340"/>
            <wp:effectExtent l="0" t="0" r="13335" b="3810"/>
            <wp:docPr id="21" name="Graf 21">
              <a:extLst xmlns:a="http://schemas.openxmlformats.org/drawingml/2006/main">
                <a:ext uri="{FF2B5EF4-FFF2-40B4-BE49-F238E27FC236}">
                  <a16:creationId xmlns:a16="http://schemas.microsoft.com/office/drawing/2014/main" id="{0D5A81FB-E48B-4A4E-9240-6E1C33131698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  <w:r w:rsidR="0025379B" w:rsidRPr="007B2E56">
        <w:rPr>
          <w:sz w:val="18"/>
          <w:szCs w:val="28"/>
        </w:rPr>
        <w:t>Zdroj: ČSÚ</w:t>
      </w:r>
    </w:p>
    <w:p w14:paraId="74BD30BB" w14:textId="05A55A2E" w:rsidR="007B2E56" w:rsidRPr="007B2E56" w:rsidRDefault="007B2E56" w:rsidP="008F1CE9">
      <w:pPr>
        <w:spacing w:after="120"/>
        <w:jc w:val="both"/>
        <w:rPr>
          <w:sz w:val="18"/>
          <w:szCs w:val="28"/>
        </w:rPr>
      </w:pPr>
      <w:r w:rsidRPr="004B7D7E">
        <w:rPr>
          <w:rFonts w:cs="Arial"/>
        </w:rPr>
        <w:t xml:space="preserve">Z pohledu </w:t>
      </w:r>
      <w:r w:rsidRPr="00171BD2">
        <w:rPr>
          <w:rFonts w:cs="Arial"/>
          <w:b/>
        </w:rPr>
        <w:t>územního členění</w:t>
      </w:r>
      <w:r w:rsidRPr="004B7D7E">
        <w:rPr>
          <w:rFonts w:cs="Arial"/>
        </w:rPr>
        <w:t xml:space="preserve"> bylo v roce 2019 nejvíce případů pracovních úrazů s pracovní neschopností delší než 3 kalendářní dny na 100 tis. nemocensky pojištěných osob hlášeno v kraji Vysočina (1 414), Jihočeském (1 387) a Plzeňském kraji (1 299). Následují Ústecký kraj s 1 220 případy a Královéhradecký kraj s 1</w:t>
      </w:r>
      <w:r w:rsidR="00812420">
        <w:rPr>
          <w:rFonts w:cs="Arial"/>
        </w:rPr>
        <w:t> </w:t>
      </w:r>
      <w:r w:rsidRPr="004B7D7E">
        <w:rPr>
          <w:rFonts w:cs="Arial"/>
        </w:rPr>
        <w:t>215</w:t>
      </w:r>
      <w:r w:rsidR="00812420">
        <w:rPr>
          <w:rFonts w:cs="Arial"/>
        </w:rPr>
        <w:t> </w:t>
      </w:r>
      <w:r w:rsidRPr="004B7D7E">
        <w:rPr>
          <w:rFonts w:cs="Arial"/>
        </w:rPr>
        <w:t xml:space="preserve">případy na 100 tis. pojištěnců. Nejméně </w:t>
      </w:r>
      <w:r w:rsidR="00171BD2">
        <w:rPr>
          <w:rFonts w:cs="Arial"/>
        </w:rPr>
        <w:t>neschopností</w:t>
      </w:r>
      <w:r w:rsidRPr="004B7D7E">
        <w:rPr>
          <w:rFonts w:cs="Arial"/>
        </w:rPr>
        <w:t xml:space="preserve"> pak bylo hlášeno v Hlavním městě Praze (544), tedy více než 2,5krát méně než na Vysočině. </w:t>
      </w:r>
      <w:r w:rsidRPr="00CD713C">
        <w:rPr>
          <w:rFonts w:cs="Arial"/>
        </w:rPr>
        <w:t>Klíčovým faktorem ovlivňující</w:t>
      </w:r>
      <w:r>
        <w:rPr>
          <w:rFonts w:cs="Arial"/>
        </w:rPr>
        <w:t>m</w:t>
      </w:r>
      <w:r w:rsidRPr="00CD713C">
        <w:rPr>
          <w:rFonts w:cs="Arial"/>
        </w:rPr>
        <w:t xml:space="preserve"> tuto skutečnost je </w:t>
      </w:r>
      <w:r w:rsidRPr="00171BD2">
        <w:rPr>
          <w:rFonts w:cs="Arial"/>
          <w:b/>
        </w:rPr>
        <w:t>odvětvová struktura</w:t>
      </w:r>
      <w:r w:rsidRPr="00CD713C">
        <w:rPr>
          <w:rFonts w:cs="Arial"/>
        </w:rPr>
        <w:t xml:space="preserve"> v jednotlivých krajích. Zatímco v Praze je vysoký podíl zaměstnaných pracujících ve službách, </w:t>
      </w:r>
      <w:r>
        <w:rPr>
          <w:rFonts w:cs="Arial"/>
        </w:rPr>
        <w:t xml:space="preserve">nejen </w:t>
      </w:r>
      <w:r w:rsidRPr="00CD713C">
        <w:rPr>
          <w:rFonts w:cs="Arial"/>
        </w:rPr>
        <w:t>na Vysočině</w:t>
      </w:r>
      <w:r>
        <w:rPr>
          <w:rFonts w:cs="Arial"/>
        </w:rPr>
        <w:t>, ale i ve zbylých krajích</w:t>
      </w:r>
      <w:r w:rsidRPr="00CD713C">
        <w:rPr>
          <w:rFonts w:cs="Arial"/>
        </w:rPr>
        <w:t xml:space="preserve"> je tento podíl výrazně nižší. Pod hranicí republikového průměru (929</w:t>
      </w:r>
      <w:r w:rsidR="00930322">
        <w:rPr>
          <w:rFonts w:cs="Arial"/>
        </w:rPr>
        <w:t> </w:t>
      </w:r>
      <w:r w:rsidRPr="00CD713C">
        <w:rPr>
          <w:rFonts w:cs="Arial"/>
        </w:rPr>
        <w:t xml:space="preserve">úrazů na 100 tis. nemocensky pojištěných osob) se nachází </w:t>
      </w:r>
      <w:r>
        <w:rPr>
          <w:rFonts w:cs="Arial"/>
        </w:rPr>
        <w:t xml:space="preserve">kraje s největšími českými městy. Kromě již zmiňované Prahy také </w:t>
      </w:r>
      <w:r w:rsidRPr="00CD713C">
        <w:rPr>
          <w:rFonts w:cs="Arial"/>
        </w:rPr>
        <w:t>Moravskoslezský (922 úrazů) a Jihomoravský kraj (846 úrazů)</w:t>
      </w:r>
      <w:r>
        <w:rPr>
          <w:rFonts w:cs="Arial"/>
        </w:rPr>
        <w:t>.</w:t>
      </w:r>
      <w:r w:rsidR="00CA1542">
        <w:rPr>
          <w:rFonts w:cs="Arial"/>
        </w:rPr>
        <w:t xml:space="preserve"> </w:t>
      </w:r>
      <w:r w:rsidR="00120F19">
        <w:rPr>
          <w:rFonts w:cs="Arial"/>
        </w:rPr>
        <w:t>V</w:t>
      </w:r>
      <w:r w:rsidR="00CA1542">
        <w:rPr>
          <w:rFonts w:cs="Arial"/>
        </w:rPr>
        <w:t xml:space="preserve">e dvou krajích, které vykazovaly nejvyšší počet pracovních úrazů, je z celé republiky nejvyšší podíl pojištěnců v sekci Zemědělství, lesnictví, rybářství, které je </w:t>
      </w:r>
      <w:r w:rsidR="00120F19">
        <w:rPr>
          <w:rFonts w:cs="Arial"/>
        </w:rPr>
        <w:t xml:space="preserve">z hlediska úrazovosti </w:t>
      </w:r>
      <w:r w:rsidR="00CA1542">
        <w:rPr>
          <w:rFonts w:cs="Arial"/>
        </w:rPr>
        <w:t xml:space="preserve">nejrizikovější. Na Vysočině </w:t>
      </w:r>
      <w:r w:rsidR="00120F19">
        <w:rPr>
          <w:rFonts w:cs="Arial"/>
        </w:rPr>
        <w:t>představoval</w:t>
      </w:r>
      <w:r w:rsidR="00CA1542">
        <w:rPr>
          <w:rFonts w:cs="Arial"/>
        </w:rPr>
        <w:t xml:space="preserve"> podíl pojištěnců v </w:t>
      </w:r>
      <w:r w:rsidR="00530299">
        <w:rPr>
          <w:rFonts w:cs="Arial"/>
        </w:rPr>
        <w:t>tomto</w:t>
      </w:r>
      <w:r w:rsidR="00CA1542">
        <w:rPr>
          <w:rFonts w:cs="Arial"/>
        </w:rPr>
        <w:t xml:space="preserve"> odvětví 6 %, v Jihočeském kraji 5 %. Celorepublikový průměr přitom </w:t>
      </w:r>
      <w:r w:rsidR="00120F19">
        <w:rPr>
          <w:rFonts w:cs="Arial"/>
        </w:rPr>
        <w:t>činil</w:t>
      </w:r>
      <w:r w:rsidR="00CA1542">
        <w:rPr>
          <w:rFonts w:cs="Arial"/>
        </w:rPr>
        <w:t xml:space="preserve"> 2 %.</w:t>
      </w:r>
    </w:p>
    <w:p w14:paraId="19037AC9" w14:textId="33590C3B" w:rsidR="007B2E56" w:rsidRPr="00CD713C" w:rsidRDefault="007B2E56" w:rsidP="008F1CE9">
      <w:pPr>
        <w:spacing w:after="120"/>
        <w:jc w:val="both"/>
        <w:rPr>
          <w:rFonts w:cs="Arial"/>
        </w:rPr>
      </w:pPr>
      <w:r w:rsidRPr="00CD713C">
        <w:rPr>
          <w:rFonts w:cs="Arial"/>
        </w:rPr>
        <w:t xml:space="preserve">Rozdíly výskytu pracovních úrazů podle územního členění jsou </w:t>
      </w:r>
      <w:r>
        <w:rPr>
          <w:rFonts w:cs="Arial"/>
        </w:rPr>
        <w:t xml:space="preserve">tedy </w:t>
      </w:r>
      <w:r w:rsidRPr="00CD713C">
        <w:rPr>
          <w:rFonts w:cs="Arial"/>
        </w:rPr>
        <w:t>do značné míry ovlivněny strukturou zaměstnanosti, charakterem převažující ekonomické činnosti a mírou nezaměstnanosti v daném regionu. Je nutné připomenout i metodiku zpracování dat, kdy rozdělení do</w:t>
      </w:r>
      <w:r w:rsidRPr="00CD713C">
        <w:rPr>
          <w:rFonts w:cs="Arial"/>
          <w:szCs w:val="20"/>
        </w:rPr>
        <w:t xml:space="preserve"> krajů vychází z údaje o sídle út</w:t>
      </w:r>
      <w:r w:rsidR="004F4000">
        <w:rPr>
          <w:rFonts w:cs="Arial"/>
          <w:szCs w:val="20"/>
        </w:rPr>
        <w:t xml:space="preserve">varu, který vede evidenci mezd </w:t>
      </w:r>
      <w:r w:rsidRPr="00CD713C">
        <w:rPr>
          <w:rFonts w:cs="Arial"/>
          <w:szCs w:val="20"/>
        </w:rPr>
        <w:t>zaměstnavatele osoby</w:t>
      </w:r>
      <w:r>
        <w:rPr>
          <w:rFonts w:cs="Arial"/>
          <w:szCs w:val="20"/>
        </w:rPr>
        <w:t xml:space="preserve"> </w:t>
      </w:r>
      <w:r w:rsidRPr="00CD713C">
        <w:rPr>
          <w:rFonts w:cs="Arial"/>
          <w:szCs w:val="20"/>
        </w:rPr>
        <w:t>v pracovní neschopnosti pro pracovní úraz.</w:t>
      </w:r>
    </w:p>
    <w:p w14:paraId="18C8C782" w14:textId="2B4A3B4D" w:rsidR="00D61CD9" w:rsidRPr="00D61CD9" w:rsidRDefault="00D61CD9" w:rsidP="00766701">
      <w:pPr>
        <w:pStyle w:val="Titulek"/>
        <w:keepNext/>
        <w:spacing w:after="60"/>
        <w:rPr>
          <w:b/>
          <w:i w:val="0"/>
          <w:color w:val="auto"/>
          <w:sz w:val="20"/>
        </w:rPr>
      </w:pPr>
      <w:r w:rsidRPr="00D61CD9">
        <w:rPr>
          <w:b/>
          <w:i w:val="0"/>
          <w:color w:val="auto"/>
          <w:sz w:val="20"/>
        </w:rPr>
        <w:lastRenderedPageBreak/>
        <w:t xml:space="preserve">Graf </w:t>
      </w:r>
      <w:r w:rsidR="00BF7B0E">
        <w:rPr>
          <w:b/>
          <w:i w:val="0"/>
          <w:color w:val="auto"/>
          <w:sz w:val="20"/>
        </w:rPr>
        <w:t>5</w:t>
      </w:r>
      <w:r w:rsidRPr="00D61CD9">
        <w:rPr>
          <w:b/>
          <w:i w:val="0"/>
          <w:color w:val="auto"/>
          <w:sz w:val="20"/>
        </w:rPr>
        <w:t>.</w:t>
      </w:r>
      <w:r w:rsidR="00BF7B0E">
        <w:rPr>
          <w:b/>
          <w:i w:val="0"/>
          <w:color w:val="auto"/>
          <w:sz w:val="20"/>
        </w:rPr>
        <w:t>3</w:t>
      </w:r>
      <w:r w:rsidRPr="00D61CD9">
        <w:rPr>
          <w:b/>
          <w:i w:val="0"/>
          <w:color w:val="auto"/>
          <w:sz w:val="20"/>
        </w:rPr>
        <w:t>: Pracovní úrazy s pracovní neschopností delší než 3 dny na 100 tis. pojištěnců podle krajů ČR</w:t>
      </w:r>
      <w:r w:rsidR="00452182">
        <w:rPr>
          <w:b/>
          <w:i w:val="0"/>
          <w:color w:val="auto"/>
          <w:sz w:val="20"/>
        </w:rPr>
        <w:t xml:space="preserve">, </w:t>
      </w:r>
      <w:r w:rsidRPr="00D61CD9">
        <w:rPr>
          <w:b/>
          <w:i w:val="0"/>
          <w:color w:val="auto"/>
          <w:sz w:val="20"/>
        </w:rPr>
        <w:t>201</w:t>
      </w:r>
      <w:r w:rsidR="000F3D81">
        <w:rPr>
          <w:b/>
          <w:i w:val="0"/>
          <w:color w:val="auto"/>
          <w:sz w:val="20"/>
        </w:rPr>
        <w:t>9</w:t>
      </w:r>
    </w:p>
    <w:p w14:paraId="7DF98062" w14:textId="635774F6" w:rsidR="007B2E56" w:rsidRPr="00BD4955" w:rsidRDefault="000F3D81" w:rsidP="00766701">
      <w:pPr>
        <w:spacing w:before="120" w:after="120"/>
        <w:rPr>
          <w:sz w:val="16"/>
        </w:rPr>
      </w:pPr>
      <w:r>
        <w:rPr>
          <w:noProof/>
        </w:rPr>
        <w:drawing>
          <wp:inline distT="0" distB="0" distL="0" distR="0" wp14:anchorId="29FAF48F" wp14:editId="67E5C09A">
            <wp:extent cx="5920740" cy="2743200"/>
            <wp:effectExtent l="0" t="0" r="3810" b="0"/>
            <wp:docPr id="24" name="Graf 24">
              <a:extLst xmlns:a="http://schemas.openxmlformats.org/drawingml/2006/main">
                <a:ext uri="{FF2B5EF4-FFF2-40B4-BE49-F238E27FC236}">
                  <a16:creationId xmlns:a16="http://schemas.microsoft.com/office/drawing/2014/main" id="{95D511DE-DA5E-429E-9441-DAE148F39E1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7B2E56" w:rsidRPr="007B2E56">
        <w:rPr>
          <w:sz w:val="18"/>
          <w:szCs w:val="28"/>
        </w:rPr>
        <w:t>Zdroj: ČSÚ</w:t>
      </w:r>
    </w:p>
    <w:p w14:paraId="44028A50" w14:textId="332F343C" w:rsidR="00BF7B0E" w:rsidRDefault="00BF7B0E" w:rsidP="00766701">
      <w:pPr>
        <w:spacing w:after="120"/>
        <w:jc w:val="both"/>
        <w:rPr>
          <w:rFonts w:cs="Arial"/>
        </w:rPr>
      </w:pPr>
      <w:r w:rsidRPr="00CD713C">
        <w:rPr>
          <w:rFonts w:cs="Arial"/>
        </w:rPr>
        <w:t xml:space="preserve">Z pohledu </w:t>
      </w:r>
      <w:r w:rsidRPr="00171BD2">
        <w:rPr>
          <w:rFonts w:cs="Arial"/>
          <w:b/>
        </w:rPr>
        <w:t>velikosti podniku</w:t>
      </w:r>
      <w:r w:rsidRPr="00CD713C">
        <w:rPr>
          <w:rFonts w:cs="Arial"/>
        </w:rPr>
        <w:t xml:space="preserve"> </w:t>
      </w:r>
      <w:r w:rsidR="00F03E5C" w:rsidRPr="00CD713C">
        <w:rPr>
          <w:rFonts w:cs="Arial"/>
        </w:rPr>
        <w:t>se</w:t>
      </w:r>
      <w:r w:rsidRPr="00CD713C">
        <w:rPr>
          <w:rFonts w:cs="Arial"/>
        </w:rPr>
        <w:t xml:space="preserve"> v roce 201</w:t>
      </w:r>
      <w:r w:rsidR="00F154B6">
        <w:rPr>
          <w:rFonts w:cs="Arial"/>
        </w:rPr>
        <w:t>9</w:t>
      </w:r>
      <w:r w:rsidRPr="00CD713C">
        <w:rPr>
          <w:rFonts w:cs="Arial"/>
        </w:rPr>
        <w:t xml:space="preserve"> nejvíce pracovních úrazů s pracovní neschopností delší než 3</w:t>
      </w:r>
      <w:r w:rsidR="006846A7" w:rsidRPr="00CD713C">
        <w:rPr>
          <w:rFonts w:cs="Arial"/>
        </w:rPr>
        <w:t> </w:t>
      </w:r>
      <w:r w:rsidRPr="00CD713C">
        <w:rPr>
          <w:rFonts w:cs="Arial"/>
        </w:rPr>
        <w:t xml:space="preserve">dny </w:t>
      </w:r>
      <w:r w:rsidR="00F03E5C" w:rsidRPr="00CD713C">
        <w:rPr>
          <w:rFonts w:cs="Arial"/>
        </w:rPr>
        <w:t xml:space="preserve">událo u </w:t>
      </w:r>
      <w:r w:rsidRPr="00CD713C">
        <w:rPr>
          <w:rFonts w:cs="Arial"/>
        </w:rPr>
        <w:t>zaměstnavatel</w:t>
      </w:r>
      <w:r w:rsidR="00F03E5C" w:rsidRPr="00CD713C">
        <w:rPr>
          <w:rFonts w:cs="Arial"/>
        </w:rPr>
        <w:t>ů</w:t>
      </w:r>
      <w:r w:rsidRPr="00CD713C">
        <w:rPr>
          <w:rFonts w:cs="Arial"/>
        </w:rPr>
        <w:t xml:space="preserve"> s 500 a více zaměstnanci – </w:t>
      </w:r>
      <w:r w:rsidR="00CD713C" w:rsidRPr="00CD713C">
        <w:rPr>
          <w:rFonts w:cs="Arial"/>
        </w:rPr>
        <w:t>13 480</w:t>
      </w:r>
      <w:r w:rsidRPr="00CD713C">
        <w:rPr>
          <w:rFonts w:cs="Arial"/>
        </w:rPr>
        <w:t xml:space="preserve"> případů (3</w:t>
      </w:r>
      <w:r w:rsidR="00CD713C" w:rsidRPr="00CD713C">
        <w:rPr>
          <w:rFonts w:cs="Arial"/>
        </w:rPr>
        <w:t>1</w:t>
      </w:r>
      <w:r w:rsidRPr="00CD713C">
        <w:rPr>
          <w:rFonts w:cs="Arial"/>
        </w:rPr>
        <w:t xml:space="preserve">% podíl na </w:t>
      </w:r>
      <w:r w:rsidR="006846A7" w:rsidRPr="00CD713C">
        <w:rPr>
          <w:rFonts w:cs="Arial"/>
        </w:rPr>
        <w:t>celkové</w:t>
      </w:r>
      <w:r w:rsidR="004F4000">
        <w:rPr>
          <w:rFonts w:cs="Arial"/>
        </w:rPr>
        <w:t xml:space="preserve"> hodnotě), následovaly</w:t>
      </w:r>
      <w:r w:rsidRPr="00CD713C">
        <w:rPr>
          <w:rFonts w:cs="Arial"/>
        </w:rPr>
        <w:t xml:space="preserve"> </w:t>
      </w:r>
      <w:r w:rsidR="00530299">
        <w:rPr>
          <w:rFonts w:cs="Arial"/>
        </w:rPr>
        <w:t>podniky</w:t>
      </w:r>
      <w:r w:rsidR="00530299" w:rsidRPr="00CD713C">
        <w:rPr>
          <w:rFonts w:cs="Arial"/>
        </w:rPr>
        <w:t xml:space="preserve"> </w:t>
      </w:r>
      <w:r w:rsidR="00F03E5C" w:rsidRPr="00CD713C">
        <w:rPr>
          <w:rFonts w:cs="Arial"/>
        </w:rPr>
        <w:t>mající do 50 zaměstnanců</w:t>
      </w:r>
      <w:r w:rsidRPr="00CD713C">
        <w:rPr>
          <w:rFonts w:cs="Arial"/>
        </w:rPr>
        <w:t xml:space="preserve"> – </w:t>
      </w:r>
      <w:r w:rsidR="006846A7" w:rsidRPr="00CD713C">
        <w:rPr>
          <w:rFonts w:cs="Arial"/>
        </w:rPr>
        <w:t>11 </w:t>
      </w:r>
      <w:r w:rsidR="00CD713C" w:rsidRPr="00CD713C">
        <w:rPr>
          <w:rFonts w:cs="Arial"/>
        </w:rPr>
        <w:t>07</w:t>
      </w:r>
      <w:r w:rsidR="006846A7" w:rsidRPr="00CD713C">
        <w:rPr>
          <w:rFonts w:cs="Arial"/>
        </w:rPr>
        <w:t>3</w:t>
      </w:r>
      <w:r w:rsidRPr="00CD713C">
        <w:rPr>
          <w:rFonts w:cs="Arial"/>
        </w:rPr>
        <w:t xml:space="preserve"> případ</w:t>
      </w:r>
      <w:r w:rsidR="00CD713C" w:rsidRPr="00CD713C">
        <w:rPr>
          <w:rFonts w:cs="Arial"/>
        </w:rPr>
        <w:t>ů</w:t>
      </w:r>
      <w:r w:rsidRPr="00CD713C">
        <w:rPr>
          <w:rFonts w:cs="Arial"/>
        </w:rPr>
        <w:t xml:space="preserve"> (2</w:t>
      </w:r>
      <w:r w:rsidR="00CD713C" w:rsidRPr="00CD713C">
        <w:rPr>
          <w:rFonts w:cs="Arial"/>
        </w:rPr>
        <w:t>5</w:t>
      </w:r>
      <w:r w:rsidRPr="00CD713C">
        <w:rPr>
          <w:rFonts w:cs="Arial"/>
        </w:rPr>
        <w:t>%</w:t>
      </w:r>
      <w:r w:rsidR="008A15C0" w:rsidRPr="00CD713C">
        <w:rPr>
          <w:rFonts w:cs="Arial"/>
        </w:rPr>
        <w:t> </w:t>
      </w:r>
      <w:r w:rsidRPr="00CD713C">
        <w:rPr>
          <w:rFonts w:cs="Arial"/>
        </w:rPr>
        <w:t xml:space="preserve">podíl). </w:t>
      </w:r>
      <w:r w:rsidR="00B10170">
        <w:rPr>
          <w:rFonts w:cs="Arial"/>
        </w:rPr>
        <w:t xml:space="preserve">To je dáno faktem, že v těchto typech podniků je zaměstnáno nejvíce pojištěnců. </w:t>
      </w:r>
      <w:r w:rsidRPr="00CD713C">
        <w:rPr>
          <w:rFonts w:cs="Arial"/>
        </w:rPr>
        <w:t xml:space="preserve">V případě relativního ukazatele je situace odlišná – nejvíce pracovních úrazů s pracovní neschopnosti delší než 3 dny na 100 tis. pojištěnců </w:t>
      </w:r>
      <w:r w:rsidR="00F03E5C" w:rsidRPr="00CD713C">
        <w:rPr>
          <w:rFonts w:cs="Arial"/>
        </w:rPr>
        <w:t>hlásily podniky</w:t>
      </w:r>
      <w:r w:rsidRPr="00CD713C">
        <w:rPr>
          <w:rFonts w:cs="Arial"/>
        </w:rPr>
        <w:t xml:space="preserve"> se 100–249 zaměstnanci (1</w:t>
      </w:r>
      <w:r w:rsidR="008A15C0" w:rsidRPr="00CD713C">
        <w:rPr>
          <w:rFonts w:cs="Arial"/>
        </w:rPr>
        <w:t> </w:t>
      </w:r>
      <w:r w:rsidR="00CD713C" w:rsidRPr="00CD713C">
        <w:rPr>
          <w:rFonts w:cs="Arial"/>
        </w:rPr>
        <w:t>275</w:t>
      </w:r>
      <w:r w:rsidR="008A15C0" w:rsidRPr="00CD713C">
        <w:rPr>
          <w:rFonts w:cs="Arial"/>
        </w:rPr>
        <w:t> </w:t>
      </w:r>
      <w:r w:rsidRPr="00CD713C">
        <w:rPr>
          <w:rFonts w:cs="Arial"/>
        </w:rPr>
        <w:t>případů), nejméně případů pak zaznamenáváme u osob samostatně výdělečně činných (2</w:t>
      </w:r>
      <w:r w:rsidR="00CD713C" w:rsidRPr="00CD713C">
        <w:rPr>
          <w:rFonts w:cs="Arial"/>
        </w:rPr>
        <w:t>2</w:t>
      </w:r>
      <w:r w:rsidR="006846A7" w:rsidRPr="00CD713C">
        <w:rPr>
          <w:rFonts w:cs="Arial"/>
        </w:rPr>
        <w:t>2</w:t>
      </w:r>
      <w:r w:rsidR="008A15C0" w:rsidRPr="00CD713C">
        <w:rPr>
          <w:rFonts w:cs="Arial"/>
        </w:rPr>
        <w:t> </w:t>
      </w:r>
      <w:r w:rsidRPr="00CD713C">
        <w:rPr>
          <w:rFonts w:cs="Arial"/>
        </w:rPr>
        <w:t>případů).</w:t>
      </w:r>
    </w:p>
    <w:p w14:paraId="58C55BF1" w14:textId="77777777" w:rsidR="004744DF" w:rsidRDefault="004744DF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>
        <w:br w:type="page"/>
      </w:r>
    </w:p>
    <w:p w14:paraId="2A68CD12" w14:textId="6C5C95EE" w:rsidR="00C62BD6" w:rsidRDefault="00C62BD6" w:rsidP="008F1CE9">
      <w:pPr>
        <w:pStyle w:val="Nadpis2"/>
      </w:pPr>
      <w:bookmarkStart w:id="23" w:name="_Toc41558322"/>
      <w:r>
        <w:lastRenderedPageBreak/>
        <w:t>4.</w:t>
      </w:r>
      <w:r w:rsidR="00661E61">
        <w:t>6</w:t>
      </w:r>
      <w:r>
        <w:t xml:space="preserve"> Evropská statistika pracovních úrazů (ESAW)</w:t>
      </w:r>
      <w:bookmarkEnd w:id="23"/>
    </w:p>
    <w:p w14:paraId="25A9DB0E" w14:textId="50CD89DF" w:rsidR="004542FC" w:rsidRPr="006464E5" w:rsidRDefault="004542FC" w:rsidP="008F1CE9">
      <w:pPr>
        <w:spacing w:after="120"/>
        <w:jc w:val="both"/>
      </w:pPr>
      <w:r w:rsidRPr="006464E5">
        <w:rPr>
          <w:rFonts w:cs="Arial"/>
          <w:szCs w:val="20"/>
        </w:rPr>
        <w:t xml:space="preserve">Evropská statistika pracovních úrazů – systém </w:t>
      </w:r>
      <w:r w:rsidRPr="00171BD2">
        <w:rPr>
          <w:rFonts w:cs="Arial"/>
          <w:b/>
          <w:szCs w:val="20"/>
        </w:rPr>
        <w:t>ESAW</w:t>
      </w:r>
      <w:r w:rsidRPr="006464E5">
        <w:rPr>
          <w:rFonts w:cs="Arial"/>
          <w:szCs w:val="20"/>
        </w:rPr>
        <w:t xml:space="preserve"> </w:t>
      </w:r>
      <w:r w:rsidR="00F154B6">
        <w:rPr>
          <w:rFonts w:cs="Arial"/>
          <w:szCs w:val="20"/>
        </w:rPr>
        <w:t xml:space="preserve">(European Statistics on Accidents at Work) </w:t>
      </w:r>
      <w:r w:rsidRPr="006464E5">
        <w:rPr>
          <w:rFonts w:cs="Arial"/>
          <w:szCs w:val="20"/>
        </w:rPr>
        <w:t xml:space="preserve">– umožňuje sledovat pracovní úrazovost na základě jednotné metodiky, kterou připravil Eurostat. Hlavním cílem je </w:t>
      </w:r>
      <w:r w:rsidRPr="00171BD2">
        <w:rPr>
          <w:rFonts w:cs="Arial"/>
          <w:b/>
          <w:szCs w:val="20"/>
        </w:rPr>
        <w:t>snížit</w:t>
      </w:r>
      <w:r w:rsidRPr="006464E5">
        <w:rPr>
          <w:rFonts w:cs="Arial"/>
          <w:szCs w:val="20"/>
        </w:rPr>
        <w:t xml:space="preserve"> jak </w:t>
      </w:r>
      <w:r w:rsidRPr="00171BD2">
        <w:rPr>
          <w:rFonts w:cs="Arial"/>
          <w:b/>
          <w:szCs w:val="20"/>
        </w:rPr>
        <w:t>výskyt pracovních úrazů</w:t>
      </w:r>
      <w:r w:rsidRPr="006464E5">
        <w:rPr>
          <w:rFonts w:cs="Arial"/>
          <w:szCs w:val="20"/>
        </w:rPr>
        <w:t xml:space="preserve">, tak dopady s nimi spojené (sociální problémy, ekonomické ztráty). Projekt ESAW přispívá na evropské úrovni svými výsledky významnou měrou k hlavnímu cíli statistiky pracovních úrazů, tj. </w:t>
      </w:r>
      <w:r w:rsidRPr="00171BD2">
        <w:rPr>
          <w:rFonts w:cs="Arial"/>
          <w:b/>
          <w:szCs w:val="20"/>
        </w:rPr>
        <w:t>vytvoření</w:t>
      </w:r>
      <w:r w:rsidRPr="006464E5">
        <w:rPr>
          <w:rFonts w:cs="Arial"/>
          <w:szCs w:val="20"/>
        </w:rPr>
        <w:t xml:space="preserve"> dostatečného </w:t>
      </w:r>
      <w:r w:rsidRPr="00171BD2">
        <w:rPr>
          <w:rFonts w:cs="Arial"/>
          <w:b/>
          <w:szCs w:val="20"/>
        </w:rPr>
        <w:t>objemu údajů</w:t>
      </w:r>
      <w:r w:rsidRPr="006464E5">
        <w:rPr>
          <w:rFonts w:cs="Arial"/>
          <w:szCs w:val="20"/>
        </w:rPr>
        <w:t xml:space="preserve"> o pracovní úrazovosti, na jejichž základě je zvyšována bezpečnost a</w:t>
      </w:r>
      <w:r w:rsidR="00812420">
        <w:rPr>
          <w:rFonts w:cs="Arial"/>
          <w:szCs w:val="20"/>
        </w:rPr>
        <w:t> </w:t>
      </w:r>
      <w:r w:rsidRPr="006464E5">
        <w:rPr>
          <w:rFonts w:cs="Arial"/>
          <w:szCs w:val="20"/>
        </w:rPr>
        <w:t>ochrana zdraví při práci prostřednictvím účinných opatření, která umožňují aktivním způsobem předcházet pracovním úrazům</w:t>
      </w:r>
      <w:r w:rsidR="00793707" w:rsidRPr="006464E5">
        <w:rPr>
          <w:rFonts w:cs="Arial"/>
          <w:szCs w:val="20"/>
        </w:rPr>
        <w:t>,</w:t>
      </w:r>
      <w:r w:rsidRPr="006464E5">
        <w:rPr>
          <w:rFonts w:cs="Arial"/>
          <w:szCs w:val="20"/>
        </w:rPr>
        <w:t xml:space="preserve"> a tak snižovat jejich počet</w:t>
      </w:r>
      <w:r w:rsidRPr="006464E5">
        <w:t>.</w:t>
      </w:r>
    </w:p>
    <w:p w14:paraId="00455ECA" w14:textId="322E5930" w:rsidR="004542FC" w:rsidRPr="007D2763" w:rsidRDefault="004542FC" w:rsidP="008F1CE9">
      <w:pPr>
        <w:spacing w:after="120"/>
        <w:jc w:val="both"/>
        <w:rPr>
          <w:rFonts w:cs="Arial"/>
          <w:szCs w:val="20"/>
          <w:highlight w:val="yellow"/>
        </w:rPr>
      </w:pPr>
      <w:r w:rsidRPr="001D7389">
        <w:rPr>
          <w:rFonts w:cs="Arial"/>
          <w:szCs w:val="20"/>
        </w:rPr>
        <w:t xml:space="preserve">Rámcová směrnice 89/391/EHS týkající se opatření pro zlepšení bezpečnosti a ochrany zdraví zaměstnanců při práci zavedla povinnost pro zaměstnavatele vést seznam pracovních úrazů, které měly za následek pracovní neschopnost delší než </w:t>
      </w:r>
      <w:r w:rsidR="00F154B6">
        <w:rPr>
          <w:rFonts w:cs="Arial"/>
          <w:szCs w:val="20"/>
        </w:rPr>
        <w:t>3</w:t>
      </w:r>
      <w:r w:rsidRPr="001D7389">
        <w:rPr>
          <w:rFonts w:cs="Arial"/>
          <w:szCs w:val="20"/>
        </w:rPr>
        <w:t xml:space="preserve"> pracovní dny a vypracovávat v souladu s vnitrostátními právními předpisy nebo zvyklostmi zprávy o pracovních úrazech, které utrpěli jeho zaměstnanci. Na tomto základě byl v roce 1990 zahájen projekt evropské statistiky pracovních úrazů s cílem harmonizovat údaje o </w:t>
      </w:r>
      <w:r w:rsidR="00171BD2">
        <w:rPr>
          <w:rFonts w:cs="Arial"/>
          <w:szCs w:val="20"/>
        </w:rPr>
        <w:t xml:space="preserve">všech </w:t>
      </w:r>
      <w:r w:rsidRPr="001D7389">
        <w:rPr>
          <w:rFonts w:cs="Arial"/>
          <w:szCs w:val="20"/>
        </w:rPr>
        <w:t>pracovních úrazech, které měly za následek více než třídenní pracovní neschopnost. Nařízení Evropského parlamentu a</w:t>
      </w:r>
      <w:r w:rsidR="00930322">
        <w:rPr>
          <w:rFonts w:cs="Arial"/>
          <w:szCs w:val="20"/>
        </w:rPr>
        <w:t> </w:t>
      </w:r>
      <w:r w:rsidRPr="001D7389">
        <w:rPr>
          <w:rFonts w:cs="Arial"/>
          <w:szCs w:val="20"/>
        </w:rPr>
        <w:t>Rady (ES) č. 1338/2008 ze dne 16. prosince 2008 o statistice Společenství v oblasti veřejného zdraví a</w:t>
      </w:r>
      <w:r w:rsidR="00930322">
        <w:rPr>
          <w:rFonts w:cs="Arial"/>
          <w:szCs w:val="20"/>
        </w:rPr>
        <w:t> </w:t>
      </w:r>
      <w:r w:rsidRPr="001D7389">
        <w:rPr>
          <w:rFonts w:cs="Arial"/>
          <w:szCs w:val="20"/>
        </w:rPr>
        <w:t xml:space="preserve">bezpečnosti a ochrany zdraví při práci stanoví povinnost poskytovat statistiky pracovních úrazů Komisi (Eurostatu). </w:t>
      </w:r>
    </w:p>
    <w:p w14:paraId="00520F6D" w14:textId="464F7BE2" w:rsidR="004542FC" w:rsidRPr="00FA3E60" w:rsidRDefault="004542FC" w:rsidP="008F1CE9">
      <w:pPr>
        <w:spacing w:after="120"/>
        <w:jc w:val="both"/>
        <w:rPr>
          <w:rFonts w:cs="Arial"/>
          <w:szCs w:val="20"/>
        </w:rPr>
      </w:pPr>
      <w:r w:rsidRPr="00FA3E60">
        <w:rPr>
          <w:rFonts w:cs="Arial"/>
          <w:szCs w:val="20"/>
        </w:rPr>
        <w:t xml:space="preserve">V České republice byl rozhodnutím Ministerstva práce a sociálních věcí pověřen </w:t>
      </w:r>
      <w:r w:rsidRPr="00171BD2">
        <w:rPr>
          <w:rFonts w:cs="Arial"/>
          <w:b/>
          <w:szCs w:val="20"/>
        </w:rPr>
        <w:t>Státní úřad inspekce práce</w:t>
      </w:r>
      <w:r w:rsidRPr="00FA3E60">
        <w:rPr>
          <w:rFonts w:cs="Arial"/>
          <w:szCs w:val="20"/>
        </w:rPr>
        <w:t xml:space="preserve"> zpracováním Zprávy o pracovní úrazovosti v České republice a </w:t>
      </w:r>
      <w:r w:rsidR="00F03E5C" w:rsidRPr="00FA3E60">
        <w:rPr>
          <w:rFonts w:cs="Arial"/>
          <w:szCs w:val="20"/>
        </w:rPr>
        <w:t xml:space="preserve">správou </w:t>
      </w:r>
      <w:r w:rsidRPr="00FA3E60">
        <w:rPr>
          <w:rFonts w:cs="Arial"/>
          <w:szCs w:val="20"/>
        </w:rPr>
        <w:t>databáze statistických údajů o</w:t>
      </w:r>
      <w:r w:rsidR="008A15C0" w:rsidRPr="00FA3E60">
        <w:rPr>
          <w:rFonts w:cs="Arial"/>
          <w:szCs w:val="20"/>
        </w:rPr>
        <w:t> </w:t>
      </w:r>
      <w:r w:rsidRPr="00FA3E60">
        <w:rPr>
          <w:rFonts w:cs="Arial"/>
          <w:szCs w:val="20"/>
        </w:rPr>
        <w:t>pracovních úrazech ve formátu ESAW k zaslání do Eurostatu. Státní úřad inspekce práce (SÚIP) úzce spolupracuje v této oblasti s Českým báňským úřadem (ČBÚ) a ČSÚ.</w:t>
      </w:r>
    </w:p>
    <w:p w14:paraId="6A8737A1" w14:textId="26F2A646" w:rsidR="004542FC" w:rsidRPr="007D2763" w:rsidRDefault="004542FC" w:rsidP="00BF1928">
      <w:pPr>
        <w:spacing w:after="120"/>
        <w:jc w:val="both"/>
        <w:rPr>
          <w:highlight w:val="yellow"/>
        </w:rPr>
      </w:pPr>
      <w:r w:rsidRPr="00171BD2">
        <w:rPr>
          <w:rFonts w:cs="Arial"/>
          <w:b/>
          <w:szCs w:val="20"/>
        </w:rPr>
        <w:t>Statistiky</w:t>
      </w:r>
      <w:r w:rsidRPr="00BF1928">
        <w:rPr>
          <w:rFonts w:cs="Arial"/>
          <w:szCs w:val="20"/>
        </w:rPr>
        <w:t xml:space="preserve"> se Eurostatu poskytují </w:t>
      </w:r>
      <w:r w:rsidRPr="00171BD2">
        <w:rPr>
          <w:rFonts w:cs="Arial"/>
          <w:b/>
          <w:szCs w:val="20"/>
        </w:rPr>
        <w:t>každoročně</w:t>
      </w:r>
      <w:r w:rsidRPr="00BF1928">
        <w:rPr>
          <w:rFonts w:cs="Arial"/>
          <w:szCs w:val="20"/>
        </w:rPr>
        <w:t xml:space="preserve"> a předkládají se nejpozději 18 měsíců po skončení referenčního roku. Eurostat zveřejňuje na svých stránkách výsledky zpracování dat za členské země EU, a to podle závažnosti pracovního úrazu samostatně za smrtelné pracovní úrazy a za ostatní pracovní úrazy, které mají za následek pracovní neschopnost delší než </w:t>
      </w:r>
      <w:r w:rsidR="00F154B6">
        <w:rPr>
          <w:rFonts w:cs="Arial"/>
          <w:szCs w:val="20"/>
        </w:rPr>
        <w:t>3</w:t>
      </w:r>
      <w:r w:rsidRPr="00BF1928">
        <w:rPr>
          <w:rFonts w:cs="Arial"/>
          <w:szCs w:val="20"/>
        </w:rPr>
        <w:t xml:space="preserve"> pracovní dny. K dispozici jsou dva základní ukazatele </w:t>
      </w:r>
      <w:r w:rsidR="00812420">
        <w:rPr>
          <w:rFonts w:cs="Arial"/>
          <w:szCs w:val="20"/>
        </w:rPr>
        <w:br/>
      </w:r>
      <w:r w:rsidRPr="00BF1928">
        <w:rPr>
          <w:rFonts w:cs="Arial"/>
          <w:szCs w:val="20"/>
        </w:rPr>
        <w:t>– absolutní ukazatel počtu pracovních úrazů a relativní ukazat</w:t>
      </w:r>
      <w:r w:rsidR="00F03E5C" w:rsidRPr="00BF1928">
        <w:rPr>
          <w:rFonts w:cs="Arial"/>
          <w:szCs w:val="20"/>
        </w:rPr>
        <w:t>el standardizovaná míra výskytu.</w:t>
      </w:r>
      <w:r w:rsidRPr="00BF1928">
        <w:rPr>
          <w:rFonts w:cs="Arial"/>
          <w:szCs w:val="20"/>
        </w:rPr>
        <w:t xml:space="preserve"> </w:t>
      </w:r>
      <w:r w:rsidR="00F03E5C" w:rsidRPr="00BF1928">
        <w:rPr>
          <w:rFonts w:cs="Arial"/>
          <w:szCs w:val="20"/>
        </w:rPr>
        <w:t>Data jsou</w:t>
      </w:r>
      <w:r w:rsidRPr="00BF1928">
        <w:rPr>
          <w:rFonts w:cs="Arial"/>
          <w:szCs w:val="20"/>
        </w:rPr>
        <w:t xml:space="preserve"> </w:t>
      </w:r>
      <w:r w:rsidR="00F03E5C" w:rsidRPr="00BF1928">
        <w:rPr>
          <w:rFonts w:cs="Arial"/>
          <w:szCs w:val="20"/>
        </w:rPr>
        <w:t>tříděna</w:t>
      </w:r>
      <w:r w:rsidRPr="00BF1928">
        <w:rPr>
          <w:rFonts w:cs="Arial"/>
          <w:szCs w:val="20"/>
        </w:rPr>
        <w:t xml:space="preserve"> podle pohlaví, věku, zaměstnání </w:t>
      </w:r>
      <w:r w:rsidR="00584D18" w:rsidRPr="00BF1928">
        <w:rPr>
          <w:rFonts w:cs="Arial"/>
          <w:szCs w:val="20"/>
        </w:rPr>
        <w:t>pojištěnce</w:t>
      </w:r>
      <w:r w:rsidRPr="00BF1928">
        <w:rPr>
          <w:rFonts w:cs="Arial"/>
          <w:szCs w:val="20"/>
        </w:rPr>
        <w:t>, ekonomické činnosti zaměstnavate</w:t>
      </w:r>
      <w:r w:rsidR="00F03E5C" w:rsidRPr="00BF1928">
        <w:rPr>
          <w:rFonts w:cs="Arial"/>
          <w:szCs w:val="20"/>
        </w:rPr>
        <w:t>le a dalších kritérií</w:t>
      </w:r>
      <w:r w:rsidRPr="00BF1928">
        <w:rPr>
          <w:rStyle w:val="Znakapoznpodarou"/>
          <w:rFonts w:cs="Arial"/>
          <w:szCs w:val="20"/>
        </w:rPr>
        <w:footnoteReference w:id="3"/>
      </w:r>
      <w:r w:rsidR="00752E51">
        <w:rPr>
          <w:rFonts w:cs="Arial"/>
          <w:szCs w:val="20"/>
        </w:rPr>
        <w:t>.</w:t>
      </w:r>
      <w:r w:rsidRPr="00BF1928">
        <w:rPr>
          <w:rFonts w:cs="Arial"/>
          <w:szCs w:val="20"/>
        </w:rPr>
        <w:t xml:space="preserve"> </w:t>
      </w:r>
    </w:p>
    <w:p w14:paraId="67088467" w14:textId="1F74CB29" w:rsidR="004542FC" w:rsidRPr="00BF1928" w:rsidRDefault="004542FC" w:rsidP="008F1CE9">
      <w:pPr>
        <w:pStyle w:val="Box1"/>
        <w:spacing w:before="120" w:after="120"/>
        <w:ind w:left="0"/>
        <w:jc w:val="both"/>
        <w:rPr>
          <w:i/>
        </w:rPr>
      </w:pPr>
      <w:r w:rsidRPr="00BF1928">
        <w:rPr>
          <w:b/>
          <w:i/>
        </w:rPr>
        <w:t xml:space="preserve">Míra výskytu (četnost) </w:t>
      </w:r>
      <w:r w:rsidRPr="00BF1928">
        <w:rPr>
          <w:i/>
        </w:rPr>
        <w:t xml:space="preserve">– ukazatel vyjadřuje počet pracovních úrazů na 100 000 zaměstnaných osob. Samostatné míry výskytu se počítají u smrtelných pracovních úrazů a pracovních úrazů, které mají za následek pracovní neschopnost delší než </w:t>
      </w:r>
      <w:r w:rsidR="00F154B6">
        <w:rPr>
          <w:i/>
        </w:rPr>
        <w:t>3</w:t>
      </w:r>
      <w:r w:rsidRPr="00BF1928">
        <w:rPr>
          <w:i/>
        </w:rPr>
        <w:t xml:space="preserve"> pracovní dny. </w:t>
      </w:r>
    </w:p>
    <w:p w14:paraId="4CCC5708" w14:textId="77777777" w:rsidR="004542FC" w:rsidRPr="00BF1928" w:rsidRDefault="004542FC" w:rsidP="00777C02">
      <w:pPr>
        <w:pStyle w:val="Box1"/>
        <w:ind w:left="0"/>
        <w:jc w:val="both"/>
        <w:rPr>
          <w:i/>
          <w:u w:val="single"/>
        </w:rPr>
      </w:pPr>
      <w:r w:rsidRPr="00BF1928">
        <w:rPr>
          <w:i/>
          <w:u w:val="single"/>
        </w:rPr>
        <w:t>Způsob výpočtu:</w:t>
      </w:r>
    </w:p>
    <w:p w14:paraId="5633B229" w14:textId="30DBE70B" w:rsidR="004542FC" w:rsidRPr="00BF1928" w:rsidRDefault="004542FC" w:rsidP="00777C02">
      <w:pPr>
        <w:pStyle w:val="Box1"/>
        <w:ind w:left="0"/>
        <w:jc w:val="both"/>
        <w:rPr>
          <w:i/>
        </w:rPr>
      </w:pPr>
      <w:r w:rsidRPr="00BF1928">
        <w:rPr>
          <w:i/>
        </w:rPr>
        <w:t>Míra výskytu = počet úrazů (smrtelných nebo ostatních) / počet zaměstnaných osob ve sledované populaci x</w:t>
      </w:r>
      <w:r w:rsidR="00777C02">
        <w:rPr>
          <w:i/>
        </w:rPr>
        <w:t> </w:t>
      </w:r>
      <w:r w:rsidRPr="00BF1928">
        <w:rPr>
          <w:i/>
        </w:rPr>
        <w:t>100 000.</w:t>
      </w:r>
    </w:p>
    <w:p w14:paraId="1846AA16" w14:textId="77777777" w:rsidR="004542FC" w:rsidRPr="008F1CE9" w:rsidRDefault="004542FC" w:rsidP="00777C02">
      <w:pPr>
        <w:pStyle w:val="Box1"/>
        <w:ind w:left="0"/>
        <w:jc w:val="both"/>
        <w:rPr>
          <w:i/>
          <w:sz w:val="16"/>
          <w:szCs w:val="16"/>
          <w:highlight w:val="yellow"/>
        </w:rPr>
      </w:pPr>
    </w:p>
    <w:p w14:paraId="69F7C3A3" w14:textId="20BFFEF3" w:rsidR="004542FC" w:rsidRPr="003E6DCF" w:rsidRDefault="004542FC" w:rsidP="008F1CE9">
      <w:pPr>
        <w:pStyle w:val="Box1"/>
        <w:spacing w:before="120" w:after="120"/>
        <w:ind w:left="0"/>
        <w:jc w:val="both"/>
        <w:rPr>
          <w:i/>
        </w:rPr>
      </w:pPr>
      <w:r w:rsidRPr="003E6DCF">
        <w:rPr>
          <w:b/>
          <w:i/>
        </w:rPr>
        <w:t>Standardizovaná míra výskytu</w:t>
      </w:r>
      <w:r w:rsidRPr="003E6DCF">
        <w:rPr>
          <w:i/>
        </w:rPr>
        <w:t xml:space="preserve"> – standardizovaný počet pracovních úrazů na</w:t>
      </w:r>
      <w:r w:rsidR="008A15C0" w:rsidRPr="003E6DCF">
        <w:rPr>
          <w:i/>
        </w:rPr>
        <w:t> </w:t>
      </w:r>
      <w:r w:rsidRPr="003E6DCF">
        <w:rPr>
          <w:i/>
        </w:rPr>
        <w:t>100</w:t>
      </w:r>
      <w:r w:rsidR="008A15C0" w:rsidRPr="003E6DCF">
        <w:rPr>
          <w:i/>
        </w:rPr>
        <w:t> </w:t>
      </w:r>
      <w:r w:rsidRPr="003E6DCF">
        <w:rPr>
          <w:i/>
        </w:rPr>
        <w:t>000</w:t>
      </w:r>
      <w:r w:rsidR="008A15C0" w:rsidRPr="003E6DCF">
        <w:rPr>
          <w:i/>
        </w:rPr>
        <w:t> </w:t>
      </w:r>
      <w:r w:rsidRPr="003E6DCF">
        <w:rPr>
          <w:i/>
        </w:rPr>
        <w:t>zaměstnaných osob, spočívající v použití stejné (standardizované) váhy v každém odvětví v každé zemi, jako je celková v rámci EU („standardizovaná“ míra úrazovosti). Použití standardizovaného ukazatele řeší problém častějšího výskytu pracovních úrazů v některých zaměstnáních v závislosti na vyšším podílu vysoce rizikových odvětví v</w:t>
      </w:r>
      <w:r w:rsidR="00777C02">
        <w:rPr>
          <w:i/>
        </w:rPr>
        <w:t> </w:t>
      </w:r>
      <w:r w:rsidRPr="003E6DCF">
        <w:rPr>
          <w:i/>
        </w:rPr>
        <w:t>průmyslové struktuře země.</w:t>
      </w:r>
    </w:p>
    <w:p w14:paraId="1224FD3C" w14:textId="44FCB98F" w:rsidR="004542FC" w:rsidRPr="00D63733" w:rsidRDefault="004542FC" w:rsidP="008F1CE9">
      <w:pPr>
        <w:spacing w:after="120"/>
        <w:jc w:val="both"/>
      </w:pPr>
      <w:r w:rsidRPr="00D63733">
        <w:t xml:space="preserve">Pro mezinárodní srovnání za členské státy EU byl v této publikaci použit relativní ukazatel – </w:t>
      </w:r>
      <w:r w:rsidRPr="00171BD2">
        <w:rPr>
          <w:b/>
        </w:rPr>
        <w:t>standardizovaná míra výskytu pracovních úrazů</w:t>
      </w:r>
      <w:r w:rsidRPr="00D63733">
        <w:t xml:space="preserve"> na 100 tis. zaměstnaných osob, který je pro srovnání zemí různé velikosti vhodnějším ukazatelem než ukazatel absolutní. </w:t>
      </w:r>
      <w:r w:rsidR="00F03E5C" w:rsidRPr="00D63733">
        <w:t xml:space="preserve">Navíc ošetřuje problém </w:t>
      </w:r>
      <w:r w:rsidR="00584D18" w:rsidRPr="00D63733">
        <w:t>rozdílné</w:t>
      </w:r>
      <w:r w:rsidR="00F03E5C" w:rsidRPr="00D63733">
        <w:t xml:space="preserve"> odvětvové struktury v jednotlivých zemích. </w:t>
      </w:r>
      <w:r w:rsidRPr="00D63733">
        <w:t xml:space="preserve">Pro zachycení vývoje míry úrazovosti v jednotlivých členských zemích EU byly </w:t>
      </w:r>
      <w:r w:rsidR="004F4000">
        <w:t>využity</w:t>
      </w:r>
      <w:r w:rsidRPr="00D63733">
        <w:t xml:space="preserve"> údaje za roky 201</w:t>
      </w:r>
      <w:r w:rsidR="00D63733">
        <w:t>0</w:t>
      </w:r>
      <w:r w:rsidRPr="00D63733">
        <w:t>–</w:t>
      </w:r>
      <w:r w:rsidR="00512226" w:rsidRPr="00D63733">
        <w:t>201</w:t>
      </w:r>
      <w:r w:rsidR="00D63733">
        <w:t>7</w:t>
      </w:r>
      <w:r w:rsidRPr="00D63733">
        <w:t>.</w:t>
      </w:r>
    </w:p>
    <w:p w14:paraId="3013ACB5" w14:textId="62E8F6B7" w:rsidR="004542FC" w:rsidRPr="00D63733" w:rsidRDefault="004542FC" w:rsidP="008F1CE9">
      <w:pPr>
        <w:spacing w:after="120"/>
        <w:jc w:val="both"/>
      </w:pPr>
      <w:r w:rsidRPr="00D63733">
        <w:lastRenderedPageBreak/>
        <w:t>Je nutné však upozornit na skutečnost, že vnitrostátní legislativa nebo zvyklosti v oblasti pracovní úrazovosti se mohou v jednotlivých zemích poměrně značně lišit, a tak i data předávaná do Eurostatu, přes veškerou snahu statistiků o harmonizaci a standardizaci, nemusí být zcela srovnatelná.</w:t>
      </w:r>
    </w:p>
    <w:p w14:paraId="7DD56149" w14:textId="53C0B4FC" w:rsidR="004542FC" w:rsidRDefault="004542FC" w:rsidP="008F1CE9">
      <w:pPr>
        <w:spacing w:after="120"/>
        <w:jc w:val="both"/>
      </w:pPr>
      <w:r w:rsidRPr="00684C19">
        <w:t xml:space="preserve">Co se týče </w:t>
      </w:r>
      <w:r w:rsidRPr="00171BD2">
        <w:rPr>
          <w:b/>
        </w:rPr>
        <w:t>pracovních úrazů</w:t>
      </w:r>
      <w:r w:rsidRPr="00684C19">
        <w:t xml:space="preserve">, které si vyžádaly </w:t>
      </w:r>
      <w:r w:rsidRPr="00171BD2">
        <w:rPr>
          <w:b/>
        </w:rPr>
        <w:t>pracovní neschopnost delší než 3 pracovní dny</w:t>
      </w:r>
      <w:r w:rsidRPr="00684C19">
        <w:t xml:space="preserve">, se </w:t>
      </w:r>
      <w:r w:rsidRPr="00171BD2">
        <w:rPr>
          <w:b/>
        </w:rPr>
        <w:t>Česká republika</w:t>
      </w:r>
      <w:r w:rsidRPr="00684C19">
        <w:t xml:space="preserve"> s hodnotou </w:t>
      </w:r>
      <w:r w:rsidR="00D63733" w:rsidRPr="00684C19">
        <w:t>884</w:t>
      </w:r>
      <w:r w:rsidRPr="00684C19">
        <w:t xml:space="preserve"> pracovních úrazů na 100 ti</w:t>
      </w:r>
      <w:r w:rsidR="00E755F0" w:rsidRPr="00684C19">
        <w:t>s. zaměstnaných osob v roce 201</w:t>
      </w:r>
      <w:r w:rsidR="00D63733" w:rsidRPr="00684C19">
        <w:t>7</w:t>
      </w:r>
      <w:r w:rsidRPr="00684C19">
        <w:t xml:space="preserve"> řadila na </w:t>
      </w:r>
      <w:r w:rsidRPr="00171BD2">
        <w:rPr>
          <w:b/>
        </w:rPr>
        <w:t>1</w:t>
      </w:r>
      <w:r w:rsidR="00D63733" w:rsidRPr="00171BD2">
        <w:rPr>
          <w:b/>
        </w:rPr>
        <w:t>7</w:t>
      </w:r>
      <w:r w:rsidRPr="00171BD2">
        <w:rPr>
          <w:b/>
        </w:rPr>
        <w:t xml:space="preserve">. místo </w:t>
      </w:r>
      <w:r w:rsidRPr="00684C19">
        <w:t xml:space="preserve">v rámci </w:t>
      </w:r>
      <w:r w:rsidRPr="00171BD2">
        <w:rPr>
          <w:b/>
        </w:rPr>
        <w:t>EU28</w:t>
      </w:r>
      <w:r w:rsidRPr="00684C19">
        <w:t xml:space="preserve">. Nejvyšší míra pracovní úrazovosti </w:t>
      </w:r>
      <w:r w:rsidR="00D63733" w:rsidRPr="00684C19">
        <w:t xml:space="preserve">je </w:t>
      </w:r>
      <w:r w:rsidRPr="00684C19">
        <w:t>podle Eurostatu</w:t>
      </w:r>
      <w:r w:rsidR="00D63733" w:rsidRPr="00684C19">
        <w:t xml:space="preserve"> dlouhodobě</w:t>
      </w:r>
      <w:r w:rsidRPr="00684C19">
        <w:t xml:space="preserve"> v Portugalsku, Francii a ve Španělsku</w:t>
      </w:r>
      <w:r w:rsidR="00D63733" w:rsidRPr="00684C19">
        <w:t xml:space="preserve">. V roce 2017 činila </w:t>
      </w:r>
      <w:r w:rsidRPr="00684C19">
        <w:t>více než 3</w:t>
      </w:r>
      <w:r w:rsidR="00D63733" w:rsidRPr="00684C19">
        <w:t>,2</w:t>
      </w:r>
      <w:r w:rsidRPr="00684C19">
        <w:t xml:space="preserve"> tis. pracovních úrazů na</w:t>
      </w:r>
      <w:r w:rsidR="008A15C0" w:rsidRPr="00684C19">
        <w:t> </w:t>
      </w:r>
      <w:r w:rsidRPr="00684C19">
        <w:t>100</w:t>
      </w:r>
      <w:r w:rsidR="008A15C0" w:rsidRPr="00684C19">
        <w:t> </w:t>
      </w:r>
      <w:r w:rsidRPr="00684C19">
        <w:t>tis.</w:t>
      </w:r>
      <w:r w:rsidR="008A15C0" w:rsidRPr="00684C19">
        <w:t> </w:t>
      </w:r>
      <w:r w:rsidRPr="00684C19">
        <w:t>zaměstnaných osob</w:t>
      </w:r>
      <w:r w:rsidR="00D63733" w:rsidRPr="00684C19">
        <w:t>. O</w:t>
      </w:r>
      <w:r w:rsidRPr="00684C19">
        <w:t>kolo</w:t>
      </w:r>
      <w:r w:rsidR="00B5211E">
        <w:t xml:space="preserve"> hodnoty</w:t>
      </w:r>
      <w:r w:rsidRPr="00684C19">
        <w:t xml:space="preserve"> 2</w:t>
      </w:r>
      <w:r w:rsidR="004F4000">
        <w:t> </w:t>
      </w:r>
      <w:r w:rsidRPr="00684C19">
        <w:t>tis.</w:t>
      </w:r>
      <w:r w:rsidR="004F4000">
        <w:t> </w:t>
      </w:r>
      <w:r w:rsidRPr="00684C19">
        <w:t xml:space="preserve">pracovních úrazů se pohybovalo </w:t>
      </w:r>
      <w:r w:rsidR="00D63733" w:rsidRPr="00684C19">
        <w:t xml:space="preserve">Lucembursko, </w:t>
      </w:r>
      <w:r w:rsidR="00E755F0" w:rsidRPr="00684C19">
        <w:t>Rakousko, Německo a</w:t>
      </w:r>
      <w:r w:rsidR="008A15C0" w:rsidRPr="00684C19">
        <w:t> </w:t>
      </w:r>
      <w:r w:rsidR="00E755F0" w:rsidRPr="00684C19">
        <w:t>Belgie</w:t>
      </w:r>
      <w:r w:rsidRPr="00684C19">
        <w:t>. Nejnižší míra pracovní úrazovosti (pod hranicí 500 pracovních úrazů) byla v roce 201</w:t>
      </w:r>
      <w:r w:rsidR="00D63733" w:rsidRPr="00684C19">
        <w:t>7</w:t>
      </w:r>
      <w:r w:rsidRPr="00684C19">
        <w:t xml:space="preserve"> vykazována v Bulharsku, Rumunsku, Řecku, Lotyšsku a Litvě.</w:t>
      </w:r>
      <w:r w:rsidR="00684C19">
        <w:t xml:space="preserve"> V Bulharsku bylo na 100 000 zaměstnaných hlášeno pouze 79 pracovních úrazů s pracovní neschopností více než 3 dny, v Rumunsku 92.</w:t>
      </w:r>
    </w:p>
    <w:p w14:paraId="435FCD5C" w14:textId="01B6F28B" w:rsidR="001D758B" w:rsidRPr="00CA58EE" w:rsidRDefault="001D758B" w:rsidP="00766701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CA58EE">
        <w:rPr>
          <w:b/>
          <w:i w:val="0"/>
          <w:color w:val="auto"/>
          <w:sz w:val="20"/>
        </w:rPr>
        <w:t>Graf</w:t>
      </w:r>
      <w:r w:rsidR="00752E51">
        <w:rPr>
          <w:b/>
          <w:i w:val="0"/>
          <w:color w:val="auto"/>
          <w:sz w:val="20"/>
        </w:rPr>
        <w:t xml:space="preserve"> 6</w:t>
      </w:r>
      <w:r>
        <w:rPr>
          <w:b/>
          <w:i w:val="0"/>
          <w:color w:val="auto"/>
          <w:sz w:val="20"/>
        </w:rPr>
        <w:t>.</w:t>
      </w:r>
      <w:r w:rsidRPr="00CA58EE">
        <w:rPr>
          <w:b/>
          <w:i w:val="0"/>
          <w:color w:val="auto"/>
          <w:sz w:val="20"/>
        </w:rPr>
        <w:t>1: Pracovní úrazy s pracovní neschopností delší než</w:t>
      </w:r>
      <w:r>
        <w:rPr>
          <w:b/>
          <w:i w:val="0"/>
          <w:color w:val="auto"/>
          <w:sz w:val="20"/>
        </w:rPr>
        <w:t xml:space="preserve"> 3 pracovní dny v zemích EU </w:t>
      </w:r>
      <w:r w:rsidRPr="00CA58EE">
        <w:rPr>
          <w:b/>
          <w:i w:val="0"/>
          <w:color w:val="auto"/>
          <w:sz w:val="20"/>
        </w:rPr>
        <w:t>(standardizovaná míra výskytu</w:t>
      </w:r>
      <w:r>
        <w:rPr>
          <w:b/>
          <w:i w:val="0"/>
          <w:color w:val="auto"/>
          <w:sz w:val="20"/>
        </w:rPr>
        <w:t xml:space="preserve"> na 100 000 zaměstnaných osob</w:t>
      </w:r>
      <w:r w:rsidRPr="00CA58EE">
        <w:rPr>
          <w:b/>
          <w:i w:val="0"/>
          <w:color w:val="auto"/>
          <w:sz w:val="20"/>
        </w:rPr>
        <w:t>)</w:t>
      </w:r>
      <w:r>
        <w:rPr>
          <w:b/>
          <w:i w:val="0"/>
          <w:color w:val="auto"/>
          <w:sz w:val="20"/>
        </w:rPr>
        <w:t>, 2017</w:t>
      </w:r>
      <w:r w:rsidRPr="00CA58EE">
        <w:rPr>
          <w:b/>
          <w:i w:val="0"/>
          <w:color w:val="auto"/>
          <w:sz w:val="20"/>
        </w:rPr>
        <w:t xml:space="preserve"> </w:t>
      </w:r>
    </w:p>
    <w:p w14:paraId="7E0DCAE9" w14:textId="3F41C866" w:rsidR="001D758B" w:rsidRPr="001D758B" w:rsidRDefault="001D758B" w:rsidP="00766701">
      <w:pPr>
        <w:spacing w:before="120" w:after="120"/>
        <w:jc w:val="both"/>
      </w:pPr>
      <w:r>
        <w:rPr>
          <w:noProof/>
        </w:rPr>
        <w:drawing>
          <wp:inline distT="0" distB="0" distL="0" distR="0" wp14:anchorId="722E45E0" wp14:editId="743B9EAE">
            <wp:extent cx="6062133" cy="4572000"/>
            <wp:effectExtent l="0" t="0" r="15240" b="0"/>
            <wp:docPr id="23" name="Graf 23">
              <a:extLst xmlns:a="http://schemas.openxmlformats.org/drawingml/2006/main">
                <a:ext uri="{FF2B5EF4-FFF2-40B4-BE49-F238E27FC236}">
                  <a16:creationId xmlns:a16="http://schemas.microsoft.com/office/drawing/2014/main" id="{9F245DFF-2CC9-43C2-9B79-345D88E828C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  <w:r w:rsidRPr="007B2E56">
        <w:rPr>
          <w:sz w:val="18"/>
          <w:szCs w:val="28"/>
        </w:rPr>
        <w:t>Zdroj: Eurostat (ESAW)</w:t>
      </w:r>
    </w:p>
    <w:p w14:paraId="4312CCF6" w14:textId="52BA3044" w:rsidR="008920E3" w:rsidRDefault="008920E3" w:rsidP="008F1CE9">
      <w:pPr>
        <w:spacing w:after="120"/>
        <w:jc w:val="both"/>
      </w:pPr>
      <w:r>
        <w:t>Podle informací Eurostatu v zemích s nejvyšší mírou výskytu pracovních úrazů (Portugalsko, Francie a</w:t>
      </w:r>
      <w:r w:rsidR="00812420">
        <w:t> </w:t>
      </w:r>
      <w:r>
        <w:t xml:space="preserve">Španělsko) je zavedený systém hlášení úrazů na základě pojištění. Osoba postižená úrazem obdrží při nahlášení úrazu významnou peněžní kompenzaci od pojišťovny. V zemích východní Evropy pracovní úrazovost nejčastěji spadá do systému sociálního zabezpečení. </w:t>
      </w:r>
      <w:r w:rsidR="00171BD2">
        <w:t xml:space="preserve">Představiteli takových zemí jsou </w:t>
      </w:r>
      <w:r>
        <w:t>Slovinsko a</w:t>
      </w:r>
      <w:r w:rsidR="00930322">
        <w:t> </w:t>
      </w:r>
      <w:r>
        <w:t>Chorvatsko</w:t>
      </w:r>
      <w:r w:rsidR="00171BD2">
        <w:t xml:space="preserve">, </w:t>
      </w:r>
      <w:r w:rsidR="00B5211E">
        <w:t xml:space="preserve">které však </w:t>
      </w:r>
      <w:r w:rsidR="004F4000">
        <w:t xml:space="preserve">jako jediné z těchto států </w:t>
      </w:r>
      <w:r>
        <w:t xml:space="preserve">mají </w:t>
      </w:r>
      <w:r w:rsidR="00171BD2">
        <w:t xml:space="preserve">více než 1 000 </w:t>
      </w:r>
      <w:r>
        <w:t xml:space="preserve">pracovních úrazů s pracovní neschopností delší než 3 dny </w:t>
      </w:r>
      <w:r w:rsidR="00171BD2">
        <w:t>na 100 000 zaměstnaných osob</w:t>
      </w:r>
      <w:r>
        <w:t xml:space="preserve">. Nejnižší míra v Rumunsku a Bulharsku do značné míry </w:t>
      </w:r>
      <w:r w:rsidR="00077C3C">
        <w:t>odráží vysoký podíl nenahlášených pracovních úrazů.</w:t>
      </w:r>
    </w:p>
    <w:p w14:paraId="6AB08E5B" w14:textId="04BFFA1E" w:rsidR="00CA58EE" w:rsidRDefault="00CA58EE" w:rsidP="008F1CE9">
      <w:pPr>
        <w:spacing w:after="120"/>
        <w:jc w:val="both"/>
      </w:pPr>
      <w:r w:rsidRPr="006B6C8D">
        <w:t>Vývoj pracovní úrazovosti v posledních letech</w:t>
      </w:r>
      <w:r w:rsidR="00F154B6" w:rsidRPr="006B6C8D">
        <w:t xml:space="preserve"> </w:t>
      </w:r>
      <w:r w:rsidRPr="006B6C8D">
        <w:t xml:space="preserve">je v jednotlivých </w:t>
      </w:r>
      <w:r w:rsidR="001A09FF" w:rsidRPr="006B6C8D">
        <w:t xml:space="preserve">zemích EU </w:t>
      </w:r>
      <w:r w:rsidR="00077C3C">
        <w:t>odlišný</w:t>
      </w:r>
      <w:r w:rsidR="00077C3C" w:rsidRPr="006B6C8D">
        <w:t xml:space="preserve"> </w:t>
      </w:r>
      <w:r w:rsidR="001A09FF" w:rsidRPr="006B6C8D">
        <w:t xml:space="preserve">(viz tab. 6.1). </w:t>
      </w:r>
      <w:r w:rsidR="00AF0069" w:rsidRPr="006B6C8D">
        <w:t>Pomineme-li Řecko, kde došlo k přerušení v časové řadě, n</w:t>
      </w:r>
      <w:r w:rsidR="001A09FF" w:rsidRPr="006B6C8D">
        <w:t>ejvětší pokles (</w:t>
      </w:r>
      <w:r w:rsidR="00F03E5C" w:rsidRPr="006B6C8D">
        <w:t xml:space="preserve">o </w:t>
      </w:r>
      <w:r w:rsidR="00AF0069" w:rsidRPr="006B6C8D">
        <w:t>44</w:t>
      </w:r>
      <w:r w:rsidR="00584D18" w:rsidRPr="006B6C8D">
        <w:t xml:space="preserve"> </w:t>
      </w:r>
      <w:r w:rsidR="001A09FF" w:rsidRPr="006B6C8D">
        <w:t>%) zaznamenal</w:t>
      </w:r>
      <w:r w:rsidR="00AF0069" w:rsidRPr="006B6C8D">
        <w:t>a</w:t>
      </w:r>
      <w:r w:rsidR="001A09FF" w:rsidRPr="006B6C8D">
        <w:t xml:space="preserve"> </w:t>
      </w:r>
      <w:r w:rsidR="00AF0069" w:rsidRPr="006B6C8D">
        <w:t>Malta</w:t>
      </w:r>
      <w:r w:rsidR="006B6C8D" w:rsidRPr="006B6C8D">
        <w:t>.</w:t>
      </w:r>
      <w:r w:rsidR="001A09FF" w:rsidRPr="006B6C8D">
        <w:t xml:space="preserve"> </w:t>
      </w:r>
      <w:r w:rsidR="006B6C8D" w:rsidRPr="006B6C8D">
        <w:t>Zatímco</w:t>
      </w:r>
      <w:r w:rsidR="001A09FF" w:rsidRPr="006B6C8D">
        <w:t xml:space="preserve"> v roce </w:t>
      </w:r>
      <w:r w:rsidR="001A09FF" w:rsidRPr="006B6C8D">
        <w:lastRenderedPageBreak/>
        <w:t>201</w:t>
      </w:r>
      <w:r w:rsidR="00AF0069" w:rsidRPr="006B6C8D">
        <w:t>3</w:t>
      </w:r>
      <w:r w:rsidR="001A09FF" w:rsidRPr="006B6C8D">
        <w:t xml:space="preserve"> připadalo na 100 000 zaměstnaných osob </w:t>
      </w:r>
      <w:r w:rsidR="006B6C8D" w:rsidRPr="006B6C8D">
        <w:t>1 88</w:t>
      </w:r>
      <w:r w:rsidR="004F4000">
        <w:t>8</w:t>
      </w:r>
      <w:r w:rsidR="001A09FF" w:rsidRPr="006B6C8D">
        <w:t xml:space="preserve"> pracovních úrazů obnášející</w:t>
      </w:r>
      <w:r w:rsidR="00F154B6" w:rsidRPr="006B6C8D">
        <w:t>ch</w:t>
      </w:r>
      <w:r w:rsidR="001A09FF" w:rsidRPr="006B6C8D">
        <w:t xml:space="preserve"> pracovní neschopnost delší než 3 dny</w:t>
      </w:r>
      <w:r w:rsidR="006B6C8D" w:rsidRPr="006B6C8D">
        <w:t>, v</w:t>
      </w:r>
      <w:r w:rsidR="001A09FF" w:rsidRPr="006B6C8D">
        <w:t> roce 201</w:t>
      </w:r>
      <w:r w:rsidR="00AF0069" w:rsidRPr="006B6C8D">
        <w:t>7</w:t>
      </w:r>
      <w:r w:rsidR="001A09FF" w:rsidRPr="006B6C8D">
        <w:t xml:space="preserve"> hodnota poklesla </w:t>
      </w:r>
      <w:r w:rsidR="00AF0069" w:rsidRPr="006B6C8D">
        <w:t xml:space="preserve">o více než </w:t>
      </w:r>
      <w:r w:rsidR="006B6C8D" w:rsidRPr="006B6C8D">
        <w:t>8</w:t>
      </w:r>
      <w:r w:rsidR="00AF0069" w:rsidRPr="006B6C8D">
        <w:t xml:space="preserve">00 </w:t>
      </w:r>
      <w:r w:rsidR="006B6C8D" w:rsidRPr="006B6C8D">
        <w:t xml:space="preserve">případů </w:t>
      </w:r>
      <w:r w:rsidR="00AF0069" w:rsidRPr="006B6C8D">
        <w:t xml:space="preserve">na </w:t>
      </w:r>
      <w:r w:rsidR="006B6C8D" w:rsidRPr="006B6C8D">
        <w:t>1 058</w:t>
      </w:r>
      <w:r w:rsidR="001A09FF" w:rsidRPr="006B6C8D">
        <w:t xml:space="preserve"> úrazů. Naopak největší nárůst </w:t>
      </w:r>
      <w:r w:rsidR="006B6C8D" w:rsidRPr="006B6C8D">
        <w:t xml:space="preserve">za uvedené období </w:t>
      </w:r>
      <w:r w:rsidR="001A09FF" w:rsidRPr="006B6C8D">
        <w:t>byl patrný v</w:t>
      </w:r>
      <w:r w:rsidR="006B6C8D" w:rsidRPr="006B6C8D">
        <w:t xml:space="preserve"> Litvě </w:t>
      </w:r>
      <w:r w:rsidR="001A09FF" w:rsidRPr="006B6C8D">
        <w:t xml:space="preserve">(o </w:t>
      </w:r>
      <w:r w:rsidR="006B6C8D" w:rsidRPr="006B6C8D">
        <w:t>45</w:t>
      </w:r>
      <w:r w:rsidR="001A09FF" w:rsidRPr="006B6C8D">
        <w:t xml:space="preserve"> %) z </w:t>
      </w:r>
      <w:r w:rsidR="006B6C8D" w:rsidRPr="006B6C8D">
        <w:t>260</w:t>
      </w:r>
      <w:r w:rsidR="001A09FF" w:rsidRPr="006B6C8D">
        <w:t xml:space="preserve"> případů na </w:t>
      </w:r>
      <w:r w:rsidR="006B6C8D" w:rsidRPr="006B6C8D">
        <w:t>377</w:t>
      </w:r>
      <w:r w:rsidR="001A09FF" w:rsidRPr="006B6C8D">
        <w:t xml:space="preserve"> pracovních úrazů. V</w:t>
      </w:r>
      <w:r w:rsidR="008A15C0" w:rsidRPr="006B6C8D">
        <w:t> </w:t>
      </w:r>
      <w:r w:rsidR="001A09FF" w:rsidRPr="006B6C8D">
        <w:t>České republice se za 5leté období situace příliš nezměnila, oproti roku 201</w:t>
      </w:r>
      <w:r w:rsidR="006B6C8D" w:rsidRPr="006B6C8D">
        <w:t>3</w:t>
      </w:r>
      <w:r w:rsidR="001A09FF" w:rsidRPr="006B6C8D">
        <w:t xml:space="preserve"> bylo v roce 201</w:t>
      </w:r>
      <w:r w:rsidR="006B6C8D" w:rsidRPr="006B6C8D">
        <w:t>7</w:t>
      </w:r>
      <w:r w:rsidR="001A09FF" w:rsidRPr="006B6C8D">
        <w:t xml:space="preserve"> o </w:t>
      </w:r>
      <w:r w:rsidR="006B6C8D">
        <w:t xml:space="preserve">12 </w:t>
      </w:r>
      <w:r w:rsidR="001A09FF" w:rsidRPr="006B6C8D">
        <w:t>pracovních úrazů</w:t>
      </w:r>
      <w:r w:rsidR="00F03E5C" w:rsidRPr="006B6C8D">
        <w:t xml:space="preserve"> </w:t>
      </w:r>
      <w:r w:rsidR="00077C3C">
        <w:t>(</w:t>
      </w:r>
      <w:r w:rsidR="00F03E5C" w:rsidRPr="006B6C8D">
        <w:t>vyžadujících neschopenku delší než 3 dny</w:t>
      </w:r>
      <w:r w:rsidR="00077C3C">
        <w:t>)</w:t>
      </w:r>
      <w:r w:rsidR="00F03E5C" w:rsidRPr="006B6C8D">
        <w:t xml:space="preserve"> </w:t>
      </w:r>
      <w:r w:rsidR="001A09FF" w:rsidRPr="006B6C8D">
        <w:t>méně</w:t>
      </w:r>
      <w:r w:rsidR="006B6C8D">
        <w:t xml:space="preserve">, tj. pokles o </w:t>
      </w:r>
      <w:r w:rsidR="006B6C8D" w:rsidRPr="006B6C8D">
        <w:t>1,3 %</w:t>
      </w:r>
      <w:r w:rsidR="001A09FF" w:rsidRPr="006B6C8D">
        <w:t>.</w:t>
      </w:r>
    </w:p>
    <w:p w14:paraId="28D78733" w14:textId="486F63A7" w:rsidR="0067117F" w:rsidRPr="0067117F" w:rsidRDefault="0067117F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bookmarkStart w:id="24" w:name="_Toc10112631"/>
      <w:r w:rsidRPr="0067117F">
        <w:rPr>
          <w:b/>
          <w:i w:val="0"/>
          <w:color w:val="auto"/>
          <w:sz w:val="20"/>
        </w:rPr>
        <w:t>Tab</w:t>
      </w:r>
      <w:r w:rsidR="00F03E5C">
        <w:rPr>
          <w:b/>
          <w:i w:val="0"/>
          <w:color w:val="auto"/>
          <w:sz w:val="20"/>
        </w:rPr>
        <w:t>.</w:t>
      </w:r>
      <w:r w:rsidRPr="0067117F">
        <w:rPr>
          <w:b/>
          <w:i w:val="0"/>
          <w:color w:val="auto"/>
          <w:sz w:val="20"/>
        </w:rPr>
        <w:t xml:space="preserve"> 6.</w:t>
      </w:r>
      <w:r w:rsidR="00F547BE">
        <w:rPr>
          <w:b/>
          <w:i w:val="0"/>
          <w:color w:val="auto"/>
          <w:sz w:val="20"/>
        </w:rPr>
        <w:t>1</w:t>
      </w:r>
      <w:r w:rsidRPr="0067117F">
        <w:rPr>
          <w:b/>
          <w:i w:val="0"/>
          <w:color w:val="auto"/>
          <w:sz w:val="20"/>
        </w:rPr>
        <w:t>: Pracovní úrazy s pracovní neschopností delší než 3 pracovní dny v zemích EU</w:t>
      </w:r>
      <w:r w:rsidR="00452182">
        <w:rPr>
          <w:b/>
          <w:i w:val="0"/>
          <w:color w:val="auto"/>
          <w:sz w:val="20"/>
        </w:rPr>
        <w:t xml:space="preserve"> </w:t>
      </w:r>
      <w:r w:rsidR="006C2905">
        <w:rPr>
          <w:b/>
          <w:i w:val="0"/>
          <w:color w:val="auto"/>
          <w:sz w:val="20"/>
        </w:rPr>
        <w:t xml:space="preserve">(standardizovaná míra výskytu na 100 000 zaměstnaných osob), </w:t>
      </w:r>
      <w:r w:rsidRPr="0067117F">
        <w:rPr>
          <w:b/>
          <w:i w:val="0"/>
          <w:color w:val="auto"/>
          <w:sz w:val="20"/>
        </w:rPr>
        <w:t>201</w:t>
      </w:r>
      <w:r w:rsidR="0015566F">
        <w:rPr>
          <w:b/>
          <w:i w:val="0"/>
          <w:color w:val="auto"/>
          <w:sz w:val="20"/>
        </w:rPr>
        <w:t>0</w:t>
      </w:r>
      <w:r w:rsidRPr="0067117F">
        <w:rPr>
          <w:b/>
          <w:i w:val="0"/>
          <w:color w:val="auto"/>
          <w:sz w:val="20"/>
        </w:rPr>
        <w:t>–201</w:t>
      </w:r>
      <w:bookmarkEnd w:id="24"/>
      <w:r w:rsidR="0015566F">
        <w:rPr>
          <w:b/>
          <w:i w:val="0"/>
          <w:color w:val="auto"/>
          <w:sz w:val="20"/>
        </w:rPr>
        <w:t>7</w:t>
      </w:r>
    </w:p>
    <w:tbl>
      <w:tblPr>
        <w:tblW w:w="939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01"/>
        <w:gridCol w:w="956"/>
        <w:gridCol w:w="956"/>
        <w:gridCol w:w="956"/>
        <w:gridCol w:w="955"/>
        <w:gridCol w:w="955"/>
        <w:gridCol w:w="955"/>
        <w:gridCol w:w="955"/>
        <w:gridCol w:w="955"/>
        <w:gridCol w:w="146"/>
      </w:tblGrid>
      <w:tr w:rsidR="006464E5" w:rsidRPr="006464E5" w14:paraId="1EDB090A" w14:textId="77777777" w:rsidTr="00633050">
        <w:trPr>
          <w:trHeight w:val="300"/>
        </w:trPr>
        <w:tc>
          <w:tcPr>
            <w:tcW w:w="160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365C6430" w14:textId="60C3B737" w:rsidR="006464E5" w:rsidRPr="006464E5" w:rsidRDefault="006C2905" w:rsidP="006C290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Členské státy EU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17C6187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8" w:space="0" w:color="auto"/>
            </w:tcBorders>
            <w:shd w:val="clear" w:color="000000" w:fill="F5DADD"/>
            <w:noWrap/>
            <w:vAlign w:val="center"/>
            <w:hideMark/>
          </w:tcPr>
          <w:p w14:paraId="6BB63495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480C2F57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680F626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6C6FC59A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16FC8ED2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1FFDB16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  <w:hideMark/>
          </w:tcPr>
          <w:p w14:paraId="7F84E229" w14:textId="77777777" w:rsidR="006464E5" w:rsidRPr="006464E5" w:rsidRDefault="006464E5" w:rsidP="006464E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2017</w:t>
            </w:r>
          </w:p>
        </w:tc>
        <w:tc>
          <w:tcPr>
            <w:tcW w:w="146" w:type="dxa"/>
            <w:vAlign w:val="center"/>
            <w:hideMark/>
          </w:tcPr>
          <w:p w14:paraId="27E532CF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5388C5B1" w14:textId="77777777" w:rsidTr="00633050">
        <w:trPr>
          <w:trHeight w:val="288"/>
        </w:trPr>
        <w:tc>
          <w:tcPr>
            <w:tcW w:w="160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3F6964E" w14:textId="77777777" w:rsidR="006464E5" w:rsidRPr="006464E5" w:rsidRDefault="006464E5" w:rsidP="006464E5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EU28</w:t>
            </w:r>
          </w:p>
        </w:tc>
        <w:tc>
          <w:tcPr>
            <w:tcW w:w="956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F107B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1 898,4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C238C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1 872,6</w:t>
            </w:r>
          </w:p>
        </w:tc>
        <w:tc>
          <w:tcPr>
            <w:tcW w:w="956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9B5D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1 717,2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2AB5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1 700,8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C3EA1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1 661,6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F86B4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1 643,1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7F3A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1 646,9</w:t>
            </w:r>
          </w:p>
        </w:tc>
        <w:tc>
          <w:tcPr>
            <w:tcW w:w="955" w:type="dxa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B59B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1 666,3</w:t>
            </w:r>
          </w:p>
        </w:tc>
        <w:tc>
          <w:tcPr>
            <w:tcW w:w="146" w:type="dxa"/>
            <w:vAlign w:val="center"/>
            <w:hideMark/>
          </w:tcPr>
          <w:p w14:paraId="40FD6141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5D92C8F3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114F14A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Belgie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983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2 071,4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B649E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2 523,4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3EB1B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2 197,3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3457D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2 147,3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1A293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1 724,4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AC34F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1 518,6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77D51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1 972,2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36E7F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1 946,3</w:t>
            </w:r>
          </w:p>
        </w:tc>
        <w:tc>
          <w:tcPr>
            <w:tcW w:w="146" w:type="dxa"/>
            <w:vAlign w:val="center"/>
            <w:hideMark/>
          </w:tcPr>
          <w:p w14:paraId="6E6CC371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36DE5660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333F8B4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Bulharsko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D8F6D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85,2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82941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84,6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76EA4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84,9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057B2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79,7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37D0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82,5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F1911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82,8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9490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76,0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53413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79,0</w:t>
            </w:r>
          </w:p>
        </w:tc>
        <w:tc>
          <w:tcPr>
            <w:tcW w:w="146" w:type="dxa"/>
            <w:vAlign w:val="center"/>
            <w:hideMark/>
          </w:tcPr>
          <w:p w14:paraId="52F9091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033F9F75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A4825C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Česká republika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29C2F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1 300,9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9326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971,4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7F8DD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941,4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71EEB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896,1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E09CE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907,0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F43D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953,3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0B9D9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917,1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A8E90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b/>
                <w:bCs/>
                <w:sz w:val="16"/>
                <w:szCs w:val="16"/>
              </w:rPr>
            </w:pPr>
            <w:r w:rsidRPr="006464E5">
              <w:rPr>
                <w:rFonts w:cs="Arial"/>
                <w:b/>
                <w:bCs/>
                <w:sz w:val="16"/>
                <w:szCs w:val="16"/>
              </w:rPr>
              <w:t>884,2</w:t>
            </w:r>
          </w:p>
        </w:tc>
        <w:tc>
          <w:tcPr>
            <w:tcW w:w="146" w:type="dxa"/>
            <w:vAlign w:val="center"/>
            <w:hideMark/>
          </w:tcPr>
          <w:p w14:paraId="61012043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34A3AB6B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AD4FB4F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Dánsko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B9DB3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2 349,0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1AE14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2 239,4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6CD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2 177,9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739F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2 094,2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7B73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1 983,1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1C5D7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1 787,8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3AB00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1 813,0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805B9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1 614,4</w:t>
            </w:r>
          </w:p>
        </w:tc>
        <w:tc>
          <w:tcPr>
            <w:tcW w:w="146" w:type="dxa"/>
            <w:vAlign w:val="center"/>
            <w:hideMark/>
          </w:tcPr>
          <w:p w14:paraId="1A471956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596C0D7D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F40409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Estonsko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4B90C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1 236,2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E156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1 076,2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872A7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1 005,5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402B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1 095,4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94CB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1 137,9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2178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1 204,4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E3FB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1 210,4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FDC0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1 050,6</w:t>
            </w:r>
          </w:p>
        </w:tc>
        <w:tc>
          <w:tcPr>
            <w:tcW w:w="146" w:type="dxa"/>
            <w:vAlign w:val="center"/>
            <w:hideMark/>
          </w:tcPr>
          <w:p w14:paraId="3D78AC0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8205D41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14E4DCD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Finsko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0B7FB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2 143,9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2EC1C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2 481,0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CCE1A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2 166,1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F8E4B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2 229,8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6BD4D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2 083,2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D02B9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1 963,9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244B3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1 860,2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6577C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1 906,2</w:t>
            </w:r>
          </w:p>
        </w:tc>
        <w:tc>
          <w:tcPr>
            <w:tcW w:w="146" w:type="dxa"/>
            <w:vAlign w:val="center"/>
            <w:hideMark/>
          </w:tcPr>
          <w:p w14:paraId="53B028F7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6588E0C6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CA65210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Francie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A72CA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3 278,7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68811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4 579,0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2D56A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3 047,9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63065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3 163,5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6E2C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3 385,7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6644A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3 490,1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4B77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3 409,2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0748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3 307,1</w:t>
            </w:r>
          </w:p>
        </w:tc>
        <w:tc>
          <w:tcPr>
            <w:tcW w:w="146" w:type="dxa"/>
            <w:vAlign w:val="center"/>
            <w:hideMark/>
          </w:tcPr>
          <w:p w14:paraId="55E24BF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4EBABB5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2405EA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Chorvatsko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03B0C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853,1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A0D8A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1 012,4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4077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835,9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BE10D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867,9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98774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906,5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238AB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989,0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8E999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984,3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6AB9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1 044,2</w:t>
            </w:r>
          </w:p>
        </w:tc>
        <w:tc>
          <w:tcPr>
            <w:tcW w:w="146" w:type="dxa"/>
            <w:vAlign w:val="center"/>
            <w:hideMark/>
          </w:tcPr>
          <w:p w14:paraId="4E119E1D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00A3D6FA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270B2F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Irsko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E4C80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948,0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DB09C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955,0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13624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809,6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DF3B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1 036,1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C917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1 072,0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5937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924,0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C630A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768,9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4CE4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1 115,9</w:t>
            </w:r>
          </w:p>
        </w:tc>
        <w:tc>
          <w:tcPr>
            <w:tcW w:w="146" w:type="dxa"/>
            <w:vAlign w:val="center"/>
            <w:hideMark/>
          </w:tcPr>
          <w:p w14:paraId="2DAA7DAB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FB79A58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7ADDBC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Itálie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992F8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2 228,9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0C57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2 004,7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434A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1 682,6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44680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1 711,8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860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1 619,2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7A63D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1 515,7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607E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1 477,1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AE5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1 456,0</w:t>
            </w:r>
          </w:p>
        </w:tc>
        <w:tc>
          <w:tcPr>
            <w:tcW w:w="146" w:type="dxa"/>
            <w:vAlign w:val="center"/>
            <w:hideMark/>
          </w:tcPr>
          <w:p w14:paraId="7AC2D6CE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0426DDAA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A8DF09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Kypr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81378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757,5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3C3F6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858,6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5890C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754,8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B71E0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571,5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06BB9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870,7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56942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697,3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7E53F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716,7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8F71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751,4</w:t>
            </w:r>
          </w:p>
        </w:tc>
        <w:tc>
          <w:tcPr>
            <w:tcW w:w="146" w:type="dxa"/>
            <w:vAlign w:val="center"/>
            <w:hideMark/>
          </w:tcPr>
          <w:p w14:paraId="1BDCE416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95E7918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1262AD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Litva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606F3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209,3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97B88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235,3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8EA5D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280,2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7D667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259,7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D023D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296,7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FBD5A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313,9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4167A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332,7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332E3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377,0</w:t>
            </w:r>
          </w:p>
        </w:tc>
        <w:tc>
          <w:tcPr>
            <w:tcW w:w="146" w:type="dxa"/>
            <w:vAlign w:val="center"/>
            <w:hideMark/>
          </w:tcPr>
          <w:p w14:paraId="4C81C48F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342B67C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584AB6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Lotyšsko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6FC6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139,1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7E2F3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195,6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E75B5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194,5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A77E7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224,5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AB194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222,8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F5C3A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248,0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F0E0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235,9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9AC7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246,6</w:t>
            </w:r>
          </w:p>
        </w:tc>
        <w:tc>
          <w:tcPr>
            <w:tcW w:w="146" w:type="dxa"/>
            <w:vAlign w:val="center"/>
            <w:hideMark/>
          </w:tcPr>
          <w:p w14:paraId="1D48F744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35ADD864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F712B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Lucembursko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521F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2 375,2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5B69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2 396,6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747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2 324,1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262EB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2 465,9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DAAD0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2 286,8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D874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2 255,8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AC0B4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2 510,8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A9EF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2 131,2</w:t>
            </w:r>
          </w:p>
        </w:tc>
        <w:tc>
          <w:tcPr>
            <w:tcW w:w="146" w:type="dxa"/>
            <w:vAlign w:val="center"/>
            <w:hideMark/>
          </w:tcPr>
          <w:p w14:paraId="76F1CF62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635FDE5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9533C7B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Maďarsko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4437D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546,3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1E0D7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531,1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66A9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534,4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63E1B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487,2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D738E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549,0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AE75F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569,2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F1721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722,2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B25D2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639,7</w:t>
            </w:r>
          </w:p>
        </w:tc>
        <w:tc>
          <w:tcPr>
            <w:tcW w:w="146" w:type="dxa"/>
            <w:vAlign w:val="center"/>
            <w:hideMark/>
          </w:tcPr>
          <w:p w14:paraId="12AD878E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BE7FA20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05A1396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Malta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AE095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2 080,9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9B3D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1 848,0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640CE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2 008,7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50043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1 888,1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BF577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1 863,7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8BA97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1 675,0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0A19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1 507,4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38DD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1 057,5</w:t>
            </w:r>
          </w:p>
        </w:tc>
        <w:tc>
          <w:tcPr>
            <w:tcW w:w="146" w:type="dxa"/>
            <w:vAlign w:val="center"/>
            <w:hideMark/>
          </w:tcPr>
          <w:p w14:paraId="2C149013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558F6EC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737390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Německo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2568A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2 226,3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BB22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2 369,1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5DFE1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2 202,5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ACC7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2 178,4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1FB7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2 124,2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08099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2 096,8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6418F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2 079,9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1F211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2 058,1</w:t>
            </w:r>
          </w:p>
        </w:tc>
        <w:tc>
          <w:tcPr>
            <w:tcW w:w="146" w:type="dxa"/>
            <w:vAlign w:val="center"/>
            <w:hideMark/>
          </w:tcPr>
          <w:p w14:paraId="064522E9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2C07D92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1059100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Nizozemsko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98A1F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2 362,4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A48F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2 268,7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1DE31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2 663,4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9E3F3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2 278,2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B70F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1 393,6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5909E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1 241,1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E6EE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1 304,1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52BC9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1 451,7</w:t>
            </w:r>
          </w:p>
        </w:tc>
        <w:tc>
          <w:tcPr>
            <w:tcW w:w="146" w:type="dxa"/>
            <w:vAlign w:val="center"/>
            <w:hideMark/>
          </w:tcPr>
          <w:p w14:paraId="371A9B31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615B110B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9E0A8D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Polsko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7AC2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693,9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6306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580,9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CD27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607,2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22C5A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540,8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0611E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525,2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EAA50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535,1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C93DD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537,7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56C54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518,1</w:t>
            </w:r>
          </w:p>
        </w:tc>
        <w:tc>
          <w:tcPr>
            <w:tcW w:w="146" w:type="dxa"/>
            <w:vAlign w:val="center"/>
            <w:hideMark/>
          </w:tcPr>
          <w:p w14:paraId="1DDA78DA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48C98104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A9C8A1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Portugalsko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82CF6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3 381,1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5CB46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3 537,0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81E6F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3 563,5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85EB1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3 618,8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7CF8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3 582,2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06A06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3 677,2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019D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3 589,5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1CD0C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3 563,4</w:t>
            </w:r>
          </w:p>
        </w:tc>
        <w:tc>
          <w:tcPr>
            <w:tcW w:w="146" w:type="dxa"/>
            <w:vAlign w:val="center"/>
            <w:hideMark/>
          </w:tcPr>
          <w:p w14:paraId="16835E68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77D39C42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56749FF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Rakousko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8EA9C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2 143,2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14381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1 961,3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8D3C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1 902,5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131D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1 840,2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02CA8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1 806,0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20251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1 749,8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3A9AF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2 102,3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590DB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2 072,6</w:t>
            </w:r>
          </w:p>
        </w:tc>
        <w:tc>
          <w:tcPr>
            <w:tcW w:w="146" w:type="dxa"/>
            <w:vAlign w:val="center"/>
            <w:hideMark/>
          </w:tcPr>
          <w:p w14:paraId="24700098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59566388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C1E9667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Rumunsko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7C9BC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67,8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71CBA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9ED11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72,5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FA4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76,7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6979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74,8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14F7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85,8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1A3F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87,4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6C864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91,8</w:t>
            </w:r>
          </w:p>
        </w:tc>
        <w:tc>
          <w:tcPr>
            <w:tcW w:w="146" w:type="dxa"/>
            <w:vAlign w:val="center"/>
            <w:hideMark/>
          </w:tcPr>
          <w:p w14:paraId="2569726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2AE3F3B8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354640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Řecko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D4EA0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530,5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22F42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519,0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FD14F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459,5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1A4CB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447,0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E653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  <w:highlight w:val="lightGray"/>
              </w:rPr>
            </w:pPr>
            <w:r w:rsidRPr="006464E5">
              <w:rPr>
                <w:rFonts w:cs="Arial"/>
                <w:sz w:val="16"/>
                <w:szCs w:val="16"/>
                <w:highlight w:val="lightGray"/>
              </w:rPr>
              <w:t>152,1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7DF3A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241,4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FA27F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229,1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F43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236,4</w:t>
            </w:r>
          </w:p>
        </w:tc>
        <w:tc>
          <w:tcPr>
            <w:tcW w:w="146" w:type="dxa"/>
            <w:vAlign w:val="center"/>
            <w:hideMark/>
          </w:tcPr>
          <w:p w14:paraId="4F91E3FB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4272BA17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609A407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Slovensko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E64D4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520,6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2F612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444,9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ADFBA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421,2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B957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426,9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C1329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414,9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BDE40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525,9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E2BED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533,5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BFD1D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530,9</w:t>
            </w:r>
          </w:p>
        </w:tc>
        <w:tc>
          <w:tcPr>
            <w:tcW w:w="146" w:type="dxa"/>
            <w:vAlign w:val="center"/>
            <w:hideMark/>
          </w:tcPr>
          <w:p w14:paraId="0FE0E9B7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031D4A2E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659EF6E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Slovinsko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43181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1 984,3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000EF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2 006,8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4BB13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1 787,7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A696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1 594,7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9F61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1 627,1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31FB1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1 658,8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601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1 556,7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46DA7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1 636,7</w:t>
            </w:r>
          </w:p>
        </w:tc>
        <w:tc>
          <w:tcPr>
            <w:tcW w:w="146" w:type="dxa"/>
            <w:vAlign w:val="center"/>
            <w:hideMark/>
          </w:tcPr>
          <w:p w14:paraId="41AF74B6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7C193606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B374F2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Španělsko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9A1E2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3 558,5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840F3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3 421,7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8A8A5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2 889,6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7A78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2 909,0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6D363E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3 220,4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6B26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3 150,9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B6F70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3 209,8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2EB62F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3 267,7</w:t>
            </w:r>
          </w:p>
        </w:tc>
        <w:tc>
          <w:tcPr>
            <w:tcW w:w="146" w:type="dxa"/>
            <w:vAlign w:val="center"/>
            <w:hideMark/>
          </w:tcPr>
          <w:p w14:paraId="210FF43B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F8FF1E0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3A8607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Švédsko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34B281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888,6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B0D15C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874,2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8FB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901,4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030CE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875,0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3634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759,8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3337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768,7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B26D2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796,2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BCF9B0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774,3</w:t>
            </w:r>
          </w:p>
        </w:tc>
        <w:tc>
          <w:tcPr>
            <w:tcW w:w="146" w:type="dxa"/>
            <w:vAlign w:val="center"/>
            <w:hideMark/>
          </w:tcPr>
          <w:p w14:paraId="06C3C602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  <w:tr w:rsidR="006464E5" w:rsidRPr="006464E5" w14:paraId="11A9C937" w14:textId="77777777" w:rsidTr="00633050">
        <w:trPr>
          <w:trHeight w:val="288"/>
        </w:trPr>
        <w:tc>
          <w:tcPr>
            <w:tcW w:w="160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3EEC39" w14:textId="77777777" w:rsidR="006464E5" w:rsidRPr="006464E5" w:rsidRDefault="006464E5" w:rsidP="006464E5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Velká Británie</w:t>
            </w:r>
          </w:p>
        </w:tc>
        <w:tc>
          <w:tcPr>
            <w:tcW w:w="956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F93C5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1 031,2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8CDCB3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1 021,1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FBABF9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894,3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014D58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989,6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00F34B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1 015,3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28BA4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918,3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33F51D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864,6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4F078A" w14:textId="77777777" w:rsidR="006464E5" w:rsidRPr="006464E5" w:rsidRDefault="006464E5" w:rsidP="006464E5">
            <w:pPr>
              <w:spacing w:after="0" w:line="240" w:lineRule="auto"/>
              <w:jc w:val="right"/>
              <w:rPr>
                <w:rFonts w:cs="Arial"/>
                <w:sz w:val="16"/>
                <w:szCs w:val="16"/>
              </w:rPr>
            </w:pPr>
            <w:r w:rsidRPr="006464E5">
              <w:rPr>
                <w:rFonts w:cs="Arial"/>
                <w:sz w:val="16"/>
                <w:szCs w:val="16"/>
              </w:rPr>
              <w:t>841,0</w:t>
            </w:r>
          </w:p>
        </w:tc>
        <w:tc>
          <w:tcPr>
            <w:tcW w:w="146" w:type="dxa"/>
            <w:vAlign w:val="center"/>
            <w:hideMark/>
          </w:tcPr>
          <w:p w14:paraId="0DE12735" w14:textId="77777777" w:rsidR="006464E5" w:rsidRPr="006464E5" w:rsidRDefault="006464E5" w:rsidP="006464E5">
            <w:pPr>
              <w:spacing w:after="0" w:line="240" w:lineRule="auto"/>
              <w:rPr>
                <w:rFonts w:ascii="Times New Roman" w:hAnsi="Times New Roman"/>
                <w:szCs w:val="20"/>
              </w:rPr>
            </w:pPr>
          </w:p>
        </w:tc>
      </w:tr>
    </w:tbl>
    <w:p w14:paraId="2CD04F5B" w14:textId="4E0E4CAA" w:rsidR="007B2E56" w:rsidRPr="00CA58EE" w:rsidRDefault="007B2E56" w:rsidP="008F1CE9">
      <w:pPr>
        <w:spacing w:before="240" w:after="120"/>
        <w:rPr>
          <w:sz w:val="16"/>
        </w:rPr>
      </w:pPr>
      <w:r w:rsidRPr="00932A71">
        <w:rPr>
          <w:sz w:val="16"/>
          <w:highlight w:val="lightGray"/>
        </w:rPr>
        <w:t>Přerušení v časové řadě</w:t>
      </w:r>
    </w:p>
    <w:p w14:paraId="30BC92E8" w14:textId="265AF6DF" w:rsidR="0067117F" w:rsidRPr="007B2E56" w:rsidRDefault="0067117F" w:rsidP="008F1CE9">
      <w:pPr>
        <w:spacing w:after="120"/>
        <w:rPr>
          <w:sz w:val="18"/>
          <w:szCs w:val="28"/>
        </w:rPr>
      </w:pPr>
      <w:r w:rsidRPr="007B2E56">
        <w:rPr>
          <w:sz w:val="18"/>
          <w:szCs w:val="28"/>
        </w:rPr>
        <w:t>Zdroj: Eurostat (ESAW)</w:t>
      </w:r>
    </w:p>
    <w:p w14:paraId="77B6A271" w14:textId="6AEAC261" w:rsidR="00674574" w:rsidRDefault="00674574" w:rsidP="008F1CE9">
      <w:pPr>
        <w:spacing w:after="120"/>
        <w:jc w:val="both"/>
      </w:pPr>
      <w:r w:rsidRPr="00831FDF">
        <w:t xml:space="preserve">V oblasti </w:t>
      </w:r>
      <w:r w:rsidRPr="00633050">
        <w:rPr>
          <w:b/>
        </w:rPr>
        <w:t>smrtelných pracovních úrazů</w:t>
      </w:r>
      <w:r w:rsidRPr="00831FDF">
        <w:t xml:space="preserve"> se </w:t>
      </w:r>
      <w:r w:rsidRPr="00633050">
        <w:rPr>
          <w:b/>
        </w:rPr>
        <w:t>Česká republika</w:t>
      </w:r>
      <w:r w:rsidRPr="00831FDF">
        <w:t xml:space="preserve"> s hodnotou </w:t>
      </w:r>
      <w:r w:rsidR="001A09FF" w:rsidRPr="00831FDF">
        <w:t>2,1</w:t>
      </w:r>
      <w:r w:rsidRPr="00831FDF">
        <w:t xml:space="preserve"> smrtelných pracovních úrazů na</w:t>
      </w:r>
      <w:r w:rsidR="008A15C0" w:rsidRPr="00831FDF">
        <w:t> </w:t>
      </w:r>
      <w:r w:rsidRPr="00831FDF">
        <w:t>100</w:t>
      </w:r>
      <w:r w:rsidR="00812420">
        <w:t> </w:t>
      </w:r>
      <w:r w:rsidRPr="00831FDF">
        <w:t>tis. zaměstnaný</w:t>
      </w:r>
      <w:r w:rsidR="001A09FF" w:rsidRPr="00831FDF">
        <w:t>ch osob v roce 201</w:t>
      </w:r>
      <w:r w:rsidR="001068D1" w:rsidRPr="00831FDF">
        <w:t>7</w:t>
      </w:r>
      <w:r w:rsidR="001A09FF" w:rsidRPr="00831FDF">
        <w:t xml:space="preserve"> řadila </w:t>
      </w:r>
      <w:r w:rsidR="00633050">
        <w:t xml:space="preserve">taktéž </w:t>
      </w:r>
      <w:r w:rsidR="001A09FF" w:rsidRPr="00831FDF">
        <w:t xml:space="preserve">na </w:t>
      </w:r>
      <w:r w:rsidR="001A09FF" w:rsidRPr="00633050">
        <w:rPr>
          <w:b/>
        </w:rPr>
        <w:t>1</w:t>
      </w:r>
      <w:r w:rsidR="001068D1" w:rsidRPr="00633050">
        <w:rPr>
          <w:b/>
        </w:rPr>
        <w:t>7</w:t>
      </w:r>
      <w:r w:rsidRPr="00633050">
        <w:rPr>
          <w:b/>
        </w:rPr>
        <w:t xml:space="preserve">. místo </w:t>
      </w:r>
      <w:r w:rsidRPr="00831FDF">
        <w:t xml:space="preserve">v rámci </w:t>
      </w:r>
      <w:r w:rsidRPr="00633050">
        <w:rPr>
          <w:b/>
        </w:rPr>
        <w:t>EU28</w:t>
      </w:r>
      <w:r w:rsidR="001A09FF" w:rsidRPr="00831FDF">
        <w:t xml:space="preserve"> a dosahovala obdobné </w:t>
      </w:r>
      <w:r w:rsidR="00F03E5C" w:rsidRPr="00831FDF">
        <w:t>úrovně</w:t>
      </w:r>
      <w:r w:rsidR="001A09FF" w:rsidRPr="00831FDF">
        <w:t>, jako byl celoevropský průměr</w:t>
      </w:r>
      <w:r w:rsidRPr="00831FDF">
        <w:t>. Přibližně stejn</w:t>
      </w:r>
      <w:r w:rsidR="001068D1" w:rsidRPr="00831FDF">
        <w:t>ou</w:t>
      </w:r>
      <w:r w:rsidRPr="00831FDF">
        <w:t xml:space="preserve"> </w:t>
      </w:r>
      <w:r w:rsidR="00F03E5C" w:rsidRPr="00831FDF">
        <w:t>hodnot</w:t>
      </w:r>
      <w:r w:rsidR="001068D1" w:rsidRPr="00831FDF">
        <w:t>u</w:t>
      </w:r>
      <w:r w:rsidR="00F03E5C" w:rsidRPr="00831FDF">
        <w:t xml:space="preserve"> </w:t>
      </w:r>
      <w:r w:rsidR="001A09FF" w:rsidRPr="00831FDF">
        <w:t>vykazoval</w:t>
      </w:r>
      <w:r w:rsidR="001068D1" w:rsidRPr="00831FDF">
        <w:t>o</w:t>
      </w:r>
      <w:r w:rsidRPr="00831FDF">
        <w:t xml:space="preserve"> </w:t>
      </w:r>
      <w:r w:rsidR="001068D1" w:rsidRPr="00831FDF">
        <w:t>Řecko</w:t>
      </w:r>
      <w:r w:rsidR="001A09FF" w:rsidRPr="00831FDF">
        <w:t xml:space="preserve">. </w:t>
      </w:r>
      <w:r w:rsidRPr="00831FDF">
        <w:t>Nejvyšší míra smrtelné pracovní úrazovosti byla podle Eurostatu v </w:t>
      </w:r>
      <w:r w:rsidR="001068D1" w:rsidRPr="00831FDF">
        <w:t>Rumun</w:t>
      </w:r>
      <w:r w:rsidR="001A09FF" w:rsidRPr="00831FDF">
        <w:t>sku</w:t>
      </w:r>
      <w:r w:rsidRPr="00831FDF">
        <w:t xml:space="preserve"> (</w:t>
      </w:r>
      <w:r w:rsidR="00831FDF" w:rsidRPr="00831FDF">
        <w:t>5,7</w:t>
      </w:r>
      <w:r w:rsidRPr="00831FDF">
        <w:t xml:space="preserve"> smrtelných úrazů na 100</w:t>
      </w:r>
      <w:r w:rsidR="008A15C0" w:rsidRPr="00831FDF">
        <w:t> </w:t>
      </w:r>
      <w:r w:rsidRPr="00831FDF">
        <w:t>tis.</w:t>
      </w:r>
      <w:r w:rsidR="008A15C0" w:rsidRPr="00831FDF">
        <w:t> </w:t>
      </w:r>
      <w:r w:rsidRPr="00831FDF">
        <w:t>zaměstnaných osob),</w:t>
      </w:r>
      <w:r w:rsidR="00F54666" w:rsidRPr="00831FDF">
        <w:t xml:space="preserve"> tj. </w:t>
      </w:r>
      <w:r w:rsidR="00831FDF" w:rsidRPr="00831FDF">
        <w:t>více než 2,5násobek</w:t>
      </w:r>
      <w:r w:rsidR="00F54666" w:rsidRPr="00831FDF">
        <w:t xml:space="preserve"> české hodnoty. V</w:t>
      </w:r>
      <w:r w:rsidRPr="00831FDF">
        <w:t xml:space="preserve">yšší míru smrtelné pracovní úrazovosti (nad hranicí </w:t>
      </w:r>
      <w:r w:rsidR="00831FDF" w:rsidRPr="00831FDF">
        <w:t>4</w:t>
      </w:r>
      <w:r w:rsidRPr="00831FDF">
        <w:t xml:space="preserve"> smrtelných úrazů) </w:t>
      </w:r>
      <w:r w:rsidR="00C156AC" w:rsidRPr="00831FDF">
        <w:t>zaznamenali</w:t>
      </w:r>
      <w:r w:rsidRPr="00831FDF">
        <w:t xml:space="preserve"> v</w:t>
      </w:r>
      <w:r w:rsidR="00831FDF" w:rsidRPr="00831FDF">
        <w:t> Bulharsku a Rakousku</w:t>
      </w:r>
      <w:r w:rsidR="00282F1A" w:rsidRPr="00831FDF">
        <w:t>.</w:t>
      </w:r>
      <w:r w:rsidRPr="00831FDF">
        <w:t xml:space="preserve"> Nejnižší míra smrtelné pracovní úrazovosti byla v roce 201</w:t>
      </w:r>
      <w:r w:rsidR="00831FDF" w:rsidRPr="00831FDF">
        <w:t>7</w:t>
      </w:r>
      <w:r w:rsidRPr="00831FDF">
        <w:t xml:space="preserve"> </w:t>
      </w:r>
      <w:r w:rsidR="00831FDF" w:rsidRPr="00831FDF">
        <w:t xml:space="preserve">na Maltě (0,6). Dalšími státy s hodnotou </w:t>
      </w:r>
      <w:r w:rsidR="00077C3C">
        <w:t>nižší než</w:t>
      </w:r>
      <w:r w:rsidR="00077C3C" w:rsidRPr="00831FDF">
        <w:t xml:space="preserve"> </w:t>
      </w:r>
      <w:r w:rsidR="00831FDF" w:rsidRPr="00831FDF">
        <w:t xml:space="preserve">1 </w:t>
      </w:r>
      <w:r w:rsidR="00077C3C" w:rsidRPr="00831FDF">
        <w:t>smrteln</w:t>
      </w:r>
      <w:r w:rsidR="00077C3C">
        <w:t>ý</w:t>
      </w:r>
      <w:r w:rsidR="00077C3C" w:rsidRPr="00831FDF">
        <w:t xml:space="preserve"> </w:t>
      </w:r>
      <w:r w:rsidR="00831FDF" w:rsidRPr="00831FDF">
        <w:t>pracovní úraz na 100 tis. zaměstnaných osob byly Nizozemsko a Kypr.</w:t>
      </w:r>
    </w:p>
    <w:p w14:paraId="6BF57FD1" w14:textId="751DCC09" w:rsidR="00784CF6" w:rsidRPr="00784CF6" w:rsidRDefault="00784CF6" w:rsidP="00766701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784CF6">
        <w:rPr>
          <w:b/>
          <w:i w:val="0"/>
          <w:color w:val="auto"/>
          <w:sz w:val="20"/>
        </w:rPr>
        <w:lastRenderedPageBreak/>
        <w:t>Graf 6.2: Smrtelné pracovní úrazy v</w:t>
      </w:r>
      <w:r>
        <w:rPr>
          <w:b/>
          <w:i w:val="0"/>
          <w:color w:val="auto"/>
          <w:sz w:val="20"/>
        </w:rPr>
        <w:t xml:space="preserve"> zemích </w:t>
      </w:r>
      <w:r w:rsidRPr="00784CF6">
        <w:rPr>
          <w:b/>
          <w:i w:val="0"/>
          <w:color w:val="auto"/>
          <w:sz w:val="20"/>
        </w:rPr>
        <w:t>EU (standardizovaná míra výskytu</w:t>
      </w:r>
      <w:r w:rsidR="006C2905">
        <w:rPr>
          <w:b/>
          <w:i w:val="0"/>
          <w:color w:val="auto"/>
          <w:sz w:val="20"/>
        </w:rPr>
        <w:t xml:space="preserve"> na 100 000 zaměstnaných osob</w:t>
      </w:r>
      <w:r w:rsidRPr="00784CF6">
        <w:rPr>
          <w:b/>
          <w:i w:val="0"/>
          <w:color w:val="auto"/>
          <w:sz w:val="20"/>
        </w:rPr>
        <w:t>)</w:t>
      </w:r>
      <w:r w:rsidR="006C2905">
        <w:rPr>
          <w:b/>
          <w:i w:val="0"/>
          <w:color w:val="auto"/>
          <w:sz w:val="20"/>
        </w:rPr>
        <w:t>,</w:t>
      </w:r>
      <w:r w:rsidR="006C2905" w:rsidRPr="00784CF6">
        <w:rPr>
          <w:b/>
          <w:i w:val="0"/>
          <w:color w:val="auto"/>
          <w:sz w:val="20"/>
        </w:rPr>
        <w:t xml:space="preserve"> 201</w:t>
      </w:r>
      <w:r w:rsidR="006C2905">
        <w:rPr>
          <w:b/>
          <w:i w:val="0"/>
          <w:color w:val="auto"/>
          <w:sz w:val="20"/>
        </w:rPr>
        <w:t>7</w:t>
      </w:r>
    </w:p>
    <w:p w14:paraId="1EF791A6" w14:textId="6E839FC4" w:rsidR="00784CF6" w:rsidRPr="001D758B" w:rsidRDefault="00CF5338" w:rsidP="00766701">
      <w:pPr>
        <w:spacing w:before="120" w:after="120"/>
        <w:jc w:val="both"/>
      </w:pPr>
      <w:r>
        <w:rPr>
          <w:noProof/>
        </w:rPr>
        <w:drawing>
          <wp:inline distT="0" distB="0" distL="0" distR="0" wp14:anchorId="502E1E3A" wp14:editId="68A59A82">
            <wp:extent cx="6070600" cy="4504267"/>
            <wp:effectExtent l="0" t="0" r="6350" b="10795"/>
            <wp:docPr id="25" name="Graf 25">
              <a:extLst xmlns:a="http://schemas.openxmlformats.org/drawingml/2006/main">
                <a:ext uri="{FF2B5EF4-FFF2-40B4-BE49-F238E27FC236}">
                  <a16:creationId xmlns:a16="http://schemas.microsoft.com/office/drawing/2014/main" id="{6E168A6E-5DF5-4FB6-9EF6-161F812D48F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  <w:r w:rsidR="00784CF6" w:rsidRPr="007B2E56">
        <w:rPr>
          <w:sz w:val="18"/>
          <w:szCs w:val="28"/>
        </w:rPr>
        <w:t>Zdroj: Eurostat (ESAW)</w:t>
      </w:r>
    </w:p>
    <w:p w14:paraId="2DC0CB1F" w14:textId="73FC9A51" w:rsidR="00784CF6" w:rsidRDefault="00784CF6" w:rsidP="00766701">
      <w:pPr>
        <w:spacing w:after="120"/>
        <w:jc w:val="both"/>
      </w:pPr>
      <w:r w:rsidRPr="00154634">
        <w:t xml:space="preserve">Vývoj smrtelné pracovní úrazovosti v posledních pěti letech v jednotlivých </w:t>
      </w:r>
      <w:r w:rsidR="00282F1A" w:rsidRPr="00154634">
        <w:t xml:space="preserve">zemích EU je patrný z tab. 6.2. </w:t>
      </w:r>
      <w:r w:rsidR="00ED5BBF">
        <w:t>N</w:t>
      </w:r>
      <w:r w:rsidR="00B47FF7" w:rsidRPr="00154634">
        <w:t>ejvě</w:t>
      </w:r>
      <w:r w:rsidR="00C156AC" w:rsidRPr="00154634">
        <w:t xml:space="preserve">tší pokles byl patrný na ostrovech Kypr – </w:t>
      </w:r>
      <w:r w:rsidR="00B47FF7" w:rsidRPr="00154634">
        <w:t xml:space="preserve">o </w:t>
      </w:r>
      <w:r w:rsidR="00154634" w:rsidRPr="00154634">
        <w:t>77</w:t>
      </w:r>
      <w:r w:rsidR="00B47FF7" w:rsidRPr="00154634">
        <w:t xml:space="preserve"> % a </w:t>
      </w:r>
      <w:r w:rsidR="004F4000">
        <w:t>Malta</w:t>
      </w:r>
      <w:r w:rsidR="00B47FF7" w:rsidRPr="00154634">
        <w:t xml:space="preserve"> </w:t>
      </w:r>
      <w:r w:rsidR="00C156AC" w:rsidRPr="00154634">
        <w:t xml:space="preserve">– </w:t>
      </w:r>
      <w:r w:rsidR="00B47FF7" w:rsidRPr="00154634">
        <w:t xml:space="preserve">o </w:t>
      </w:r>
      <w:r w:rsidR="00154634" w:rsidRPr="00154634">
        <w:t>8</w:t>
      </w:r>
      <w:r w:rsidR="00B47FF7" w:rsidRPr="00154634">
        <w:t>8</w:t>
      </w:r>
      <w:r w:rsidR="00ED5BBF">
        <w:t> </w:t>
      </w:r>
      <w:r w:rsidR="00B47FF7" w:rsidRPr="00154634">
        <w:t>%.</w:t>
      </w:r>
    </w:p>
    <w:p w14:paraId="7FE6AD08" w14:textId="77777777" w:rsidR="004744DF" w:rsidRDefault="004744DF">
      <w:pPr>
        <w:spacing w:after="0" w:line="240" w:lineRule="auto"/>
        <w:rPr>
          <w:b/>
          <w:iCs/>
          <w:szCs w:val="18"/>
        </w:rPr>
      </w:pPr>
      <w:r>
        <w:rPr>
          <w:b/>
          <w:i/>
        </w:rPr>
        <w:br w:type="page"/>
      </w:r>
    </w:p>
    <w:p w14:paraId="0FBDF392" w14:textId="7F451BA6" w:rsidR="00784CF6" w:rsidRPr="00784CF6" w:rsidRDefault="00784CF6" w:rsidP="00CA6C66">
      <w:pPr>
        <w:pStyle w:val="Titulek"/>
        <w:keepNext/>
        <w:spacing w:after="60"/>
        <w:jc w:val="both"/>
        <w:rPr>
          <w:b/>
          <w:i w:val="0"/>
          <w:color w:val="auto"/>
          <w:sz w:val="20"/>
        </w:rPr>
      </w:pPr>
      <w:r w:rsidRPr="00784CF6">
        <w:rPr>
          <w:b/>
          <w:i w:val="0"/>
          <w:color w:val="auto"/>
          <w:sz w:val="20"/>
        </w:rPr>
        <w:lastRenderedPageBreak/>
        <w:t>Tab</w:t>
      </w:r>
      <w:r w:rsidR="00C156AC">
        <w:rPr>
          <w:b/>
          <w:i w:val="0"/>
          <w:color w:val="auto"/>
          <w:sz w:val="20"/>
        </w:rPr>
        <w:t>.</w:t>
      </w:r>
      <w:r w:rsidRPr="00784CF6">
        <w:rPr>
          <w:b/>
          <w:i w:val="0"/>
          <w:color w:val="auto"/>
          <w:sz w:val="20"/>
        </w:rPr>
        <w:t xml:space="preserve"> 6.2: Smrtelné pracovní úrazy v zemích EU</w:t>
      </w:r>
      <w:r w:rsidR="006C2905">
        <w:rPr>
          <w:b/>
          <w:i w:val="0"/>
          <w:color w:val="auto"/>
          <w:sz w:val="20"/>
        </w:rPr>
        <w:t xml:space="preserve"> (standardizovaná míra výskytu na 100 000 zaměstnaných osob)</w:t>
      </w:r>
      <w:r w:rsidR="00CF5338">
        <w:rPr>
          <w:b/>
          <w:i w:val="0"/>
          <w:color w:val="auto"/>
          <w:sz w:val="20"/>
        </w:rPr>
        <w:t xml:space="preserve">, </w:t>
      </w:r>
      <w:r w:rsidRPr="00784CF6">
        <w:rPr>
          <w:b/>
          <w:i w:val="0"/>
          <w:color w:val="auto"/>
          <w:sz w:val="20"/>
        </w:rPr>
        <w:t>201</w:t>
      </w:r>
      <w:r w:rsidR="00CF5338">
        <w:rPr>
          <w:b/>
          <w:i w:val="0"/>
          <w:color w:val="auto"/>
          <w:sz w:val="20"/>
        </w:rPr>
        <w:t>0</w:t>
      </w:r>
      <w:r w:rsidRPr="00784CF6">
        <w:rPr>
          <w:b/>
          <w:i w:val="0"/>
          <w:color w:val="auto"/>
          <w:sz w:val="20"/>
        </w:rPr>
        <w:t>–201</w:t>
      </w:r>
      <w:r w:rsidR="00CF5338">
        <w:rPr>
          <w:b/>
          <w:i w:val="0"/>
          <w:color w:val="auto"/>
          <w:sz w:val="20"/>
        </w:rPr>
        <w:t>7</w:t>
      </w:r>
    </w:p>
    <w:tbl>
      <w:tblPr>
        <w:tblW w:w="929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623"/>
        <w:gridCol w:w="958"/>
        <w:gridCol w:w="958"/>
        <w:gridCol w:w="958"/>
        <w:gridCol w:w="958"/>
        <w:gridCol w:w="957"/>
        <w:gridCol w:w="960"/>
        <w:gridCol w:w="957"/>
        <w:gridCol w:w="961"/>
      </w:tblGrid>
      <w:tr w:rsidR="005A0164" w:rsidRPr="00784CF6" w14:paraId="5827F9BF" w14:textId="4AFC153E" w:rsidTr="00633050">
        <w:trPr>
          <w:trHeight w:val="289"/>
        </w:trPr>
        <w:tc>
          <w:tcPr>
            <w:tcW w:w="162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5DADD"/>
            <w:vAlign w:val="center"/>
            <w:hideMark/>
          </w:tcPr>
          <w:p w14:paraId="0F9F5943" w14:textId="007E69A2" w:rsidR="005A0164" w:rsidRPr="00784CF6" w:rsidRDefault="006C2905" w:rsidP="006C2905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Členské státy EU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6F301044" w14:textId="6C697B92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2010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21ECF1FF" w14:textId="11E6343A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2011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1A0C8FB1" w14:textId="68DA70A4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2012</w:t>
            </w:r>
          </w:p>
        </w:tc>
        <w:tc>
          <w:tcPr>
            <w:tcW w:w="95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6EF13AC9" w14:textId="508726B5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2013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vAlign w:val="center"/>
          </w:tcPr>
          <w:p w14:paraId="7E33F1BC" w14:textId="2A9779E9" w:rsid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2014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noWrap/>
            <w:vAlign w:val="center"/>
          </w:tcPr>
          <w:p w14:paraId="376927C8" w14:textId="19B016F4" w:rsidR="005A0164" w:rsidRPr="00784CF6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2015</w:t>
            </w:r>
          </w:p>
        </w:tc>
        <w:tc>
          <w:tcPr>
            <w:tcW w:w="957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vAlign w:val="center"/>
          </w:tcPr>
          <w:p w14:paraId="2C2EB47C" w14:textId="7521DC75" w:rsid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2016</w:t>
            </w:r>
          </w:p>
        </w:tc>
        <w:tc>
          <w:tcPr>
            <w:tcW w:w="96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000000" w:fill="F5DADD"/>
            <w:vAlign w:val="center"/>
          </w:tcPr>
          <w:p w14:paraId="43C7C9DC" w14:textId="11710DAE" w:rsid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2017</w:t>
            </w:r>
          </w:p>
        </w:tc>
      </w:tr>
      <w:tr w:rsidR="005A0164" w:rsidRPr="00784CF6" w14:paraId="59E263AB" w14:textId="6297CAB2" w:rsidTr="00633050">
        <w:trPr>
          <w:trHeight w:val="289"/>
        </w:trPr>
        <w:tc>
          <w:tcPr>
            <w:tcW w:w="162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0A50947" w14:textId="77777777" w:rsidR="005A0164" w:rsidRPr="00784CF6" w:rsidRDefault="005A0164" w:rsidP="005A0164">
            <w:pPr>
              <w:spacing w:after="0" w:line="240" w:lineRule="auto"/>
              <w:rPr>
                <w:rFonts w:cs="Arial"/>
                <w:b/>
                <w:bCs/>
                <w:sz w:val="16"/>
                <w:szCs w:val="16"/>
              </w:rPr>
            </w:pPr>
            <w:r w:rsidRPr="00784CF6">
              <w:rPr>
                <w:rFonts w:cs="Arial"/>
                <w:b/>
                <w:bCs/>
                <w:sz w:val="16"/>
                <w:szCs w:val="16"/>
              </w:rPr>
              <w:t>EU28</w:t>
            </w:r>
          </w:p>
        </w:tc>
        <w:tc>
          <w:tcPr>
            <w:tcW w:w="958" w:type="dxa"/>
            <w:tcBorders>
              <w:top w:val="single" w:sz="8" w:space="0" w:color="auto"/>
              <w:left w:val="single" w:sz="8" w:space="0" w:color="auto"/>
            </w:tcBorders>
            <w:shd w:val="clear" w:color="auto" w:fill="auto"/>
            <w:noWrap/>
            <w:vAlign w:val="center"/>
          </w:tcPr>
          <w:p w14:paraId="2661AA0F" w14:textId="6AFFA979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2,66</w:t>
            </w:r>
          </w:p>
        </w:tc>
        <w:tc>
          <w:tcPr>
            <w:tcW w:w="95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0BC5BCF2" w14:textId="37973CD5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2,54</w:t>
            </w:r>
          </w:p>
        </w:tc>
        <w:tc>
          <w:tcPr>
            <w:tcW w:w="95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BEE4BEF" w14:textId="40057CD6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2,42</w:t>
            </w:r>
          </w:p>
        </w:tc>
        <w:tc>
          <w:tcPr>
            <w:tcW w:w="958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3FE3D642" w14:textId="2D930632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2,26</w:t>
            </w:r>
          </w:p>
        </w:tc>
        <w:tc>
          <w:tcPr>
            <w:tcW w:w="95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5294A937" w14:textId="7C616794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2,33</w:t>
            </w:r>
          </w:p>
        </w:tc>
        <w:tc>
          <w:tcPr>
            <w:tcW w:w="960" w:type="dxa"/>
            <w:tcBorders>
              <w:top w:val="single" w:sz="8" w:space="0" w:color="auto"/>
            </w:tcBorders>
            <w:shd w:val="clear" w:color="auto" w:fill="auto"/>
            <w:noWrap/>
            <w:vAlign w:val="center"/>
          </w:tcPr>
          <w:p w14:paraId="229F71ED" w14:textId="3FCF9A8B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2,39</w:t>
            </w:r>
          </w:p>
        </w:tc>
        <w:tc>
          <w:tcPr>
            <w:tcW w:w="957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17F01AF7" w14:textId="1A68910D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2,15</w:t>
            </w:r>
          </w:p>
        </w:tc>
        <w:tc>
          <w:tcPr>
            <w:tcW w:w="961" w:type="dxa"/>
            <w:tcBorders>
              <w:top w:val="single" w:sz="8" w:space="0" w:color="auto"/>
            </w:tcBorders>
            <w:shd w:val="clear" w:color="auto" w:fill="auto"/>
            <w:vAlign w:val="center"/>
          </w:tcPr>
          <w:p w14:paraId="7447FD55" w14:textId="38916F4C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2,12</w:t>
            </w:r>
          </w:p>
        </w:tc>
      </w:tr>
      <w:tr w:rsidR="005A0164" w:rsidRPr="00784CF6" w14:paraId="0F955D6D" w14:textId="08CE8A96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67767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Belgie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41EF93EB" w14:textId="6D156A7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F0A6E9F" w14:textId="3E678CB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4,48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E4291D7" w14:textId="258DA3E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2,09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AE1DB45" w14:textId="45D62FA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5694BAC" w14:textId="44EE3BB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  <w:highlight w:val="lightGray"/>
              </w:rPr>
              <w:t>1,72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5A5AAC7" w14:textId="0275712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2,39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5FE3A25" w14:textId="6E82122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2,27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76A754C3" w14:textId="0EFF0BC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2,32</w:t>
            </w:r>
          </w:p>
        </w:tc>
      </w:tr>
      <w:tr w:rsidR="005A0164" w:rsidRPr="00784CF6" w14:paraId="6BC8C114" w14:textId="0C6BA67E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DDCDC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Bulharsko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A7EE1F4" w14:textId="69A2131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4,56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0AF1532" w14:textId="6972D4A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4,57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7CD0AE9" w14:textId="75563B2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4,65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0286E20" w14:textId="0828317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3,72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4202E01" w14:textId="08FF7F0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5,43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A15A787" w14:textId="4CB8D14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4,31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6F8596B" w14:textId="6940C72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3,74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8DEE7BF" w14:textId="752474B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4,30</w:t>
            </w:r>
          </w:p>
        </w:tc>
      </w:tr>
      <w:tr w:rsidR="005A0164" w:rsidRPr="00784CF6" w14:paraId="0965FD9B" w14:textId="3A6D582A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FA410B5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b/>
                <w:bCs/>
                <w:sz w:val="16"/>
                <w:szCs w:val="16"/>
              </w:rPr>
            </w:pPr>
            <w:r w:rsidRPr="00784CF6">
              <w:rPr>
                <w:rFonts w:cs="Arial"/>
                <w:b/>
                <w:bCs/>
                <w:sz w:val="16"/>
                <w:szCs w:val="16"/>
              </w:rPr>
              <w:t>Česká republika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421ADB9" w14:textId="09C38505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3,35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B124E00" w14:textId="129E52A5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3,96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8472DE4" w14:textId="5ED54667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2,96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DB86023" w14:textId="36FABBAE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2,68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19411B3" w14:textId="4BFEC905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2,61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54D1686" w14:textId="0872913F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3,44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2EE8BF4" w14:textId="2E3ADBDB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2,19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FDC0B91" w14:textId="23111C5A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b/>
                <w:bCs/>
                <w:sz w:val="16"/>
                <w:szCs w:val="16"/>
              </w:rPr>
            </w:pPr>
            <w:r w:rsidRPr="001068D1">
              <w:rPr>
                <w:rFonts w:cs="Arial"/>
                <w:b/>
                <w:bCs/>
                <w:sz w:val="16"/>
                <w:szCs w:val="16"/>
              </w:rPr>
              <w:t>2,10</w:t>
            </w:r>
          </w:p>
        </w:tc>
      </w:tr>
      <w:tr w:rsidR="005A0164" w:rsidRPr="00784CF6" w14:paraId="7CBFAD65" w14:textId="07B47805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8BEDE81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Dánsko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3D6AC15F" w14:textId="2CD2C99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389306E" w14:textId="6279809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113BA6A" w14:textId="6A46D6C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CE32ECD" w14:textId="3AAB6E4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36D6AB1" w14:textId="5DB2AB0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2875473" w14:textId="2A571FF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DAB0887" w14:textId="6B719E4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1,92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16D1017" w14:textId="00D1939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1,27</w:t>
            </w:r>
          </w:p>
        </w:tc>
      </w:tr>
      <w:tr w:rsidR="005A0164" w:rsidRPr="00784CF6" w14:paraId="4C0662E1" w14:textId="400F05A4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06BF1ED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Estonsko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82D0337" w14:textId="2D8D59B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3,78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1E120F5" w14:textId="031899B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4BA37E4" w14:textId="61CDFDB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6FED3FC" w14:textId="368B1A9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CA26994" w14:textId="11884B4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2,16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9174031" w14:textId="34BBD72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E4CABED" w14:textId="2538D0A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4,59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B5842C4" w14:textId="0FA94AF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1,02</w:t>
            </w:r>
          </w:p>
        </w:tc>
      </w:tr>
      <w:tr w:rsidR="005A0164" w:rsidRPr="00784CF6" w14:paraId="66790A01" w14:textId="2406190B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C0C2BBB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Finsko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69F65E2D" w14:textId="22B8690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B87DBDC" w14:textId="6CADDDB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60A55E6" w14:textId="651EA1B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1,92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58E1D44" w14:textId="632F088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7779F72" w14:textId="1E67FAF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1,74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80582D5" w14:textId="1613A53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1,78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1C2C337" w14:textId="0AB6979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8FB8B8C" w14:textId="19E11B9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1,44</w:t>
            </w:r>
          </w:p>
        </w:tc>
      </w:tr>
      <w:tr w:rsidR="005A0164" w:rsidRPr="00784CF6" w14:paraId="657669AB" w14:textId="05253774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C81C664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Francie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9A4D81A" w14:textId="17A0E77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3,07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40314E5" w14:textId="6BEC7D7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8,11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545588D" w14:textId="6A9649F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062FE61" w14:textId="22A0A62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748DC0E" w14:textId="08131810" w:rsidR="005A0164" w:rsidRPr="001068D1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  <w:highlight w:val="lightGray"/>
              </w:rPr>
            </w:pPr>
            <w:r w:rsidRPr="001068D1">
              <w:rPr>
                <w:rFonts w:cs="Arial"/>
                <w:sz w:val="16"/>
                <w:szCs w:val="16"/>
                <w:highlight w:val="lightGray"/>
              </w:rPr>
              <w:t>3,74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0C58B1A" w14:textId="5F8ED4E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BA345A8" w14:textId="0589CF5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4,14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7FCD1C74" w14:textId="12E45CB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068D1">
              <w:rPr>
                <w:rFonts w:cs="Arial"/>
                <w:sz w:val="16"/>
                <w:szCs w:val="16"/>
                <w:highlight w:val="lightGray"/>
              </w:rPr>
              <w:t>3,58</w:t>
            </w:r>
          </w:p>
        </w:tc>
      </w:tr>
      <w:tr w:rsidR="005A0164" w:rsidRPr="00784CF6" w14:paraId="13600888" w14:textId="7AC97AA2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C0ABB4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Chorvatsko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1C87BF0E" w14:textId="12DC782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3,25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EB94B70" w14:textId="5DC62BC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58FC8E0" w14:textId="168A53D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4,57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81A1444" w14:textId="53BE9A0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2,41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2414CC5" w14:textId="52279FE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B8834D7" w14:textId="552D9AC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DA12CC8" w14:textId="5197EA4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3,06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E7299A8" w14:textId="4C02CCA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2,81</w:t>
            </w:r>
          </w:p>
        </w:tc>
      </w:tr>
      <w:tr w:rsidR="005A0164" w:rsidRPr="00784CF6" w14:paraId="6E2AF713" w14:textId="2D7D7ECD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633F683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Irsko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7284E6C3" w14:textId="2EF950C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F95CB9C" w14:textId="2271107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0B11AC7" w14:textId="6692304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55D2EEB" w14:textId="1152D55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2,70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26031EE" w14:textId="31CFDB6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2DDB30D" w14:textId="0E21B67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7FEC58A" w14:textId="3E62EE1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42763DDD" w14:textId="7453EA6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2,53</w:t>
            </w:r>
          </w:p>
        </w:tc>
      </w:tr>
      <w:tr w:rsidR="005A0164" w:rsidRPr="00784CF6" w14:paraId="665F14CA" w14:textId="4D301463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1558FB0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Itálie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4A76091C" w14:textId="2D9D6E8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D485D87" w14:textId="52543E4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3,30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C38C7A1" w14:textId="04E6AB2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94F3F2F" w14:textId="20418E5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B945BBA" w14:textId="0DFEE49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3,01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037C3CB" w14:textId="0694632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3,11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45D99C2" w14:textId="05AC910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488AF048" w14:textId="4844ACC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2,47</w:t>
            </w:r>
          </w:p>
        </w:tc>
      </w:tr>
      <w:tr w:rsidR="005A0164" w:rsidRPr="00784CF6" w14:paraId="6C318FB5" w14:textId="1530DD97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8AD859D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Kypr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63EBB804" w14:textId="0BA6621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6,85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4FF6571" w14:textId="0DA55C6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4,03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4E380C9" w14:textId="1BD7D7C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6D0659B" w14:textId="427CE14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A723A03" w14:textId="4BDA41C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2,60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3D6A2D4" w14:textId="0F1AF80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1,53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FE21CB4" w14:textId="18A9812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1,92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EB19EC2" w14:textId="39CD7F6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0,85</w:t>
            </w:r>
          </w:p>
        </w:tc>
      </w:tr>
      <w:tr w:rsidR="005A0164" w:rsidRPr="00784CF6" w14:paraId="34DDF4D3" w14:textId="4F243518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462F3C9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Litva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32F488D" w14:textId="090E3B3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4,93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7FF1D97" w14:textId="1B9C728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4,83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11F17ED" w14:textId="5BE240B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6,26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0E5B26B" w14:textId="11D8A11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5,00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630893E" w14:textId="3EA9B51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5,56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6FA8C1C" w14:textId="0F943DB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4,29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BE8598E" w14:textId="45108EF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4,39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B15B189" w14:textId="274877E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3,47</w:t>
            </w:r>
          </w:p>
        </w:tc>
      </w:tr>
      <w:tr w:rsidR="005A0164" w:rsidRPr="00784CF6" w14:paraId="4E01F4B4" w14:textId="4A48AA1D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0616A6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Lotyšsko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7E9FA987" w14:textId="02036B0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E37AE55" w14:textId="222C0C1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6,13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927CA52" w14:textId="0ED9ADC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5,25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68984A8" w14:textId="4FEC345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4,46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8E5CB40" w14:textId="33A1867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5,96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4B2E4D8" w14:textId="56AF486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277BAAB" w14:textId="1D7AAAA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5,45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0B2F01A" w14:textId="05F2C5A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2,79</w:t>
            </w:r>
          </w:p>
        </w:tc>
      </w:tr>
      <w:tr w:rsidR="005A0164" w:rsidRPr="00784CF6" w14:paraId="541DCA42" w14:textId="4BB1FFEB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C158D1C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Lucembursko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1D33E58" w14:textId="582EAE0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5,36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00B8146" w14:textId="4D96705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46B22F7" w14:textId="1F60821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5,16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D290A9C" w14:textId="546A6C1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9CB1344" w14:textId="11C184C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3,71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A88FB4E" w14:textId="480E7DC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4,39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3BD645C" w14:textId="6EFC5F2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10,80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6B3B87C" w14:textId="62DB8B3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2,59</w:t>
            </w:r>
          </w:p>
        </w:tc>
      </w:tr>
      <w:tr w:rsidR="005A0164" w:rsidRPr="00784CF6" w14:paraId="11FB4391" w14:textId="37B925EB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E52789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Maďarsko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132A7948" w14:textId="11D760B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3,25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F7B6FB5" w14:textId="1B79EAB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D796792" w14:textId="2F2D7D5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2,03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5870655" w14:textId="7F2E41C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1,75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B6EF0E6" w14:textId="2C9F557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80AD0DB" w14:textId="779DFFE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2,90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4CB8A8B" w14:textId="036F4D0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4F07D0A" w14:textId="5FEB1F8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2,63</w:t>
            </w:r>
          </w:p>
        </w:tc>
      </w:tr>
      <w:tr w:rsidR="005A0164" w:rsidRPr="00784CF6" w14:paraId="66CED621" w14:textId="28F9CC37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F5BDBA1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Malta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3205940B" w14:textId="0EA64E5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B0D3AD9" w14:textId="5A25159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0,82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59749EE" w14:textId="5BB95D3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7,60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7FC2B04" w14:textId="713A561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4,74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FDC910C" w14:textId="66053F9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4,63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00B2673" w14:textId="726472B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04F194A" w14:textId="1291DCE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3,95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121C1CD2" w14:textId="00D45EA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0,57</w:t>
            </w:r>
          </w:p>
        </w:tc>
      </w:tr>
      <w:tr w:rsidR="005A0164" w:rsidRPr="00784CF6" w14:paraId="77210535" w14:textId="5B8A58AA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F98D5A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Německo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BB0759C" w14:textId="1D17E46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B9CB931" w14:textId="6E4063F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1,52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6794646" w14:textId="3746F9A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589AB1E" w14:textId="38E37C3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7808E8E4" w14:textId="0A2124F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D7686DF" w14:textId="34931F0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1,27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DE19B29" w14:textId="0B19EB1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1,12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5784A52" w14:textId="7C5DB1B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1,19</w:t>
            </w:r>
          </w:p>
        </w:tc>
      </w:tr>
      <w:tr w:rsidR="005A0164" w:rsidRPr="00784CF6" w14:paraId="2E428A3F" w14:textId="52C82074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8D1A72F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Nizozemsko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E078354" w14:textId="38A20ED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145EB67" w14:textId="3178A9A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264CFF9" w14:textId="7D12422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08B392F" w14:textId="408129D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0,77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690C360" w14:textId="362DE16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068D1">
              <w:rPr>
                <w:rFonts w:cs="Arial"/>
                <w:sz w:val="16"/>
                <w:szCs w:val="16"/>
                <w:highlight w:val="lightGray"/>
              </w:rPr>
              <w:t>1,01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81D7C9E" w14:textId="192D529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C3E2384" w14:textId="7AC6FFD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291D4DC" w14:textId="3F52AF4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0,78</w:t>
            </w:r>
          </w:p>
        </w:tc>
      </w:tr>
      <w:tr w:rsidR="005A0164" w:rsidRPr="00784CF6" w14:paraId="53436F87" w14:textId="0F9FEA25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E6C5A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Polsko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94F8DE4" w14:textId="3C21577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C032B75" w14:textId="621B298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0A71A38" w14:textId="47143D9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2,55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5A5B3C8" w14:textId="6E8B89C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547319F" w14:textId="7A31221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30EEC68A" w14:textId="49F55F7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2,02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4253C9A" w14:textId="655C17F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04E64857" w14:textId="19115B3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1,84</w:t>
            </w:r>
          </w:p>
        </w:tc>
      </w:tr>
      <w:tr w:rsidR="005A0164" w:rsidRPr="00784CF6" w14:paraId="14630457" w14:textId="1171DC3E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D1A6E40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Portugalsko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5A046FC8" w14:textId="6625D4A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5,26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7412006" w14:textId="49E5350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4,94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8767441" w14:textId="79313F6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4,81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3568EA6" w14:textId="7159A8F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4,48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10A0E4CC" w14:textId="17B4944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4,72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7AAB3025" w14:textId="05AA363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4,62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204A221" w14:textId="6DEE0F6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3,96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81AF78F" w14:textId="60D1CA3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3,86</w:t>
            </w:r>
          </w:p>
        </w:tc>
      </w:tr>
      <w:tr w:rsidR="005A0164" w:rsidRPr="00784CF6" w14:paraId="4F65D82D" w14:textId="1D981C44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5AA2BB0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Rakousko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5C5ACD9C" w14:textId="545D36F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6,20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28ECF3D" w14:textId="6B46A9A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3,61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5BB10A69" w14:textId="10E7E63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4,42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1E94147" w14:textId="2B78287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4,23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772F02A" w14:textId="3BB6596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3,96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C7A002E" w14:textId="5D912A1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4,23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0D50C4A" w14:textId="2507EA5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5,44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F812515" w14:textId="3BB560A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4,11</w:t>
            </w:r>
          </w:p>
        </w:tc>
      </w:tr>
      <w:tr w:rsidR="005A0164" w:rsidRPr="00784CF6" w14:paraId="53CDBF90" w14:textId="4878824D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230CAB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Rumunsko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08A9B931" w14:textId="171238B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6,44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23241B3" w14:textId="384A7D4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8,67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D0F5303" w14:textId="1CB3E72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7,57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FF04B9F" w14:textId="3CB69F8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6,90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5F869402" w14:textId="4512BCE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7,13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091C8B5" w14:textId="7AE5F95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7,49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21C4F3C" w14:textId="639AFEA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6,11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522B9E8F" w14:textId="4C293A1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5,72</w:t>
            </w:r>
          </w:p>
        </w:tc>
      </w:tr>
      <w:tr w:rsidR="005A0164" w:rsidRPr="00784CF6" w14:paraId="1B2A881F" w14:textId="6E6EC4F0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73AE22A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Řecko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4903197C" w14:textId="3117551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0,94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16F574AE" w14:textId="64A67F3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1,39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189E763" w14:textId="626C1CCD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1,33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27EB94E" w14:textId="6899D5E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1,19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C197BBA" w14:textId="70B04BF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1068D1">
              <w:rPr>
                <w:rFonts w:cs="Arial"/>
                <w:sz w:val="16"/>
                <w:szCs w:val="16"/>
                <w:highlight w:val="lightGray"/>
              </w:rPr>
              <w:t>1,18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52978DDF" w14:textId="3660553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2,44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6F183F4" w14:textId="28B3230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2A862818" w14:textId="7B53DF3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1,96</w:t>
            </w:r>
          </w:p>
        </w:tc>
      </w:tr>
      <w:tr w:rsidR="005A0164" w:rsidRPr="00784CF6" w14:paraId="4D8E7FEA" w14:textId="77BCF2C3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9B4CB27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Slovensko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37E2725B" w14:textId="6727660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549E913" w14:textId="5BA8389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F7F3379" w14:textId="5F900EC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3,14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DE6A44A" w14:textId="3494209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3,33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366B35A2" w14:textId="31B420F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2,31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4398420" w14:textId="6660ABB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3,63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F6AC5C2" w14:textId="25A7A5F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2,72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26BA1F13" w14:textId="2B9656C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2,78</w:t>
            </w:r>
          </w:p>
        </w:tc>
      </w:tr>
      <w:tr w:rsidR="005A0164" w:rsidRPr="00784CF6" w14:paraId="782FE0A1" w14:textId="4D46D5AC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ECE0800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Slovinsko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7115D997" w14:textId="6D82409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3,46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6E495DC7" w14:textId="418B378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4,15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F9F991A" w14:textId="14DD205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8C12D05" w14:textId="022E603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2,96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2533BC5" w14:textId="482E7AD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3,97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25E909F6" w14:textId="3A2C82C6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135FDD4" w14:textId="58A1B48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2,23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180030C" w14:textId="4E978DA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2,76</w:t>
            </w:r>
          </w:p>
        </w:tc>
      </w:tr>
      <w:tr w:rsidR="005A0164" w:rsidRPr="00784CF6" w14:paraId="46782ADD" w14:textId="1701BBDA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FC97E84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Španělsko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50077BDF" w14:textId="38F481C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A2805C2" w14:textId="272183F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3,38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C71C4F4" w14:textId="4BCFE408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3,03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39DD0E8" w14:textId="016BF02F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2,69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6FBF6F3A" w14:textId="24E9F66B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3,11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48642F52" w14:textId="3E9F3B5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3,54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23F98AD5" w14:textId="7DB36C99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2,89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8906187" w14:textId="675A2DC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2,89</w:t>
            </w:r>
          </w:p>
        </w:tc>
      </w:tr>
      <w:tr w:rsidR="005A0164" w:rsidRPr="00784CF6" w14:paraId="4B8B4AAF" w14:textId="15FA4EE3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14478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Švédsko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307C5D73" w14:textId="172272B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2,15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2E19E4E9" w14:textId="099A2ED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2,33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326F9A35" w14:textId="7B03ACE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1,37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7E7BBBBE" w14:textId="570CAF4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1,24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8BCFA04" w14:textId="1CACE16E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1,49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6BDE55B7" w14:textId="2F50FA00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1,15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ACFE5D9" w14:textId="50939EF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1,21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3EB121F2" w14:textId="4A45BF05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1,70</w:t>
            </w:r>
          </w:p>
        </w:tc>
      </w:tr>
      <w:tr w:rsidR="005A0164" w:rsidRPr="00784CF6" w14:paraId="287848FE" w14:textId="2C7025B2" w:rsidTr="00633050">
        <w:trPr>
          <w:trHeight w:val="289"/>
        </w:trPr>
        <w:tc>
          <w:tcPr>
            <w:tcW w:w="162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BD097F" w14:textId="77777777" w:rsidR="005A0164" w:rsidRPr="00784CF6" w:rsidRDefault="005A0164" w:rsidP="005A0164">
            <w:pPr>
              <w:spacing w:after="0" w:line="240" w:lineRule="auto"/>
              <w:ind w:firstLineChars="100" w:firstLine="160"/>
              <w:rPr>
                <w:rFonts w:cs="Arial"/>
                <w:sz w:val="16"/>
                <w:szCs w:val="16"/>
              </w:rPr>
            </w:pPr>
            <w:r w:rsidRPr="00784CF6">
              <w:rPr>
                <w:rFonts w:cs="Arial"/>
                <w:sz w:val="16"/>
                <w:szCs w:val="16"/>
              </w:rPr>
              <w:t>Velká Británie</w:t>
            </w:r>
          </w:p>
        </w:tc>
        <w:tc>
          <w:tcPr>
            <w:tcW w:w="958" w:type="dxa"/>
            <w:tcBorders>
              <w:left w:val="single" w:sz="8" w:space="0" w:color="auto"/>
            </w:tcBorders>
            <w:shd w:val="clear" w:color="auto" w:fill="auto"/>
            <w:noWrap/>
            <w:vAlign w:val="center"/>
          </w:tcPr>
          <w:p w14:paraId="24221286" w14:textId="1F970F9A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1,69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A2D59CC" w14:textId="70BE0E7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1,80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48DACD03" w14:textId="463EABEC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1,37</w:t>
            </w:r>
          </w:p>
        </w:tc>
        <w:tc>
          <w:tcPr>
            <w:tcW w:w="958" w:type="dxa"/>
            <w:shd w:val="clear" w:color="auto" w:fill="auto"/>
            <w:noWrap/>
            <w:vAlign w:val="center"/>
          </w:tcPr>
          <w:p w14:paraId="0CF7C722" w14:textId="6D5666C1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1,86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4D9E94E2" w14:textId="26B0FB24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1,62</w:t>
            </w:r>
          </w:p>
        </w:tc>
        <w:tc>
          <w:tcPr>
            <w:tcW w:w="960" w:type="dxa"/>
            <w:shd w:val="clear" w:color="auto" w:fill="auto"/>
            <w:noWrap/>
            <w:vAlign w:val="center"/>
          </w:tcPr>
          <w:p w14:paraId="189F0B11" w14:textId="6E9F65D3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1,59</w:t>
            </w:r>
          </w:p>
        </w:tc>
        <w:tc>
          <w:tcPr>
            <w:tcW w:w="957" w:type="dxa"/>
            <w:shd w:val="clear" w:color="auto" w:fill="auto"/>
            <w:vAlign w:val="center"/>
          </w:tcPr>
          <w:p w14:paraId="074114EF" w14:textId="74123002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1,46</w:t>
            </w:r>
          </w:p>
        </w:tc>
        <w:tc>
          <w:tcPr>
            <w:tcW w:w="961" w:type="dxa"/>
            <w:shd w:val="clear" w:color="auto" w:fill="auto"/>
            <w:vAlign w:val="center"/>
          </w:tcPr>
          <w:p w14:paraId="6562DCE7" w14:textId="78C8AD57" w:rsidR="005A0164" w:rsidRPr="005A0164" w:rsidRDefault="005A0164" w:rsidP="005A0164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5A0164">
              <w:rPr>
                <w:rFonts w:cs="Arial"/>
                <w:sz w:val="16"/>
                <w:szCs w:val="16"/>
              </w:rPr>
              <w:t>1,65</w:t>
            </w:r>
          </w:p>
        </w:tc>
      </w:tr>
    </w:tbl>
    <w:p w14:paraId="173184DD" w14:textId="77777777" w:rsidR="007B2E56" w:rsidRPr="00CA58EE" w:rsidRDefault="007B2E56" w:rsidP="008F1CE9">
      <w:pPr>
        <w:spacing w:before="240" w:after="120"/>
        <w:rPr>
          <w:sz w:val="16"/>
        </w:rPr>
      </w:pPr>
      <w:r w:rsidRPr="00932A71">
        <w:rPr>
          <w:sz w:val="16"/>
          <w:highlight w:val="lightGray"/>
        </w:rPr>
        <w:t>Přerušení v časové řadě</w:t>
      </w:r>
    </w:p>
    <w:p w14:paraId="015D8E6A" w14:textId="77777777" w:rsidR="00784CF6" w:rsidRPr="007B2E56" w:rsidRDefault="00784CF6" w:rsidP="008F1CE9">
      <w:pPr>
        <w:spacing w:after="120"/>
        <w:rPr>
          <w:sz w:val="18"/>
          <w:szCs w:val="28"/>
        </w:rPr>
      </w:pPr>
      <w:r w:rsidRPr="007B2E56">
        <w:rPr>
          <w:sz w:val="18"/>
          <w:szCs w:val="28"/>
        </w:rPr>
        <w:t>Zdroj: Eurostat (ESAW)</w:t>
      </w:r>
    </w:p>
    <w:p w14:paraId="473BC219" w14:textId="77777777" w:rsidR="00496F97" w:rsidRDefault="00496F97">
      <w:pPr>
        <w:spacing w:after="0" w:line="240" w:lineRule="auto"/>
        <w:rPr>
          <w:rFonts w:eastAsia="MS Gothic"/>
          <w:b/>
          <w:bCs/>
          <w:color w:val="BC091B"/>
          <w:sz w:val="28"/>
          <w:szCs w:val="26"/>
        </w:rPr>
      </w:pPr>
      <w:r>
        <w:br w:type="page"/>
      </w:r>
    </w:p>
    <w:p w14:paraId="156DB52C" w14:textId="6D8BDBBC" w:rsidR="00C62BD6" w:rsidRDefault="00C62BD6" w:rsidP="008F1CE9">
      <w:pPr>
        <w:pStyle w:val="Nadpis2"/>
      </w:pPr>
      <w:bookmarkStart w:id="25" w:name="_Toc41558323"/>
      <w:r w:rsidRPr="00913398">
        <w:lastRenderedPageBreak/>
        <w:t>4.</w:t>
      </w:r>
      <w:r w:rsidR="00661E61" w:rsidRPr="00913398">
        <w:t>7</w:t>
      </w:r>
      <w:r w:rsidRPr="00913398">
        <w:t xml:space="preserve"> Závěrečné shrnutí</w:t>
      </w:r>
      <w:bookmarkEnd w:id="25"/>
    </w:p>
    <w:p w14:paraId="5C6A7E37" w14:textId="6CFAC9BD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Průměrný počet nemocensky pojištěných v roce 2019 činil 4 732,9 tis. osob. Meziročně tento ukazatel stagnoval. V delším časovém horizontu od roku 2009 však především u žen došlo ke značnému nárůstu, a sice o 330 tisíc nemocensky pojištěných, což souvisí s vyšší mírou zaměstnanosti žen</w:t>
      </w:r>
      <w:r w:rsidR="005311E0">
        <w:rPr>
          <w:rFonts w:ascii="Arial" w:hAnsi="Arial" w:cs="Arial"/>
          <w:sz w:val="20"/>
          <w:szCs w:val="20"/>
        </w:rPr>
        <w:t xml:space="preserve"> oproti minulosti</w:t>
      </w:r>
      <w:r w:rsidRPr="00491CA4">
        <w:rPr>
          <w:rFonts w:ascii="Arial" w:hAnsi="Arial" w:cs="Arial"/>
          <w:sz w:val="20"/>
          <w:szCs w:val="20"/>
        </w:rPr>
        <w:t>.</w:t>
      </w:r>
    </w:p>
    <w:p w14:paraId="7C78E8D5" w14:textId="3B33E32A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Ve srovnání s rokem 2009 </w:t>
      </w:r>
      <w:r>
        <w:rPr>
          <w:rFonts w:ascii="Arial" w:hAnsi="Arial" w:cs="Arial"/>
          <w:sz w:val="20"/>
          <w:szCs w:val="20"/>
        </w:rPr>
        <w:t>se zvýšil</w:t>
      </w:r>
      <w:r w:rsidRPr="00491CA4">
        <w:rPr>
          <w:rFonts w:ascii="Arial" w:hAnsi="Arial" w:cs="Arial"/>
          <w:sz w:val="20"/>
          <w:szCs w:val="20"/>
        </w:rPr>
        <w:t xml:space="preserve"> poč</w:t>
      </w:r>
      <w:r>
        <w:rPr>
          <w:rFonts w:ascii="Arial" w:hAnsi="Arial" w:cs="Arial"/>
          <w:sz w:val="20"/>
          <w:szCs w:val="20"/>
        </w:rPr>
        <w:t>e</w:t>
      </w:r>
      <w:r w:rsidRPr="00491CA4">
        <w:rPr>
          <w:rFonts w:ascii="Arial" w:hAnsi="Arial" w:cs="Arial"/>
          <w:sz w:val="20"/>
          <w:szCs w:val="20"/>
        </w:rPr>
        <w:t>t nemocensky pojištěných téměř o 0,5 mil. Ve Zpracovatelském průmyslu od té doby vzrostl počet nemocensky pojištěných o 99 tis., v odvětví Administrativní a podpůrné činnosti o 85 tis. Naopak sekcemi, které v roce 2019 měly méně pojištěnců než před deseti lety, byly Stavebnictví, Těžba a dobývání a Zemědělství, lesnictví a rybářství.</w:t>
      </w:r>
    </w:p>
    <w:p w14:paraId="45891FF3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V roce 2019 bylo zaznamenáno 1 914,8 tis. případů pracovní neschopnosti, což je nejvíce za posledních deset let. Oproti roku 2018 přibylo 65,3 tis. případů a v převážné většině (90 % hlášení) se jednalo o neschopenku vydanou z důvodu nemoci.</w:t>
      </w:r>
    </w:p>
    <w:p w14:paraId="389B8EC3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Častěji nastupovaly do pracovní neschopnosti již tradičně ženy. V roce 2019 překročil počet jejich případů milion (1 012,5 tis.).</w:t>
      </w:r>
    </w:p>
    <w:p w14:paraId="42C08E61" w14:textId="689F4069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Naopak muži dominovali v evidenci pracovních úrazů, přivodili si dvě třetiny z celkového počtu 45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tis.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pracovních úrazů.</w:t>
      </w:r>
    </w:p>
    <w:p w14:paraId="7022FA46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Ještě výraznější rozdíl hodnot podle pohlaví je patrný u smrtelných pracovních úrazů. Z celkového počtu 92 smrtelných úrazů se 87 z nich přihodilo mužům. Oproti předchozímu roku je počet smrtelných úrazů o 31 nižší.</w:t>
      </w:r>
    </w:p>
    <w:p w14:paraId="73C3F78E" w14:textId="7B160142" w:rsidR="00CA4EEC" w:rsidRDefault="00CA4EEC" w:rsidP="00CA4EEC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CA4EEC">
        <w:rPr>
          <w:rFonts w:ascii="Arial" w:hAnsi="Arial" w:cs="Arial"/>
          <w:sz w:val="20"/>
          <w:szCs w:val="20"/>
        </w:rPr>
        <w:t xml:space="preserve">Za 2. polovinu roku 2019 bylo nahlášeno celkem 838,5 tis. případů pracovní neschopnosti pro nemoc. To je o 18 % více v porovnání se stavem za 2. pololetí </w:t>
      </w:r>
      <w:r>
        <w:rPr>
          <w:rFonts w:ascii="Arial" w:hAnsi="Arial" w:cs="Arial"/>
          <w:sz w:val="20"/>
          <w:szCs w:val="20"/>
        </w:rPr>
        <w:t xml:space="preserve">předchozího roku. Tento nárůst </w:t>
      </w:r>
      <w:r w:rsidRPr="00CA4EEC">
        <w:rPr>
          <w:rFonts w:ascii="Arial" w:hAnsi="Arial" w:cs="Arial"/>
          <w:sz w:val="20"/>
          <w:szCs w:val="20"/>
        </w:rPr>
        <w:t>může souviset se zrušením karenční doby od 1. července 2019, kdy je náhrada mzdy zaměstnanci vyplácena již od 1. dne pracovní neschopnosti.</w:t>
      </w:r>
    </w:p>
    <w:p w14:paraId="51807FFA" w14:textId="6752EFBC" w:rsidR="00491CA4" w:rsidRPr="00491CA4" w:rsidRDefault="00491CA4" w:rsidP="00CA4EEC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Vývoj pracovní neschopnosti je zatížen sezónností. Nejvyšší nárůst počtu hlášení nastává v obdobích chřipkových epidemií začátkem roku. </w:t>
      </w:r>
      <w:r>
        <w:rPr>
          <w:rFonts w:ascii="Arial" w:hAnsi="Arial" w:cs="Arial"/>
          <w:sz w:val="20"/>
          <w:szCs w:val="20"/>
        </w:rPr>
        <w:t>L</w:t>
      </w:r>
      <w:r w:rsidRPr="00491CA4">
        <w:rPr>
          <w:rFonts w:ascii="Arial" w:hAnsi="Arial" w:cs="Arial"/>
          <w:sz w:val="20"/>
          <w:szCs w:val="20"/>
        </w:rPr>
        <w:t>etní měsíce a doba čast</w:t>
      </w:r>
      <w:r>
        <w:rPr>
          <w:rFonts w:ascii="Arial" w:hAnsi="Arial" w:cs="Arial"/>
          <w:sz w:val="20"/>
          <w:szCs w:val="20"/>
        </w:rPr>
        <w:t>ější</w:t>
      </w:r>
      <w:r w:rsidRPr="00491CA4">
        <w:rPr>
          <w:rFonts w:ascii="Arial" w:hAnsi="Arial" w:cs="Arial"/>
          <w:sz w:val="20"/>
          <w:szCs w:val="20"/>
        </w:rPr>
        <w:t>ch dovolených s sebou přináší naopak snížení počtu hlášených případů.</w:t>
      </w:r>
    </w:p>
    <w:p w14:paraId="49BA7BFA" w14:textId="508514BA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V roce 2019 bylo v přepočtu na 100 pojištěnců nahlášeno 4</w:t>
      </w:r>
      <w:r w:rsidR="00C45458">
        <w:rPr>
          <w:rFonts w:ascii="Arial" w:hAnsi="Arial" w:cs="Arial"/>
          <w:sz w:val="20"/>
          <w:szCs w:val="20"/>
        </w:rPr>
        <w:t>0,5</w:t>
      </w:r>
      <w:r w:rsidRPr="00491CA4">
        <w:rPr>
          <w:rFonts w:ascii="Arial" w:hAnsi="Arial" w:cs="Arial"/>
          <w:sz w:val="20"/>
          <w:szCs w:val="20"/>
        </w:rPr>
        <w:t xml:space="preserve"> případů dočasné pr</w:t>
      </w:r>
      <w:r w:rsidR="00C45458">
        <w:rPr>
          <w:rFonts w:ascii="Arial" w:hAnsi="Arial" w:cs="Arial"/>
          <w:sz w:val="20"/>
          <w:szCs w:val="20"/>
        </w:rPr>
        <w:t>acovní neschopnosti. To je o 1,4</w:t>
      </w:r>
      <w:r w:rsidRPr="00491CA4">
        <w:rPr>
          <w:rFonts w:ascii="Arial" w:hAnsi="Arial" w:cs="Arial"/>
          <w:sz w:val="20"/>
          <w:szCs w:val="20"/>
        </w:rPr>
        <w:t xml:space="preserve"> případu více v porovnání s předchozím rokem.</w:t>
      </w:r>
    </w:p>
    <w:p w14:paraId="1232FDB7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Nejvíce nových případů dočasné pracovní neschopnosti na 100 pojištěnců bylo v roce 2019 nahlášeno v subjektech činných v odvětvích Zpracovatelský průmysl (53,9) a Administrativní a podpůrné činnosti (49,7). Nejméně dočasných pracovních neschopností bylo evidováno v odvětví Činnosti v oblasti nemovitostí (18,4).</w:t>
      </w:r>
    </w:p>
    <w:p w14:paraId="493C0B6E" w14:textId="4901FD6E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Z pohledu územního členění bylo v roce 2019 nejvíce případů pracovní neschopnosti na 100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 xml:space="preserve">pojištěnců hlášeno v Libereckém (49,8) a Plzeňském kraji (46,4). Nejméně </w:t>
      </w:r>
      <w:r>
        <w:rPr>
          <w:rFonts w:ascii="Arial" w:hAnsi="Arial" w:cs="Arial"/>
          <w:sz w:val="20"/>
          <w:szCs w:val="20"/>
        </w:rPr>
        <w:t xml:space="preserve">nahlášených </w:t>
      </w:r>
      <w:r w:rsidRPr="00491CA4">
        <w:rPr>
          <w:rFonts w:ascii="Arial" w:hAnsi="Arial" w:cs="Arial"/>
          <w:sz w:val="20"/>
          <w:szCs w:val="20"/>
        </w:rPr>
        <w:t xml:space="preserve">případů </w:t>
      </w:r>
      <w:r>
        <w:rPr>
          <w:rFonts w:ascii="Arial" w:hAnsi="Arial" w:cs="Arial"/>
          <w:sz w:val="20"/>
          <w:szCs w:val="20"/>
        </w:rPr>
        <w:t>zaznamenala</w:t>
      </w:r>
      <w:r w:rsidRPr="00491CA4">
        <w:rPr>
          <w:rFonts w:ascii="Arial" w:hAnsi="Arial" w:cs="Arial"/>
          <w:sz w:val="20"/>
          <w:szCs w:val="20"/>
        </w:rPr>
        <w:t> </w:t>
      </w:r>
      <w:r w:rsidR="000B11E0">
        <w:rPr>
          <w:rFonts w:ascii="Arial" w:hAnsi="Arial" w:cs="Arial"/>
          <w:sz w:val="20"/>
          <w:szCs w:val="20"/>
        </w:rPr>
        <w:t>Praha</w:t>
      </w:r>
      <w:r w:rsidRPr="00491CA4">
        <w:rPr>
          <w:rFonts w:ascii="Arial" w:hAnsi="Arial" w:cs="Arial"/>
          <w:sz w:val="20"/>
          <w:szCs w:val="20"/>
        </w:rPr>
        <w:t xml:space="preserve"> (33,5), Jihomoravsk</w:t>
      </w:r>
      <w:r>
        <w:rPr>
          <w:rFonts w:ascii="Arial" w:hAnsi="Arial" w:cs="Arial"/>
          <w:sz w:val="20"/>
          <w:szCs w:val="20"/>
        </w:rPr>
        <w:t>ý</w:t>
      </w:r>
      <w:r w:rsidRPr="00491CA4">
        <w:rPr>
          <w:rFonts w:ascii="Arial" w:hAnsi="Arial" w:cs="Arial"/>
          <w:sz w:val="20"/>
          <w:szCs w:val="20"/>
        </w:rPr>
        <w:t xml:space="preserve"> (38,9) a Olomouck</w:t>
      </w:r>
      <w:r>
        <w:rPr>
          <w:rFonts w:ascii="Arial" w:hAnsi="Arial" w:cs="Arial"/>
          <w:sz w:val="20"/>
          <w:szCs w:val="20"/>
        </w:rPr>
        <w:t>ý</w:t>
      </w:r>
      <w:r w:rsidRPr="00491CA4">
        <w:rPr>
          <w:rFonts w:ascii="Arial" w:hAnsi="Arial" w:cs="Arial"/>
          <w:sz w:val="20"/>
          <w:szCs w:val="20"/>
        </w:rPr>
        <w:t xml:space="preserve"> kraj (39,5).</w:t>
      </w:r>
    </w:p>
    <w:p w14:paraId="173781F4" w14:textId="77777777" w:rsidR="00140A9B" w:rsidRDefault="00491CA4" w:rsidP="00766701">
      <w:pPr>
        <w:pStyle w:val="Odstavecseseznamem"/>
        <w:numPr>
          <w:ilvl w:val="0"/>
          <w:numId w:val="31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Celkově strávili pojištěnci v pracovní neschopnosti 81 205 tis. dnů, což je o 5 % více než v předchozím roce. Zrušení karenční doby od 2. pol</w:t>
      </w:r>
      <w:r w:rsidR="003F320E">
        <w:rPr>
          <w:rFonts w:ascii="Arial" w:hAnsi="Arial" w:cs="Arial"/>
          <w:sz w:val="20"/>
          <w:szCs w:val="20"/>
        </w:rPr>
        <w:t>oletí</w:t>
      </w:r>
      <w:r w:rsidRPr="00491CA4">
        <w:rPr>
          <w:rFonts w:ascii="Arial" w:hAnsi="Arial" w:cs="Arial"/>
          <w:sz w:val="20"/>
          <w:szCs w:val="20"/>
        </w:rPr>
        <w:t xml:space="preserve"> 2019 se projevilo zvýšením počtu kalendářních dní pracovní neschopnosti zejména pro nemoc. Oproti 2. pol</w:t>
      </w:r>
      <w:r w:rsidR="003F320E">
        <w:rPr>
          <w:rFonts w:ascii="Arial" w:hAnsi="Arial" w:cs="Arial"/>
          <w:sz w:val="20"/>
          <w:szCs w:val="20"/>
        </w:rPr>
        <w:t>oletí</w:t>
      </w:r>
      <w:r w:rsidRPr="00491CA4">
        <w:rPr>
          <w:rFonts w:ascii="Arial" w:hAnsi="Arial" w:cs="Arial"/>
          <w:sz w:val="20"/>
          <w:szCs w:val="20"/>
        </w:rPr>
        <w:t xml:space="preserve"> roku 2018 narostl počet dní strávených v pracovní neschopnosti pro nemoc o 3 miliony. </w:t>
      </w:r>
    </w:p>
    <w:p w14:paraId="2FEDEE44" w14:textId="77777777" w:rsidR="00363273" w:rsidRDefault="00140A9B" w:rsidP="00766701">
      <w:pPr>
        <w:pStyle w:val="Odstavecseseznamem"/>
        <w:numPr>
          <w:ilvl w:val="0"/>
          <w:numId w:val="31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Průměrná délka trvání pracovní neschopnosti vzrostla ze 41,7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dnů v roce 2018 na 42,4 dne v roce 2019. Ženy strávily na neschopence v průměru 43,6 dne, muži 41,1 dne.</w:t>
      </w:r>
    </w:p>
    <w:p w14:paraId="4A178CA1" w14:textId="74FDBAB1" w:rsidR="00491CA4" w:rsidRPr="00140A9B" w:rsidRDefault="00363273" w:rsidP="00766701">
      <w:pPr>
        <w:pStyle w:val="Odstavecseseznamem"/>
        <w:numPr>
          <w:ilvl w:val="0"/>
          <w:numId w:val="31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363273">
        <w:rPr>
          <w:rFonts w:ascii="Arial" w:hAnsi="Arial" w:cs="Arial"/>
          <w:sz w:val="20"/>
          <w:szCs w:val="20"/>
        </w:rPr>
        <w:t>Průměrná délka trvání pracovní neschopnosti bývá kratší v prvním pololetí než v pololetí druhém</w:t>
      </w:r>
      <w:r>
        <w:rPr>
          <w:rFonts w:ascii="Arial" w:hAnsi="Arial" w:cs="Arial"/>
          <w:sz w:val="20"/>
          <w:szCs w:val="20"/>
        </w:rPr>
        <w:t xml:space="preserve">, což </w:t>
      </w:r>
      <w:r w:rsidRPr="00363273">
        <w:rPr>
          <w:rFonts w:ascii="Arial" w:hAnsi="Arial" w:cs="Arial"/>
          <w:sz w:val="20"/>
          <w:szCs w:val="20"/>
        </w:rPr>
        <w:t>je způsobeno velkým počtem krátkodobých pracovních neschopností z důvodu respiračních onemocnění během chřipkových epidemií začátkem roku. V roce 2019, pravděpodobně i vlivem zrušení karenční doby, byla ovšem průměrná délka trvání pracovní neschopnosti v druhém pololetí dokonce o 0,5 dne kratší než v pololetí prvním. To ukazuje na větší výskyt krátkodobých pracovních neschopností v druhém pololetí, než bývalo obvyklé.</w:t>
      </w:r>
      <w:r w:rsidR="00140A9B">
        <w:rPr>
          <w:rFonts w:ascii="Arial" w:hAnsi="Arial" w:cs="Arial"/>
          <w:sz w:val="20"/>
          <w:szCs w:val="20"/>
        </w:rPr>
        <w:t xml:space="preserve"> </w:t>
      </w:r>
    </w:p>
    <w:p w14:paraId="57731CA1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Nemoc způsobila pracovní neschopnost o průměrné délce 40,9 dne, neschopnost pro pracovní úraz trvala 56,9 dne a z důvodu ostatních úrazů 55,2 dne.</w:t>
      </w:r>
    </w:p>
    <w:p w14:paraId="761E2713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lastRenderedPageBreak/>
        <w:t>Odvětvími s průměrnou délkou trvání dočasné pracovní neschopnosti nad 50 dnů bylo v roce 2019 Zemědělství, lesnictví a rybářství (56,8 dne), Ubytování, stravování a pohostinství (54,4 dne), Stavebnictví (52 dní) a Činnosti v oblasti nemovitostí (50,8 dne). Poloviční doba (25,4 dne) připadala na pracovní neschopnost v odvětví Informační a komunikační činnosti, což představovalo zcela nejnižší hodnotu v rámci národního hospodářství.</w:t>
      </w:r>
    </w:p>
    <w:p w14:paraId="7DCDF4E4" w14:textId="1D57C55D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Nejdelší průměrná </w:t>
      </w:r>
      <w:r w:rsidR="005311E0">
        <w:rPr>
          <w:rFonts w:ascii="Arial" w:hAnsi="Arial" w:cs="Arial"/>
          <w:sz w:val="20"/>
          <w:szCs w:val="20"/>
        </w:rPr>
        <w:t>délka</w:t>
      </w:r>
      <w:r w:rsidRPr="00491CA4">
        <w:rPr>
          <w:rFonts w:ascii="Arial" w:hAnsi="Arial" w:cs="Arial"/>
          <w:sz w:val="20"/>
          <w:szCs w:val="20"/>
        </w:rPr>
        <w:t xml:space="preserve"> trvání dočasné pracovní neschopnosti byla zaznamenána na Moravě a ve Slezsku – ve Zlínském (49,6 dnů), Moravskoslezském (48,7 dne) a v Olomouckém kraji (46,1 dne). </w:t>
      </w:r>
      <w:r w:rsidR="005311E0">
        <w:rPr>
          <w:rFonts w:ascii="Arial" w:hAnsi="Arial" w:cs="Arial"/>
          <w:sz w:val="20"/>
          <w:szCs w:val="20"/>
        </w:rPr>
        <w:t>Regiony</w:t>
      </w:r>
      <w:r w:rsidRPr="00491CA4">
        <w:rPr>
          <w:rFonts w:ascii="Arial" w:hAnsi="Arial" w:cs="Arial"/>
          <w:sz w:val="20"/>
          <w:szCs w:val="20"/>
        </w:rPr>
        <w:t xml:space="preserve"> s nejkratší délkou trvání pracovní neschopnosti jsou Liberecký kraj (ačkoliv se jedná o kraj s nejvíce nahlášenými případy) a Praha – shodně 38,8 dne.</w:t>
      </w:r>
    </w:p>
    <w:p w14:paraId="6138CBBB" w14:textId="6DD8E24C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Průměrné procento dočasné pracovní neschopnosti v roce 2019 dosáhlo 4,7 %, čili v průměru 5 % pojištěnců denně bylo v pracovní neschopnosti. V případě mužů činila hodnota 4,3 %, u žen 5,2 %. Průměrné procento </w:t>
      </w:r>
      <w:r w:rsidR="005311E0">
        <w:rPr>
          <w:rFonts w:ascii="Arial" w:hAnsi="Arial" w:cs="Arial"/>
          <w:sz w:val="20"/>
          <w:szCs w:val="20"/>
        </w:rPr>
        <w:t>se meziročně zvýšilo o 0,2 p. b.</w:t>
      </w:r>
    </w:p>
    <w:p w14:paraId="5AECBD58" w14:textId="14688C36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Nejvyšší průměrné procento dočasné pracovní neschopnosti z hlediska odvětvové činnosti zaznamenal Zpracovatelský průmysl (6,2 %) a Těžba a dobývání (6,0 %). Naopak nejnižší hodnota byla evidována v odvětví Informační a komunikační činnosti (1,9 %), Profesní vědecké činnosti (2,5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%) a Činnosti v oblasti nemovitostí (2,6 %).</w:t>
      </w:r>
    </w:p>
    <w:p w14:paraId="4728AED6" w14:textId="1385663A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 xml:space="preserve">Z regionálního pohledu nejvyšší hodnotu průměrného procenta pracovní neschopnosti </w:t>
      </w:r>
      <w:r w:rsidR="00913398">
        <w:rPr>
          <w:rFonts w:ascii="Arial" w:hAnsi="Arial" w:cs="Arial"/>
          <w:sz w:val="20"/>
          <w:szCs w:val="20"/>
        </w:rPr>
        <w:t>vykazoval</w:t>
      </w:r>
      <w:r w:rsidR="00913398" w:rsidRPr="00491CA4">
        <w:rPr>
          <w:rFonts w:ascii="Arial" w:hAnsi="Arial" w:cs="Arial"/>
          <w:sz w:val="20"/>
          <w:szCs w:val="20"/>
        </w:rPr>
        <w:t xml:space="preserve"> </w:t>
      </w:r>
      <w:r w:rsidRPr="00491CA4">
        <w:rPr>
          <w:rFonts w:ascii="Arial" w:hAnsi="Arial" w:cs="Arial"/>
          <w:sz w:val="20"/>
          <w:szCs w:val="20"/>
        </w:rPr>
        <w:t>Moravskoslezský (5,8 %) a Zlínský kraj (5,6 %). Praha díky nejnižšímu počtu případů na 100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pojištěnců a díky krátké průměrné době trvání těchto pracovních neschopností zaujímá dlouhodobě nejnižší procento, a sice 3,6 %.</w:t>
      </w:r>
    </w:p>
    <w:p w14:paraId="7EC827B9" w14:textId="6B159FA2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V roce 2019 v České republice v důsledku dočasné pracovní neschopnosti způsobené nemocí či úrazem denně chybělo na pracovištích</w:t>
      </w:r>
      <w:r w:rsidR="00EB2DCD">
        <w:rPr>
          <w:rFonts w:ascii="Arial" w:hAnsi="Arial" w:cs="Arial"/>
          <w:sz w:val="20"/>
          <w:szCs w:val="20"/>
        </w:rPr>
        <w:t xml:space="preserve"> v průměru</w:t>
      </w:r>
      <w:r w:rsidRPr="00491CA4">
        <w:rPr>
          <w:rFonts w:ascii="Arial" w:hAnsi="Arial" w:cs="Arial"/>
          <w:sz w:val="20"/>
          <w:szCs w:val="20"/>
        </w:rPr>
        <w:t xml:space="preserve"> 222 479 pojištěnců, což bylo ve srovnání s předchozím rokem o 5 % (11,1 tis.) více.</w:t>
      </w:r>
    </w:p>
    <w:p w14:paraId="5FA8D832" w14:textId="77777777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Pro nemoc bylo v neschopnosti 191 514 pojištěnců, v důsledku pracovního úrazu 6 939 a následkem ostatních úrazů 24 027 nemocensky pojištěných.</w:t>
      </w:r>
    </w:p>
    <w:p w14:paraId="6B7AD6E5" w14:textId="0EE75B1F" w:rsidR="00491CA4" w:rsidRPr="00491CA4" w:rsidRDefault="00491CA4" w:rsidP="00766701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rFonts w:ascii="Arial" w:hAnsi="Arial" w:cs="Arial"/>
          <w:sz w:val="20"/>
          <w:szCs w:val="20"/>
        </w:rPr>
      </w:pPr>
      <w:r w:rsidRPr="00491CA4">
        <w:rPr>
          <w:rFonts w:ascii="Arial" w:hAnsi="Arial" w:cs="Arial"/>
          <w:sz w:val="20"/>
          <w:szCs w:val="20"/>
        </w:rPr>
        <w:t>Největší absence byla ve Zpracovatelském průmyslu (76 900 osob), dále v odvětví Velkoobchod a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maloobchod, opravy a údržba motorových vozidel (30 684 osob). Je to však dáno i významností těchto odvětví, protože dohromady zaměstnávají téměř 40 % všech nemocensky pojištěných osob. Naopak nejméně pojištěnců chybělo v odvětví Výroba a rozvod elektřiny, plynu, tepla a</w:t>
      </w:r>
      <w:r>
        <w:rPr>
          <w:rFonts w:ascii="Arial" w:hAnsi="Arial" w:cs="Arial"/>
          <w:sz w:val="20"/>
          <w:szCs w:val="20"/>
        </w:rPr>
        <w:t> </w:t>
      </w:r>
      <w:r w:rsidRPr="00491CA4">
        <w:rPr>
          <w:rFonts w:ascii="Arial" w:hAnsi="Arial" w:cs="Arial"/>
          <w:sz w:val="20"/>
          <w:szCs w:val="20"/>
        </w:rPr>
        <w:t>klimatizovaného vzduchu (1 179 osob</w:t>
      </w:r>
      <w:r>
        <w:rPr>
          <w:rFonts w:ascii="Arial" w:hAnsi="Arial" w:cs="Arial"/>
          <w:sz w:val="20"/>
          <w:szCs w:val="20"/>
        </w:rPr>
        <w:t>)</w:t>
      </w:r>
      <w:r w:rsidRPr="00491CA4">
        <w:rPr>
          <w:rFonts w:ascii="Arial" w:hAnsi="Arial" w:cs="Arial"/>
          <w:sz w:val="20"/>
          <w:szCs w:val="20"/>
        </w:rPr>
        <w:t xml:space="preserve"> a Činnosti v oblasti nemovitostí (1 797).</w:t>
      </w:r>
    </w:p>
    <w:p w14:paraId="70B0C405" w14:textId="6ADACD0A" w:rsidR="00496F97" w:rsidRPr="00FF7036" w:rsidRDefault="00491CA4" w:rsidP="00FF7036">
      <w:pPr>
        <w:pStyle w:val="Odstavecseseznamem"/>
        <w:numPr>
          <w:ilvl w:val="0"/>
          <w:numId w:val="30"/>
        </w:numPr>
        <w:suppressAutoHyphens w:val="0"/>
        <w:spacing w:before="0" w:after="120" w:line="288" w:lineRule="auto"/>
        <w:ind w:left="714" w:hanging="357"/>
        <w:contextualSpacing/>
        <w:jc w:val="both"/>
        <w:rPr>
          <w:sz w:val="16"/>
        </w:rPr>
      </w:pPr>
      <w:r w:rsidRPr="00491CA4">
        <w:rPr>
          <w:rFonts w:ascii="Arial" w:hAnsi="Arial" w:cs="Arial"/>
          <w:sz w:val="20"/>
          <w:szCs w:val="20"/>
        </w:rPr>
        <w:t>Za rok 2019 bylo pojištěncům vyplaceno nemocenské v celkové hodnotě 26,7 mld. Kč, což představuje téměř 70% podíl celkových výdajů na dávky systému nemocenského pojištění. Meziročně vzrostly výdaje na nemocenské o 4 mld. Kč, tj. o 17,6 %.</w:t>
      </w:r>
    </w:p>
    <w:sectPr w:rsidR="00496F97" w:rsidRPr="00FF7036" w:rsidSect="00FF7036">
      <w:headerReference w:type="even" r:id="rId35"/>
      <w:headerReference w:type="default" r:id="rId36"/>
      <w:footerReference w:type="even" r:id="rId37"/>
      <w:footerReference w:type="default" r:id="rId38"/>
      <w:pgSz w:w="11906" w:h="16838" w:code="9"/>
      <w:pgMar w:top="1134" w:right="1134" w:bottom="1418" w:left="1134" w:header="680" w:footer="680" w:gutter="0"/>
      <w:pgNumType w:start="13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ex:commentExtensible w16cex:durableId="22767D5A" w16cex:dateUtc="2020-05-25T15:2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16cid:commentId w16cid:paraId="161151D5" w16cid:durableId="22767D5A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7B95D8" w14:textId="77777777" w:rsidR="00175193" w:rsidRDefault="00175193" w:rsidP="00E71A58">
      <w:r>
        <w:separator/>
      </w:r>
    </w:p>
  </w:endnote>
  <w:endnote w:type="continuationSeparator" w:id="0">
    <w:p w14:paraId="7309EFEB" w14:textId="77777777" w:rsidR="00175193" w:rsidRDefault="00175193" w:rsidP="00E71A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FE9708" w14:textId="3AEF981D" w:rsidR="00175193" w:rsidRPr="00932443" w:rsidRDefault="00175193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9264" behindDoc="0" locked="0" layoutInCell="1" allowOverlap="1" wp14:anchorId="2A21AEC1" wp14:editId="6939DE94">
          <wp:simplePos x="0" y="0"/>
          <wp:positionH relativeFrom="column">
            <wp:align>right</wp:align>
          </wp:positionH>
          <wp:positionV relativeFrom="paragraph">
            <wp:posOffset>-64770</wp:posOffset>
          </wp:positionV>
          <wp:extent cx="428625" cy="201295"/>
          <wp:effectExtent l="0" t="0" r="3175" b="1905"/>
          <wp:wrapNone/>
          <wp:docPr id="11" name="Picture 11" descr="CSU RGB CZ logo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SU RGB CZ logo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8625" cy="201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443">
      <w:rPr>
        <w:szCs w:val="16"/>
      </w:rPr>
      <w:fldChar w:fldCharType="begin"/>
    </w:r>
    <w:r w:rsidRPr="00932443">
      <w:rPr>
        <w:szCs w:val="16"/>
      </w:rPr>
      <w:instrText>PAGE   \* MERGEFORMAT</w:instrText>
    </w:r>
    <w:r w:rsidRPr="00932443">
      <w:rPr>
        <w:szCs w:val="16"/>
      </w:rPr>
      <w:fldChar w:fldCharType="separate"/>
    </w:r>
    <w:r w:rsidR="00FF7036">
      <w:rPr>
        <w:szCs w:val="16"/>
      </w:rPr>
      <w:t>48</w:t>
    </w:r>
    <w:r w:rsidRPr="00932443">
      <w:rPr>
        <w:szCs w:val="16"/>
      </w:rPr>
      <w:fldChar w:fldCharType="end"/>
    </w:r>
    <w:r w:rsidRPr="00932443">
      <w:rPr>
        <w:szCs w:val="16"/>
      </w:rPr>
      <w:tab/>
    </w:r>
    <w:r w:rsidRPr="00931D4D">
      <w:rPr>
        <w:szCs w:val="16"/>
      </w:rPr>
      <w:t>2019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A0EDDD1" w14:textId="0F5ED393" w:rsidR="00175193" w:rsidRPr="00932443" w:rsidRDefault="00175193" w:rsidP="00A418BC">
    <w:pPr>
      <w:pStyle w:val="Zpat"/>
      <w:rPr>
        <w:szCs w:val="16"/>
      </w:rPr>
    </w:pPr>
    <w:r>
      <w:rPr>
        <w:szCs w:val="16"/>
        <w:lang w:eastAsia="cs-CZ"/>
      </w:rPr>
      <w:drawing>
        <wp:anchor distT="0" distB="0" distL="114300" distR="114300" simplePos="0" relativeHeight="251656192" behindDoc="0" locked="0" layoutInCell="1" allowOverlap="1" wp14:anchorId="6C1CC401" wp14:editId="26985E50">
          <wp:simplePos x="0" y="0"/>
          <wp:positionH relativeFrom="column">
            <wp:align>left</wp:align>
          </wp:positionH>
          <wp:positionV relativeFrom="paragraph">
            <wp:posOffset>-122555</wp:posOffset>
          </wp:positionV>
          <wp:extent cx="510540" cy="272415"/>
          <wp:effectExtent l="0" t="0" r="0" b="6985"/>
          <wp:wrapNone/>
          <wp:docPr id="10" name="Picture 10" descr="CSU RGB CZ logo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CSU RGB CZ logo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0540" cy="272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932443">
      <w:rPr>
        <w:szCs w:val="16"/>
      </w:rPr>
      <w:tab/>
    </w:r>
    <w:r w:rsidRPr="00931D4D">
      <w:rPr>
        <w:rStyle w:val="ZpatChar"/>
        <w:szCs w:val="16"/>
      </w:rPr>
      <w:t>2019</w:t>
    </w:r>
    <w:r w:rsidRPr="00932443">
      <w:rPr>
        <w:szCs w:val="16"/>
      </w:rPr>
      <w:tab/>
    </w:r>
    <w:r w:rsidRPr="00932443">
      <w:rPr>
        <w:rStyle w:val="ZpatChar"/>
        <w:szCs w:val="16"/>
      </w:rPr>
      <w:fldChar w:fldCharType="begin"/>
    </w:r>
    <w:r w:rsidRPr="00932443">
      <w:rPr>
        <w:rStyle w:val="ZpatChar"/>
        <w:szCs w:val="16"/>
      </w:rPr>
      <w:instrText>PAGE   \* MERGEFORMAT</w:instrText>
    </w:r>
    <w:r w:rsidRPr="00932443">
      <w:rPr>
        <w:rStyle w:val="ZpatChar"/>
        <w:szCs w:val="16"/>
      </w:rPr>
      <w:fldChar w:fldCharType="separate"/>
    </w:r>
    <w:r w:rsidR="00FF7036">
      <w:rPr>
        <w:rStyle w:val="ZpatChar"/>
        <w:szCs w:val="16"/>
      </w:rPr>
      <w:t>49</w:t>
    </w:r>
    <w:r w:rsidRPr="00932443">
      <w:rPr>
        <w:rStyle w:val="ZpatChar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0830C1" w14:textId="77777777" w:rsidR="00175193" w:rsidRDefault="00175193" w:rsidP="00E71A58">
      <w:r>
        <w:separator/>
      </w:r>
    </w:p>
  </w:footnote>
  <w:footnote w:type="continuationSeparator" w:id="0">
    <w:p w14:paraId="62BC6E60" w14:textId="77777777" w:rsidR="00175193" w:rsidRDefault="00175193" w:rsidP="00E71A58">
      <w:r>
        <w:continuationSeparator/>
      </w:r>
    </w:p>
  </w:footnote>
  <w:footnote w:id="1">
    <w:p w14:paraId="2C5725CF" w14:textId="139AA531" w:rsidR="00175193" w:rsidRPr="008D4AF8" w:rsidRDefault="00175193" w:rsidP="008D4AF8">
      <w:pPr>
        <w:pStyle w:val="Textpoznpodarou"/>
        <w:jc w:val="both"/>
        <w:rPr>
          <w:sz w:val="18"/>
          <w:szCs w:val="18"/>
        </w:rPr>
      </w:pPr>
      <w:r w:rsidRPr="008D4AF8">
        <w:rPr>
          <w:rStyle w:val="Znakapoznpodarou"/>
          <w:sz w:val="18"/>
          <w:szCs w:val="18"/>
        </w:rPr>
        <w:footnoteRef/>
      </w:r>
      <w:r w:rsidRPr="008D4AF8">
        <w:rPr>
          <w:sz w:val="18"/>
          <w:szCs w:val="18"/>
        </w:rPr>
        <w:t xml:space="preserve"> Uvedený podíl nezahrnuje vojáky z povolání, příslušníky Policie ČR, Hasičského záchranného sboru ČR, Celní správy ČR, Vězeňské služby ČR, Generální inspekce bezpečnostních sborů, Bezpečnostní informační služby a Úřadu pro zahraniční styky a informace.</w:t>
      </w:r>
    </w:p>
  </w:footnote>
  <w:footnote w:id="2">
    <w:p w14:paraId="628837F6" w14:textId="77777777" w:rsidR="00175193" w:rsidRPr="00A63DFD" w:rsidRDefault="00175193" w:rsidP="00BA4F88">
      <w:pPr>
        <w:pStyle w:val="Textpoznpodarou"/>
        <w:jc w:val="both"/>
        <w:rPr>
          <w:sz w:val="18"/>
        </w:rPr>
      </w:pPr>
      <w:r w:rsidRPr="00602560">
        <w:rPr>
          <w:rStyle w:val="Znakapoznpodarou"/>
          <w:sz w:val="18"/>
        </w:rPr>
        <w:footnoteRef/>
      </w:r>
      <w:r w:rsidRPr="00602560">
        <w:rPr>
          <w:sz w:val="18"/>
        </w:rPr>
        <w:t xml:space="preserve"> V Jeseníku se nachází referát účtárny pěstounské péče pro profesionální pěstouny v ČR. Profesionální pěstouni </w:t>
      </w:r>
      <w:r>
        <w:rPr>
          <w:sz w:val="18"/>
        </w:rPr>
        <w:t xml:space="preserve">zpravidla </w:t>
      </w:r>
      <w:r w:rsidRPr="00602560">
        <w:rPr>
          <w:sz w:val="18"/>
        </w:rPr>
        <w:t xml:space="preserve">na neschopenku nechodí, protože </w:t>
      </w:r>
      <w:r>
        <w:rPr>
          <w:sz w:val="18"/>
        </w:rPr>
        <w:t>i</w:t>
      </w:r>
      <w:r w:rsidRPr="00602560">
        <w:rPr>
          <w:sz w:val="18"/>
        </w:rPr>
        <w:t xml:space="preserve"> po dobu pracovní neschopnosti </w:t>
      </w:r>
      <w:r>
        <w:rPr>
          <w:sz w:val="18"/>
        </w:rPr>
        <w:t xml:space="preserve">musí pečovat o </w:t>
      </w:r>
      <w:r w:rsidRPr="00602560">
        <w:rPr>
          <w:sz w:val="18"/>
        </w:rPr>
        <w:t>svěřené dítě. Jsou však zahrnuti do jmenovatele jako počet pojištěnců v okrese.</w:t>
      </w:r>
    </w:p>
  </w:footnote>
  <w:footnote w:id="3">
    <w:p w14:paraId="4C920C81" w14:textId="4514A9FB" w:rsidR="00175193" w:rsidRPr="008A15C0" w:rsidRDefault="00175193" w:rsidP="008A15C0">
      <w:pPr>
        <w:pStyle w:val="Textpoznpodarou"/>
        <w:jc w:val="both"/>
        <w:rPr>
          <w:sz w:val="18"/>
          <w:szCs w:val="18"/>
        </w:rPr>
      </w:pPr>
      <w:r w:rsidRPr="008A15C0">
        <w:rPr>
          <w:rStyle w:val="Znakapoznpodarou"/>
          <w:sz w:val="18"/>
          <w:szCs w:val="18"/>
        </w:rPr>
        <w:footnoteRef/>
      </w:r>
      <w:r w:rsidRPr="008A15C0">
        <w:rPr>
          <w:sz w:val="18"/>
          <w:szCs w:val="18"/>
        </w:rPr>
        <w:t xml:space="preserve"> </w:t>
      </w:r>
      <w:r w:rsidRPr="00BF1928">
        <w:rPr>
          <w:sz w:val="18"/>
          <w:szCs w:val="18"/>
        </w:rPr>
        <w:t xml:space="preserve">Poslední dostupná data s mezinárodním srovnáním za členské státy EU28 byla v době zpracování této publikace </w:t>
      </w:r>
      <w:r w:rsidRPr="00BF1928">
        <w:rPr>
          <w:spacing w:val="-3"/>
          <w:sz w:val="18"/>
          <w:szCs w:val="18"/>
        </w:rPr>
        <w:t xml:space="preserve">za rok 2017. Jejich zdrojem je databáze Eurostatu: </w:t>
      </w:r>
      <w:hyperlink r:id="rId1" w:history="1">
        <w:r w:rsidRPr="00BF1928">
          <w:rPr>
            <w:rStyle w:val="Hypertextovodkaz"/>
            <w:sz w:val="18"/>
            <w:szCs w:val="18"/>
          </w:rPr>
          <w:t>https://ec.europa.eu/eurostat/web/health/data/database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4E75DF" w14:textId="2E5A6CA9" w:rsidR="00175193" w:rsidRPr="00C62BD6" w:rsidRDefault="00175193" w:rsidP="00C62BD6">
    <w:pPr>
      <w:pStyle w:val="Zhlav"/>
    </w:pPr>
    <w:r>
      <w:t>Pracovní neschopnost pro nemoc a úraz v České republice za rok 2019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BF52F09" w14:textId="4D45B3DA" w:rsidR="00175193" w:rsidRPr="00C62BD6" w:rsidRDefault="00175193" w:rsidP="00C62BD6">
    <w:pPr>
      <w:pStyle w:val="Zhlav"/>
    </w:pPr>
    <w:r>
      <w:t>Pracovní neschopnost pro nemoc a úraz v České republice za rok 2019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5pt;height:11.5pt" o:bullet="t">
        <v:imagedata r:id="rId1" o:title="msoFAAF"/>
      </v:shape>
    </w:pict>
  </w:numPicBullet>
  <w:abstractNum w:abstractNumId="0" w15:restartNumberingAfterBreak="0">
    <w:nsid w:val="FFFFFF7C"/>
    <w:multiLevelType w:val="singleLevel"/>
    <w:tmpl w:val="49CEEC48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EC69A9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37A1C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B762300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F6965B5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0DE276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C7AE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68C5BA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7C8EE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918AD8C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746EB"/>
    <w:multiLevelType w:val="hybridMultilevel"/>
    <w:tmpl w:val="1C985618"/>
    <w:lvl w:ilvl="0" w:tplc="70BA03E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6F2BA4"/>
    <w:multiLevelType w:val="hybridMultilevel"/>
    <w:tmpl w:val="6556EB8A"/>
    <w:lvl w:ilvl="0" w:tplc="996A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46B787E"/>
    <w:multiLevelType w:val="hybridMultilevel"/>
    <w:tmpl w:val="A4A86456"/>
    <w:lvl w:ilvl="0" w:tplc="040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BC3F1E"/>
    <w:multiLevelType w:val="hybridMultilevel"/>
    <w:tmpl w:val="8248935C"/>
    <w:lvl w:ilvl="0" w:tplc="C12432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D394626"/>
    <w:multiLevelType w:val="hybridMultilevel"/>
    <w:tmpl w:val="C29C83B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FB3472"/>
    <w:multiLevelType w:val="hybridMultilevel"/>
    <w:tmpl w:val="306E324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D40B42"/>
    <w:multiLevelType w:val="hybridMultilevel"/>
    <w:tmpl w:val="245C3596"/>
    <w:lvl w:ilvl="0" w:tplc="3894EFC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20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58473A1"/>
    <w:multiLevelType w:val="hybridMultilevel"/>
    <w:tmpl w:val="7984410C"/>
    <w:lvl w:ilvl="0" w:tplc="371200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AD14163"/>
    <w:multiLevelType w:val="hybridMultilevel"/>
    <w:tmpl w:val="8E5265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8277888"/>
    <w:multiLevelType w:val="hybridMultilevel"/>
    <w:tmpl w:val="85C8C13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D4E0AC1"/>
    <w:multiLevelType w:val="hybridMultilevel"/>
    <w:tmpl w:val="90B4F5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F7078D0"/>
    <w:multiLevelType w:val="hybridMultilevel"/>
    <w:tmpl w:val="CF6C1552"/>
    <w:lvl w:ilvl="0" w:tplc="2D4AD4D6">
      <w:start w:val="1"/>
      <w:numFmt w:val="decimal"/>
      <w:lvlText w:val="%1)"/>
      <w:lvlJc w:val="left"/>
      <w:pPr>
        <w:ind w:left="720" w:hanging="360"/>
      </w:pPr>
      <w:rPr>
        <w:rFonts w:hint="default"/>
        <w:vertAlign w:val="superscrip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7901B91"/>
    <w:multiLevelType w:val="hybridMultilevel"/>
    <w:tmpl w:val="EA86977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384A27"/>
    <w:multiLevelType w:val="hybridMultilevel"/>
    <w:tmpl w:val="1050503C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C581760"/>
    <w:multiLevelType w:val="hybridMultilevel"/>
    <w:tmpl w:val="CFEE972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605181"/>
    <w:multiLevelType w:val="hybridMultilevel"/>
    <w:tmpl w:val="2460E994"/>
    <w:lvl w:ilvl="0" w:tplc="996AE1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  <w:szCs w:val="32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5363618"/>
    <w:multiLevelType w:val="hybridMultilevel"/>
    <w:tmpl w:val="E3E8EB9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90017F3"/>
    <w:multiLevelType w:val="hybridMultilevel"/>
    <w:tmpl w:val="D4C4002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86C4312"/>
    <w:multiLevelType w:val="multilevel"/>
    <w:tmpl w:val="A544A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1FB04D0"/>
    <w:multiLevelType w:val="hybridMultilevel"/>
    <w:tmpl w:val="90A4758E"/>
    <w:lvl w:ilvl="0" w:tplc="4210ED8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468194F"/>
    <w:multiLevelType w:val="hybridMultilevel"/>
    <w:tmpl w:val="222C3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62E1767"/>
    <w:multiLevelType w:val="hybridMultilevel"/>
    <w:tmpl w:val="20A0152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969163C"/>
    <w:multiLevelType w:val="hybridMultilevel"/>
    <w:tmpl w:val="4BBAAE9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8"/>
  </w:num>
  <w:num w:numId="3">
    <w:abstractNumId w:val="3"/>
  </w:num>
  <w:num w:numId="4">
    <w:abstractNumId w:val="2"/>
  </w:num>
  <w:num w:numId="5">
    <w:abstractNumId w:val="1"/>
  </w:num>
  <w:num w:numId="6">
    <w:abstractNumId w:val="0"/>
  </w:num>
  <w:num w:numId="7">
    <w:abstractNumId w:val="9"/>
  </w:num>
  <w:num w:numId="8">
    <w:abstractNumId w:val="7"/>
  </w:num>
  <w:num w:numId="9">
    <w:abstractNumId w:val="6"/>
  </w:num>
  <w:num w:numId="10">
    <w:abstractNumId w:val="5"/>
  </w:num>
  <w:num w:numId="11">
    <w:abstractNumId w:val="4"/>
  </w:num>
  <w:num w:numId="12">
    <w:abstractNumId w:val="17"/>
  </w:num>
  <w:num w:numId="13">
    <w:abstractNumId w:val="24"/>
  </w:num>
  <w:num w:numId="14">
    <w:abstractNumId w:val="29"/>
  </w:num>
  <w:num w:numId="15">
    <w:abstractNumId w:val="15"/>
  </w:num>
  <w:num w:numId="16">
    <w:abstractNumId w:val="27"/>
  </w:num>
  <w:num w:numId="17">
    <w:abstractNumId w:val="18"/>
  </w:num>
  <w:num w:numId="18">
    <w:abstractNumId w:val="22"/>
  </w:num>
  <w:num w:numId="19">
    <w:abstractNumId w:val="28"/>
  </w:num>
  <w:num w:numId="20">
    <w:abstractNumId w:val="12"/>
  </w:num>
  <w:num w:numId="21">
    <w:abstractNumId w:val="31"/>
  </w:num>
  <w:num w:numId="22">
    <w:abstractNumId w:val="10"/>
  </w:num>
  <w:num w:numId="23">
    <w:abstractNumId w:val="14"/>
  </w:num>
  <w:num w:numId="24">
    <w:abstractNumId w:val="26"/>
  </w:num>
  <w:num w:numId="25">
    <w:abstractNumId w:val="21"/>
  </w:num>
  <w:num w:numId="26">
    <w:abstractNumId w:val="16"/>
  </w:num>
  <w:num w:numId="27">
    <w:abstractNumId w:val="19"/>
  </w:num>
  <w:num w:numId="28">
    <w:abstractNumId w:val="30"/>
  </w:num>
  <w:num w:numId="29">
    <w:abstractNumId w:val="20"/>
  </w:num>
  <w:num w:numId="30">
    <w:abstractNumId w:val="11"/>
  </w:num>
  <w:num w:numId="31">
    <w:abstractNumId w:val="13"/>
  </w:num>
  <w:num w:numId="32">
    <w:abstractNumId w:val="25"/>
  </w:num>
  <w:num w:numId="33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attachedTemplate r:id="rId1"/>
  <w:stylePaneFormatFilter w:val="1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>
      <o:colormru v:ext="edit" colors="#ecf4dd,#eaecee,#fcec0a,#fcecdb,#f1daf5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29F"/>
    <w:rsid w:val="00000613"/>
    <w:rsid w:val="0000209D"/>
    <w:rsid w:val="00004D5A"/>
    <w:rsid w:val="000056D5"/>
    <w:rsid w:val="00005F37"/>
    <w:rsid w:val="0000767A"/>
    <w:rsid w:val="00010702"/>
    <w:rsid w:val="00012E3C"/>
    <w:rsid w:val="0001568F"/>
    <w:rsid w:val="00016992"/>
    <w:rsid w:val="00017063"/>
    <w:rsid w:val="00020E78"/>
    <w:rsid w:val="000234D6"/>
    <w:rsid w:val="00023D29"/>
    <w:rsid w:val="00024095"/>
    <w:rsid w:val="00026389"/>
    <w:rsid w:val="000264BA"/>
    <w:rsid w:val="00027072"/>
    <w:rsid w:val="00031AE0"/>
    <w:rsid w:val="000322EF"/>
    <w:rsid w:val="00033FCD"/>
    <w:rsid w:val="00035E1F"/>
    <w:rsid w:val="00041CEC"/>
    <w:rsid w:val="00043077"/>
    <w:rsid w:val="000441B2"/>
    <w:rsid w:val="0004694F"/>
    <w:rsid w:val="000522E4"/>
    <w:rsid w:val="000547F8"/>
    <w:rsid w:val="000560F6"/>
    <w:rsid w:val="0005745E"/>
    <w:rsid w:val="000602A4"/>
    <w:rsid w:val="000610E1"/>
    <w:rsid w:val="00062EC5"/>
    <w:rsid w:val="00062F22"/>
    <w:rsid w:val="000672E0"/>
    <w:rsid w:val="00067C77"/>
    <w:rsid w:val="000707F1"/>
    <w:rsid w:val="000712B3"/>
    <w:rsid w:val="00077C3C"/>
    <w:rsid w:val="00080BBB"/>
    <w:rsid w:val="000813C9"/>
    <w:rsid w:val="0008263E"/>
    <w:rsid w:val="00082C19"/>
    <w:rsid w:val="00085395"/>
    <w:rsid w:val="00085730"/>
    <w:rsid w:val="00087634"/>
    <w:rsid w:val="000879D5"/>
    <w:rsid w:val="00087F2B"/>
    <w:rsid w:val="000974D1"/>
    <w:rsid w:val="0009799E"/>
    <w:rsid w:val="000A1183"/>
    <w:rsid w:val="000A256D"/>
    <w:rsid w:val="000A3A2C"/>
    <w:rsid w:val="000A65CA"/>
    <w:rsid w:val="000A68CD"/>
    <w:rsid w:val="000A6E8B"/>
    <w:rsid w:val="000B068F"/>
    <w:rsid w:val="000B11E0"/>
    <w:rsid w:val="000B282C"/>
    <w:rsid w:val="000B2975"/>
    <w:rsid w:val="000B30FA"/>
    <w:rsid w:val="000B3152"/>
    <w:rsid w:val="000B723A"/>
    <w:rsid w:val="000B78F7"/>
    <w:rsid w:val="000C339D"/>
    <w:rsid w:val="000C3408"/>
    <w:rsid w:val="000C3AA0"/>
    <w:rsid w:val="000C4447"/>
    <w:rsid w:val="000C6AFD"/>
    <w:rsid w:val="000C709C"/>
    <w:rsid w:val="000D1DC8"/>
    <w:rsid w:val="000D23AC"/>
    <w:rsid w:val="000D281A"/>
    <w:rsid w:val="000D3E45"/>
    <w:rsid w:val="000D5637"/>
    <w:rsid w:val="000D5A03"/>
    <w:rsid w:val="000D6F5B"/>
    <w:rsid w:val="000E2108"/>
    <w:rsid w:val="000E27AF"/>
    <w:rsid w:val="000E6FBD"/>
    <w:rsid w:val="000F3D81"/>
    <w:rsid w:val="000F56B0"/>
    <w:rsid w:val="000F5A64"/>
    <w:rsid w:val="00100F5C"/>
    <w:rsid w:val="00101F03"/>
    <w:rsid w:val="001033B0"/>
    <w:rsid w:val="0010437D"/>
    <w:rsid w:val="00104C4C"/>
    <w:rsid w:val="001068D1"/>
    <w:rsid w:val="00107F98"/>
    <w:rsid w:val="00114F61"/>
    <w:rsid w:val="00115925"/>
    <w:rsid w:val="00120F19"/>
    <w:rsid w:val="0012192F"/>
    <w:rsid w:val="00121EF0"/>
    <w:rsid w:val="00125932"/>
    <w:rsid w:val="00125D69"/>
    <w:rsid w:val="0012633F"/>
    <w:rsid w:val="00131CFC"/>
    <w:rsid w:val="0013313C"/>
    <w:rsid w:val="001332E8"/>
    <w:rsid w:val="001341B9"/>
    <w:rsid w:val="001405FA"/>
    <w:rsid w:val="00140A9B"/>
    <w:rsid w:val="001425C3"/>
    <w:rsid w:val="0014373B"/>
    <w:rsid w:val="00144900"/>
    <w:rsid w:val="00144BC4"/>
    <w:rsid w:val="0014556E"/>
    <w:rsid w:val="0014571B"/>
    <w:rsid w:val="001522B9"/>
    <w:rsid w:val="00154634"/>
    <w:rsid w:val="0015566F"/>
    <w:rsid w:val="001567B5"/>
    <w:rsid w:val="00156FA0"/>
    <w:rsid w:val="00157E96"/>
    <w:rsid w:val="00157F4D"/>
    <w:rsid w:val="00160E81"/>
    <w:rsid w:val="001620C4"/>
    <w:rsid w:val="0016256B"/>
    <w:rsid w:val="00162BC5"/>
    <w:rsid w:val="00163793"/>
    <w:rsid w:val="00166B70"/>
    <w:rsid w:val="001706D6"/>
    <w:rsid w:val="0017144B"/>
    <w:rsid w:val="001714F2"/>
    <w:rsid w:val="001717B5"/>
    <w:rsid w:val="00171BD2"/>
    <w:rsid w:val="00172DAA"/>
    <w:rsid w:val="00175140"/>
    <w:rsid w:val="00175193"/>
    <w:rsid w:val="00175D24"/>
    <w:rsid w:val="00176ED1"/>
    <w:rsid w:val="001771A3"/>
    <w:rsid w:val="0018047C"/>
    <w:rsid w:val="00180F80"/>
    <w:rsid w:val="00181749"/>
    <w:rsid w:val="00181862"/>
    <w:rsid w:val="00181AEB"/>
    <w:rsid w:val="00184B08"/>
    <w:rsid w:val="00185010"/>
    <w:rsid w:val="001861BD"/>
    <w:rsid w:val="00187A17"/>
    <w:rsid w:val="001968DC"/>
    <w:rsid w:val="00196DD5"/>
    <w:rsid w:val="001A09FF"/>
    <w:rsid w:val="001A0E1D"/>
    <w:rsid w:val="001A1661"/>
    <w:rsid w:val="001A552F"/>
    <w:rsid w:val="001A58D9"/>
    <w:rsid w:val="001A7A96"/>
    <w:rsid w:val="001B2CA9"/>
    <w:rsid w:val="001B3110"/>
    <w:rsid w:val="001B4494"/>
    <w:rsid w:val="001B4729"/>
    <w:rsid w:val="001B54D0"/>
    <w:rsid w:val="001B6C09"/>
    <w:rsid w:val="001C0339"/>
    <w:rsid w:val="001C05CD"/>
    <w:rsid w:val="001C0870"/>
    <w:rsid w:val="001C1389"/>
    <w:rsid w:val="001C1E6A"/>
    <w:rsid w:val="001C2246"/>
    <w:rsid w:val="001C2FEB"/>
    <w:rsid w:val="001C3D2F"/>
    <w:rsid w:val="001C4344"/>
    <w:rsid w:val="001C4AAA"/>
    <w:rsid w:val="001C5419"/>
    <w:rsid w:val="001D68B2"/>
    <w:rsid w:val="001D6C8B"/>
    <w:rsid w:val="001D7389"/>
    <w:rsid w:val="001D758B"/>
    <w:rsid w:val="001E0429"/>
    <w:rsid w:val="001E0499"/>
    <w:rsid w:val="001E197F"/>
    <w:rsid w:val="001E1D5E"/>
    <w:rsid w:val="001E476C"/>
    <w:rsid w:val="001F1CA6"/>
    <w:rsid w:val="001F3E33"/>
    <w:rsid w:val="001F4597"/>
    <w:rsid w:val="001F78C9"/>
    <w:rsid w:val="00200A8C"/>
    <w:rsid w:val="00206D98"/>
    <w:rsid w:val="002104FD"/>
    <w:rsid w:val="002118B9"/>
    <w:rsid w:val="00211F9B"/>
    <w:rsid w:val="00212A81"/>
    <w:rsid w:val="00214352"/>
    <w:rsid w:val="00217256"/>
    <w:rsid w:val="00217506"/>
    <w:rsid w:val="00217C5B"/>
    <w:rsid w:val="00217DC3"/>
    <w:rsid w:val="00217ED2"/>
    <w:rsid w:val="0022139E"/>
    <w:rsid w:val="00224AD6"/>
    <w:rsid w:val="002251DF"/>
    <w:rsid w:val="002252E0"/>
    <w:rsid w:val="002255F6"/>
    <w:rsid w:val="00227850"/>
    <w:rsid w:val="00227A53"/>
    <w:rsid w:val="00230496"/>
    <w:rsid w:val="00230C6E"/>
    <w:rsid w:val="00236404"/>
    <w:rsid w:val="00236443"/>
    <w:rsid w:val="00241D09"/>
    <w:rsid w:val="00242D5A"/>
    <w:rsid w:val="002436BA"/>
    <w:rsid w:val="00243997"/>
    <w:rsid w:val="00244A15"/>
    <w:rsid w:val="00247319"/>
    <w:rsid w:val="0024799E"/>
    <w:rsid w:val="00250165"/>
    <w:rsid w:val="0025379B"/>
    <w:rsid w:val="00253C0F"/>
    <w:rsid w:val="00254B9E"/>
    <w:rsid w:val="00255711"/>
    <w:rsid w:val="00255736"/>
    <w:rsid w:val="002572EA"/>
    <w:rsid w:val="0026045A"/>
    <w:rsid w:val="002701A3"/>
    <w:rsid w:val="00271465"/>
    <w:rsid w:val="00277316"/>
    <w:rsid w:val="00282F1A"/>
    <w:rsid w:val="00285412"/>
    <w:rsid w:val="00285EDB"/>
    <w:rsid w:val="00287970"/>
    <w:rsid w:val="00291F5C"/>
    <w:rsid w:val="00294951"/>
    <w:rsid w:val="00294E2C"/>
    <w:rsid w:val="002A00BE"/>
    <w:rsid w:val="002A16D4"/>
    <w:rsid w:val="002A230C"/>
    <w:rsid w:val="002A73B0"/>
    <w:rsid w:val="002A76E1"/>
    <w:rsid w:val="002A7AC1"/>
    <w:rsid w:val="002B03C8"/>
    <w:rsid w:val="002B2978"/>
    <w:rsid w:val="002B4B3B"/>
    <w:rsid w:val="002B5F1A"/>
    <w:rsid w:val="002B6D9C"/>
    <w:rsid w:val="002C394F"/>
    <w:rsid w:val="002C43BD"/>
    <w:rsid w:val="002C4F33"/>
    <w:rsid w:val="002C63D7"/>
    <w:rsid w:val="002C7BFB"/>
    <w:rsid w:val="002D0E59"/>
    <w:rsid w:val="002D5272"/>
    <w:rsid w:val="002D5EB9"/>
    <w:rsid w:val="002E02A1"/>
    <w:rsid w:val="002E3478"/>
    <w:rsid w:val="002E3A71"/>
    <w:rsid w:val="002E48BA"/>
    <w:rsid w:val="002E4E4C"/>
    <w:rsid w:val="002E5729"/>
    <w:rsid w:val="002E5F48"/>
    <w:rsid w:val="002E5FCA"/>
    <w:rsid w:val="002F5756"/>
    <w:rsid w:val="002F5A91"/>
    <w:rsid w:val="0030013F"/>
    <w:rsid w:val="00300F92"/>
    <w:rsid w:val="00302114"/>
    <w:rsid w:val="00304771"/>
    <w:rsid w:val="003052D4"/>
    <w:rsid w:val="00306C5B"/>
    <w:rsid w:val="003116A3"/>
    <w:rsid w:val="00311EA9"/>
    <w:rsid w:val="003209D6"/>
    <w:rsid w:val="00321924"/>
    <w:rsid w:val="00326241"/>
    <w:rsid w:val="0032656E"/>
    <w:rsid w:val="003265EC"/>
    <w:rsid w:val="00332190"/>
    <w:rsid w:val="00332B74"/>
    <w:rsid w:val="00333C53"/>
    <w:rsid w:val="00334C1B"/>
    <w:rsid w:val="003350EA"/>
    <w:rsid w:val="003357F4"/>
    <w:rsid w:val="003438AC"/>
    <w:rsid w:val="00343EB9"/>
    <w:rsid w:val="00344668"/>
    <w:rsid w:val="00345B8D"/>
    <w:rsid w:val="003462D9"/>
    <w:rsid w:val="00350E69"/>
    <w:rsid w:val="00355994"/>
    <w:rsid w:val="00360C86"/>
    <w:rsid w:val="0036117D"/>
    <w:rsid w:val="00363273"/>
    <w:rsid w:val="0036400F"/>
    <w:rsid w:val="003657F3"/>
    <w:rsid w:val="00367F64"/>
    <w:rsid w:val="003705A0"/>
    <w:rsid w:val="003728E7"/>
    <w:rsid w:val="003760B8"/>
    <w:rsid w:val="00381067"/>
    <w:rsid w:val="003818DC"/>
    <w:rsid w:val="00384327"/>
    <w:rsid w:val="00385D98"/>
    <w:rsid w:val="00386434"/>
    <w:rsid w:val="0038691E"/>
    <w:rsid w:val="00386A3F"/>
    <w:rsid w:val="00390287"/>
    <w:rsid w:val="003909B9"/>
    <w:rsid w:val="003959BE"/>
    <w:rsid w:val="00395CC3"/>
    <w:rsid w:val="003A2B4D"/>
    <w:rsid w:val="003A2E6F"/>
    <w:rsid w:val="003A3D14"/>
    <w:rsid w:val="003A478C"/>
    <w:rsid w:val="003A5525"/>
    <w:rsid w:val="003A6B38"/>
    <w:rsid w:val="003A6F27"/>
    <w:rsid w:val="003B17BF"/>
    <w:rsid w:val="003B31AE"/>
    <w:rsid w:val="003B5A32"/>
    <w:rsid w:val="003C1D64"/>
    <w:rsid w:val="003C3394"/>
    <w:rsid w:val="003C3490"/>
    <w:rsid w:val="003C629F"/>
    <w:rsid w:val="003C67A8"/>
    <w:rsid w:val="003C780C"/>
    <w:rsid w:val="003D0756"/>
    <w:rsid w:val="003D2F61"/>
    <w:rsid w:val="003D5EC9"/>
    <w:rsid w:val="003D655B"/>
    <w:rsid w:val="003D6920"/>
    <w:rsid w:val="003D6F0F"/>
    <w:rsid w:val="003D742E"/>
    <w:rsid w:val="003E12C3"/>
    <w:rsid w:val="003E2008"/>
    <w:rsid w:val="003E2BFB"/>
    <w:rsid w:val="003E2F90"/>
    <w:rsid w:val="003E3CA0"/>
    <w:rsid w:val="003E4C91"/>
    <w:rsid w:val="003E6DCF"/>
    <w:rsid w:val="003F132D"/>
    <w:rsid w:val="003F313C"/>
    <w:rsid w:val="003F320E"/>
    <w:rsid w:val="003F39F5"/>
    <w:rsid w:val="003F3CA8"/>
    <w:rsid w:val="003F4A41"/>
    <w:rsid w:val="003F4B2C"/>
    <w:rsid w:val="003F551C"/>
    <w:rsid w:val="003F647B"/>
    <w:rsid w:val="003F7D23"/>
    <w:rsid w:val="004017F4"/>
    <w:rsid w:val="00403189"/>
    <w:rsid w:val="00403233"/>
    <w:rsid w:val="00407A07"/>
    <w:rsid w:val="00407C13"/>
    <w:rsid w:val="00410638"/>
    <w:rsid w:val="0041370D"/>
    <w:rsid w:val="004140C1"/>
    <w:rsid w:val="00421EAD"/>
    <w:rsid w:val="004223A0"/>
    <w:rsid w:val="0042249D"/>
    <w:rsid w:val="00423E3E"/>
    <w:rsid w:val="00432A58"/>
    <w:rsid w:val="00434617"/>
    <w:rsid w:val="004352C6"/>
    <w:rsid w:val="00435730"/>
    <w:rsid w:val="00440900"/>
    <w:rsid w:val="00442BB5"/>
    <w:rsid w:val="00442D9E"/>
    <w:rsid w:val="004441A0"/>
    <w:rsid w:val="004463CD"/>
    <w:rsid w:val="0045021E"/>
    <w:rsid w:val="00452182"/>
    <w:rsid w:val="004542FC"/>
    <w:rsid w:val="00455498"/>
    <w:rsid w:val="00455B91"/>
    <w:rsid w:val="00460B29"/>
    <w:rsid w:val="00460F9A"/>
    <w:rsid w:val="00460FB3"/>
    <w:rsid w:val="0046287E"/>
    <w:rsid w:val="00464B0B"/>
    <w:rsid w:val="0047139E"/>
    <w:rsid w:val="00472BF3"/>
    <w:rsid w:val="004744DF"/>
    <w:rsid w:val="00475359"/>
    <w:rsid w:val="00475D16"/>
    <w:rsid w:val="00476240"/>
    <w:rsid w:val="00476439"/>
    <w:rsid w:val="0047735C"/>
    <w:rsid w:val="00477449"/>
    <w:rsid w:val="004776BC"/>
    <w:rsid w:val="0048139F"/>
    <w:rsid w:val="004814FF"/>
    <w:rsid w:val="00481E40"/>
    <w:rsid w:val="00484ECE"/>
    <w:rsid w:val="00486790"/>
    <w:rsid w:val="00487429"/>
    <w:rsid w:val="004900FF"/>
    <w:rsid w:val="00491207"/>
    <w:rsid w:val="004915CB"/>
    <w:rsid w:val="0049175C"/>
    <w:rsid w:val="00491CA4"/>
    <w:rsid w:val="004924DC"/>
    <w:rsid w:val="00493A71"/>
    <w:rsid w:val="00496F97"/>
    <w:rsid w:val="004A14E4"/>
    <w:rsid w:val="004A2A83"/>
    <w:rsid w:val="004A3212"/>
    <w:rsid w:val="004A61C5"/>
    <w:rsid w:val="004A77DF"/>
    <w:rsid w:val="004A7D35"/>
    <w:rsid w:val="004B1417"/>
    <w:rsid w:val="004B4514"/>
    <w:rsid w:val="004B4EAD"/>
    <w:rsid w:val="004B55B7"/>
    <w:rsid w:val="004B5B2E"/>
    <w:rsid w:val="004B6468"/>
    <w:rsid w:val="004B7D7E"/>
    <w:rsid w:val="004C01CC"/>
    <w:rsid w:val="004C1315"/>
    <w:rsid w:val="004C384C"/>
    <w:rsid w:val="004C3867"/>
    <w:rsid w:val="004C4CD0"/>
    <w:rsid w:val="004C5CA5"/>
    <w:rsid w:val="004C701A"/>
    <w:rsid w:val="004C70DC"/>
    <w:rsid w:val="004D0211"/>
    <w:rsid w:val="004D02A3"/>
    <w:rsid w:val="004D0794"/>
    <w:rsid w:val="004D14DB"/>
    <w:rsid w:val="004D5ACC"/>
    <w:rsid w:val="004D6A14"/>
    <w:rsid w:val="004E215F"/>
    <w:rsid w:val="004F06F5"/>
    <w:rsid w:val="004F2630"/>
    <w:rsid w:val="004F33A0"/>
    <w:rsid w:val="004F4000"/>
    <w:rsid w:val="004F7F82"/>
    <w:rsid w:val="00500A8A"/>
    <w:rsid w:val="00502CF4"/>
    <w:rsid w:val="005071B3"/>
    <w:rsid w:val="00507EDF"/>
    <w:rsid w:val="005108C0"/>
    <w:rsid w:val="00510AB1"/>
    <w:rsid w:val="00511873"/>
    <w:rsid w:val="00512226"/>
    <w:rsid w:val="00512A2F"/>
    <w:rsid w:val="00513B7E"/>
    <w:rsid w:val="00513C1E"/>
    <w:rsid w:val="00514756"/>
    <w:rsid w:val="00515C74"/>
    <w:rsid w:val="0052007E"/>
    <w:rsid w:val="00520A86"/>
    <w:rsid w:val="00522087"/>
    <w:rsid w:val="005229A8"/>
    <w:rsid w:val="0052337A"/>
    <w:rsid w:val="00525137"/>
    <w:rsid w:val="005251DD"/>
    <w:rsid w:val="005252CA"/>
    <w:rsid w:val="00525455"/>
    <w:rsid w:val="00530299"/>
    <w:rsid w:val="005311E0"/>
    <w:rsid w:val="00532BBD"/>
    <w:rsid w:val="00532CE7"/>
    <w:rsid w:val="00532E6C"/>
    <w:rsid w:val="0053324C"/>
    <w:rsid w:val="0053437D"/>
    <w:rsid w:val="005346F3"/>
    <w:rsid w:val="005348D7"/>
    <w:rsid w:val="00534A28"/>
    <w:rsid w:val="00541508"/>
    <w:rsid w:val="00542131"/>
    <w:rsid w:val="00545F75"/>
    <w:rsid w:val="00551873"/>
    <w:rsid w:val="00553FDB"/>
    <w:rsid w:val="00554150"/>
    <w:rsid w:val="0055599F"/>
    <w:rsid w:val="00556D68"/>
    <w:rsid w:val="0056065A"/>
    <w:rsid w:val="0056164E"/>
    <w:rsid w:val="00561BFE"/>
    <w:rsid w:val="00563330"/>
    <w:rsid w:val="005647BF"/>
    <w:rsid w:val="00564F1D"/>
    <w:rsid w:val="00570372"/>
    <w:rsid w:val="00570BDC"/>
    <w:rsid w:val="00572936"/>
    <w:rsid w:val="0057364B"/>
    <w:rsid w:val="00574035"/>
    <w:rsid w:val="00574773"/>
    <w:rsid w:val="00574C7C"/>
    <w:rsid w:val="00574EBF"/>
    <w:rsid w:val="0057761D"/>
    <w:rsid w:val="005819BF"/>
    <w:rsid w:val="00583FFD"/>
    <w:rsid w:val="005847D6"/>
    <w:rsid w:val="00584D18"/>
    <w:rsid w:val="00585490"/>
    <w:rsid w:val="0058560C"/>
    <w:rsid w:val="0058606B"/>
    <w:rsid w:val="005874D5"/>
    <w:rsid w:val="005911BE"/>
    <w:rsid w:val="00592FC3"/>
    <w:rsid w:val="00593152"/>
    <w:rsid w:val="005968FD"/>
    <w:rsid w:val="005970D1"/>
    <w:rsid w:val="005A0164"/>
    <w:rsid w:val="005A10F2"/>
    <w:rsid w:val="005A21E0"/>
    <w:rsid w:val="005A232E"/>
    <w:rsid w:val="005A28FF"/>
    <w:rsid w:val="005A3DF8"/>
    <w:rsid w:val="005A5549"/>
    <w:rsid w:val="005A6E76"/>
    <w:rsid w:val="005A6E81"/>
    <w:rsid w:val="005B05C1"/>
    <w:rsid w:val="005B121D"/>
    <w:rsid w:val="005B3EB2"/>
    <w:rsid w:val="005B4A93"/>
    <w:rsid w:val="005C06ED"/>
    <w:rsid w:val="005C4067"/>
    <w:rsid w:val="005C4643"/>
    <w:rsid w:val="005C75D7"/>
    <w:rsid w:val="005D3828"/>
    <w:rsid w:val="005D3C32"/>
    <w:rsid w:val="005D57C0"/>
    <w:rsid w:val="005D5802"/>
    <w:rsid w:val="005D7890"/>
    <w:rsid w:val="005E012A"/>
    <w:rsid w:val="005E2102"/>
    <w:rsid w:val="005E6145"/>
    <w:rsid w:val="005E7177"/>
    <w:rsid w:val="005E7C78"/>
    <w:rsid w:val="005F0113"/>
    <w:rsid w:val="005F1D8B"/>
    <w:rsid w:val="005F2E14"/>
    <w:rsid w:val="005F3876"/>
    <w:rsid w:val="005F3EB1"/>
    <w:rsid w:val="005F5469"/>
    <w:rsid w:val="006006C5"/>
    <w:rsid w:val="00602560"/>
    <w:rsid w:val="00604307"/>
    <w:rsid w:val="0060487F"/>
    <w:rsid w:val="00604EAD"/>
    <w:rsid w:val="006104FB"/>
    <w:rsid w:val="006111AE"/>
    <w:rsid w:val="00612A2F"/>
    <w:rsid w:val="0061690D"/>
    <w:rsid w:val="00616E05"/>
    <w:rsid w:val="00621C38"/>
    <w:rsid w:val="00624093"/>
    <w:rsid w:val="00624C0E"/>
    <w:rsid w:val="00632755"/>
    <w:rsid w:val="00632BF0"/>
    <w:rsid w:val="00633050"/>
    <w:rsid w:val="006404A7"/>
    <w:rsid w:val="00642E5B"/>
    <w:rsid w:val="00644DCC"/>
    <w:rsid w:val="006451E4"/>
    <w:rsid w:val="00645B33"/>
    <w:rsid w:val="006464E5"/>
    <w:rsid w:val="00647621"/>
    <w:rsid w:val="006516CB"/>
    <w:rsid w:val="00655555"/>
    <w:rsid w:val="00656732"/>
    <w:rsid w:val="00656BD6"/>
    <w:rsid w:val="006574B7"/>
    <w:rsid w:val="00657E87"/>
    <w:rsid w:val="00660130"/>
    <w:rsid w:val="006601C5"/>
    <w:rsid w:val="00661E61"/>
    <w:rsid w:val="006624D2"/>
    <w:rsid w:val="00662856"/>
    <w:rsid w:val="00664803"/>
    <w:rsid w:val="00665BA4"/>
    <w:rsid w:val="00667AF2"/>
    <w:rsid w:val="00667CC8"/>
    <w:rsid w:val="0067037C"/>
    <w:rsid w:val="006710C9"/>
    <w:rsid w:val="0067117F"/>
    <w:rsid w:val="0067418E"/>
    <w:rsid w:val="00674574"/>
    <w:rsid w:val="00674C4B"/>
    <w:rsid w:val="00674D89"/>
    <w:rsid w:val="00675E37"/>
    <w:rsid w:val="00676681"/>
    <w:rsid w:val="0068174E"/>
    <w:rsid w:val="00681DCE"/>
    <w:rsid w:val="0068260E"/>
    <w:rsid w:val="00682BA4"/>
    <w:rsid w:val="00682D5C"/>
    <w:rsid w:val="00683CE8"/>
    <w:rsid w:val="006846A7"/>
    <w:rsid w:val="00684C19"/>
    <w:rsid w:val="00695BEF"/>
    <w:rsid w:val="00695EF9"/>
    <w:rsid w:val="0069661B"/>
    <w:rsid w:val="006977F6"/>
    <w:rsid w:val="00697A13"/>
    <w:rsid w:val="006A109C"/>
    <w:rsid w:val="006A16F0"/>
    <w:rsid w:val="006A51FD"/>
    <w:rsid w:val="006A6265"/>
    <w:rsid w:val="006B087F"/>
    <w:rsid w:val="006B2560"/>
    <w:rsid w:val="006B344A"/>
    <w:rsid w:val="006B6C8D"/>
    <w:rsid w:val="006B78D8"/>
    <w:rsid w:val="006C113F"/>
    <w:rsid w:val="006C123E"/>
    <w:rsid w:val="006C2905"/>
    <w:rsid w:val="006C2D96"/>
    <w:rsid w:val="006C4575"/>
    <w:rsid w:val="006C56D4"/>
    <w:rsid w:val="006C6924"/>
    <w:rsid w:val="006C7CA6"/>
    <w:rsid w:val="006D09A9"/>
    <w:rsid w:val="006D26BD"/>
    <w:rsid w:val="006D3235"/>
    <w:rsid w:val="006D3E8A"/>
    <w:rsid w:val="006D61F6"/>
    <w:rsid w:val="006E0354"/>
    <w:rsid w:val="006E279A"/>
    <w:rsid w:val="006E313B"/>
    <w:rsid w:val="006E41A2"/>
    <w:rsid w:val="006E535F"/>
    <w:rsid w:val="006E6039"/>
    <w:rsid w:val="006F0058"/>
    <w:rsid w:val="006F055B"/>
    <w:rsid w:val="006F2AEC"/>
    <w:rsid w:val="006F3AB5"/>
    <w:rsid w:val="006F4484"/>
    <w:rsid w:val="006F5416"/>
    <w:rsid w:val="006F607D"/>
    <w:rsid w:val="006F687C"/>
    <w:rsid w:val="006F7137"/>
    <w:rsid w:val="0070066F"/>
    <w:rsid w:val="00700B12"/>
    <w:rsid w:val="00700F09"/>
    <w:rsid w:val="007021B9"/>
    <w:rsid w:val="0070488B"/>
    <w:rsid w:val="00706AD4"/>
    <w:rsid w:val="0071250D"/>
    <w:rsid w:val="00713B8D"/>
    <w:rsid w:val="007140BE"/>
    <w:rsid w:val="00715016"/>
    <w:rsid w:val="00717B13"/>
    <w:rsid w:val="007211F5"/>
    <w:rsid w:val="00722908"/>
    <w:rsid w:val="00723107"/>
    <w:rsid w:val="00724167"/>
    <w:rsid w:val="00725BB5"/>
    <w:rsid w:val="0072640B"/>
    <w:rsid w:val="00727692"/>
    <w:rsid w:val="00730070"/>
    <w:rsid w:val="00730AE8"/>
    <w:rsid w:val="0073249C"/>
    <w:rsid w:val="00735DA6"/>
    <w:rsid w:val="00741493"/>
    <w:rsid w:val="00741ABE"/>
    <w:rsid w:val="0074310D"/>
    <w:rsid w:val="00743BCB"/>
    <w:rsid w:val="00744A49"/>
    <w:rsid w:val="0074692F"/>
    <w:rsid w:val="007508FD"/>
    <w:rsid w:val="00751CB2"/>
    <w:rsid w:val="00752180"/>
    <w:rsid w:val="00752E51"/>
    <w:rsid w:val="0075508B"/>
    <w:rsid w:val="00755202"/>
    <w:rsid w:val="00755D3A"/>
    <w:rsid w:val="00755F52"/>
    <w:rsid w:val="007578D3"/>
    <w:rsid w:val="007609C6"/>
    <w:rsid w:val="0076175D"/>
    <w:rsid w:val="00763D57"/>
    <w:rsid w:val="0076521E"/>
    <w:rsid w:val="007654F6"/>
    <w:rsid w:val="00766174"/>
    <w:rsid w:val="007661E9"/>
    <w:rsid w:val="00766701"/>
    <w:rsid w:val="007709BD"/>
    <w:rsid w:val="007716E5"/>
    <w:rsid w:val="007733EB"/>
    <w:rsid w:val="00776169"/>
    <w:rsid w:val="00776527"/>
    <w:rsid w:val="00776BA8"/>
    <w:rsid w:val="00776E3B"/>
    <w:rsid w:val="00777C02"/>
    <w:rsid w:val="007806F2"/>
    <w:rsid w:val="00780EF1"/>
    <w:rsid w:val="00783112"/>
    <w:rsid w:val="00784CF6"/>
    <w:rsid w:val="00786ED5"/>
    <w:rsid w:val="00790764"/>
    <w:rsid w:val="007915E6"/>
    <w:rsid w:val="00792F41"/>
    <w:rsid w:val="007936D2"/>
    <w:rsid w:val="00793707"/>
    <w:rsid w:val="0079453C"/>
    <w:rsid w:val="00794677"/>
    <w:rsid w:val="00796E73"/>
    <w:rsid w:val="00797568"/>
    <w:rsid w:val="007A3D44"/>
    <w:rsid w:val="007A7D7E"/>
    <w:rsid w:val="007B1713"/>
    <w:rsid w:val="007B2E56"/>
    <w:rsid w:val="007B5316"/>
    <w:rsid w:val="007B5DF3"/>
    <w:rsid w:val="007B6689"/>
    <w:rsid w:val="007C121B"/>
    <w:rsid w:val="007C262E"/>
    <w:rsid w:val="007C2E22"/>
    <w:rsid w:val="007C60B5"/>
    <w:rsid w:val="007D00CE"/>
    <w:rsid w:val="007D2763"/>
    <w:rsid w:val="007D31E2"/>
    <w:rsid w:val="007D40DF"/>
    <w:rsid w:val="007D5073"/>
    <w:rsid w:val="007E5735"/>
    <w:rsid w:val="007E69A2"/>
    <w:rsid w:val="007E7390"/>
    <w:rsid w:val="007E7B35"/>
    <w:rsid w:val="007E7E61"/>
    <w:rsid w:val="007F01CB"/>
    <w:rsid w:val="007F057A"/>
    <w:rsid w:val="007F0845"/>
    <w:rsid w:val="007F3530"/>
    <w:rsid w:val="007F3E9F"/>
    <w:rsid w:val="007F799E"/>
    <w:rsid w:val="00801735"/>
    <w:rsid w:val="008021F7"/>
    <w:rsid w:val="00803315"/>
    <w:rsid w:val="0080345D"/>
    <w:rsid w:val="0080721C"/>
    <w:rsid w:val="00807C82"/>
    <w:rsid w:val="00811B8E"/>
    <w:rsid w:val="00812420"/>
    <w:rsid w:val="00816905"/>
    <w:rsid w:val="00817B82"/>
    <w:rsid w:val="008212E2"/>
    <w:rsid w:val="00821D69"/>
    <w:rsid w:val="00821FF6"/>
    <w:rsid w:val="00822BA7"/>
    <w:rsid w:val="0082313C"/>
    <w:rsid w:val="00825467"/>
    <w:rsid w:val="00825C4D"/>
    <w:rsid w:val="00825F9E"/>
    <w:rsid w:val="008310A4"/>
    <w:rsid w:val="0083143E"/>
    <w:rsid w:val="00831CDE"/>
    <w:rsid w:val="00831FDF"/>
    <w:rsid w:val="00833D9A"/>
    <w:rsid w:val="00834304"/>
    <w:rsid w:val="00834783"/>
    <w:rsid w:val="00834FAA"/>
    <w:rsid w:val="00835887"/>
    <w:rsid w:val="00836086"/>
    <w:rsid w:val="00836EBC"/>
    <w:rsid w:val="0083799B"/>
    <w:rsid w:val="00840923"/>
    <w:rsid w:val="00840BCB"/>
    <w:rsid w:val="00846150"/>
    <w:rsid w:val="0084688F"/>
    <w:rsid w:val="00846BED"/>
    <w:rsid w:val="0084708F"/>
    <w:rsid w:val="008477C8"/>
    <w:rsid w:val="0085114D"/>
    <w:rsid w:val="00852217"/>
    <w:rsid w:val="00855408"/>
    <w:rsid w:val="00856D65"/>
    <w:rsid w:val="00857DF8"/>
    <w:rsid w:val="00861B41"/>
    <w:rsid w:val="00861DCA"/>
    <w:rsid w:val="00863434"/>
    <w:rsid w:val="00863710"/>
    <w:rsid w:val="00864271"/>
    <w:rsid w:val="00865E4C"/>
    <w:rsid w:val="008701E4"/>
    <w:rsid w:val="008712AA"/>
    <w:rsid w:val="00874D21"/>
    <w:rsid w:val="00875A32"/>
    <w:rsid w:val="00875B30"/>
    <w:rsid w:val="00876086"/>
    <w:rsid w:val="00877861"/>
    <w:rsid w:val="00880B43"/>
    <w:rsid w:val="00884749"/>
    <w:rsid w:val="008847E1"/>
    <w:rsid w:val="008873D4"/>
    <w:rsid w:val="00890F57"/>
    <w:rsid w:val="0089159B"/>
    <w:rsid w:val="008920E3"/>
    <w:rsid w:val="00893E85"/>
    <w:rsid w:val="00894031"/>
    <w:rsid w:val="00894E45"/>
    <w:rsid w:val="008965CE"/>
    <w:rsid w:val="00896C9F"/>
    <w:rsid w:val="008A11DC"/>
    <w:rsid w:val="008A15C0"/>
    <w:rsid w:val="008A558B"/>
    <w:rsid w:val="008A6DE5"/>
    <w:rsid w:val="008A7794"/>
    <w:rsid w:val="008A7BFD"/>
    <w:rsid w:val="008B0099"/>
    <w:rsid w:val="008B03D4"/>
    <w:rsid w:val="008B2578"/>
    <w:rsid w:val="008B4046"/>
    <w:rsid w:val="008B54BB"/>
    <w:rsid w:val="008B7C02"/>
    <w:rsid w:val="008B7D2B"/>
    <w:rsid w:val="008C0049"/>
    <w:rsid w:val="008C0E88"/>
    <w:rsid w:val="008C1256"/>
    <w:rsid w:val="008C2001"/>
    <w:rsid w:val="008C5CC8"/>
    <w:rsid w:val="008D0795"/>
    <w:rsid w:val="008D1AAF"/>
    <w:rsid w:val="008D1E6A"/>
    <w:rsid w:val="008D2084"/>
    <w:rsid w:val="008D2A16"/>
    <w:rsid w:val="008D49FF"/>
    <w:rsid w:val="008D4AF8"/>
    <w:rsid w:val="008D5EF5"/>
    <w:rsid w:val="008D7B85"/>
    <w:rsid w:val="008E048A"/>
    <w:rsid w:val="008E0AD6"/>
    <w:rsid w:val="008E1170"/>
    <w:rsid w:val="008E203F"/>
    <w:rsid w:val="008E2561"/>
    <w:rsid w:val="008E2C57"/>
    <w:rsid w:val="008E31FF"/>
    <w:rsid w:val="008E5FEF"/>
    <w:rsid w:val="008E6108"/>
    <w:rsid w:val="008E63E7"/>
    <w:rsid w:val="008E6C00"/>
    <w:rsid w:val="008E6F06"/>
    <w:rsid w:val="008F029B"/>
    <w:rsid w:val="008F0EB8"/>
    <w:rsid w:val="008F1CE9"/>
    <w:rsid w:val="008F3FC9"/>
    <w:rsid w:val="008F585B"/>
    <w:rsid w:val="008F61D0"/>
    <w:rsid w:val="009003A8"/>
    <w:rsid w:val="00902500"/>
    <w:rsid w:val="009026F8"/>
    <w:rsid w:val="00902EFF"/>
    <w:rsid w:val="00902FEC"/>
    <w:rsid w:val="00903EA5"/>
    <w:rsid w:val="00906401"/>
    <w:rsid w:val="00910FDC"/>
    <w:rsid w:val="0091155E"/>
    <w:rsid w:val="00911E25"/>
    <w:rsid w:val="00912A92"/>
    <w:rsid w:val="00913398"/>
    <w:rsid w:val="0091728D"/>
    <w:rsid w:val="0092180B"/>
    <w:rsid w:val="00921F14"/>
    <w:rsid w:val="00922707"/>
    <w:rsid w:val="00922AA2"/>
    <w:rsid w:val="00924AC8"/>
    <w:rsid w:val="00924DE0"/>
    <w:rsid w:val="0092597A"/>
    <w:rsid w:val="00926D02"/>
    <w:rsid w:val="00930322"/>
    <w:rsid w:val="00931300"/>
    <w:rsid w:val="00931D4D"/>
    <w:rsid w:val="00932443"/>
    <w:rsid w:val="00932A71"/>
    <w:rsid w:val="0093401E"/>
    <w:rsid w:val="009343D6"/>
    <w:rsid w:val="00937AE2"/>
    <w:rsid w:val="0094427A"/>
    <w:rsid w:val="00944344"/>
    <w:rsid w:val="00946467"/>
    <w:rsid w:val="00950005"/>
    <w:rsid w:val="009550BA"/>
    <w:rsid w:val="00960C32"/>
    <w:rsid w:val="009612C8"/>
    <w:rsid w:val="009636BA"/>
    <w:rsid w:val="00967163"/>
    <w:rsid w:val="00972D12"/>
    <w:rsid w:val="00973496"/>
    <w:rsid w:val="00974923"/>
    <w:rsid w:val="00974E58"/>
    <w:rsid w:val="00976E3E"/>
    <w:rsid w:val="00977BD8"/>
    <w:rsid w:val="00977F2A"/>
    <w:rsid w:val="00980D3D"/>
    <w:rsid w:val="009852A1"/>
    <w:rsid w:val="009870D2"/>
    <w:rsid w:val="009873AF"/>
    <w:rsid w:val="00987A30"/>
    <w:rsid w:val="00992CF3"/>
    <w:rsid w:val="00992FBA"/>
    <w:rsid w:val="0099448D"/>
    <w:rsid w:val="009962BB"/>
    <w:rsid w:val="009968D6"/>
    <w:rsid w:val="00997C2A"/>
    <w:rsid w:val="009A1CAB"/>
    <w:rsid w:val="009A38E3"/>
    <w:rsid w:val="009A60D1"/>
    <w:rsid w:val="009B08CF"/>
    <w:rsid w:val="009B35D6"/>
    <w:rsid w:val="009B39CA"/>
    <w:rsid w:val="009B6FD3"/>
    <w:rsid w:val="009C1750"/>
    <w:rsid w:val="009C2E29"/>
    <w:rsid w:val="009C37BE"/>
    <w:rsid w:val="009C40F8"/>
    <w:rsid w:val="009C47A8"/>
    <w:rsid w:val="009C554B"/>
    <w:rsid w:val="009C694A"/>
    <w:rsid w:val="009C6CD3"/>
    <w:rsid w:val="009C719E"/>
    <w:rsid w:val="009D325E"/>
    <w:rsid w:val="009D3ACD"/>
    <w:rsid w:val="009D65DD"/>
    <w:rsid w:val="009D7697"/>
    <w:rsid w:val="009E1B64"/>
    <w:rsid w:val="009E1D9D"/>
    <w:rsid w:val="009E2AD9"/>
    <w:rsid w:val="009E5273"/>
    <w:rsid w:val="009E5DDB"/>
    <w:rsid w:val="009E5E57"/>
    <w:rsid w:val="009E7B23"/>
    <w:rsid w:val="009F2C71"/>
    <w:rsid w:val="009F3108"/>
    <w:rsid w:val="009F4CA7"/>
    <w:rsid w:val="009F5FBB"/>
    <w:rsid w:val="009F68C1"/>
    <w:rsid w:val="00A02A9E"/>
    <w:rsid w:val="00A036CD"/>
    <w:rsid w:val="00A05546"/>
    <w:rsid w:val="00A10D66"/>
    <w:rsid w:val="00A14114"/>
    <w:rsid w:val="00A14C3E"/>
    <w:rsid w:val="00A16413"/>
    <w:rsid w:val="00A165CB"/>
    <w:rsid w:val="00A166F4"/>
    <w:rsid w:val="00A2036D"/>
    <w:rsid w:val="00A23E43"/>
    <w:rsid w:val="00A30DCD"/>
    <w:rsid w:val="00A30F65"/>
    <w:rsid w:val="00A37A9C"/>
    <w:rsid w:val="00A418BC"/>
    <w:rsid w:val="00A46715"/>
    <w:rsid w:val="00A46DE0"/>
    <w:rsid w:val="00A471C3"/>
    <w:rsid w:val="00A50D73"/>
    <w:rsid w:val="00A50EE7"/>
    <w:rsid w:val="00A521DF"/>
    <w:rsid w:val="00A52CAD"/>
    <w:rsid w:val="00A53FC7"/>
    <w:rsid w:val="00A6243B"/>
    <w:rsid w:val="00A62CE1"/>
    <w:rsid w:val="00A63DFD"/>
    <w:rsid w:val="00A6741E"/>
    <w:rsid w:val="00A67A2F"/>
    <w:rsid w:val="00A67B57"/>
    <w:rsid w:val="00A731FC"/>
    <w:rsid w:val="00A73EAD"/>
    <w:rsid w:val="00A75E40"/>
    <w:rsid w:val="00A77D1D"/>
    <w:rsid w:val="00A82471"/>
    <w:rsid w:val="00A84595"/>
    <w:rsid w:val="00A8518A"/>
    <w:rsid w:val="00A857C0"/>
    <w:rsid w:val="00A858F6"/>
    <w:rsid w:val="00A85913"/>
    <w:rsid w:val="00A86205"/>
    <w:rsid w:val="00A90BBD"/>
    <w:rsid w:val="00A9128E"/>
    <w:rsid w:val="00A92143"/>
    <w:rsid w:val="00A935FA"/>
    <w:rsid w:val="00A94D20"/>
    <w:rsid w:val="00A96047"/>
    <w:rsid w:val="00A96C69"/>
    <w:rsid w:val="00A97D20"/>
    <w:rsid w:val="00AA2996"/>
    <w:rsid w:val="00AA52BF"/>
    <w:rsid w:val="00AA559A"/>
    <w:rsid w:val="00AA5FC8"/>
    <w:rsid w:val="00AA7749"/>
    <w:rsid w:val="00AA79FB"/>
    <w:rsid w:val="00AB03D5"/>
    <w:rsid w:val="00AB06D1"/>
    <w:rsid w:val="00AB2AF1"/>
    <w:rsid w:val="00AB3FB1"/>
    <w:rsid w:val="00AB4FBF"/>
    <w:rsid w:val="00AB63D9"/>
    <w:rsid w:val="00AB6C68"/>
    <w:rsid w:val="00AC3374"/>
    <w:rsid w:val="00AC42E0"/>
    <w:rsid w:val="00AC7F3A"/>
    <w:rsid w:val="00AD306C"/>
    <w:rsid w:val="00AD5B09"/>
    <w:rsid w:val="00AD5BC6"/>
    <w:rsid w:val="00AD626C"/>
    <w:rsid w:val="00AE0301"/>
    <w:rsid w:val="00AE09B3"/>
    <w:rsid w:val="00AE1A83"/>
    <w:rsid w:val="00AE1E5F"/>
    <w:rsid w:val="00AF0069"/>
    <w:rsid w:val="00AF158C"/>
    <w:rsid w:val="00AF7B00"/>
    <w:rsid w:val="00B00913"/>
    <w:rsid w:val="00B01593"/>
    <w:rsid w:val="00B04995"/>
    <w:rsid w:val="00B0599A"/>
    <w:rsid w:val="00B05D12"/>
    <w:rsid w:val="00B06470"/>
    <w:rsid w:val="00B0706F"/>
    <w:rsid w:val="00B10170"/>
    <w:rsid w:val="00B10230"/>
    <w:rsid w:val="00B10A4D"/>
    <w:rsid w:val="00B14F3A"/>
    <w:rsid w:val="00B16FDB"/>
    <w:rsid w:val="00B17E71"/>
    <w:rsid w:val="00B17FDE"/>
    <w:rsid w:val="00B2379C"/>
    <w:rsid w:val="00B24506"/>
    <w:rsid w:val="00B2687D"/>
    <w:rsid w:val="00B27488"/>
    <w:rsid w:val="00B3110D"/>
    <w:rsid w:val="00B32168"/>
    <w:rsid w:val="00B32DDB"/>
    <w:rsid w:val="00B3363B"/>
    <w:rsid w:val="00B34528"/>
    <w:rsid w:val="00B402FC"/>
    <w:rsid w:val="00B41D33"/>
    <w:rsid w:val="00B44354"/>
    <w:rsid w:val="00B45C91"/>
    <w:rsid w:val="00B46604"/>
    <w:rsid w:val="00B47FF7"/>
    <w:rsid w:val="00B50ECC"/>
    <w:rsid w:val="00B50F4C"/>
    <w:rsid w:val="00B51B83"/>
    <w:rsid w:val="00B5211E"/>
    <w:rsid w:val="00B530CD"/>
    <w:rsid w:val="00B535D0"/>
    <w:rsid w:val="00B55F5E"/>
    <w:rsid w:val="00B5752E"/>
    <w:rsid w:val="00B624C6"/>
    <w:rsid w:val="00B63720"/>
    <w:rsid w:val="00B63A11"/>
    <w:rsid w:val="00B64C24"/>
    <w:rsid w:val="00B6608F"/>
    <w:rsid w:val="00B679FB"/>
    <w:rsid w:val="00B769B6"/>
    <w:rsid w:val="00B76D1E"/>
    <w:rsid w:val="00B77B1B"/>
    <w:rsid w:val="00B77E3C"/>
    <w:rsid w:val="00B80EC6"/>
    <w:rsid w:val="00B87D69"/>
    <w:rsid w:val="00B90ADC"/>
    <w:rsid w:val="00B92D1D"/>
    <w:rsid w:val="00B938C5"/>
    <w:rsid w:val="00B93A40"/>
    <w:rsid w:val="00B93D5F"/>
    <w:rsid w:val="00B9493D"/>
    <w:rsid w:val="00B94BD1"/>
    <w:rsid w:val="00B95940"/>
    <w:rsid w:val="00B973DC"/>
    <w:rsid w:val="00B977B5"/>
    <w:rsid w:val="00BA01AA"/>
    <w:rsid w:val="00BA0BED"/>
    <w:rsid w:val="00BA3658"/>
    <w:rsid w:val="00BA4F88"/>
    <w:rsid w:val="00BA72CF"/>
    <w:rsid w:val="00BB24C4"/>
    <w:rsid w:val="00BB28AE"/>
    <w:rsid w:val="00BB2927"/>
    <w:rsid w:val="00BB2E1C"/>
    <w:rsid w:val="00BB40CA"/>
    <w:rsid w:val="00BB46F3"/>
    <w:rsid w:val="00BB4CB1"/>
    <w:rsid w:val="00BB4F98"/>
    <w:rsid w:val="00BB700A"/>
    <w:rsid w:val="00BC30C3"/>
    <w:rsid w:val="00BC3FF5"/>
    <w:rsid w:val="00BC7154"/>
    <w:rsid w:val="00BD2977"/>
    <w:rsid w:val="00BD29D2"/>
    <w:rsid w:val="00BD30CC"/>
    <w:rsid w:val="00BD366B"/>
    <w:rsid w:val="00BD4955"/>
    <w:rsid w:val="00BD6D50"/>
    <w:rsid w:val="00BE18B9"/>
    <w:rsid w:val="00BE244F"/>
    <w:rsid w:val="00BE2495"/>
    <w:rsid w:val="00BE3AF6"/>
    <w:rsid w:val="00BE43F4"/>
    <w:rsid w:val="00BE67B3"/>
    <w:rsid w:val="00BE74B8"/>
    <w:rsid w:val="00BE7CFA"/>
    <w:rsid w:val="00BF0FA2"/>
    <w:rsid w:val="00BF1578"/>
    <w:rsid w:val="00BF1928"/>
    <w:rsid w:val="00BF1975"/>
    <w:rsid w:val="00BF5BB5"/>
    <w:rsid w:val="00BF6442"/>
    <w:rsid w:val="00BF7B0E"/>
    <w:rsid w:val="00C00742"/>
    <w:rsid w:val="00C0077A"/>
    <w:rsid w:val="00C05B06"/>
    <w:rsid w:val="00C05EB6"/>
    <w:rsid w:val="00C06407"/>
    <w:rsid w:val="00C11C1F"/>
    <w:rsid w:val="00C156AC"/>
    <w:rsid w:val="00C161D6"/>
    <w:rsid w:val="00C179EF"/>
    <w:rsid w:val="00C20B47"/>
    <w:rsid w:val="00C20BCD"/>
    <w:rsid w:val="00C214EC"/>
    <w:rsid w:val="00C21F94"/>
    <w:rsid w:val="00C22CC2"/>
    <w:rsid w:val="00C25159"/>
    <w:rsid w:val="00C27913"/>
    <w:rsid w:val="00C27ECC"/>
    <w:rsid w:val="00C30020"/>
    <w:rsid w:val="00C32940"/>
    <w:rsid w:val="00C334FD"/>
    <w:rsid w:val="00C33B68"/>
    <w:rsid w:val="00C33F26"/>
    <w:rsid w:val="00C36A79"/>
    <w:rsid w:val="00C40474"/>
    <w:rsid w:val="00C405D4"/>
    <w:rsid w:val="00C43A78"/>
    <w:rsid w:val="00C44514"/>
    <w:rsid w:val="00C4513B"/>
    <w:rsid w:val="00C45458"/>
    <w:rsid w:val="00C45998"/>
    <w:rsid w:val="00C46CEE"/>
    <w:rsid w:val="00C53647"/>
    <w:rsid w:val="00C54697"/>
    <w:rsid w:val="00C56C71"/>
    <w:rsid w:val="00C57E6B"/>
    <w:rsid w:val="00C62BD6"/>
    <w:rsid w:val="00C67747"/>
    <w:rsid w:val="00C70335"/>
    <w:rsid w:val="00C716BD"/>
    <w:rsid w:val="00C73885"/>
    <w:rsid w:val="00C745EE"/>
    <w:rsid w:val="00C747B1"/>
    <w:rsid w:val="00C76A59"/>
    <w:rsid w:val="00C8163A"/>
    <w:rsid w:val="00C82191"/>
    <w:rsid w:val="00C86620"/>
    <w:rsid w:val="00C86CDF"/>
    <w:rsid w:val="00C9019B"/>
    <w:rsid w:val="00C90CF4"/>
    <w:rsid w:val="00C91935"/>
    <w:rsid w:val="00C92EB6"/>
    <w:rsid w:val="00C9335D"/>
    <w:rsid w:val="00C93389"/>
    <w:rsid w:val="00C93504"/>
    <w:rsid w:val="00C95F74"/>
    <w:rsid w:val="00CA1542"/>
    <w:rsid w:val="00CA440F"/>
    <w:rsid w:val="00CA4EEC"/>
    <w:rsid w:val="00CA58EE"/>
    <w:rsid w:val="00CA6C66"/>
    <w:rsid w:val="00CA7F03"/>
    <w:rsid w:val="00CB4930"/>
    <w:rsid w:val="00CB6E4D"/>
    <w:rsid w:val="00CB7336"/>
    <w:rsid w:val="00CC0827"/>
    <w:rsid w:val="00CC1BD3"/>
    <w:rsid w:val="00CC2E7D"/>
    <w:rsid w:val="00CC2F73"/>
    <w:rsid w:val="00CC4CD9"/>
    <w:rsid w:val="00CC6E4B"/>
    <w:rsid w:val="00CD10A5"/>
    <w:rsid w:val="00CD2076"/>
    <w:rsid w:val="00CD2C9F"/>
    <w:rsid w:val="00CD4A23"/>
    <w:rsid w:val="00CD6BF9"/>
    <w:rsid w:val="00CD713C"/>
    <w:rsid w:val="00CE670B"/>
    <w:rsid w:val="00CE7CF4"/>
    <w:rsid w:val="00CF263C"/>
    <w:rsid w:val="00CF51EC"/>
    <w:rsid w:val="00CF5338"/>
    <w:rsid w:val="00CF73AE"/>
    <w:rsid w:val="00CF7D03"/>
    <w:rsid w:val="00D021CA"/>
    <w:rsid w:val="00D040DD"/>
    <w:rsid w:val="00D04D17"/>
    <w:rsid w:val="00D071D7"/>
    <w:rsid w:val="00D1064D"/>
    <w:rsid w:val="00D107CC"/>
    <w:rsid w:val="00D112A7"/>
    <w:rsid w:val="00D12F2B"/>
    <w:rsid w:val="00D13986"/>
    <w:rsid w:val="00D1564B"/>
    <w:rsid w:val="00D157C9"/>
    <w:rsid w:val="00D212E7"/>
    <w:rsid w:val="00D235B7"/>
    <w:rsid w:val="00D23A2A"/>
    <w:rsid w:val="00D25F28"/>
    <w:rsid w:val="00D2728B"/>
    <w:rsid w:val="00D27973"/>
    <w:rsid w:val="00D354B4"/>
    <w:rsid w:val="00D40AC0"/>
    <w:rsid w:val="00D41B00"/>
    <w:rsid w:val="00D46995"/>
    <w:rsid w:val="00D50F46"/>
    <w:rsid w:val="00D526DE"/>
    <w:rsid w:val="00D55199"/>
    <w:rsid w:val="00D57D26"/>
    <w:rsid w:val="00D61C4A"/>
    <w:rsid w:val="00D61CD9"/>
    <w:rsid w:val="00D63733"/>
    <w:rsid w:val="00D66223"/>
    <w:rsid w:val="00D71620"/>
    <w:rsid w:val="00D724D5"/>
    <w:rsid w:val="00D758FD"/>
    <w:rsid w:val="00D8084C"/>
    <w:rsid w:val="00D9329D"/>
    <w:rsid w:val="00D94CF4"/>
    <w:rsid w:val="00D96350"/>
    <w:rsid w:val="00D9745B"/>
    <w:rsid w:val="00D97F77"/>
    <w:rsid w:val="00DA5F28"/>
    <w:rsid w:val="00DA7C0C"/>
    <w:rsid w:val="00DB05AE"/>
    <w:rsid w:val="00DB0EFE"/>
    <w:rsid w:val="00DB2EC8"/>
    <w:rsid w:val="00DB50F1"/>
    <w:rsid w:val="00DB7F87"/>
    <w:rsid w:val="00DC2DFB"/>
    <w:rsid w:val="00DC4512"/>
    <w:rsid w:val="00DC4D36"/>
    <w:rsid w:val="00DC5B3B"/>
    <w:rsid w:val="00DD129F"/>
    <w:rsid w:val="00DD363E"/>
    <w:rsid w:val="00DD44CF"/>
    <w:rsid w:val="00DD52F5"/>
    <w:rsid w:val="00DD724E"/>
    <w:rsid w:val="00DE0023"/>
    <w:rsid w:val="00DE47F1"/>
    <w:rsid w:val="00DE4807"/>
    <w:rsid w:val="00DE6447"/>
    <w:rsid w:val="00DF1F31"/>
    <w:rsid w:val="00DF42FF"/>
    <w:rsid w:val="00E01C0E"/>
    <w:rsid w:val="00E03F9A"/>
    <w:rsid w:val="00E04694"/>
    <w:rsid w:val="00E06C4D"/>
    <w:rsid w:val="00E07843"/>
    <w:rsid w:val="00E11837"/>
    <w:rsid w:val="00E120F2"/>
    <w:rsid w:val="00E12B1E"/>
    <w:rsid w:val="00E1471B"/>
    <w:rsid w:val="00E16CCE"/>
    <w:rsid w:val="00E17262"/>
    <w:rsid w:val="00E22AD7"/>
    <w:rsid w:val="00E253A2"/>
    <w:rsid w:val="00E25788"/>
    <w:rsid w:val="00E30194"/>
    <w:rsid w:val="00E31B12"/>
    <w:rsid w:val="00E3309D"/>
    <w:rsid w:val="00E34A5E"/>
    <w:rsid w:val="00E36098"/>
    <w:rsid w:val="00E41A30"/>
    <w:rsid w:val="00E41A63"/>
    <w:rsid w:val="00E438BC"/>
    <w:rsid w:val="00E50156"/>
    <w:rsid w:val="00E5051B"/>
    <w:rsid w:val="00E50E41"/>
    <w:rsid w:val="00E5331D"/>
    <w:rsid w:val="00E53470"/>
    <w:rsid w:val="00E539F6"/>
    <w:rsid w:val="00E55EDF"/>
    <w:rsid w:val="00E56B7C"/>
    <w:rsid w:val="00E57124"/>
    <w:rsid w:val="00E63915"/>
    <w:rsid w:val="00E64CAE"/>
    <w:rsid w:val="00E6519D"/>
    <w:rsid w:val="00E67696"/>
    <w:rsid w:val="00E70681"/>
    <w:rsid w:val="00E70927"/>
    <w:rsid w:val="00E712BD"/>
    <w:rsid w:val="00E71A58"/>
    <w:rsid w:val="00E72A7A"/>
    <w:rsid w:val="00E73306"/>
    <w:rsid w:val="00E743C4"/>
    <w:rsid w:val="00E7557F"/>
    <w:rsid w:val="00E755F0"/>
    <w:rsid w:val="00E75C94"/>
    <w:rsid w:val="00E80782"/>
    <w:rsid w:val="00E80A21"/>
    <w:rsid w:val="00E86B27"/>
    <w:rsid w:val="00E87830"/>
    <w:rsid w:val="00E90976"/>
    <w:rsid w:val="00E90DD3"/>
    <w:rsid w:val="00E93820"/>
    <w:rsid w:val="00EA0C68"/>
    <w:rsid w:val="00EA32BC"/>
    <w:rsid w:val="00EA4997"/>
    <w:rsid w:val="00EA7115"/>
    <w:rsid w:val="00EA72B3"/>
    <w:rsid w:val="00EB1E31"/>
    <w:rsid w:val="00EB2DCD"/>
    <w:rsid w:val="00EB4511"/>
    <w:rsid w:val="00EB6AE0"/>
    <w:rsid w:val="00EB78CE"/>
    <w:rsid w:val="00EC03D7"/>
    <w:rsid w:val="00EC11C8"/>
    <w:rsid w:val="00EC277B"/>
    <w:rsid w:val="00EC350E"/>
    <w:rsid w:val="00ED20D8"/>
    <w:rsid w:val="00ED5BBF"/>
    <w:rsid w:val="00ED62C6"/>
    <w:rsid w:val="00ED64C1"/>
    <w:rsid w:val="00ED6CA6"/>
    <w:rsid w:val="00ED71BD"/>
    <w:rsid w:val="00EE143A"/>
    <w:rsid w:val="00EE3446"/>
    <w:rsid w:val="00EE3E78"/>
    <w:rsid w:val="00EE4B1B"/>
    <w:rsid w:val="00EE528C"/>
    <w:rsid w:val="00EF14F8"/>
    <w:rsid w:val="00EF150D"/>
    <w:rsid w:val="00EF1CFD"/>
    <w:rsid w:val="00EF1F5A"/>
    <w:rsid w:val="00EF47BF"/>
    <w:rsid w:val="00EF67EA"/>
    <w:rsid w:val="00EF68C6"/>
    <w:rsid w:val="00F00627"/>
    <w:rsid w:val="00F00C8A"/>
    <w:rsid w:val="00F03E5C"/>
    <w:rsid w:val="00F04811"/>
    <w:rsid w:val="00F0488C"/>
    <w:rsid w:val="00F05F5E"/>
    <w:rsid w:val="00F10F11"/>
    <w:rsid w:val="00F14F45"/>
    <w:rsid w:val="00F154B6"/>
    <w:rsid w:val="00F159CF"/>
    <w:rsid w:val="00F15AAA"/>
    <w:rsid w:val="00F15BEF"/>
    <w:rsid w:val="00F165F9"/>
    <w:rsid w:val="00F17B5D"/>
    <w:rsid w:val="00F17FF9"/>
    <w:rsid w:val="00F21D59"/>
    <w:rsid w:val="00F24407"/>
    <w:rsid w:val="00F24FAA"/>
    <w:rsid w:val="00F25E9B"/>
    <w:rsid w:val="00F33271"/>
    <w:rsid w:val="00F33362"/>
    <w:rsid w:val="00F3364D"/>
    <w:rsid w:val="00F34BC1"/>
    <w:rsid w:val="00F3609A"/>
    <w:rsid w:val="00F36267"/>
    <w:rsid w:val="00F37D3B"/>
    <w:rsid w:val="00F404CA"/>
    <w:rsid w:val="00F41037"/>
    <w:rsid w:val="00F4354F"/>
    <w:rsid w:val="00F437CC"/>
    <w:rsid w:val="00F45546"/>
    <w:rsid w:val="00F46EA8"/>
    <w:rsid w:val="00F47067"/>
    <w:rsid w:val="00F525EB"/>
    <w:rsid w:val="00F54666"/>
    <w:rsid w:val="00F547BE"/>
    <w:rsid w:val="00F551D0"/>
    <w:rsid w:val="00F577AD"/>
    <w:rsid w:val="00F60790"/>
    <w:rsid w:val="00F617C3"/>
    <w:rsid w:val="00F63A49"/>
    <w:rsid w:val="00F63DDE"/>
    <w:rsid w:val="00F63FB7"/>
    <w:rsid w:val="00F649D2"/>
    <w:rsid w:val="00F6602B"/>
    <w:rsid w:val="00F666D5"/>
    <w:rsid w:val="00F7161B"/>
    <w:rsid w:val="00F71C24"/>
    <w:rsid w:val="00F7260E"/>
    <w:rsid w:val="00F734AD"/>
    <w:rsid w:val="00F73A0C"/>
    <w:rsid w:val="00F73D2C"/>
    <w:rsid w:val="00F756DB"/>
    <w:rsid w:val="00F77E3B"/>
    <w:rsid w:val="00F85066"/>
    <w:rsid w:val="00F87585"/>
    <w:rsid w:val="00F9254E"/>
    <w:rsid w:val="00F93C08"/>
    <w:rsid w:val="00FA3E60"/>
    <w:rsid w:val="00FA43B6"/>
    <w:rsid w:val="00FA5D4D"/>
    <w:rsid w:val="00FB0EE2"/>
    <w:rsid w:val="00FB1AE3"/>
    <w:rsid w:val="00FB542E"/>
    <w:rsid w:val="00FC0E5F"/>
    <w:rsid w:val="00FC1A95"/>
    <w:rsid w:val="00FC4227"/>
    <w:rsid w:val="00FC4C80"/>
    <w:rsid w:val="00FC56DE"/>
    <w:rsid w:val="00FC684B"/>
    <w:rsid w:val="00FD1E62"/>
    <w:rsid w:val="00FD1F88"/>
    <w:rsid w:val="00FD3265"/>
    <w:rsid w:val="00FD38EA"/>
    <w:rsid w:val="00FD3C93"/>
    <w:rsid w:val="00FD61F1"/>
    <w:rsid w:val="00FD73B3"/>
    <w:rsid w:val="00FE2C1F"/>
    <w:rsid w:val="00FE2F78"/>
    <w:rsid w:val="00FE3495"/>
    <w:rsid w:val="00FE54D3"/>
    <w:rsid w:val="00FE6DC6"/>
    <w:rsid w:val="00FF7036"/>
    <w:rsid w:val="00FF7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o:colormru v:ext="edit" colors="#ecf4dd,#eaecee,#fcec0a,#fcecdb,#f1daf5"/>
    </o:shapedefaults>
    <o:shapelayout v:ext="edit">
      <o:idmap v:ext="edit" data="1"/>
    </o:shapelayout>
  </w:shapeDefaults>
  <w:decimalSymbol w:val=","/>
  <w:listSeparator w:val=";"/>
  <w14:docId w14:val="2D8C4377"/>
  <w15:docId w15:val="{E78CF184-EB4B-4988-B92C-3651DDC104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F42FF"/>
    <w:pPr>
      <w:spacing w:after="240" w:line="288" w:lineRule="auto"/>
    </w:pPr>
    <w:rPr>
      <w:rFonts w:ascii="Arial" w:eastAsia="Times New Roman" w:hAnsi="Arial"/>
      <w:szCs w:val="24"/>
      <w:lang w:eastAsia="cs-CZ"/>
    </w:rPr>
  </w:style>
  <w:style w:type="paragraph" w:styleId="Nadpis1">
    <w:name w:val="heading 1"/>
    <w:next w:val="Normln"/>
    <w:link w:val="Nadpis1Char"/>
    <w:uiPriority w:val="9"/>
    <w:qFormat/>
    <w:rsid w:val="004900FF"/>
    <w:pPr>
      <w:keepNext/>
      <w:keepLines/>
      <w:spacing w:after="100" w:line="288" w:lineRule="auto"/>
      <w:contextualSpacing/>
      <w:outlineLvl w:val="0"/>
    </w:pPr>
    <w:rPr>
      <w:rFonts w:ascii="Arial" w:eastAsia="MS Gothic" w:hAnsi="Arial"/>
      <w:b/>
      <w:bCs/>
      <w:color w:val="C00000"/>
      <w:sz w:val="32"/>
      <w:szCs w:val="28"/>
      <w:lang w:eastAsia="cs-CZ"/>
    </w:rPr>
  </w:style>
  <w:style w:type="paragraph" w:styleId="Nadpis2">
    <w:name w:val="heading 2"/>
    <w:next w:val="Normln"/>
    <w:link w:val="Nadpis2Char"/>
    <w:uiPriority w:val="9"/>
    <w:qFormat/>
    <w:rsid w:val="004900FF"/>
    <w:pPr>
      <w:keepNext/>
      <w:keepLines/>
      <w:spacing w:line="288" w:lineRule="auto"/>
      <w:outlineLvl w:val="1"/>
    </w:pPr>
    <w:rPr>
      <w:rFonts w:ascii="Arial" w:eastAsia="MS Gothic" w:hAnsi="Arial"/>
      <w:b/>
      <w:bCs/>
      <w:color w:val="BC091B"/>
      <w:sz w:val="28"/>
      <w:szCs w:val="26"/>
      <w:lang w:eastAsia="cs-CZ"/>
    </w:rPr>
  </w:style>
  <w:style w:type="paragraph" w:styleId="Nadpis3">
    <w:name w:val="heading 3"/>
    <w:next w:val="Normln"/>
    <w:link w:val="Nadpis3Char"/>
    <w:uiPriority w:val="9"/>
    <w:qFormat/>
    <w:rsid w:val="004900FF"/>
    <w:pPr>
      <w:keepNext/>
      <w:keepLines/>
      <w:spacing w:line="288" w:lineRule="auto"/>
      <w:outlineLvl w:val="2"/>
    </w:pPr>
    <w:rPr>
      <w:rFonts w:ascii="Arial" w:eastAsia="MS Gothic" w:hAnsi="Arial"/>
      <w:b/>
      <w:bCs/>
      <w:color w:val="BC091B"/>
      <w:sz w:val="24"/>
      <w:szCs w:val="24"/>
      <w:lang w:eastAsia="cs-CZ"/>
    </w:rPr>
  </w:style>
  <w:style w:type="paragraph" w:styleId="Nadpis4">
    <w:name w:val="heading 4"/>
    <w:next w:val="Normln"/>
    <w:link w:val="Nadpis4Char"/>
    <w:uiPriority w:val="9"/>
    <w:qFormat/>
    <w:rsid w:val="004900FF"/>
    <w:pPr>
      <w:keepNext/>
      <w:keepLines/>
      <w:spacing w:line="288" w:lineRule="auto"/>
      <w:outlineLvl w:val="3"/>
    </w:pPr>
    <w:rPr>
      <w:rFonts w:ascii="Arial" w:eastAsia="MS Gothic" w:hAnsi="Arial"/>
      <w:b/>
      <w:bCs/>
      <w:iCs/>
      <w:color w:val="BC091B"/>
      <w:szCs w:val="24"/>
      <w:lang w:eastAsia="cs-CZ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A30F65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uiPriority w:val="9"/>
    <w:rsid w:val="004900FF"/>
    <w:rPr>
      <w:rFonts w:ascii="Arial" w:eastAsia="MS Gothic" w:hAnsi="Arial"/>
      <w:b/>
      <w:bCs/>
      <w:color w:val="C00000"/>
      <w:sz w:val="32"/>
      <w:szCs w:val="28"/>
    </w:rPr>
  </w:style>
  <w:style w:type="character" w:customStyle="1" w:styleId="Nadpis2Char">
    <w:name w:val="Nadpis 2 Char"/>
    <w:link w:val="Nadpis2"/>
    <w:uiPriority w:val="9"/>
    <w:rsid w:val="004900FF"/>
    <w:rPr>
      <w:rFonts w:ascii="Arial" w:eastAsia="MS Gothic" w:hAnsi="Arial"/>
      <w:b/>
      <w:bCs/>
      <w:color w:val="BC091B"/>
      <w:sz w:val="28"/>
      <w:szCs w:val="26"/>
    </w:rPr>
  </w:style>
  <w:style w:type="character" w:customStyle="1" w:styleId="Nadpis3Char">
    <w:name w:val="Nadpis 3 Char"/>
    <w:link w:val="Nadpis3"/>
    <w:uiPriority w:val="9"/>
    <w:rsid w:val="004900FF"/>
    <w:rPr>
      <w:rFonts w:ascii="Arial" w:eastAsia="MS Gothic" w:hAnsi="Arial"/>
      <w:b/>
      <w:bCs/>
      <w:color w:val="BC091B"/>
      <w:sz w:val="24"/>
      <w:szCs w:val="24"/>
    </w:rPr>
  </w:style>
  <w:style w:type="character" w:customStyle="1" w:styleId="Nadpis4Char">
    <w:name w:val="Nadpis 4 Char"/>
    <w:link w:val="Nadpis4"/>
    <w:uiPriority w:val="9"/>
    <w:rsid w:val="004900FF"/>
    <w:rPr>
      <w:rFonts w:ascii="Arial" w:eastAsia="MS Gothic" w:hAnsi="Arial"/>
      <w:b/>
      <w:bCs/>
      <w:iCs/>
      <w:color w:val="BC091B"/>
      <w:szCs w:val="24"/>
    </w:rPr>
  </w:style>
  <w:style w:type="character" w:customStyle="1" w:styleId="Nadpis9Char">
    <w:name w:val="Nadpis 9 Char"/>
    <w:link w:val="Nadpis9"/>
    <w:uiPriority w:val="9"/>
    <w:semiHidden/>
    <w:rsid w:val="00A30F65"/>
    <w:rPr>
      <w:rFonts w:ascii="Cambria" w:eastAsia="Times New Roman" w:hAnsi="Cambria" w:cs="Times New Roman"/>
      <w:sz w:val="22"/>
      <w:szCs w:val="22"/>
    </w:rPr>
  </w:style>
  <w:style w:type="character" w:styleId="Hypertextovodkaz">
    <w:name w:val="Hyperlink"/>
    <w:uiPriority w:val="99"/>
    <w:rsid w:val="00E71A58"/>
    <w:rPr>
      <w:color w:val="0000FF"/>
      <w:u w:val="single"/>
    </w:rPr>
  </w:style>
  <w:style w:type="paragraph" w:styleId="Zhlav">
    <w:name w:val="header"/>
    <w:link w:val="ZhlavChar"/>
    <w:uiPriority w:val="99"/>
    <w:unhideWhenUsed/>
    <w:qFormat/>
    <w:rsid w:val="00A418BC"/>
    <w:pPr>
      <w:spacing w:line="288" w:lineRule="auto"/>
    </w:pPr>
    <w:rPr>
      <w:rFonts w:ascii="Arial" w:hAnsi="Arial"/>
      <w:sz w:val="16"/>
      <w:szCs w:val="22"/>
    </w:rPr>
  </w:style>
  <w:style w:type="character" w:customStyle="1" w:styleId="ZhlavChar">
    <w:name w:val="Záhlaví Char"/>
    <w:link w:val="Zhlav"/>
    <w:uiPriority w:val="99"/>
    <w:rsid w:val="00A418BC"/>
    <w:rPr>
      <w:rFonts w:ascii="Arial" w:hAnsi="Arial"/>
      <w:sz w:val="16"/>
      <w:szCs w:val="22"/>
      <w:lang w:eastAsia="en-US"/>
    </w:rPr>
  </w:style>
  <w:style w:type="paragraph" w:styleId="Zpat">
    <w:name w:val="footer"/>
    <w:link w:val="ZpatChar"/>
    <w:uiPriority w:val="99"/>
    <w:unhideWhenUsed/>
    <w:qFormat/>
    <w:rsid w:val="00031AE0"/>
    <w:pPr>
      <w:tabs>
        <w:tab w:val="center" w:pos="4820"/>
        <w:tab w:val="right" w:pos="9639"/>
      </w:tabs>
    </w:pPr>
    <w:rPr>
      <w:rFonts w:ascii="Arial" w:hAnsi="Arial" w:cs="Arial"/>
      <w:noProof/>
      <w:sz w:val="16"/>
    </w:rPr>
  </w:style>
  <w:style w:type="character" w:customStyle="1" w:styleId="ZpatChar">
    <w:name w:val="Zápatí Char"/>
    <w:link w:val="Zpat"/>
    <w:uiPriority w:val="99"/>
    <w:rsid w:val="00031AE0"/>
    <w:rPr>
      <w:rFonts w:ascii="Arial" w:hAnsi="Arial" w:cs="Arial"/>
      <w:noProof/>
      <w:sz w:val="16"/>
      <w:lang w:eastAsia="en-US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71A58"/>
    <w:rPr>
      <w:rFonts w:ascii="Tahoma" w:eastAsia="Calibri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E71A58"/>
    <w:rPr>
      <w:rFonts w:ascii="Tahoma" w:hAnsi="Tahoma" w:cs="Tahoma"/>
      <w:sz w:val="16"/>
      <w:szCs w:val="16"/>
    </w:rPr>
  </w:style>
  <w:style w:type="paragraph" w:customStyle="1" w:styleId="Zkladnodstavec">
    <w:name w:val="[Základní odstavec]"/>
    <w:link w:val="ZkladnodstavecChar"/>
    <w:uiPriority w:val="99"/>
    <w:rsid w:val="0008263E"/>
    <w:pPr>
      <w:autoSpaceDE w:val="0"/>
      <w:autoSpaceDN w:val="0"/>
      <w:adjustRightInd w:val="0"/>
      <w:spacing w:line="276" w:lineRule="auto"/>
      <w:textAlignment w:val="center"/>
    </w:pPr>
    <w:rPr>
      <w:rFonts w:ascii="Arial" w:hAnsi="Arial" w:cs="Minion Pro"/>
      <w:color w:val="000000"/>
      <w:szCs w:val="24"/>
      <w:lang w:eastAsia="cs-CZ"/>
    </w:rPr>
  </w:style>
  <w:style w:type="character" w:customStyle="1" w:styleId="ZkladnodstavecChar">
    <w:name w:val="[Základní odstavec] Char"/>
    <w:link w:val="Zkladnodstavec"/>
    <w:uiPriority w:val="99"/>
    <w:rsid w:val="0008263E"/>
    <w:rPr>
      <w:rFonts w:ascii="Arial" w:hAnsi="Arial" w:cs="Minion Pro"/>
      <w:color w:val="000000"/>
      <w:szCs w:val="24"/>
    </w:rPr>
  </w:style>
  <w:style w:type="paragraph" w:styleId="Obsah1">
    <w:name w:val="toc 1"/>
    <w:basedOn w:val="Obsahpoloky"/>
    <w:next w:val="Obsahpoloky"/>
    <w:autoRedefine/>
    <w:uiPriority w:val="39"/>
    <w:unhideWhenUsed/>
    <w:rsid w:val="00FC1A95"/>
  </w:style>
  <w:style w:type="paragraph" w:customStyle="1" w:styleId="TLIdentifikace-sted">
    <w:name w:val="TL Identifikace - střed"/>
    <w:qFormat/>
    <w:rsid w:val="009A60D1"/>
    <w:pPr>
      <w:spacing w:after="200" w:line="288" w:lineRule="auto"/>
    </w:pPr>
    <w:rPr>
      <w:rFonts w:ascii="Arial" w:eastAsia="Times New Roman" w:hAnsi="Arial"/>
      <w:sz w:val="24"/>
      <w:szCs w:val="24"/>
      <w:lang w:eastAsia="cs-CZ"/>
    </w:rPr>
  </w:style>
  <w:style w:type="paragraph" w:customStyle="1" w:styleId="Obsah">
    <w:name w:val="Obsah"/>
    <w:next w:val="Normln"/>
    <w:qFormat/>
    <w:rsid w:val="004900FF"/>
    <w:pPr>
      <w:spacing w:after="80" w:line="288" w:lineRule="auto"/>
    </w:pPr>
    <w:rPr>
      <w:rFonts w:ascii="Arial" w:eastAsia="Times New Roman" w:hAnsi="Arial"/>
      <w:b/>
      <w:color w:val="BC091B"/>
      <w:sz w:val="32"/>
      <w:szCs w:val="24"/>
      <w:lang w:eastAsia="cs-CZ"/>
    </w:rPr>
  </w:style>
  <w:style w:type="paragraph" w:customStyle="1" w:styleId="Obsahpoloky">
    <w:name w:val="Obsah položky"/>
    <w:qFormat/>
    <w:rsid w:val="00616E05"/>
    <w:pPr>
      <w:tabs>
        <w:tab w:val="right" w:leader="dot" w:pos="9639"/>
      </w:tabs>
      <w:spacing w:line="288" w:lineRule="auto"/>
    </w:pPr>
    <w:rPr>
      <w:rFonts w:ascii="Arial" w:eastAsia="Times New Roman" w:hAnsi="Arial"/>
      <w:szCs w:val="24"/>
      <w:lang w:eastAsia="cs-CZ"/>
    </w:rPr>
  </w:style>
  <w:style w:type="paragraph" w:customStyle="1" w:styleId="Box1">
    <w:name w:val="Box 1"/>
    <w:next w:val="Normln"/>
    <w:qFormat/>
    <w:rsid w:val="004900FF"/>
    <w:pPr>
      <w:shd w:val="clear" w:color="auto" w:fill="F5DADD"/>
      <w:spacing w:before="240" w:after="240" w:line="288" w:lineRule="auto"/>
      <w:ind w:left="709"/>
      <w:contextualSpacing/>
    </w:pPr>
    <w:rPr>
      <w:rFonts w:ascii="Arial" w:hAnsi="Arial" w:cs="Arial"/>
      <w:lang w:eastAsia="cs-CZ"/>
    </w:rPr>
  </w:style>
  <w:style w:type="paragraph" w:customStyle="1" w:styleId="Box2">
    <w:name w:val="Box 2"/>
    <w:qFormat/>
    <w:rsid w:val="004900FF"/>
    <w:pPr>
      <w:spacing w:before="240" w:after="240" w:line="288" w:lineRule="auto"/>
      <w:ind w:left="709"/>
      <w:contextualSpacing/>
    </w:pPr>
    <w:rPr>
      <w:rFonts w:ascii="Arial" w:hAnsi="Arial" w:cs="Arial"/>
      <w:color w:val="BC091B"/>
      <w:lang w:eastAsia="cs-CZ"/>
    </w:rPr>
  </w:style>
  <w:style w:type="paragraph" w:styleId="Seznam">
    <w:name w:val="List"/>
    <w:basedOn w:val="Normln"/>
    <w:uiPriority w:val="99"/>
    <w:unhideWhenUsed/>
    <w:qFormat/>
    <w:rsid w:val="00481E40"/>
    <w:pPr>
      <w:contextualSpacing/>
    </w:pPr>
  </w:style>
  <w:style w:type="character" w:styleId="Siln">
    <w:name w:val="Strong"/>
    <w:aliases w:val="Tučné"/>
    <w:uiPriority w:val="22"/>
    <w:qFormat/>
    <w:rsid w:val="00EC03D7"/>
    <w:rPr>
      <w:rFonts w:ascii="Arial" w:hAnsi="Arial"/>
      <w:b/>
      <w:bCs/>
      <w:sz w:val="20"/>
    </w:rPr>
  </w:style>
  <w:style w:type="paragraph" w:customStyle="1" w:styleId="TLKontaktyerven">
    <w:name w:val="TL Kontakty červené"/>
    <w:basedOn w:val="Normln"/>
    <w:qFormat/>
    <w:rsid w:val="00104C4C"/>
    <w:pPr>
      <w:spacing w:after="40"/>
      <w:contextualSpacing/>
    </w:pPr>
    <w:rPr>
      <w:b/>
      <w:caps/>
      <w:color w:val="BD1B21"/>
      <w:sz w:val="24"/>
    </w:rPr>
  </w:style>
  <w:style w:type="paragraph" w:customStyle="1" w:styleId="TLKontakty">
    <w:name w:val="TL Kontakty"/>
    <w:qFormat/>
    <w:rsid w:val="008E6F06"/>
    <w:pPr>
      <w:spacing w:after="160" w:line="259" w:lineRule="auto"/>
      <w:contextualSpacing/>
    </w:pPr>
    <w:rPr>
      <w:rFonts w:ascii="Arial" w:eastAsia="Times New Roman" w:hAnsi="Arial"/>
      <w:b/>
      <w:color w:val="0071BC"/>
      <w:lang w:eastAsia="cs-CZ"/>
    </w:rPr>
  </w:style>
  <w:style w:type="paragraph" w:styleId="Nzev">
    <w:name w:val="Title"/>
    <w:link w:val="NzevChar"/>
    <w:uiPriority w:val="10"/>
    <w:qFormat/>
    <w:rsid w:val="004900FF"/>
    <w:pPr>
      <w:spacing w:line="288" w:lineRule="auto"/>
    </w:pPr>
    <w:rPr>
      <w:rFonts w:ascii="Arial" w:eastAsia="Times New Roman" w:hAnsi="Arial"/>
      <w:b/>
      <w:bCs/>
      <w:caps/>
      <w:color w:val="BC091B"/>
      <w:kern w:val="28"/>
      <w:sz w:val="56"/>
      <w:szCs w:val="32"/>
      <w:lang w:eastAsia="cs-CZ"/>
    </w:rPr>
  </w:style>
  <w:style w:type="character" w:customStyle="1" w:styleId="NzevChar">
    <w:name w:val="Název Char"/>
    <w:link w:val="Nzev"/>
    <w:uiPriority w:val="10"/>
    <w:rsid w:val="004900FF"/>
    <w:rPr>
      <w:rFonts w:ascii="Arial" w:eastAsia="Times New Roman" w:hAnsi="Arial"/>
      <w:b/>
      <w:bCs/>
      <w:caps/>
      <w:color w:val="BC091B"/>
      <w:kern w:val="28"/>
      <w:sz w:val="56"/>
      <w:szCs w:val="32"/>
    </w:rPr>
  </w:style>
  <w:style w:type="paragraph" w:styleId="Podnadpis">
    <w:name w:val="Subtitle"/>
    <w:link w:val="PodnadpisChar"/>
    <w:uiPriority w:val="11"/>
    <w:qFormat/>
    <w:rsid w:val="004900FF"/>
    <w:pPr>
      <w:spacing w:line="288" w:lineRule="auto"/>
    </w:pPr>
    <w:rPr>
      <w:rFonts w:ascii="Arial" w:eastAsia="Times New Roman" w:hAnsi="Arial" w:cs="Arial"/>
      <w:b/>
      <w:color w:val="BC091B"/>
      <w:sz w:val="28"/>
      <w:szCs w:val="24"/>
      <w:lang w:eastAsia="cs-CZ"/>
    </w:rPr>
  </w:style>
  <w:style w:type="character" w:customStyle="1" w:styleId="PodnadpisChar">
    <w:name w:val="Podnadpis Char"/>
    <w:link w:val="Podnadpis"/>
    <w:uiPriority w:val="11"/>
    <w:rsid w:val="004900FF"/>
    <w:rPr>
      <w:rFonts w:ascii="Arial" w:eastAsia="Times New Roman" w:hAnsi="Arial" w:cs="Arial"/>
      <w:b/>
      <w:color w:val="BC091B"/>
      <w:sz w:val="28"/>
      <w:szCs w:val="24"/>
    </w:rPr>
  </w:style>
  <w:style w:type="paragraph" w:styleId="Obsah2">
    <w:name w:val="toc 2"/>
    <w:basedOn w:val="Obsahpoloky"/>
    <w:next w:val="Obsahpoloky"/>
    <w:autoRedefine/>
    <w:uiPriority w:val="39"/>
    <w:unhideWhenUsed/>
    <w:rsid w:val="00FC1A95"/>
    <w:pPr>
      <w:ind w:left="200"/>
    </w:pPr>
  </w:style>
  <w:style w:type="paragraph" w:styleId="Obsah3">
    <w:name w:val="toc 3"/>
    <w:basedOn w:val="Obsahpoloky"/>
    <w:next w:val="Obsahpoloky"/>
    <w:autoRedefine/>
    <w:uiPriority w:val="39"/>
    <w:unhideWhenUsed/>
    <w:rsid w:val="00FC1A95"/>
    <w:pPr>
      <w:ind w:left="400"/>
    </w:pPr>
  </w:style>
  <w:style w:type="paragraph" w:styleId="Obsah4">
    <w:name w:val="toc 4"/>
    <w:basedOn w:val="Obsahpoloky"/>
    <w:next w:val="Obsahpoloky"/>
    <w:autoRedefine/>
    <w:uiPriority w:val="39"/>
    <w:unhideWhenUsed/>
    <w:rsid w:val="00FC1A95"/>
    <w:pPr>
      <w:ind w:left="600"/>
    </w:pPr>
  </w:style>
  <w:style w:type="paragraph" w:styleId="Obsah5">
    <w:name w:val="toc 5"/>
    <w:basedOn w:val="Obsahpoloky"/>
    <w:next w:val="Obsahpoloky"/>
    <w:autoRedefine/>
    <w:uiPriority w:val="39"/>
    <w:semiHidden/>
    <w:unhideWhenUsed/>
    <w:rsid w:val="00FC1A95"/>
    <w:pPr>
      <w:ind w:left="800"/>
    </w:pPr>
  </w:style>
  <w:style w:type="paragraph" w:styleId="Obsah6">
    <w:name w:val="toc 6"/>
    <w:basedOn w:val="Obsahpoloky"/>
    <w:next w:val="Obsahpoloky"/>
    <w:autoRedefine/>
    <w:uiPriority w:val="39"/>
    <w:semiHidden/>
    <w:unhideWhenUsed/>
    <w:rsid w:val="00FC1A95"/>
    <w:pPr>
      <w:ind w:left="1000"/>
    </w:pPr>
  </w:style>
  <w:style w:type="paragraph" w:styleId="Obsah7">
    <w:name w:val="toc 7"/>
    <w:basedOn w:val="Obsahpoloky"/>
    <w:next w:val="Obsahpoloky"/>
    <w:autoRedefine/>
    <w:uiPriority w:val="39"/>
    <w:semiHidden/>
    <w:unhideWhenUsed/>
    <w:rsid w:val="00FC1A95"/>
    <w:pPr>
      <w:ind w:left="1200"/>
    </w:pPr>
  </w:style>
  <w:style w:type="paragraph" w:styleId="Obsah8">
    <w:name w:val="toc 8"/>
    <w:basedOn w:val="Obsahpoloky"/>
    <w:next w:val="Obsahpoloky"/>
    <w:autoRedefine/>
    <w:uiPriority w:val="39"/>
    <w:semiHidden/>
    <w:unhideWhenUsed/>
    <w:rsid w:val="00FC1A95"/>
    <w:pPr>
      <w:ind w:left="1400"/>
    </w:pPr>
  </w:style>
  <w:style w:type="paragraph" w:styleId="Obsah9">
    <w:name w:val="toc 9"/>
    <w:basedOn w:val="Obsahpoloky"/>
    <w:next w:val="Obsahpoloky"/>
    <w:autoRedefine/>
    <w:uiPriority w:val="39"/>
    <w:semiHidden/>
    <w:unhideWhenUsed/>
    <w:rsid w:val="00924AC8"/>
    <w:pPr>
      <w:ind w:left="1600"/>
    </w:pPr>
  </w:style>
  <w:style w:type="character" w:styleId="Odkaznakoment">
    <w:name w:val="annotation reference"/>
    <w:basedOn w:val="Standardnpsmoodstavce"/>
    <w:uiPriority w:val="99"/>
    <w:semiHidden/>
    <w:unhideWhenUsed/>
    <w:rsid w:val="0089159B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89159B"/>
    <w:pPr>
      <w:spacing w:line="240" w:lineRule="auto"/>
    </w:pPr>
    <w:rPr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89159B"/>
    <w:rPr>
      <w:rFonts w:ascii="Arial" w:eastAsia="Times New Roman" w:hAnsi="Arial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89159B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89159B"/>
    <w:rPr>
      <w:rFonts w:ascii="Arial" w:eastAsia="Times New Roman" w:hAnsi="Arial"/>
      <w:b/>
      <w:bCs/>
      <w:lang w:eastAsia="cs-CZ"/>
    </w:rPr>
  </w:style>
  <w:style w:type="paragraph" w:styleId="Normlnweb">
    <w:name w:val="Normal (Web)"/>
    <w:basedOn w:val="Normln"/>
    <w:uiPriority w:val="99"/>
    <w:unhideWhenUsed/>
    <w:rsid w:val="00A86205"/>
    <w:pPr>
      <w:spacing w:before="100" w:beforeAutospacing="1" w:after="100" w:afterAutospacing="1" w:line="240" w:lineRule="auto"/>
    </w:pPr>
    <w:rPr>
      <w:rFonts w:ascii="Times New Roman" w:hAnsi="Times New Roman"/>
      <w:sz w:val="24"/>
    </w:rPr>
  </w:style>
  <w:style w:type="character" w:styleId="Znakapoznpodarou">
    <w:name w:val="footnote reference"/>
    <w:rsid w:val="000B2975"/>
    <w:rPr>
      <w:vertAlign w:val="superscript"/>
    </w:rPr>
  </w:style>
  <w:style w:type="paragraph" w:styleId="Odstavecseseznamem">
    <w:name w:val="List Paragraph"/>
    <w:basedOn w:val="Normln"/>
    <w:uiPriority w:val="34"/>
    <w:qFormat/>
    <w:rsid w:val="000B2975"/>
    <w:pPr>
      <w:suppressAutoHyphens/>
      <w:spacing w:before="280" w:after="280" w:line="240" w:lineRule="auto"/>
      <w:ind w:left="720"/>
    </w:pPr>
    <w:rPr>
      <w:rFonts w:ascii="Times New Roman" w:hAnsi="Times New Roman"/>
      <w:sz w:val="24"/>
      <w:lang w:eastAsia="ar-SA"/>
    </w:rPr>
  </w:style>
  <w:style w:type="paragraph" w:styleId="Titulek">
    <w:name w:val="caption"/>
    <w:basedOn w:val="Normln"/>
    <w:next w:val="Normln"/>
    <w:uiPriority w:val="35"/>
    <w:unhideWhenUsed/>
    <w:qFormat/>
    <w:rsid w:val="001C0339"/>
    <w:pPr>
      <w:spacing w:after="200" w:line="240" w:lineRule="auto"/>
    </w:pPr>
    <w:rPr>
      <w:i/>
      <w:iCs/>
      <w:color w:val="1F497D" w:themeColor="text2"/>
      <w:sz w:val="18"/>
      <w:szCs w:val="18"/>
    </w:rPr>
  </w:style>
  <w:style w:type="paragraph" w:styleId="Textpoznpodarou">
    <w:name w:val="footnote text"/>
    <w:basedOn w:val="Normln"/>
    <w:link w:val="TextpoznpodarouChar"/>
    <w:uiPriority w:val="99"/>
    <w:semiHidden/>
    <w:rsid w:val="00C44514"/>
    <w:pPr>
      <w:spacing w:after="0"/>
    </w:pPr>
    <w:rPr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C44514"/>
    <w:rPr>
      <w:rFonts w:ascii="Arial" w:eastAsia="Times New Roman" w:hAnsi="Arial"/>
      <w:lang w:eastAsia="cs-CZ"/>
    </w:rPr>
  </w:style>
  <w:style w:type="paragraph" w:styleId="Zkladntextodsazen">
    <w:name w:val="Body Text Indent"/>
    <w:basedOn w:val="Normln"/>
    <w:link w:val="ZkladntextodsazenChar"/>
    <w:uiPriority w:val="99"/>
    <w:rsid w:val="002F5A91"/>
    <w:pPr>
      <w:spacing w:after="0" w:line="240" w:lineRule="auto"/>
      <w:ind w:left="360"/>
    </w:pPr>
    <w:rPr>
      <w:szCs w:val="20"/>
    </w:rPr>
  </w:style>
  <w:style w:type="character" w:customStyle="1" w:styleId="ZkladntextodsazenChar">
    <w:name w:val="Základní text odsazený Char"/>
    <w:basedOn w:val="Standardnpsmoodstavce"/>
    <w:link w:val="Zkladntextodsazen"/>
    <w:uiPriority w:val="99"/>
    <w:rsid w:val="002F5A91"/>
    <w:rPr>
      <w:rFonts w:ascii="Arial" w:eastAsia="Times New Roman" w:hAnsi="Arial"/>
      <w:lang w:eastAsia="cs-CZ"/>
    </w:rPr>
  </w:style>
  <w:style w:type="paragraph" w:styleId="Textvysvtlivek">
    <w:name w:val="endnote text"/>
    <w:basedOn w:val="Normln"/>
    <w:link w:val="TextvysvtlivekChar"/>
    <w:uiPriority w:val="99"/>
    <w:semiHidden/>
    <w:unhideWhenUsed/>
    <w:rsid w:val="00B535D0"/>
    <w:pPr>
      <w:spacing w:after="0" w:line="240" w:lineRule="auto"/>
    </w:pPr>
    <w:rPr>
      <w:szCs w:val="20"/>
    </w:rPr>
  </w:style>
  <w:style w:type="character" w:customStyle="1" w:styleId="TextvysvtlivekChar">
    <w:name w:val="Text vysvětlivek Char"/>
    <w:basedOn w:val="Standardnpsmoodstavce"/>
    <w:link w:val="Textvysvtlivek"/>
    <w:uiPriority w:val="99"/>
    <w:semiHidden/>
    <w:rsid w:val="00B535D0"/>
    <w:rPr>
      <w:rFonts w:ascii="Arial" w:eastAsia="Times New Roman" w:hAnsi="Arial"/>
      <w:lang w:eastAsia="cs-CZ"/>
    </w:rPr>
  </w:style>
  <w:style w:type="character" w:styleId="Odkaznavysvtlivky">
    <w:name w:val="endnote reference"/>
    <w:basedOn w:val="Standardnpsmoodstavce"/>
    <w:uiPriority w:val="99"/>
    <w:semiHidden/>
    <w:unhideWhenUsed/>
    <w:rsid w:val="00B535D0"/>
    <w:rPr>
      <w:vertAlign w:val="superscript"/>
    </w:rPr>
  </w:style>
  <w:style w:type="paragraph" w:styleId="Seznamobrzk">
    <w:name w:val="table of figures"/>
    <w:basedOn w:val="Normln"/>
    <w:next w:val="Normln"/>
    <w:uiPriority w:val="99"/>
    <w:unhideWhenUsed/>
    <w:rsid w:val="0047139E"/>
    <w:pPr>
      <w:spacing w:after="0"/>
    </w:pPr>
  </w:style>
  <w:style w:type="character" w:styleId="Sledovanodkaz">
    <w:name w:val="FollowedHyperlink"/>
    <w:basedOn w:val="Standardnpsmoodstavce"/>
    <w:uiPriority w:val="99"/>
    <w:semiHidden/>
    <w:unhideWhenUsed/>
    <w:rsid w:val="004744DF"/>
    <w:rPr>
      <w:color w:val="800080" w:themeColor="followed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D5ACC"/>
    <w:rPr>
      <w:color w:val="605E5C"/>
      <w:shd w:val="clear" w:color="auto" w:fill="E1DFDD"/>
    </w:rPr>
  </w:style>
  <w:style w:type="character" w:customStyle="1" w:styleId="h1a">
    <w:name w:val="h1a"/>
    <w:basedOn w:val="Standardnpsmoodstavce"/>
    <w:rsid w:val="009F2C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6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34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7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69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76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82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5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4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9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2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5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679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51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17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64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8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52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31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6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77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7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3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193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08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88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2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9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0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37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718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66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188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66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40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75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32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80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52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0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3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1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1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0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8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93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1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3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22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80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84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05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5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4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47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30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2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38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1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5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3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93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95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36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30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2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34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63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25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53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49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82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61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56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8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82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566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8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4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20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31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7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64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4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8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22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7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8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8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6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7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4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57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30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0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3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783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582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73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8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4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45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6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1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0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6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34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98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8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44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56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9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3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34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6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80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88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9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8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15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60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82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740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95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22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69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4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139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71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5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96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86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41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55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61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77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10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75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733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42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78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50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5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0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6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5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50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52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7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641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40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27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117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78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1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5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80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72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89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2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9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1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91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31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7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8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7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4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65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2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1.xml"/><Relationship Id="rId26" Type="http://schemas.openxmlformats.org/officeDocument/2006/relationships/image" Target="media/image3.png"/><Relationship Id="rId39" Type="http://schemas.openxmlformats.org/officeDocument/2006/relationships/fontTable" Target="fontTable.xml"/><Relationship Id="rId21" Type="http://schemas.openxmlformats.org/officeDocument/2006/relationships/chart" Target="charts/chart14.xml"/><Relationship Id="rId34" Type="http://schemas.openxmlformats.org/officeDocument/2006/relationships/chart" Target="charts/chart24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chart" Target="charts/chart9.xml"/><Relationship Id="rId20" Type="http://schemas.openxmlformats.org/officeDocument/2006/relationships/chart" Target="charts/chart13.xml"/><Relationship Id="rId29" Type="http://schemas.openxmlformats.org/officeDocument/2006/relationships/chart" Target="charts/chart1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24" Type="http://schemas.openxmlformats.org/officeDocument/2006/relationships/chart" Target="charts/chart16.xml"/><Relationship Id="rId32" Type="http://schemas.openxmlformats.org/officeDocument/2006/relationships/chart" Target="charts/chart22.xml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chart" Target="charts/chart8.xml"/><Relationship Id="rId23" Type="http://schemas.openxmlformats.org/officeDocument/2006/relationships/chart" Target="charts/chart15.xml"/><Relationship Id="rId28" Type="http://schemas.openxmlformats.org/officeDocument/2006/relationships/hyperlink" Target="https://www.mpsv.cz/web/cz/rok-2019" TargetMode="External"/><Relationship Id="rId36" Type="http://schemas.openxmlformats.org/officeDocument/2006/relationships/header" Target="header2.xml"/><Relationship Id="rId49" Type="http://schemas.microsoft.com/office/2016/09/relationships/commentsIds" Target="commentsIds.xml"/><Relationship Id="rId10" Type="http://schemas.openxmlformats.org/officeDocument/2006/relationships/chart" Target="charts/chart3.xml"/><Relationship Id="rId19" Type="http://schemas.openxmlformats.org/officeDocument/2006/relationships/chart" Target="charts/chart12.xml"/><Relationship Id="rId31" Type="http://schemas.openxmlformats.org/officeDocument/2006/relationships/chart" Target="charts/chart2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image" Target="media/image2.png"/><Relationship Id="rId27" Type="http://schemas.openxmlformats.org/officeDocument/2006/relationships/chart" Target="charts/chart18.xml"/><Relationship Id="rId30" Type="http://schemas.openxmlformats.org/officeDocument/2006/relationships/chart" Target="charts/chart20.xml"/><Relationship Id="rId35" Type="http://schemas.openxmlformats.org/officeDocument/2006/relationships/header" Target="header1.xml"/><Relationship Id="rId48" Type="http://schemas.microsoft.com/office/2018/08/relationships/commentsExtensible" Target="commentsExtensible.xml"/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10.xml"/><Relationship Id="rId25" Type="http://schemas.openxmlformats.org/officeDocument/2006/relationships/chart" Target="charts/chart17.xml"/><Relationship Id="rId33" Type="http://schemas.openxmlformats.org/officeDocument/2006/relationships/chart" Target="charts/chart23.xml"/><Relationship Id="rId38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ec.europa.eu/eurostat/web/health/data/database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cuments\Odbor%2063\NEM_UR\tabulky_moje\Publikace%20bar%20CZ_lide%20a%20spolecnost_2017-08-14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ELENA\6301\1_ZDRAVOTNICTV&#205;\Nem-Ur\NemUr_Publikace_2019\tab%20a%20graf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N\z%20domova\tab%20a%20grafy.xlsx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N\z%20domova\tab%20a%20grafy.xlsx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1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1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5.xml"/><Relationship Id="rId1" Type="http://schemas.microsoft.com/office/2011/relationships/chartStyle" Target="style15.xm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6.xml"/><Relationship Id="rId1" Type="http://schemas.microsoft.com/office/2011/relationships/chartStyle" Target="style16.xml"/></Relationships>
</file>

<file path=word/charts/_rels/chart18.xml.rels><?xml version="1.0" encoding="UTF-8" standalone="yes"?>
<Relationships xmlns="http://schemas.openxmlformats.org/package/2006/relationships"><Relationship Id="rId3" Type="http://schemas.openxmlformats.org/officeDocument/2006/relationships/oleObject" Target="file:///E:\PN\z%20domova\tab%20a%20grafy.xlsx" TargetMode="External"/><Relationship Id="rId2" Type="http://schemas.microsoft.com/office/2011/relationships/chartColorStyle" Target="colors17.xml"/><Relationship Id="rId1" Type="http://schemas.microsoft.com/office/2011/relationships/chartStyle" Target="style17.xm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8.xml"/><Relationship Id="rId1" Type="http://schemas.microsoft.com/office/2011/relationships/chartStyle" Target="style18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HELENA\6301\1_ZDRAVOTNICTV&#205;\Nem-Ur\NemUr_Publikace_2019\tab%20a%20grafy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20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19.xml"/><Relationship Id="rId1" Type="http://schemas.microsoft.com/office/2011/relationships/chartStyle" Target="style19.xml"/></Relationships>
</file>

<file path=word/charts/_rels/chart21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20.xml"/><Relationship Id="rId1" Type="http://schemas.microsoft.com/office/2011/relationships/chartStyle" Target="style20.xm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21.xml"/><Relationship Id="rId1" Type="http://schemas.microsoft.com/office/2011/relationships/chartStyle" Target="style21.xml"/></Relationships>
</file>

<file path=word/charts/_rels/chart2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22.xml"/><Relationship Id="rId1" Type="http://schemas.microsoft.com/office/2011/relationships/chartStyle" Target="style22.xml"/></Relationships>
</file>

<file path=word/charts/_rels/chart2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23.xml"/><Relationship Id="rId1" Type="http://schemas.microsoft.com/office/2011/relationships/chartStyle" Target="style23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Jirka\Documents\&#225;la\pr&#225;ce\covid\PN\publ\tab%20a%20grafy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oleObject" Target="file:///C:\Users\Jirka\Documents\&#225;la\pr&#225;ce\covid\PN\publ\tab%20a%20grafy.xlsx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3"/>
          <c:order val="0"/>
          <c:tx>
            <c:strRef>
              <c:f>'G1.1'!$A$25</c:f>
              <c:strCache>
                <c:ptCount val="1"/>
                <c:pt idx="0">
                  <c:v> 250 a více zaměstnanců</c:v>
                </c:pt>
              </c:strCache>
            </c:strRef>
          </c:tx>
          <c:spPr>
            <a:solidFill>
              <a:srgbClr val="EEDADA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'G1.1'!$B$24:$D$24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'G1.1'!$B$25:$D$25</c:f>
              <c:numCache>
                <c:formatCode>#\ ##0.0</c:formatCode>
                <c:ptCount val="3"/>
                <c:pt idx="0">
                  <c:v>1604.3999999999999</c:v>
                </c:pt>
                <c:pt idx="1">
                  <c:v>1855.92</c:v>
                </c:pt>
                <c:pt idx="2">
                  <c:v>2015.9302663999999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A19-42C4-9BAD-15637C42F383}"/>
            </c:ext>
          </c:extLst>
        </c:ser>
        <c:ser>
          <c:idx val="2"/>
          <c:order val="1"/>
          <c:tx>
            <c:strRef>
              <c:f>'G1.1'!$A$26</c:f>
              <c:strCache>
                <c:ptCount val="1"/>
                <c:pt idx="0">
                  <c:v> 50–249 zaměstnanců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'G1.1'!$B$24:$D$24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'G1.1'!$B$26:$D$26</c:f>
              <c:numCache>
                <c:formatCode>#\ ##0.0</c:formatCode>
                <c:ptCount val="3"/>
                <c:pt idx="0">
                  <c:v>1055.8969999999999</c:v>
                </c:pt>
                <c:pt idx="1">
                  <c:v>1044.3989999999999</c:v>
                </c:pt>
                <c:pt idx="2">
                  <c:v>1119.1251962000001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A19-42C4-9BAD-15637C42F383}"/>
            </c:ext>
          </c:extLst>
        </c:ser>
        <c:ser>
          <c:idx val="1"/>
          <c:order val="2"/>
          <c:tx>
            <c:strRef>
              <c:f>'G1.1'!$A$27</c:f>
              <c:strCache>
                <c:ptCount val="1"/>
                <c:pt idx="0">
                  <c:v> 1–49 zaměstnanců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'G1.1'!$B$24:$D$24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'G1.1'!$B$27:$D$27</c:f>
              <c:numCache>
                <c:formatCode>#\ ##0.0</c:formatCode>
                <c:ptCount val="3"/>
                <c:pt idx="0">
                  <c:v>1418.9490000000001</c:v>
                </c:pt>
                <c:pt idx="1">
                  <c:v>1458.029</c:v>
                </c:pt>
                <c:pt idx="2">
                  <c:v>1503.4134925999999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BA19-42C4-9BAD-15637C42F383}"/>
            </c:ext>
          </c:extLst>
        </c:ser>
        <c:ser>
          <c:idx val="0"/>
          <c:order val="3"/>
          <c:tx>
            <c:strRef>
              <c:f>'G1.1'!$A$28</c:f>
              <c:strCache>
                <c:ptCount val="1"/>
                <c:pt idx="0">
                  <c:v> OSVČ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0"/>
                  <c:y val="-3.5732516590096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BA19-42C4-9BAD-15637C42F383}"/>
                </c:ext>
              </c:extLst>
            </c:dLbl>
            <c:dLbl>
              <c:idx val="1"/>
              <c:layout>
                <c:manualLayout>
                  <c:x val="0"/>
                  <c:y val="-4.08371618172536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BA19-42C4-9BAD-15637C42F383}"/>
                </c:ext>
              </c:extLst>
            </c:dLbl>
            <c:dLbl>
              <c:idx val="2"/>
              <c:layout>
                <c:manualLayout>
                  <c:x val="0"/>
                  <c:y val="-3.573251659009699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BA19-42C4-9BAD-15637C42F383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'G1.1'!$B$24:$D$24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'G1.1'!$B$28:$D$28</c:f>
              <c:numCache>
                <c:formatCode>#\ ##0.0</c:formatCode>
                <c:ptCount val="3"/>
                <c:pt idx="0">
                  <c:v>173.893</c:v>
                </c:pt>
                <c:pt idx="1">
                  <c:v>105.709</c:v>
                </c:pt>
                <c:pt idx="2">
                  <c:v>94.4204814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BA19-42C4-9BAD-15637C42F38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100"/>
        <c:axId val="550306600"/>
        <c:axId val="550299056"/>
      </c:barChart>
      <c:catAx>
        <c:axId val="55030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50299056"/>
        <c:crosses val="autoZero"/>
        <c:auto val="1"/>
        <c:lblAlgn val="ctr"/>
        <c:lblOffset val="100"/>
        <c:noMultiLvlLbl val="0"/>
      </c:catAx>
      <c:valAx>
        <c:axId val="5502990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\ ##0.0" sourceLinked="1"/>
        <c:majorTickMark val="none"/>
        <c:minorTickMark val="none"/>
        <c:tickLblPos val="nextTo"/>
        <c:crossAx val="55030660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'G2.6+G2.7'!$A$21</c:f>
              <c:strCache>
                <c:ptCount val="1"/>
                <c:pt idx="0">
                  <c:v> 1. pololetí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'G2.6+G2.7'!$B$20:$I$20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'G2.6+G2.7'!$B$21:$I$21</c:f>
              <c:numCache>
                <c:formatCode>General</c:formatCode>
                <c:ptCount val="5"/>
                <c:pt idx="0">
                  <c:v>30184364</c:v>
                </c:pt>
                <c:pt idx="1">
                  <c:v>31661916</c:v>
                </c:pt>
                <c:pt idx="2">
                  <c:v>33258915</c:v>
                </c:pt>
                <c:pt idx="3">
                  <c:v>35167407</c:v>
                </c:pt>
                <c:pt idx="4">
                  <c:v>35860458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D24-40FC-8D90-5168116A83F6}"/>
            </c:ext>
          </c:extLst>
        </c:ser>
        <c:ser>
          <c:idx val="1"/>
          <c:order val="1"/>
          <c:tx>
            <c:strRef>
              <c:f>'G2.6+G2.7'!$A$22</c:f>
              <c:strCache>
                <c:ptCount val="1"/>
                <c:pt idx="0">
                  <c:v> 2. pololetí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'G2.6+G2.7'!$B$20:$I$20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'G2.6+G2.7'!$B$22:$I$22</c:f>
              <c:numCache>
                <c:formatCode>General</c:formatCode>
                <c:ptCount val="5"/>
                <c:pt idx="0">
                  <c:v>26828755</c:v>
                </c:pt>
                <c:pt idx="1">
                  <c:v>28431614</c:v>
                </c:pt>
                <c:pt idx="2">
                  <c:v>28853901</c:v>
                </c:pt>
                <c:pt idx="3">
                  <c:v>31055960</c:v>
                </c:pt>
                <c:pt idx="4">
                  <c:v>34042075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0D24-40FC-8D90-5168116A83F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7832264"/>
        <c:axId val="597828328"/>
      </c:barChart>
      <c:catAx>
        <c:axId val="5978322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7828328"/>
        <c:crosses val="autoZero"/>
        <c:auto val="1"/>
        <c:lblAlgn val="ctr"/>
        <c:lblOffset val="100"/>
        <c:noMultiLvlLbl val="0"/>
      </c:catAx>
      <c:valAx>
        <c:axId val="597828328"/>
        <c:scaling>
          <c:orientation val="minMax"/>
          <c:max val="36000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7832264"/>
        <c:crosses val="autoZero"/>
        <c:crossBetween val="between"/>
        <c:majorUnit val="4000000"/>
        <c:dispUnits>
          <c:builtInUnit val="millions"/>
          <c:dispUnitsLbl>
            <c:layout>
              <c:manualLayout>
                <c:xMode val="edge"/>
                <c:yMode val="edge"/>
                <c:x val="2.1498411599648944E-2"/>
                <c:y val="0.3474075240594926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r>
                    <a:rPr lang="cs-CZ"/>
                    <a:t>miliony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'G2.6+G2.7'!$A$45</c:f>
              <c:strCache>
                <c:ptCount val="1"/>
                <c:pt idx="0">
                  <c:v> 1. pololetí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'G2.6+G2.7'!$B$44:$I$44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'G2.6+G2.7'!$B$45:$I$45</c:f>
              <c:numCache>
                <c:formatCode>General</c:formatCode>
                <c:ptCount val="5"/>
                <c:pt idx="0">
                  <c:v>38.509944412336203</c:v>
                </c:pt>
                <c:pt idx="1">
                  <c:v>40.744102371405191</c:v>
                </c:pt>
                <c:pt idx="2">
                  <c:v>39.518719722813358</c:v>
                </c:pt>
                <c:pt idx="3">
                  <c:v>37.50186030193516</c:v>
                </c:pt>
                <c:pt idx="4">
                  <c:v>41.090733046565084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79D-41D7-9DE3-C4453EEDF2B1}"/>
            </c:ext>
          </c:extLst>
        </c:ser>
        <c:ser>
          <c:idx val="1"/>
          <c:order val="1"/>
          <c:tx>
            <c:strRef>
              <c:f>'G2.6+G2.7'!$A$46</c:f>
              <c:strCache>
                <c:ptCount val="1"/>
                <c:pt idx="0">
                  <c:v> 2. pololetí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'G2.6+G2.7'!$B$44:$I$44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'G2.6+G2.7'!$B$46:$I$46</c:f>
              <c:numCache>
                <c:formatCode>General</c:formatCode>
                <c:ptCount val="5"/>
                <c:pt idx="0">
                  <c:v>44.711014785483826</c:v>
                </c:pt>
                <c:pt idx="1">
                  <c:v>42.828757961207756</c:v>
                </c:pt>
                <c:pt idx="2">
                  <c:v>43.111981867026856</c:v>
                </c:pt>
                <c:pt idx="3">
                  <c:v>43.586211155367302</c:v>
                </c:pt>
                <c:pt idx="4">
                  <c:v>40.597567156614296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79D-41D7-9DE3-C4453EEDF2B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23620928"/>
        <c:axId val="523619288"/>
      </c:barChart>
      <c:catAx>
        <c:axId val="5236209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23619288"/>
        <c:crosses val="autoZero"/>
        <c:auto val="1"/>
        <c:lblAlgn val="ctr"/>
        <c:lblOffset val="100"/>
        <c:noMultiLvlLbl val="0"/>
      </c:catAx>
      <c:valAx>
        <c:axId val="523619288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počet dnů</a:t>
                </a:r>
              </a:p>
            </c:rich>
          </c:tx>
          <c:layout>
            <c:manualLayout>
              <c:xMode val="edge"/>
              <c:yMode val="edge"/>
              <c:x val="1.6666666666666666E-2"/>
              <c:y val="0.3389666800124560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236209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'G2.5'!$A$3</c:f>
              <c:strCache>
                <c:ptCount val="1"/>
                <c:pt idx="0">
                  <c:v> muži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cat>
            <c:numRef>
              <c:f>'G2.5'!$B$2:$L$2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'G2.5'!$B$3:$L$3</c:f>
              <c:numCache>
                <c:formatCode>General</c:formatCode>
                <c:ptCount val="11"/>
                <c:pt idx="0">
                  <c:v>43.606510154112058</c:v>
                </c:pt>
                <c:pt idx="1">
                  <c:v>43.578652559514545</c:v>
                </c:pt>
                <c:pt idx="2">
                  <c:v>42.961493967939184</c:v>
                </c:pt>
                <c:pt idx="3">
                  <c:v>44.112795809401895</c:v>
                </c:pt>
                <c:pt idx="4">
                  <c:v>42.346100568813952</c:v>
                </c:pt>
                <c:pt idx="5">
                  <c:v>43.421782761290075</c:v>
                </c:pt>
                <c:pt idx="6">
                  <c:v>40.535215932702108</c:v>
                </c:pt>
                <c:pt idx="7">
                  <c:v>40.654897349033696</c:v>
                </c:pt>
                <c:pt idx="8">
                  <c:v>40.626409339981365</c:v>
                </c:pt>
                <c:pt idx="9">
                  <c:v>40.289645469571234</c:v>
                </c:pt>
                <c:pt idx="10">
                  <c:v>41.053973179652004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EC5-4F93-9C4C-4623B8CED5F0}"/>
            </c:ext>
          </c:extLst>
        </c:ser>
        <c:ser>
          <c:idx val="1"/>
          <c:order val="1"/>
          <c:tx>
            <c:strRef>
              <c:f>'G2.5'!$A$4</c:f>
              <c:strCache>
                <c:ptCount val="1"/>
                <c:pt idx="0">
                  <c:v> ženy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cat>
            <c:numRef>
              <c:f>'G2.5'!$B$2:$L$2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'G2.5'!$B$4:$L$4</c:f>
              <c:numCache>
                <c:formatCode>General</c:formatCode>
                <c:ptCount val="11"/>
                <c:pt idx="0">
                  <c:v>46.413276231263382</c:v>
                </c:pt>
                <c:pt idx="1">
                  <c:v>45.734388742304304</c:v>
                </c:pt>
                <c:pt idx="2">
                  <c:v>45.092662347446129</c:v>
                </c:pt>
                <c:pt idx="3" formatCode="##0.00">
                  <c:v>47.86</c:v>
                </c:pt>
                <c:pt idx="4" formatCode="##0.00">
                  <c:v>45.52</c:v>
                </c:pt>
                <c:pt idx="5" formatCode="##0.00">
                  <c:v>48.02</c:v>
                </c:pt>
                <c:pt idx="6">
                  <c:v>44.776083656899999</c:v>
                </c:pt>
                <c:pt idx="7">
                  <c:v>45.185948486599997</c:v>
                </c:pt>
                <c:pt idx="8">
                  <c:v>44.329904953400003</c:v>
                </c:pt>
                <c:pt idx="9">
                  <c:v>43.000647046799997</c:v>
                </c:pt>
                <c:pt idx="10">
                  <c:v>43.616790123456788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AEC5-4F93-9C4C-4623B8CED5F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10719968"/>
        <c:axId val="510720624"/>
      </c:barChart>
      <c:catAx>
        <c:axId val="5107199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20624"/>
        <c:crosses val="autoZero"/>
        <c:auto val="1"/>
        <c:lblAlgn val="ctr"/>
        <c:lblOffset val="100"/>
        <c:noMultiLvlLbl val="0"/>
      </c:catAx>
      <c:valAx>
        <c:axId val="510720624"/>
        <c:scaling>
          <c:orientation val="minMax"/>
          <c:max val="5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199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121925514654101"/>
          <c:y val="3.7996545768566495E-2"/>
          <c:w val="0.45696921470622354"/>
          <c:h val="0.83261936817483306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CB3-4AB2-A301-92A504867946}"/>
              </c:ext>
            </c:extLst>
          </c:dPt>
          <c:cat>
            <c:strRef>
              <c:f>'G2.7'!$N$3:$N$22</c:f>
              <c:strCache>
                <c:ptCount val="20"/>
                <c:pt idx="0">
                  <c:v>J – Informační a komunikační činnosti</c:v>
                </c:pt>
                <c:pt idx="1">
                  <c:v>P – Vzdělávání</c:v>
                </c:pt>
                <c:pt idx="2">
                  <c:v>K – Peněžnictví a pojišťovnictví</c:v>
                </c:pt>
                <c:pt idx="3">
                  <c:v>O – Veřejná správa a obrana; povinné sociální zabezpečení</c:v>
                </c:pt>
                <c:pt idx="4">
                  <c:v>D – Výroba a rozvod elektřiny, plynu, tepla a klimatiz. vzduchu</c:v>
                </c:pt>
                <c:pt idx="5">
                  <c:v>M – Profesní, vědecké a technické činnosti</c:v>
                </c:pt>
                <c:pt idx="6">
                  <c:v>R – Kulturní, zábavní a rekreační činnosti</c:v>
                </c:pt>
                <c:pt idx="7">
                  <c:v>C – Zpracovatelský průmysl</c:v>
                </c:pt>
                <c:pt idx="8">
                  <c:v>CELKEM</c:v>
                </c:pt>
                <c:pt idx="9">
                  <c:v>N – Administrativní a podpůrné činnosti</c:v>
                </c:pt>
                <c:pt idx="10">
                  <c:v>G – Velkoobchod a maloobchod; opravy a údržba motor. vozidel</c:v>
                </c:pt>
                <c:pt idx="11">
                  <c:v>H – Doprava a skladování</c:v>
                </c:pt>
                <c:pt idx="12">
                  <c:v>E – Zásobování vodou; činnosti související s odpady a sanacemi</c:v>
                </c:pt>
                <c:pt idx="13">
                  <c:v>Q – Zdravotní a sociální péče</c:v>
                </c:pt>
                <c:pt idx="14">
                  <c:v>S – Ostatní činnosti</c:v>
                </c:pt>
                <c:pt idx="15">
                  <c:v>B – Těžba a dobývání</c:v>
                </c:pt>
                <c:pt idx="16">
                  <c:v>L – Činnosti v oblasti nemovitostí</c:v>
                </c:pt>
                <c:pt idx="17">
                  <c:v>F – Stavebnictví</c:v>
                </c:pt>
                <c:pt idx="18">
                  <c:v>I – Ubytování, stravování a pohostinství</c:v>
                </c:pt>
                <c:pt idx="19">
                  <c:v>A – Zemědělství, lesnictví, rybářství</c:v>
                </c:pt>
              </c:strCache>
            </c:strRef>
          </c:cat>
          <c:val>
            <c:numRef>
              <c:f>'G2.7'!$O$3:$O$22</c:f>
              <c:numCache>
                <c:formatCode>0.00</c:formatCode>
                <c:ptCount val="20"/>
                <c:pt idx="0">
                  <c:v>25.373007712100001</c:v>
                </c:pt>
                <c:pt idx="1">
                  <c:v>31.1977472397</c:v>
                </c:pt>
                <c:pt idx="2">
                  <c:v>31.656938796399999</c:v>
                </c:pt>
                <c:pt idx="3">
                  <c:v>35.113917121100002</c:v>
                </c:pt>
                <c:pt idx="4">
                  <c:v>38.130415522299998</c:v>
                </c:pt>
                <c:pt idx="5">
                  <c:v>39.166776918899998</c:v>
                </c:pt>
                <c:pt idx="6">
                  <c:v>40.284493874900001</c:v>
                </c:pt>
                <c:pt idx="7">
                  <c:v>42.212175307099997</c:v>
                </c:pt>
                <c:pt idx="8">
                  <c:v>42.408774120499999</c:v>
                </c:pt>
                <c:pt idx="9">
                  <c:v>42.809287245299998</c:v>
                </c:pt>
                <c:pt idx="10">
                  <c:v>44.5661026796</c:v>
                </c:pt>
                <c:pt idx="11">
                  <c:v>44.723059231400001</c:v>
                </c:pt>
                <c:pt idx="12">
                  <c:v>44.9194501387</c:v>
                </c:pt>
                <c:pt idx="13">
                  <c:v>46.2655774845</c:v>
                </c:pt>
                <c:pt idx="14">
                  <c:v>46.291828793800001</c:v>
                </c:pt>
                <c:pt idx="15">
                  <c:v>49.368832158499998</c:v>
                </c:pt>
                <c:pt idx="16">
                  <c:v>50.843345477100002</c:v>
                </c:pt>
                <c:pt idx="17">
                  <c:v>52.024204269000002</c:v>
                </c:pt>
                <c:pt idx="18">
                  <c:v>54.415642767400001</c:v>
                </c:pt>
                <c:pt idx="19">
                  <c:v>56.757624525099999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CB3-4AB2-A301-92A50486794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53735632"/>
        <c:axId val="653732352"/>
      </c:barChart>
      <c:catAx>
        <c:axId val="65373563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53732352"/>
        <c:crosses val="autoZero"/>
        <c:auto val="1"/>
        <c:lblAlgn val="ctr"/>
        <c:lblOffset val="100"/>
        <c:noMultiLvlLbl val="0"/>
      </c:catAx>
      <c:valAx>
        <c:axId val="653732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53735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8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D19-47EA-BE0C-11DDE2D34B18}"/>
              </c:ext>
            </c:extLst>
          </c:dPt>
          <c:cat>
            <c:strRef>
              <c:f>'G2.8'!$J$2:$J$16</c:f>
              <c:strCache>
                <c:ptCount val="15"/>
                <c:pt idx="0">
                  <c:v>Liberecký kraj</c:v>
                </c:pt>
                <c:pt idx="1">
                  <c:v>Hlavní město Praha</c:v>
                </c:pt>
                <c:pt idx="2">
                  <c:v>Královéhradecký kraj</c:v>
                </c:pt>
                <c:pt idx="3">
                  <c:v>Plzeňský kraj</c:v>
                </c:pt>
                <c:pt idx="4">
                  <c:v>Karlovarský kraj</c:v>
                </c:pt>
                <c:pt idx="5">
                  <c:v>Středočeský kraj</c:v>
                </c:pt>
                <c:pt idx="6">
                  <c:v>Ústecký kraj</c:v>
                </c:pt>
                <c:pt idx="7">
                  <c:v>Pardubický kraj</c:v>
                </c:pt>
                <c:pt idx="8">
                  <c:v>ČR CELKEM</c:v>
                </c:pt>
                <c:pt idx="9">
                  <c:v>Jihomoravský kraj</c:v>
                </c:pt>
                <c:pt idx="10">
                  <c:v>Jihočeský kraj</c:v>
                </c:pt>
                <c:pt idx="11">
                  <c:v>Kraj Vysočina</c:v>
                </c:pt>
                <c:pt idx="12">
                  <c:v>Olomoucký kraj</c:v>
                </c:pt>
                <c:pt idx="13">
                  <c:v>Moravskoslezský kraj</c:v>
                </c:pt>
                <c:pt idx="14">
                  <c:v>Zlínský kraj</c:v>
                </c:pt>
              </c:strCache>
            </c:strRef>
          </c:cat>
          <c:val>
            <c:numRef>
              <c:f>'G2.8'!$K$2:$K$16</c:f>
              <c:numCache>
                <c:formatCode>0.00</c:formatCode>
                <c:ptCount val="15"/>
                <c:pt idx="0">
                  <c:v>38.802061026099999</c:v>
                </c:pt>
                <c:pt idx="1">
                  <c:v>38.823617176500001</c:v>
                </c:pt>
                <c:pt idx="2">
                  <c:v>39.169230936700004</c:v>
                </c:pt>
                <c:pt idx="3">
                  <c:v>39.559311784899997</c:v>
                </c:pt>
                <c:pt idx="4">
                  <c:v>40.331432241500003</c:v>
                </c:pt>
                <c:pt idx="5">
                  <c:v>40.427326026000003</c:v>
                </c:pt>
                <c:pt idx="6">
                  <c:v>41.970637778099999</c:v>
                </c:pt>
                <c:pt idx="7">
                  <c:v>42.175905488399998</c:v>
                </c:pt>
                <c:pt idx="8">
                  <c:v>42.408774120499999</c:v>
                </c:pt>
                <c:pt idx="9">
                  <c:v>43.314210518300001</c:v>
                </c:pt>
                <c:pt idx="10">
                  <c:v>44.3659866064</c:v>
                </c:pt>
                <c:pt idx="11">
                  <c:v>45.569606745999998</c:v>
                </c:pt>
                <c:pt idx="12">
                  <c:v>46.128764168499998</c:v>
                </c:pt>
                <c:pt idx="13">
                  <c:v>48.714446561999999</c:v>
                </c:pt>
                <c:pt idx="14">
                  <c:v>49.545655729800004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3D19-47EA-BE0C-11DDE2D34B1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89203768"/>
        <c:axId val="510719312"/>
      </c:barChart>
      <c:catAx>
        <c:axId val="58920376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19312"/>
        <c:crosses val="autoZero"/>
        <c:auto val="1"/>
        <c:lblAlgn val="ctr"/>
        <c:lblOffset val="100"/>
        <c:noMultiLvlLbl val="0"/>
      </c:catAx>
      <c:valAx>
        <c:axId val="510719312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89203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'G2.9'!$D$19</c:f>
              <c:strCache>
                <c:ptCount val="1"/>
                <c:pt idx="0">
                  <c:v> nemoc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cat>
            <c:multiLvlStrRef>
              <c:f>'G2.9'!$B$20:$C$26</c:f>
              <c:multiLvlStrCache>
                <c:ptCount val="7"/>
                <c:lvl>
                  <c:pt idx="2">
                    <c:v>1–49</c:v>
                  </c:pt>
                  <c:pt idx="3">
                    <c:v>50–99</c:v>
                  </c:pt>
                  <c:pt idx="4">
                    <c:v>100–249</c:v>
                  </c:pt>
                  <c:pt idx="5">
                    <c:v>250–499</c:v>
                  </c:pt>
                  <c:pt idx="6">
                    <c:v>500 a více</c:v>
                  </c:pt>
                </c:lvl>
                <c:lvl>
                  <c:pt idx="0">
                    <c:v>CELKEM</c:v>
                  </c:pt>
                  <c:pt idx="1">
                    <c:v>OSVČ</c:v>
                  </c:pt>
                  <c:pt idx="2">
                    <c:v>zaměstnanci (počet)</c:v>
                  </c:pt>
                </c:lvl>
              </c:multiLvlStrCache>
            </c:multiLvlStrRef>
          </c:cat>
          <c:val>
            <c:numRef>
              <c:f>'G2.9'!$D$20:$D$26</c:f>
              <c:numCache>
                <c:formatCode>0.00</c:formatCode>
                <c:ptCount val="7"/>
                <c:pt idx="0">
                  <c:v>40.849076604700002</c:v>
                </c:pt>
                <c:pt idx="1">
                  <c:v>105.64031907179999</c:v>
                </c:pt>
                <c:pt idx="2">
                  <c:v>45.757787363200002</c:v>
                </c:pt>
                <c:pt idx="3">
                  <c:v>37.8236524394</c:v>
                </c:pt>
                <c:pt idx="4">
                  <c:v>39.800718333500001</c:v>
                </c:pt>
                <c:pt idx="5">
                  <c:v>39.414535882000003</c:v>
                </c:pt>
                <c:pt idx="6">
                  <c:v>38.202756824700003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1F-44E0-8F50-E5F00271A00D}"/>
            </c:ext>
          </c:extLst>
        </c:ser>
        <c:ser>
          <c:idx val="1"/>
          <c:order val="1"/>
          <c:tx>
            <c:strRef>
              <c:f>'G2.9'!$E$19</c:f>
              <c:strCache>
                <c:ptCount val="1"/>
                <c:pt idx="0">
                  <c:v> pracovní úraz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cat>
            <c:multiLvlStrRef>
              <c:f>'G2.9'!$B$20:$C$26</c:f>
              <c:multiLvlStrCache>
                <c:ptCount val="7"/>
                <c:lvl>
                  <c:pt idx="2">
                    <c:v>1–49</c:v>
                  </c:pt>
                  <c:pt idx="3">
                    <c:v>50–99</c:v>
                  </c:pt>
                  <c:pt idx="4">
                    <c:v>100–249</c:v>
                  </c:pt>
                  <c:pt idx="5">
                    <c:v>250–499</c:v>
                  </c:pt>
                  <c:pt idx="6">
                    <c:v>500 a více</c:v>
                  </c:pt>
                </c:lvl>
                <c:lvl>
                  <c:pt idx="0">
                    <c:v>CELKEM</c:v>
                  </c:pt>
                  <c:pt idx="1">
                    <c:v>OSVČ</c:v>
                  </c:pt>
                  <c:pt idx="2">
                    <c:v>zaměstnanci (počet)</c:v>
                  </c:pt>
                </c:lvl>
              </c:multiLvlStrCache>
            </c:multiLvlStrRef>
          </c:cat>
          <c:val>
            <c:numRef>
              <c:f>'G2.9'!$E$20:$E$26</c:f>
              <c:numCache>
                <c:formatCode>0.00</c:formatCode>
                <c:ptCount val="7"/>
                <c:pt idx="0">
                  <c:v>56.845820614099999</c:v>
                </c:pt>
                <c:pt idx="1">
                  <c:v>101.14691943130001</c:v>
                </c:pt>
                <c:pt idx="2">
                  <c:v>58.626548988099998</c:v>
                </c:pt>
                <c:pt idx="3">
                  <c:v>54.0892916528</c:v>
                </c:pt>
                <c:pt idx="4">
                  <c:v>53.488911547299999</c:v>
                </c:pt>
                <c:pt idx="5">
                  <c:v>55.310859403099997</c:v>
                </c:pt>
                <c:pt idx="6">
                  <c:v>58.4610275872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B1F-44E0-8F50-E5F00271A00D}"/>
            </c:ext>
          </c:extLst>
        </c:ser>
        <c:ser>
          <c:idx val="2"/>
          <c:order val="2"/>
          <c:tx>
            <c:strRef>
              <c:f>'G2.9'!$F$19</c:f>
              <c:strCache>
                <c:ptCount val="1"/>
                <c:pt idx="0">
                  <c:v> ostatní úraz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cat>
            <c:multiLvlStrRef>
              <c:f>'G2.9'!$B$20:$C$26</c:f>
              <c:multiLvlStrCache>
                <c:ptCount val="7"/>
                <c:lvl>
                  <c:pt idx="2">
                    <c:v>1–49</c:v>
                  </c:pt>
                  <c:pt idx="3">
                    <c:v>50–99</c:v>
                  </c:pt>
                  <c:pt idx="4">
                    <c:v>100–249</c:v>
                  </c:pt>
                  <c:pt idx="5">
                    <c:v>250–499</c:v>
                  </c:pt>
                  <c:pt idx="6">
                    <c:v>500 a více</c:v>
                  </c:pt>
                </c:lvl>
                <c:lvl>
                  <c:pt idx="0">
                    <c:v>CELKEM</c:v>
                  </c:pt>
                  <c:pt idx="1">
                    <c:v>OSVČ</c:v>
                  </c:pt>
                  <c:pt idx="2">
                    <c:v>zaměstnanci (počet)</c:v>
                  </c:pt>
                </c:lvl>
              </c:multiLvlStrCache>
            </c:multiLvlStrRef>
          </c:cat>
          <c:val>
            <c:numRef>
              <c:f>'G2.9'!$F$20:$F$26</c:f>
              <c:numCache>
                <c:formatCode>0.00</c:formatCode>
                <c:ptCount val="7"/>
                <c:pt idx="0">
                  <c:v>55.147992101699998</c:v>
                </c:pt>
                <c:pt idx="1">
                  <c:v>97.339153208200003</c:v>
                </c:pt>
                <c:pt idx="2">
                  <c:v>60.856607230400002</c:v>
                </c:pt>
                <c:pt idx="3">
                  <c:v>51.928419111300002</c:v>
                </c:pt>
                <c:pt idx="4">
                  <c:v>52.401849763100003</c:v>
                </c:pt>
                <c:pt idx="5">
                  <c:v>51.668411666600001</c:v>
                </c:pt>
                <c:pt idx="6">
                  <c:v>51.604639730800002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B1F-44E0-8F50-E5F00271A00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415300352"/>
        <c:axId val="415296744"/>
      </c:barChart>
      <c:catAx>
        <c:axId val="415300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15296744"/>
        <c:crosses val="autoZero"/>
        <c:auto val="1"/>
        <c:lblAlgn val="ctr"/>
        <c:lblOffset val="100"/>
        <c:noMultiLvlLbl val="0"/>
      </c:catAx>
      <c:valAx>
        <c:axId val="41529674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dnů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15300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2718814796417723"/>
          <c:y val="3.4493571652555663E-2"/>
          <c:w val="0.43898315885446876"/>
          <c:h val="0.88629145956943522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9EE9-40D7-A5DC-2E7454DA3B4E}"/>
              </c:ext>
            </c:extLst>
          </c:dPt>
          <c:cat>
            <c:strRef>
              <c:f>'G2.13'!$M$2:$M$21</c:f>
              <c:strCache>
                <c:ptCount val="20"/>
                <c:pt idx="0">
                  <c:v>J – Informační a komunikační činnosti</c:v>
                </c:pt>
                <c:pt idx="1">
                  <c:v>M – Profesní, vědecké a technické činnosti</c:v>
                </c:pt>
                <c:pt idx="2">
                  <c:v>L – Činnosti v oblasti nemovitostí</c:v>
                </c:pt>
                <c:pt idx="3">
                  <c:v>K – Peněžnictví a pojišťovnictví</c:v>
                </c:pt>
                <c:pt idx="4">
                  <c:v>R – Kulturní, zábavní a rekreační činnosti</c:v>
                </c:pt>
                <c:pt idx="5">
                  <c:v>P – Vzdělávání</c:v>
                </c:pt>
                <c:pt idx="6">
                  <c:v>D – Výroba a rozvod elektřiny, plynu, tepla a klimatiz. vzduchu</c:v>
                </c:pt>
                <c:pt idx="7">
                  <c:v>O – Veřejná správa a obrana; povinné sociální zabezpečení</c:v>
                </c:pt>
                <c:pt idx="8">
                  <c:v>S – Ostatní činnosti</c:v>
                </c:pt>
                <c:pt idx="9">
                  <c:v>Q – Zdravotní a sociální péče</c:v>
                </c:pt>
                <c:pt idx="10">
                  <c:v>I – Ubytování, stravování a pohostinství</c:v>
                </c:pt>
                <c:pt idx="11">
                  <c:v>CELKEM</c:v>
                </c:pt>
                <c:pt idx="12">
                  <c:v>F – Stavebnictví</c:v>
                </c:pt>
                <c:pt idx="13">
                  <c:v>H – Doprava a skladování</c:v>
                </c:pt>
                <c:pt idx="14">
                  <c:v>G – Velkoobchod a maloobchod; opravy a údržba motor. vozidel</c:v>
                </c:pt>
                <c:pt idx="15">
                  <c:v>E – Zásobování vodou; činnosti související s odpady a sanacemi</c:v>
                </c:pt>
                <c:pt idx="16">
                  <c:v>A – Zemědělství, lesnictví, rybářství</c:v>
                </c:pt>
                <c:pt idx="17">
                  <c:v>N – Administrativní a podpůrné činnosti</c:v>
                </c:pt>
                <c:pt idx="18">
                  <c:v>B – Těžba a dobývání</c:v>
                </c:pt>
                <c:pt idx="19">
                  <c:v>C – Zpracovatelský průmysl</c:v>
                </c:pt>
              </c:strCache>
            </c:strRef>
          </c:cat>
          <c:val>
            <c:numRef>
              <c:f>'G2.13'!$N$2:$N$21</c:f>
              <c:numCache>
                <c:formatCode>0.00</c:formatCode>
                <c:ptCount val="20"/>
                <c:pt idx="0">
                  <c:v>1.8990337306</c:v>
                </c:pt>
                <c:pt idx="1">
                  <c:v>2.4644484256000001</c:v>
                </c:pt>
                <c:pt idx="2">
                  <c:v>2.5554115293000002</c:v>
                </c:pt>
                <c:pt idx="3">
                  <c:v>2.6788436953999999</c:v>
                </c:pt>
                <c:pt idx="4">
                  <c:v>3.0733607261000002</c:v>
                </c:pt>
                <c:pt idx="5">
                  <c:v>3.0757090954000001</c:v>
                </c:pt>
                <c:pt idx="6">
                  <c:v>3.1380341706000001</c:v>
                </c:pt>
                <c:pt idx="7">
                  <c:v>3.4183756541000001</c:v>
                </c:pt>
                <c:pt idx="8">
                  <c:v>3.9714969442000001</c:v>
                </c:pt>
                <c:pt idx="9">
                  <c:v>4.4583965828999998</c:v>
                </c:pt>
                <c:pt idx="10">
                  <c:v>4.5843636463999999</c:v>
                </c:pt>
                <c:pt idx="11">
                  <c:v>4.7007035417000003</c:v>
                </c:pt>
                <c:pt idx="12">
                  <c:v>4.8244554608000003</c:v>
                </c:pt>
                <c:pt idx="13">
                  <c:v>4.8902909042999996</c:v>
                </c:pt>
                <c:pt idx="14">
                  <c:v>4.9188851848999997</c:v>
                </c:pt>
                <c:pt idx="15">
                  <c:v>5.2378585292000004</c:v>
                </c:pt>
                <c:pt idx="16">
                  <c:v>5.3744983686000003</c:v>
                </c:pt>
                <c:pt idx="17">
                  <c:v>5.8272423033000003</c:v>
                </c:pt>
                <c:pt idx="18">
                  <c:v>6.0167193914999997</c:v>
                </c:pt>
                <c:pt idx="19">
                  <c:v>6.2335831425999997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EE9-40D7-A5DC-2E7454DA3B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79827648"/>
        <c:axId val="579827976"/>
      </c:barChart>
      <c:catAx>
        <c:axId val="5798276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79827976"/>
        <c:crosses val="autoZero"/>
        <c:auto val="1"/>
        <c:lblAlgn val="ctr"/>
        <c:lblOffset val="100"/>
        <c:noMultiLvlLbl val="0"/>
      </c:catAx>
      <c:valAx>
        <c:axId val="579827976"/>
        <c:scaling>
          <c:orientation val="minMax"/>
          <c:max val="6.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%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79827648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2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46BD-496E-AE78-A05968A77FD0}"/>
              </c:ext>
            </c:extLst>
          </c:dPt>
          <c:cat>
            <c:strRef>
              <c:f>'G2.11'!$M$3:$M$17</c:f>
              <c:strCache>
                <c:ptCount val="15"/>
                <c:pt idx="0">
                  <c:v>Hlavní město Praha</c:v>
                </c:pt>
                <c:pt idx="1">
                  <c:v>Jihomoravský kraj</c:v>
                </c:pt>
                <c:pt idx="2">
                  <c:v>ČR CELKEM</c:v>
                </c:pt>
                <c:pt idx="3">
                  <c:v>Středočeský kraj</c:v>
                </c:pt>
                <c:pt idx="4">
                  <c:v>Královéhradecký kraj</c:v>
                </c:pt>
                <c:pt idx="5">
                  <c:v>Pardubický kraj</c:v>
                </c:pt>
                <c:pt idx="6">
                  <c:v>Olomoucký kraj</c:v>
                </c:pt>
                <c:pt idx="7">
                  <c:v>Plzeňský kraj</c:v>
                </c:pt>
                <c:pt idx="8">
                  <c:v>Karlovarský kraj</c:v>
                </c:pt>
                <c:pt idx="9">
                  <c:v>Ústecký kraj</c:v>
                </c:pt>
                <c:pt idx="10">
                  <c:v>Liberecký kraj</c:v>
                </c:pt>
                <c:pt idx="11">
                  <c:v>Jihočeský kraj</c:v>
                </c:pt>
                <c:pt idx="12">
                  <c:v>Kraj Vysočina</c:v>
                </c:pt>
                <c:pt idx="13">
                  <c:v>Zlínský kraj</c:v>
                </c:pt>
                <c:pt idx="14">
                  <c:v>Moravskoslezský kraj</c:v>
                </c:pt>
              </c:strCache>
            </c:strRef>
          </c:cat>
          <c:val>
            <c:numRef>
              <c:f>'G2.11'!$N$3:$N$17</c:f>
              <c:numCache>
                <c:formatCode>0.00</c:formatCode>
                <c:ptCount val="15"/>
                <c:pt idx="0">
                  <c:v>3.5595252053999999</c:v>
                </c:pt>
                <c:pt idx="1">
                  <c:v>4.6123346539999996</c:v>
                </c:pt>
                <c:pt idx="2">
                  <c:v>4.7007035417000003</c:v>
                </c:pt>
                <c:pt idx="3">
                  <c:v>4.8018632647999997</c:v>
                </c:pt>
                <c:pt idx="4">
                  <c:v>4.9033825109000002</c:v>
                </c:pt>
                <c:pt idx="5">
                  <c:v>4.9530863429999998</c:v>
                </c:pt>
                <c:pt idx="6">
                  <c:v>4.9952603126000001</c:v>
                </c:pt>
                <c:pt idx="7">
                  <c:v>5.0331461391000003</c:v>
                </c:pt>
                <c:pt idx="8">
                  <c:v>5.0365313515999999</c:v>
                </c:pt>
                <c:pt idx="9">
                  <c:v>5.0891155537000001</c:v>
                </c:pt>
                <c:pt idx="10">
                  <c:v>5.2928288765999998</c:v>
                </c:pt>
                <c:pt idx="11">
                  <c:v>5.3444944544000004</c:v>
                </c:pt>
                <c:pt idx="12">
                  <c:v>5.3482353090999997</c:v>
                </c:pt>
                <c:pt idx="13">
                  <c:v>5.6011618289999996</c:v>
                </c:pt>
                <c:pt idx="14">
                  <c:v>5.7496987917000002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6BD-496E-AE78-A05968A77FD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0722920"/>
        <c:axId val="510725872"/>
      </c:barChart>
      <c:catAx>
        <c:axId val="510722920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25872"/>
        <c:crosses val="autoZero"/>
        <c:auto val="1"/>
        <c:lblAlgn val="ctr"/>
        <c:lblOffset val="100"/>
        <c:noMultiLvlLbl val="0"/>
      </c:catAx>
      <c:valAx>
        <c:axId val="510725872"/>
        <c:scaling>
          <c:orientation val="minMax"/>
          <c:max val="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%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0722920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doughnutChart>
        <c:varyColors val="1"/>
        <c:ser>
          <c:idx val="0"/>
          <c:order val="0"/>
          <c:dPt>
            <c:idx val="0"/>
            <c:bubble3D val="0"/>
            <c:spPr>
              <a:solidFill>
                <a:srgbClr val="4E201E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1BB-4A1F-8031-2D722CF10E64}"/>
              </c:ext>
            </c:extLst>
          </c:dPt>
          <c:dPt>
            <c:idx val="1"/>
            <c:bubble3D val="0"/>
            <c:spPr>
              <a:solidFill>
                <a:srgbClr val="722F2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A1BB-4A1F-8031-2D722CF10E64}"/>
              </c:ext>
            </c:extLst>
          </c:dPt>
          <c:dPt>
            <c:idx val="2"/>
            <c:bubble3D val="0"/>
            <c:spPr>
              <a:solidFill>
                <a:srgbClr val="9A403C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A1BB-4A1F-8031-2D722CF10E64}"/>
              </c:ext>
            </c:extLst>
          </c:dPt>
          <c:dPt>
            <c:idx val="3"/>
            <c:bubble3D val="0"/>
            <c:spPr>
              <a:solidFill>
                <a:srgbClr val="C3696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7-A1BB-4A1F-8031-2D722CF10E64}"/>
              </c:ext>
            </c:extLst>
          </c:dPt>
          <c:dPt>
            <c:idx val="4"/>
            <c:bubble3D val="0"/>
            <c:spPr>
              <a:solidFill>
                <a:srgbClr val="F07373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9-A1BB-4A1F-8031-2D722CF10E64}"/>
              </c:ext>
            </c:extLst>
          </c:dPt>
          <c:dPt>
            <c:idx val="5"/>
            <c:bubble3D val="0"/>
            <c:spPr>
              <a:solidFill>
                <a:srgbClr val="D79895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B-A1BB-4A1F-8031-2D722CF10E64}"/>
              </c:ext>
            </c:extLst>
          </c:dPt>
          <c:dPt>
            <c:idx val="6"/>
            <c:bubble3D val="0"/>
            <c:spPr>
              <a:solidFill>
                <a:srgbClr val="FA969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D-A1BB-4A1F-8031-2D722CF10E64}"/>
              </c:ext>
            </c:extLst>
          </c:dPt>
          <c:dPt>
            <c:idx val="7"/>
            <c:bubble3D val="0"/>
            <c:spPr>
              <a:solidFill>
                <a:srgbClr val="E2B6B4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F-A1BB-4A1F-8031-2D722CF10E64}"/>
              </c:ext>
            </c:extLst>
          </c:dPt>
          <c:dPt>
            <c:idx val="8"/>
            <c:bubble3D val="0"/>
            <c:spPr>
              <a:solidFill>
                <a:srgbClr val="EBCDCB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1-A1BB-4A1F-8031-2D722CF10E64}"/>
              </c:ext>
            </c:extLst>
          </c:dPt>
          <c:dPt>
            <c:idx val="9"/>
            <c:bubble3D val="0"/>
            <c:spPr>
              <a:solidFill>
                <a:srgbClr val="F6E7E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3-A1BB-4A1F-8031-2D722CF10E64}"/>
              </c:ext>
            </c:extLst>
          </c:dPt>
          <c:dPt>
            <c:idx val="10"/>
            <c:bubble3D val="0"/>
            <c:spPr>
              <a:solidFill>
                <a:srgbClr val="D9D9D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5-A1BB-4A1F-8031-2D722CF10E64}"/>
              </c:ext>
            </c:extLst>
          </c:dPt>
          <c:dPt>
            <c:idx val="11"/>
            <c:bubble3D val="0"/>
            <c:spPr>
              <a:solidFill>
                <a:srgbClr val="D9D9D9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7-A1BB-4A1F-8031-2D722CF10E64}"/>
              </c:ext>
            </c:extLst>
          </c:dPt>
          <c:dPt>
            <c:idx val="12"/>
            <c:bubble3D val="0"/>
            <c:spPr>
              <a:solidFill>
                <a:srgbClr val="909090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18-6677-4AD1-9416-2C6F41482704}"/>
              </c:ext>
            </c:extLst>
          </c:dPt>
          <c:dLbls>
            <c:dLbl>
              <c:idx val="0"/>
              <c:layout>
                <c:manualLayout>
                  <c:x val="0.16286644951140064"/>
                  <c:y val="-0.12914485165794065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A1BB-4A1F-8031-2D722CF10E64}"/>
                </c:ext>
              </c:extLst>
            </c:dLbl>
            <c:dLbl>
              <c:idx val="1"/>
              <c:layout>
                <c:manualLayout>
                  <c:x val="-3.093531148981964E-2"/>
                  <c:y val="-6.3922090167683493E-2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270213875847679"/>
                      <c:h val="0.15510277033065237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A1BB-4A1F-8031-2D722CF10E64}"/>
                </c:ext>
              </c:extLst>
            </c:dLbl>
            <c:dLbl>
              <c:idx val="2"/>
              <c:layout>
                <c:manualLayout>
                  <c:x val="0.14332247557003258"/>
                  <c:y val="1.7452006980802792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A1BB-4A1F-8031-2D722CF10E64}"/>
                </c:ext>
              </c:extLst>
            </c:dLbl>
            <c:dLbl>
              <c:idx val="3"/>
              <c:layout>
                <c:manualLayout>
                  <c:x val="9.8059714366690004E-2"/>
                  <c:y val="0.1254018984892303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7-A1BB-4A1F-8031-2D722CF10E64}"/>
                </c:ext>
              </c:extLst>
            </c:dLbl>
            <c:dLbl>
              <c:idx val="4"/>
              <c:layout>
                <c:manualLayout>
                  <c:x val="-1.737242128121607E-2"/>
                  <c:y val="-0.14659685863874344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9-A1BB-4A1F-8031-2D722CF10E64}"/>
                </c:ext>
              </c:extLst>
            </c:dLbl>
            <c:dLbl>
              <c:idx val="5"/>
              <c:layout>
                <c:manualLayout>
                  <c:x val="4.683006173524084E-3"/>
                  <c:y val="0.1472706930400455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B-A1BB-4A1F-8031-2D722CF10E64}"/>
                </c:ext>
              </c:extLst>
            </c:dLbl>
            <c:dLbl>
              <c:idx val="6"/>
              <c:layout>
                <c:manualLayout>
                  <c:x val="-6.5146579804560263E-3"/>
                  <c:y val="2.0942408376963224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D-A1BB-4A1F-8031-2D722CF10E64}"/>
                </c:ext>
              </c:extLst>
            </c:dLbl>
            <c:dLbl>
              <c:idx val="8"/>
              <c:layout>
                <c:manualLayout>
                  <c:x val="-2.0865936358894104E-3"/>
                  <c:y val="1.787310098302055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1-A1BB-4A1F-8031-2D722CF10E64}"/>
                </c:ext>
              </c:extLst>
            </c:dLbl>
            <c:dLbl>
              <c:idx val="9"/>
              <c:layout>
                <c:manualLayout>
                  <c:x val="-7.600434310532031E-2"/>
                  <c:y val="-0.10820244328097731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3-A1BB-4A1F-8031-2D722CF10E64}"/>
                </c:ext>
              </c:extLst>
            </c:dLbl>
            <c:dLbl>
              <c:idx val="10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A1BB-4A1F-8031-2D722CF10E64}"/>
                </c:ext>
              </c:extLst>
            </c:dLbl>
            <c:dLbl>
              <c:idx val="11"/>
              <c:layout>
                <c:manualLayout>
                  <c:x val="2.1715360697282964E-3"/>
                  <c:y val="-3.2377333530359646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7-A1BB-4A1F-8031-2D722CF10E64}"/>
                </c:ext>
              </c:extLst>
            </c:dLbl>
            <c:dLbl>
              <c:idx val="12"/>
              <c:layout>
                <c:manualLayout>
                  <c:x val="2.0865936358894104E-3"/>
                  <c:y val="-0.13226094727435209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18-6677-4AD1-9416-2C6F41482704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>
                <c15:layout/>
              </c:ext>
            </c:extLst>
          </c:dLbls>
          <c:cat>
            <c:strRef>
              <c:f>'G3.2'!$A$3:$A$15</c:f>
              <c:strCache>
                <c:ptCount val="13"/>
                <c:pt idx="0">
                  <c:v>nemoci duševní</c:v>
                </c:pt>
                <c:pt idx="1">
                  <c:v>nemoci dýchací soustavy</c:v>
                </c:pt>
                <c:pt idx="2">
                  <c:v>nemoci kůže</c:v>
                </c:pt>
                <c:pt idx="3">
                  <c:v>nemoci močové 
a pohlavní soustavy</c:v>
                </c:pt>
                <c:pt idx="4">
                  <c:v>nemoci nervové soustavy</c:v>
                </c:pt>
                <c:pt idx="5">
                  <c:v>nemoci oběhové soustavy</c:v>
                </c:pt>
                <c:pt idx="6">
                  <c:v>nemoci ostatní</c:v>
                </c:pt>
                <c:pt idx="7">
                  <c:v>nemoci pohybové soustavy</c:v>
                </c:pt>
                <c:pt idx="8">
                  <c:v>nemoci trávicí 
soustavy</c:v>
                </c:pt>
                <c:pt idx="9">
                  <c:v>těhotenství, porod, šestinedělí</c:v>
                </c:pt>
                <c:pt idx="10">
                  <c:v>tuberkulóza</c:v>
                </c:pt>
                <c:pt idx="11">
                  <c:v>úrazy, otravy</c:v>
                </c:pt>
                <c:pt idx="12">
                  <c:v>zhoubné novotvary</c:v>
                </c:pt>
              </c:strCache>
            </c:strRef>
          </c:cat>
          <c:val>
            <c:numRef>
              <c:f>'G3.2'!$B$3:$B$15</c:f>
              <c:numCache>
                <c:formatCode>#,##0</c:formatCode>
                <c:ptCount val="13"/>
                <c:pt idx="0">
                  <c:v>47732</c:v>
                </c:pt>
                <c:pt idx="1">
                  <c:v>673274</c:v>
                </c:pt>
                <c:pt idx="2">
                  <c:v>30928</c:v>
                </c:pt>
                <c:pt idx="3">
                  <c:v>75720</c:v>
                </c:pt>
                <c:pt idx="4">
                  <c:v>28196</c:v>
                </c:pt>
                <c:pt idx="5">
                  <c:v>51461</c:v>
                </c:pt>
                <c:pt idx="6">
                  <c:v>183826</c:v>
                </c:pt>
                <c:pt idx="7">
                  <c:v>359083</c:v>
                </c:pt>
                <c:pt idx="8">
                  <c:v>134272</c:v>
                </c:pt>
                <c:pt idx="9">
                  <c:v>34420</c:v>
                </c:pt>
                <c:pt idx="10" formatCode="General">
                  <c:v>113</c:v>
                </c:pt>
                <c:pt idx="11">
                  <c:v>198881</c:v>
                </c:pt>
                <c:pt idx="12">
                  <c:v>14505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8-A1BB-4A1F-8031-2D722CF10E6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výdaje!$Q$8</c:f>
              <c:strCache>
                <c:ptCount val="1"/>
                <c:pt idx="0">
                  <c:v> nemocenské 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numFmt formatCode="#,##0.0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výdaje!$R$7:$AD$7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výdaje!$R$8:$AD$8</c:f>
              <c:numCache>
                <c:formatCode>General</c:formatCode>
                <c:ptCount val="11"/>
                <c:pt idx="0">
                  <c:v>18.215</c:v>
                </c:pt>
                <c:pt idx="1">
                  <c:v>14.944000000000001</c:v>
                </c:pt>
                <c:pt idx="2">
                  <c:v>13.353999999999999</c:v>
                </c:pt>
                <c:pt idx="3">
                  <c:v>11.465</c:v>
                </c:pt>
                <c:pt idx="4">
                  <c:v>12.035</c:v>
                </c:pt>
                <c:pt idx="5">
                  <c:v>13.881</c:v>
                </c:pt>
                <c:pt idx="6">
                  <c:v>15.428000000000001</c:v>
                </c:pt>
                <c:pt idx="7">
                  <c:v>16.984999999999999</c:v>
                </c:pt>
                <c:pt idx="8">
                  <c:v>18.29</c:v>
                </c:pt>
                <c:pt idx="9">
                  <c:v>22.68</c:v>
                </c:pt>
                <c:pt idx="10" formatCode="0.00">
                  <c:v>26.669625022889999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CAD-4BD4-AC29-677BB996B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4"/>
        <c:overlap val="-72"/>
        <c:axId val="646754168"/>
        <c:axId val="642865776"/>
      </c:barChart>
      <c:lineChart>
        <c:grouping val="standard"/>
        <c:varyColors val="0"/>
        <c:ser>
          <c:idx val="1"/>
          <c:order val="1"/>
          <c:tx>
            <c:strRef>
              <c:f>výdaje!$Q$9</c:f>
              <c:strCache>
                <c:ptCount val="1"/>
                <c:pt idx="0">
                  <c:v> průměrné procento DPN</c:v>
                </c:pt>
              </c:strCache>
            </c:strRef>
          </c:tx>
          <c:spPr>
            <a:ln w="28575" cap="rnd">
              <a:solidFill>
                <a:srgbClr val="632827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32827"/>
              </a:solidFill>
              <a:ln w="9525">
                <a:solidFill>
                  <a:srgbClr val="632827"/>
                </a:solidFill>
              </a:ln>
              <a:effectLst/>
            </c:spPr>
          </c:marker>
          <c:dLbls>
            <c:dLbl>
              <c:idx val="10"/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t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CAD-4BD4-AC29-677BB996B013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výdaje!$R$7:$AD$7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výdaje!$R$9:$AD$9</c:f>
              <c:numCache>
                <c:formatCode>General</c:formatCode>
                <c:ptCount val="11"/>
                <c:pt idx="0">
                  <c:v>4.1840000000000002E-2</c:v>
                </c:pt>
                <c:pt idx="1">
                  <c:v>3.7629999999999997E-2</c:v>
                </c:pt>
                <c:pt idx="2">
                  <c:v>3.6379999999999996E-2</c:v>
                </c:pt>
                <c:pt idx="3">
                  <c:v>3.4520000000000002E-2</c:v>
                </c:pt>
                <c:pt idx="4">
                  <c:v>3.6150000000000002E-2</c:v>
                </c:pt>
                <c:pt idx="5">
                  <c:v>3.6970000000000003E-2</c:v>
                </c:pt>
                <c:pt idx="6">
                  <c:v>4.0620000000000003E-2</c:v>
                </c:pt>
                <c:pt idx="7">
                  <c:v>4.1989157572000002E-2</c:v>
                </c:pt>
                <c:pt idx="8">
                  <c:v>4.2620680985000006E-2</c:v>
                </c:pt>
                <c:pt idx="9">
                  <c:v>4.4665660407999998E-2</c:v>
                </c:pt>
                <c:pt idx="10" formatCode="0.000000">
                  <c:v>4.7007035417E-2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0CAD-4BD4-AC29-677BB996B0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41305952"/>
        <c:axId val="643862328"/>
      </c:lineChart>
      <c:catAx>
        <c:axId val="6467541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42865776"/>
        <c:crosses val="autoZero"/>
        <c:auto val="1"/>
        <c:lblAlgn val="ctr"/>
        <c:lblOffset val="100"/>
        <c:noMultiLvlLbl val="0"/>
      </c:catAx>
      <c:valAx>
        <c:axId val="64286577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cs-CZ"/>
                  <a:t>m</a:t>
                </a:r>
                <a:r>
                  <a:rPr lang="en-US"/>
                  <a:t>ld. Kč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46754168"/>
        <c:crosses val="autoZero"/>
        <c:crossBetween val="between"/>
      </c:valAx>
      <c:valAx>
        <c:axId val="643862328"/>
        <c:scaling>
          <c:orientation val="minMax"/>
          <c:max val="6.0000000000000012E-2"/>
        </c:scaling>
        <c:delete val="0"/>
        <c:axPos val="r"/>
        <c:numFmt formatCode="0\ %" sourceLinked="0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41305952"/>
        <c:crosses val="max"/>
        <c:crossBetween val="between"/>
      </c:valAx>
      <c:catAx>
        <c:axId val="64130595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6438623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6151097498723837E-2"/>
          <c:w val="0.74712241199076479"/>
          <c:h val="0.84042034944713073"/>
        </c:manualLayout>
      </c:layout>
      <c:barChart>
        <c:barDir val="col"/>
        <c:grouping val="percentStacked"/>
        <c:varyColors val="0"/>
        <c:ser>
          <c:idx val="3"/>
          <c:order val="0"/>
          <c:tx>
            <c:strRef>
              <c:f>'G1.1'!$F$25</c:f>
              <c:strCache>
                <c:ptCount val="1"/>
                <c:pt idx="0">
                  <c:v> 250 a více zaměstnanců</c:v>
                </c:pt>
              </c:strCache>
            </c:strRef>
          </c:tx>
          <c:spPr>
            <a:solidFill>
              <a:srgbClr val="EBCDCB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'G1.1'!$G$24:$I$24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'G1.1'!$G$25:$I$25</c:f>
              <c:numCache>
                <c:formatCode>0.0%</c:formatCode>
                <c:ptCount val="3"/>
                <c:pt idx="0">
                  <c:v>0.37722726673170093</c:v>
                </c:pt>
                <c:pt idx="1">
                  <c:v>0.41574737956975016</c:v>
                </c:pt>
                <c:pt idx="2">
                  <c:v>0.42594070565235909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691-453F-A709-E505C09FAACD}"/>
            </c:ext>
          </c:extLst>
        </c:ser>
        <c:ser>
          <c:idx val="2"/>
          <c:order val="1"/>
          <c:tx>
            <c:strRef>
              <c:f>'G1.1'!$F$26</c:f>
              <c:strCache>
                <c:ptCount val="1"/>
                <c:pt idx="0">
                  <c:v> 50–249 zaměstnanců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'G1.1'!$G$24:$I$24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'G1.1'!$G$26:$I$26</c:f>
              <c:numCache>
                <c:formatCode>0.0%</c:formatCode>
                <c:ptCount val="3"/>
                <c:pt idx="0">
                  <c:v>0.24826298881837625</c:v>
                </c:pt>
                <c:pt idx="1">
                  <c:v>0.23395736210357529</c:v>
                </c:pt>
                <c:pt idx="2">
                  <c:v>0.2364570757866582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9691-453F-A709-E505C09FAACD}"/>
            </c:ext>
          </c:extLst>
        </c:ser>
        <c:ser>
          <c:idx val="1"/>
          <c:order val="2"/>
          <c:tx>
            <c:strRef>
              <c:f>'G1.1'!$F$27</c:f>
              <c:strCache>
                <c:ptCount val="1"/>
                <c:pt idx="0">
                  <c:v> 1–49 zaměstnanců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dLbls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'G1.1'!$G$24:$I$24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'G1.1'!$G$27:$I$27</c:f>
              <c:numCache>
                <c:formatCode>0.0%</c:formatCode>
                <c:ptCount val="3"/>
                <c:pt idx="0">
                  <c:v>0.33362394222243852</c:v>
                </c:pt>
                <c:pt idx="1">
                  <c:v>0.32661522915141988</c:v>
                </c:pt>
                <c:pt idx="2">
                  <c:v>0.31765235861499824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691-453F-A709-E505C09FAACD}"/>
            </c:ext>
          </c:extLst>
        </c:ser>
        <c:ser>
          <c:idx val="0"/>
          <c:order val="3"/>
          <c:tx>
            <c:strRef>
              <c:f>'G1.1'!$F$28</c:f>
              <c:strCache>
                <c:ptCount val="1"/>
                <c:pt idx="0">
                  <c:v> OSVČ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1461167640577891E-2"/>
                  <c:y val="-4.8494129657988772E-2"/>
                </c:manualLayout>
              </c:layout>
              <c:numFmt formatCode="0.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317856041633764"/>
                      <c:h val="4.6937413833990506E-2"/>
                    </c:manualLayout>
                  </c15:layout>
                </c:ext>
                <c:ext xmlns:c16="http://schemas.microsoft.com/office/drawing/2014/chart" uri="{C3380CC4-5D6E-409C-BE32-E72D297353CC}">
                  <c16:uniqueId val="{00000003-9691-453F-A709-E505C09FAACD}"/>
                </c:ext>
              </c:extLst>
            </c:dLbl>
            <c:dLbl>
              <c:idx val="1"/>
              <c:layout>
                <c:manualLayout>
                  <c:x val="0"/>
                  <c:y val="-3.0627871362940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4-9691-453F-A709-E505C09FAACD}"/>
                </c:ext>
              </c:extLst>
            </c:dLbl>
            <c:dLbl>
              <c:idx val="2"/>
              <c:layout>
                <c:manualLayout>
                  <c:x val="0"/>
                  <c:y val="-3.0627871362940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9691-453F-A709-E505C09FAACD}"/>
                </c:ext>
              </c:extLst>
            </c:dLbl>
            <c:numFmt formatCode="0.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'G1.1'!$G$24:$I$24</c:f>
              <c:numCache>
                <c:formatCode>General</c:formatCode>
                <c:ptCount val="3"/>
                <c:pt idx="0">
                  <c:v>2009</c:v>
                </c:pt>
                <c:pt idx="1">
                  <c:v>2014</c:v>
                </c:pt>
                <c:pt idx="2">
                  <c:v>2019</c:v>
                </c:pt>
              </c:numCache>
            </c:numRef>
          </c:cat>
          <c:val>
            <c:numRef>
              <c:f>'G1.1'!$G$28:$I$28</c:f>
              <c:numCache>
                <c:formatCode>0.0%</c:formatCode>
                <c:ptCount val="3"/>
                <c:pt idx="0">
                  <c:v>4.0885802227484218E-2</c:v>
                </c:pt>
                <c:pt idx="1">
                  <c:v>2.3680029175254708E-2</c:v>
                </c:pt>
                <c:pt idx="2">
                  <c:v>1.994985994598461E-2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9691-453F-A709-E505C09FAA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20"/>
        <c:overlap val="100"/>
        <c:axId val="550306600"/>
        <c:axId val="550299056"/>
      </c:barChart>
      <c:catAx>
        <c:axId val="55030660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50299056"/>
        <c:crosses val="autoZero"/>
        <c:auto val="1"/>
        <c:lblAlgn val="ctr"/>
        <c:lblOffset val="100"/>
        <c:noMultiLvlLbl val="0"/>
      </c:catAx>
      <c:valAx>
        <c:axId val="550299056"/>
        <c:scaling>
          <c:orientation val="minMax"/>
        </c:scaling>
        <c:delete val="1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crossAx val="55030660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74969681575726788"/>
          <c:y val="0.2361348590997335"/>
          <c:w val="0.24609738187158739"/>
          <c:h val="0.645137122025137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1"/>
          <c:order val="1"/>
          <c:tx>
            <c:strRef>
              <c:f>'G5.1'!$C$4</c:f>
              <c:strCache>
                <c:ptCount val="1"/>
                <c:pt idx="0">
                  <c:v> muži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cat>
            <c:numRef>
              <c:f>'G5.1'!$A$5:$A$15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'G5.1'!$C$5:$C$15</c:f>
              <c:numCache>
                <c:formatCode>General</c:formatCode>
                <c:ptCount val="11"/>
                <c:pt idx="0">
                  <c:v>1555.9909208871964</c:v>
                </c:pt>
                <c:pt idx="1">
                  <c:v>1587.1737028681921</c:v>
                </c:pt>
                <c:pt idx="2">
                  <c:v>1505.993672350256</c:v>
                </c:pt>
                <c:pt idx="3">
                  <c:v>1359.6356655065706</c:v>
                </c:pt>
                <c:pt idx="4">
                  <c:v>1325.0414476326634</c:v>
                </c:pt>
                <c:pt idx="5">
                  <c:v>1372.173752359331</c:v>
                </c:pt>
                <c:pt idx="6">
                  <c:v>1373.3670257323856</c:v>
                </c:pt>
                <c:pt idx="7">
                  <c:v>1378.6665387508742</c:v>
                </c:pt>
                <c:pt idx="8">
                  <c:v>1355.2518700976673</c:v>
                </c:pt>
                <c:pt idx="9">
                  <c:v>1294.0989767393464</c:v>
                </c:pt>
                <c:pt idx="10">
                  <c:v>1243.7952127639396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260-44B1-8634-504BA5471956}"/>
            </c:ext>
          </c:extLst>
        </c:ser>
        <c:ser>
          <c:idx val="2"/>
          <c:order val="2"/>
          <c:tx>
            <c:strRef>
              <c:f>'G5.1'!$D$4</c:f>
              <c:strCache>
                <c:ptCount val="1"/>
                <c:pt idx="0">
                  <c:v> ženy</c:v>
                </c:pt>
              </c:strCache>
            </c:strRef>
          </c:tx>
          <c:spPr>
            <a:solidFill>
              <a:srgbClr val="C46A68"/>
            </a:solidFill>
            <a:ln>
              <a:solidFill>
                <a:srgbClr val="C46A68"/>
              </a:solidFill>
            </a:ln>
            <a:effectLst/>
          </c:spPr>
          <c:invertIfNegative val="0"/>
          <c:cat>
            <c:numRef>
              <c:f>'G5.1'!$A$5:$A$15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'G5.1'!$D$5:$D$15</c:f>
              <c:numCache>
                <c:formatCode>General</c:formatCode>
                <c:ptCount val="11"/>
                <c:pt idx="0">
                  <c:v>683.75433382862809</c:v>
                </c:pt>
                <c:pt idx="1">
                  <c:v>702.37865947611704</c:v>
                </c:pt>
                <c:pt idx="2">
                  <c:v>636.29313687475769</c:v>
                </c:pt>
                <c:pt idx="3">
                  <c:v>571.7497029175031</c:v>
                </c:pt>
                <c:pt idx="4">
                  <c:v>568.90076443746273</c:v>
                </c:pt>
                <c:pt idx="5">
                  <c:v>598.4482241654789</c:v>
                </c:pt>
                <c:pt idx="6">
                  <c:v>635.43511275243941</c:v>
                </c:pt>
                <c:pt idx="7">
                  <c:v>651.45580665256648</c:v>
                </c:pt>
                <c:pt idx="8">
                  <c:v>640.8067102346364</c:v>
                </c:pt>
                <c:pt idx="9">
                  <c:v>628.65610667766714</c:v>
                </c:pt>
                <c:pt idx="10">
                  <c:v>608.85567093888449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2260-44B1-8634-504BA5471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682949896"/>
        <c:axId val="682947272"/>
      </c:barChart>
      <c:lineChart>
        <c:grouping val="stacked"/>
        <c:varyColors val="0"/>
        <c:ser>
          <c:idx val="0"/>
          <c:order val="0"/>
          <c:tx>
            <c:strRef>
              <c:f>'G5.1'!$B$4</c:f>
              <c:strCache>
                <c:ptCount val="1"/>
                <c:pt idx="0">
                  <c:v> celkem</c:v>
                </c:pt>
              </c:strCache>
            </c:strRef>
          </c:tx>
          <c:spPr>
            <a:ln w="28575" cap="rnd">
              <a:solidFill>
                <a:srgbClr val="B4494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B44946"/>
              </a:solidFill>
              <a:ln w="9525">
                <a:solidFill>
                  <a:srgbClr val="B44946"/>
                </a:solidFill>
              </a:ln>
              <a:effectLst/>
            </c:spPr>
          </c:marker>
          <c:cat>
            <c:numRef>
              <c:f>'G5.1'!$A$5:$A$15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'G5.1'!$B$5:$B$15</c:f>
              <c:numCache>
                <c:formatCode>General</c:formatCode>
                <c:ptCount val="11"/>
                <c:pt idx="0">
                  <c:v>1141.9330522703349</c:v>
                </c:pt>
                <c:pt idx="1">
                  <c:v>1160.9247128249856</c:v>
                </c:pt>
                <c:pt idx="2">
                  <c:v>1079.9351972397806</c:v>
                </c:pt>
                <c:pt idx="3">
                  <c:v>973.70484821962259</c:v>
                </c:pt>
                <c:pt idx="4">
                  <c:v>953.87140493738525</c:v>
                </c:pt>
                <c:pt idx="5">
                  <c:v>992.39324229058911</c:v>
                </c:pt>
                <c:pt idx="6">
                  <c:v>1012.2229156237019</c:v>
                </c:pt>
                <c:pt idx="7">
                  <c:v>1021.8745560010099</c:v>
                </c:pt>
                <c:pt idx="8">
                  <c:v>1003.2481328292729</c:v>
                </c:pt>
                <c:pt idx="9">
                  <c:v>964.89615656043009</c:v>
                </c:pt>
                <c:pt idx="10">
                  <c:v>928.79837124568758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2260-44B1-8634-504BA547195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82949896"/>
        <c:axId val="682947272"/>
      </c:lineChart>
      <c:catAx>
        <c:axId val="68294989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82947272"/>
        <c:crosses val="autoZero"/>
        <c:auto val="1"/>
        <c:lblAlgn val="ctr"/>
        <c:lblOffset val="100"/>
        <c:noMultiLvlLbl val="0"/>
      </c:catAx>
      <c:valAx>
        <c:axId val="682947272"/>
        <c:scaling>
          <c:orientation val="minMax"/>
          <c:max val="16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8294989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699294124182192"/>
          <c:y val="4.0116703136396793E-2"/>
          <c:w val="0.45940809686370904"/>
          <c:h val="0.88598959320456938"/>
        </c:manualLayout>
      </c:layout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3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21D7-44CD-8C3B-70C312127A42}"/>
              </c:ext>
            </c:extLst>
          </c:dPt>
          <c:cat>
            <c:strRef>
              <c:f>'G5.2'!$J$8:$J$27</c:f>
              <c:strCache>
                <c:ptCount val="20"/>
                <c:pt idx="0">
                  <c:v>J – Informační a komunikační činnosti</c:v>
                </c:pt>
                <c:pt idx="1">
                  <c:v>K – Peněžnictví a pojišťovnictví</c:v>
                </c:pt>
                <c:pt idx="2">
                  <c:v>M – Profesní, vědecké a technické činnosti</c:v>
                </c:pt>
                <c:pt idx="3">
                  <c:v>L – Činnosti v oblasti nemovitostí</c:v>
                </c:pt>
                <c:pt idx="4">
                  <c:v>S – Ostatní činnosti</c:v>
                </c:pt>
                <c:pt idx="5">
                  <c:v>P – Vzdělávání</c:v>
                </c:pt>
                <c:pt idx="6">
                  <c:v>O – Veřejná správa a obrana; povinné sociální zabezpečení</c:v>
                </c:pt>
                <c:pt idx="7">
                  <c:v>D – Výroba a rozvod elektřiny, plynu, tepla a klimatiz. vzduchu</c:v>
                </c:pt>
                <c:pt idx="8">
                  <c:v>R – Kulturní, zábavní a rekreační činnosti</c:v>
                </c:pt>
                <c:pt idx="9">
                  <c:v>Q – Zdravotní a sociální péče</c:v>
                </c:pt>
                <c:pt idx="10">
                  <c:v>I – Ubytování, stravování a pohostinství</c:v>
                </c:pt>
                <c:pt idx="11">
                  <c:v>N – Administrativní a podpůrné činnosti</c:v>
                </c:pt>
                <c:pt idx="12">
                  <c:v>G – Velkoobchod a maloobchod; opravy a údržba motor. vozidel</c:v>
                </c:pt>
                <c:pt idx="13">
                  <c:v>CELKEM</c:v>
                </c:pt>
                <c:pt idx="14">
                  <c:v>F – Stavebnictví</c:v>
                </c:pt>
                <c:pt idx="15">
                  <c:v>C – Zpracovatelský průmysl</c:v>
                </c:pt>
                <c:pt idx="16">
                  <c:v>H – Doprava a skladování</c:v>
                </c:pt>
                <c:pt idx="17">
                  <c:v>B – Těžba a dobývání</c:v>
                </c:pt>
                <c:pt idx="18">
                  <c:v>E – Zásobování vodou; činnosti související s odpady a sanacemi</c:v>
                </c:pt>
                <c:pt idx="19">
                  <c:v>A – Zemědělství, lesnictví, rybářství</c:v>
                </c:pt>
              </c:strCache>
            </c:strRef>
          </c:cat>
          <c:val>
            <c:numRef>
              <c:f>'G5.2'!$K$8:$K$27</c:f>
              <c:numCache>
                <c:formatCode>General</c:formatCode>
                <c:ptCount val="20"/>
                <c:pt idx="0">
                  <c:v>91.29507351986301</c:v>
                </c:pt>
                <c:pt idx="1">
                  <c:v>99.215683451188241</c:v>
                </c:pt>
                <c:pt idx="2">
                  <c:v>210.09251130734501</c:v>
                </c:pt>
                <c:pt idx="3">
                  <c:v>295.7737004020708</c:v>
                </c:pt>
                <c:pt idx="4">
                  <c:v>334.72510303864556</c:v>
                </c:pt>
                <c:pt idx="5">
                  <c:v>385.29594111966702</c:v>
                </c:pt>
                <c:pt idx="6">
                  <c:v>409.9580408312226</c:v>
                </c:pt>
                <c:pt idx="7">
                  <c:v>417.83048424573087</c:v>
                </c:pt>
                <c:pt idx="8">
                  <c:v>471.28758558704118</c:v>
                </c:pt>
                <c:pt idx="9">
                  <c:v>590.6968559402552</c:v>
                </c:pt>
                <c:pt idx="10">
                  <c:v>674.44734486414393</c:v>
                </c:pt>
                <c:pt idx="11">
                  <c:v>823.51346739150154</c:v>
                </c:pt>
                <c:pt idx="12">
                  <c:v>840.80934190560401</c:v>
                </c:pt>
                <c:pt idx="13">
                  <c:v>928.79837124568758</c:v>
                </c:pt>
                <c:pt idx="14">
                  <c:v>1181.7880988201853</c:v>
                </c:pt>
                <c:pt idx="15">
                  <c:v>1462.6683354084664</c:v>
                </c:pt>
                <c:pt idx="16">
                  <c:v>1472.3459131550383</c:v>
                </c:pt>
                <c:pt idx="17">
                  <c:v>1589.0020852071816</c:v>
                </c:pt>
                <c:pt idx="18">
                  <c:v>1815.075359704997</c:v>
                </c:pt>
                <c:pt idx="19">
                  <c:v>2238.5821799794726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21D7-44CD-8C3B-70C312127A4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609982448"/>
        <c:axId val="609982776"/>
      </c:barChart>
      <c:catAx>
        <c:axId val="60998244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09982776"/>
        <c:crosses val="autoZero"/>
        <c:auto val="1"/>
        <c:lblAlgn val="ctr"/>
        <c:lblOffset val="100"/>
        <c:noMultiLvlLbl val="0"/>
      </c:catAx>
      <c:valAx>
        <c:axId val="6099827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609982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F0A1-4E22-9F38-4F0FAE436A9D}"/>
              </c:ext>
            </c:extLst>
          </c:dPt>
          <c:cat>
            <c:strRef>
              <c:f>'G5.3'!$J$7:$J$21</c:f>
              <c:strCache>
                <c:ptCount val="15"/>
                <c:pt idx="0">
                  <c:v>Hlavní město Praha</c:v>
                </c:pt>
                <c:pt idx="1">
                  <c:v>Jihomoravský kraj</c:v>
                </c:pt>
                <c:pt idx="2">
                  <c:v>Moravskoslezský kraj</c:v>
                </c:pt>
                <c:pt idx="3">
                  <c:v>ČR CELKEM</c:v>
                </c:pt>
                <c:pt idx="4">
                  <c:v>Středočeský kraj</c:v>
                </c:pt>
                <c:pt idx="5">
                  <c:v>Olomoucký kraj</c:v>
                </c:pt>
                <c:pt idx="6">
                  <c:v>Liberecký kraj</c:v>
                </c:pt>
                <c:pt idx="7">
                  <c:v>Zlínský kraj</c:v>
                </c:pt>
                <c:pt idx="8">
                  <c:v>Pardubický kraj</c:v>
                </c:pt>
                <c:pt idx="9">
                  <c:v>Karlovarský kraj</c:v>
                </c:pt>
                <c:pt idx="10">
                  <c:v>Královéhradecký kraj</c:v>
                </c:pt>
                <c:pt idx="11">
                  <c:v>Ústecký kraj</c:v>
                </c:pt>
                <c:pt idx="12">
                  <c:v>Plzeňský kraj</c:v>
                </c:pt>
                <c:pt idx="13">
                  <c:v>Jihočeský kraj</c:v>
                </c:pt>
                <c:pt idx="14">
                  <c:v>Kraj Vysočina</c:v>
                </c:pt>
              </c:strCache>
            </c:strRef>
          </c:cat>
          <c:val>
            <c:numRef>
              <c:f>'G5.3'!$K$7:$K$21</c:f>
              <c:numCache>
                <c:formatCode>General</c:formatCode>
                <c:ptCount val="15"/>
                <c:pt idx="0">
                  <c:v>543.59822336681088</c:v>
                </c:pt>
                <c:pt idx="1">
                  <c:v>846.13459554188057</c:v>
                </c:pt>
                <c:pt idx="2">
                  <c:v>921.8190201809881</c:v>
                </c:pt>
                <c:pt idx="3">
                  <c:v>928.79837124568758</c:v>
                </c:pt>
                <c:pt idx="4">
                  <c:v>944.65633667369013</c:v>
                </c:pt>
                <c:pt idx="5">
                  <c:v>978.78007227276942</c:v>
                </c:pt>
                <c:pt idx="6">
                  <c:v>1010.63809679787</c:v>
                </c:pt>
                <c:pt idx="7">
                  <c:v>1031.3984501042264</c:v>
                </c:pt>
                <c:pt idx="8">
                  <c:v>1103.5059030131486</c:v>
                </c:pt>
                <c:pt idx="9">
                  <c:v>1186.2100123467133</c:v>
                </c:pt>
                <c:pt idx="10">
                  <c:v>1214.9603555301571</c:v>
                </c:pt>
                <c:pt idx="11">
                  <c:v>1220.3632824764002</c:v>
                </c:pt>
                <c:pt idx="12">
                  <c:v>1299.2010321270709</c:v>
                </c:pt>
                <c:pt idx="13">
                  <c:v>1387.0934786540511</c:v>
                </c:pt>
                <c:pt idx="14">
                  <c:v>1414.2535949373141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0A1-4E22-9F38-4F0FAE436A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10601752"/>
        <c:axId val="710595520"/>
      </c:barChart>
      <c:catAx>
        <c:axId val="7106017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10595520"/>
        <c:crosses val="autoZero"/>
        <c:auto val="1"/>
        <c:lblAlgn val="ctr"/>
        <c:lblOffset val="100"/>
        <c:noMultiLvlLbl val="0"/>
      </c:catAx>
      <c:valAx>
        <c:axId val="710595520"/>
        <c:scaling>
          <c:orientation val="minMax"/>
          <c:max val="15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10601752"/>
        <c:crosses val="autoZero"/>
        <c:crossBetween val="between"/>
        <c:majorUnit val="3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79AC-444F-BF56-6D16C15EE923}"/>
              </c:ext>
            </c:extLst>
          </c:dPt>
          <c:dPt>
            <c:idx val="20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79AC-444F-BF56-6D16C15EE923}"/>
              </c:ext>
            </c:extLst>
          </c:dPt>
          <c:cat>
            <c:strRef>
              <c:f>'6.1'!$N$4:$N$32</c:f>
              <c:strCache>
                <c:ptCount val="29"/>
                <c:pt idx="0">
                  <c:v>Bulharsko</c:v>
                </c:pt>
                <c:pt idx="1">
                  <c:v>Rumunsko</c:v>
                </c:pt>
                <c:pt idx="2">
                  <c:v>Řecko</c:v>
                </c:pt>
                <c:pt idx="3">
                  <c:v>Lotyšsko</c:v>
                </c:pt>
                <c:pt idx="4">
                  <c:v>Litva</c:v>
                </c:pt>
                <c:pt idx="5">
                  <c:v>Polsko</c:v>
                </c:pt>
                <c:pt idx="6">
                  <c:v>Slovensko</c:v>
                </c:pt>
                <c:pt idx="7">
                  <c:v>Maďarsko</c:v>
                </c:pt>
                <c:pt idx="8">
                  <c:v>Kypr</c:v>
                </c:pt>
                <c:pt idx="9">
                  <c:v>Švédsko</c:v>
                </c:pt>
                <c:pt idx="10">
                  <c:v>Velká Británie</c:v>
                </c:pt>
                <c:pt idx="11">
                  <c:v>Česká republika</c:v>
                </c:pt>
                <c:pt idx="12">
                  <c:v>Chorvatsko</c:v>
                </c:pt>
                <c:pt idx="13">
                  <c:v>Estonsko</c:v>
                </c:pt>
                <c:pt idx="14">
                  <c:v>Malta</c:v>
                </c:pt>
                <c:pt idx="15">
                  <c:v>Irsko</c:v>
                </c:pt>
                <c:pt idx="16">
                  <c:v>Nizozemsko</c:v>
                </c:pt>
                <c:pt idx="17">
                  <c:v>Itálie</c:v>
                </c:pt>
                <c:pt idx="18">
                  <c:v>Dánsko</c:v>
                </c:pt>
                <c:pt idx="19">
                  <c:v>Slovinsko</c:v>
                </c:pt>
                <c:pt idx="20">
                  <c:v>EU28</c:v>
                </c:pt>
                <c:pt idx="21">
                  <c:v>Finsko</c:v>
                </c:pt>
                <c:pt idx="22">
                  <c:v>Belgie</c:v>
                </c:pt>
                <c:pt idx="23">
                  <c:v>Německo</c:v>
                </c:pt>
                <c:pt idx="24">
                  <c:v>Rakousko</c:v>
                </c:pt>
                <c:pt idx="25">
                  <c:v>Lucembursko</c:v>
                </c:pt>
                <c:pt idx="26">
                  <c:v>Španělsko</c:v>
                </c:pt>
                <c:pt idx="27">
                  <c:v>Francie</c:v>
                </c:pt>
                <c:pt idx="28">
                  <c:v>Portugalsko</c:v>
                </c:pt>
              </c:strCache>
            </c:strRef>
          </c:cat>
          <c:val>
            <c:numRef>
              <c:f>'6.1'!$O$4:$O$32</c:f>
              <c:numCache>
                <c:formatCode>#,##0.0</c:formatCode>
                <c:ptCount val="29"/>
                <c:pt idx="0" formatCode="#,##0">
                  <c:v>79</c:v>
                </c:pt>
                <c:pt idx="1">
                  <c:v>91.8</c:v>
                </c:pt>
                <c:pt idx="2" formatCode="#,##0.00">
                  <c:v>236.43</c:v>
                </c:pt>
                <c:pt idx="3" formatCode="#,##0.00">
                  <c:v>246.57</c:v>
                </c:pt>
                <c:pt idx="4" formatCode="#,##0.00">
                  <c:v>377.03</c:v>
                </c:pt>
                <c:pt idx="5" formatCode="#,##0.00">
                  <c:v>518.12</c:v>
                </c:pt>
                <c:pt idx="6" formatCode="#,##0.00">
                  <c:v>530.91</c:v>
                </c:pt>
                <c:pt idx="7" formatCode="#,##0.00">
                  <c:v>639.73</c:v>
                </c:pt>
                <c:pt idx="8" formatCode="#,##0.00">
                  <c:v>751.41</c:v>
                </c:pt>
                <c:pt idx="9" formatCode="#,##0.00">
                  <c:v>774.31</c:v>
                </c:pt>
                <c:pt idx="10" formatCode="#,##0.00">
                  <c:v>840.97</c:v>
                </c:pt>
                <c:pt idx="11" formatCode="#,##0.00">
                  <c:v>884.24</c:v>
                </c:pt>
                <c:pt idx="12" formatCode="#,##0.00">
                  <c:v>1044.22</c:v>
                </c:pt>
                <c:pt idx="13" formatCode="#,##0.00">
                  <c:v>1050.6400000000001</c:v>
                </c:pt>
                <c:pt idx="14" formatCode="#,##0.00">
                  <c:v>1057.53</c:v>
                </c:pt>
                <c:pt idx="15" formatCode="#,##0.00">
                  <c:v>1115.8499999999999</c:v>
                </c:pt>
                <c:pt idx="16" formatCode="#,##0.00">
                  <c:v>1451.65</c:v>
                </c:pt>
                <c:pt idx="17" formatCode="#,##0.00">
                  <c:v>1456.01</c:v>
                </c:pt>
                <c:pt idx="18" formatCode="#,##0.00">
                  <c:v>1614.36</c:v>
                </c:pt>
                <c:pt idx="19" formatCode="#,##0.00">
                  <c:v>1636.72</c:v>
                </c:pt>
                <c:pt idx="20" formatCode="#,##0.00">
                  <c:v>1666.34</c:v>
                </c:pt>
                <c:pt idx="21" formatCode="#,##0.00">
                  <c:v>1906.22</c:v>
                </c:pt>
                <c:pt idx="22" formatCode="#,##0.00">
                  <c:v>1946.31</c:v>
                </c:pt>
                <c:pt idx="23" formatCode="#,##0.00">
                  <c:v>2058.11</c:v>
                </c:pt>
                <c:pt idx="24" formatCode="#,##0.00">
                  <c:v>2072.62</c:v>
                </c:pt>
                <c:pt idx="25" formatCode="#,##0.00">
                  <c:v>2131.16</c:v>
                </c:pt>
                <c:pt idx="26" formatCode="#,##0.00">
                  <c:v>3267.67</c:v>
                </c:pt>
                <c:pt idx="27" formatCode="#,##0.00">
                  <c:v>3307.11</c:v>
                </c:pt>
                <c:pt idx="28" formatCode="#,##0.00">
                  <c:v>3563.37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9AC-444F-BF56-6D16C15EE92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95371728"/>
        <c:axId val="595365824"/>
      </c:barChart>
      <c:catAx>
        <c:axId val="595371728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5365824"/>
        <c:crosses val="autoZero"/>
        <c:auto val="1"/>
        <c:lblAlgn val="ctr"/>
        <c:lblOffset val="100"/>
        <c:noMultiLvlLbl val="0"/>
      </c:catAx>
      <c:valAx>
        <c:axId val="595365824"/>
        <c:scaling>
          <c:orientation val="minMax"/>
          <c:max val="360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5371728"/>
        <c:crosses val="autoZero"/>
        <c:crossBetween val="between"/>
        <c:majorUnit val="400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1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3EB5-439F-B060-6E592083C9EA}"/>
              </c:ext>
            </c:extLst>
          </c:dPt>
          <c:dPt>
            <c:idx val="12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3-3EB5-439F-B060-6E592083C9EA}"/>
              </c:ext>
            </c:extLst>
          </c:dPt>
          <c:cat>
            <c:strRef>
              <c:f>'6.2'!$N$3:$N$31</c:f>
              <c:strCache>
                <c:ptCount val="29"/>
                <c:pt idx="0">
                  <c:v>Malta</c:v>
                </c:pt>
                <c:pt idx="1">
                  <c:v>Nizozemsko</c:v>
                </c:pt>
                <c:pt idx="2">
                  <c:v>Kypr</c:v>
                </c:pt>
                <c:pt idx="3">
                  <c:v>Estonsko</c:v>
                </c:pt>
                <c:pt idx="4">
                  <c:v>Německo</c:v>
                </c:pt>
                <c:pt idx="5">
                  <c:v>Dánsko</c:v>
                </c:pt>
                <c:pt idx="6">
                  <c:v>Finsko</c:v>
                </c:pt>
                <c:pt idx="7">
                  <c:v>Velká Británie</c:v>
                </c:pt>
                <c:pt idx="8">
                  <c:v>Švédsko</c:v>
                </c:pt>
                <c:pt idx="9">
                  <c:v>Polsko</c:v>
                </c:pt>
                <c:pt idx="10">
                  <c:v>Řecko</c:v>
                </c:pt>
                <c:pt idx="11">
                  <c:v>Česká republika</c:v>
                </c:pt>
                <c:pt idx="12">
                  <c:v>EU28</c:v>
                </c:pt>
                <c:pt idx="13">
                  <c:v>Belgie</c:v>
                </c:pt>
                <c:pt idx="14">
                  <c:v>Itálie</c:v>
                </c:pt>
                <c:pt idx="15">
                  <c:v>Irsko</c:v>
                </c:pt>
                <c:pt idx="16">
                  <c:v>Lucembursko</c:v>
                </c:pt>
                <c:pt idx="17">
                  <c:v>Maďarsko</c:v>
                </c:pt>
                <c:pt idx="18">
                  <c:v>Slovinsko</c:v>
                </c:pt>
                <c:pt idx="19">
                  <c:v>Slovensko</c:v>
                </c:pt>
                <c:pt idx="20">
                  <c:v>Lotyšsko</c:v>
                </c:pt>
                <c:pt idx="21">
                  <c:v>Chorvatsko</c:v>
                </c:pt>
                <c:pt idx="22">
                  <c:v>Španělsko</c:v>
                </c:pt>
                <c:pt idx="23">
                  <c:v>Litva</c:v>
                </c:pt>
                <c:pt idx="24">
                  <c:v>Francie</c:v>
                </c:pt>
                <c:pt idx="25">
                  <c:v>Portugalsko</c:v>
                </c:pt>
                <c:pt idx="26">
                  <c:v>Rakousko</c:v>
                </c:pt>
                <c:pt idx="27">
                  <c:v>Bulharsko</c:v>
                </c:pt>
                <c:pt idx="28">
                  <c:v>Rumunsko</c:v>
                </c:pt>
              </c:strCache>
            </c:strRef>
          </c:cat>
          <c:val>
            <c:numRef>
              <c:f>'6.2'!$O$3:$O$31</c:f>
              <c:numCache>
                <c:formatCode>#,##0.00</c:formatCode>
                <c:ptCount val="29"/>
                <c:pt idx="0">
                  <c:v>0.56999999999999995</c:v>
                </c:pt>
                <c:pt idx="1">
                  <c:v>0.78</c:v>
                </c:pt>
                <c:pt idx="2">
                  <c:v>0.85</c:v>
                </c:pt>
                <c:pt idx="3">
                  <c:v>1.02</c:v>
                </c:pt>
                <c:pt idx="4">
                  <c:v>1.19</c:v>
                </c:pt>
                <c:pt idx="5">
                  <c:v>1.27</c:v>
                </c:pt>
                <c:pt idx="6">
                  <c:v>1.44</c:v>
                </c:pt>
                <c:pt idx="7">
                  <c:v>1.65</c:v>
                </c:pt>
                <c:pt idx="8" formatCode="#,##0.0">
                  <c:v>1.7</c:v>
                </c:pt>
                <c:pt idx="9">
                  <c:v>1.84</c:v>
                </c:pt>
                <c:pt idx="10">
                  <c:v>1.96</c:v>
                </c:pt>
                <c:pt idx="11" formatCode="#,##0.0">
                  <c:v>2.1</c:v>
                </c:pt>
                <c:pt idx="12">
                  <c:v>2.12</c:v>
                </c:pt>
                <c:pt idx="13">
                  <c:v>2.3199999999999998</c:v>
                </c:pt>
                <c:pt idx="14">
                  <c:v>2.4700000000000002</c:v>
                </c:pt>
                <c:pt idx="15">
                  <c:v>2.5299999999999998</c:v>
                </c:pt>
                <c:pt idx="16">
                  <c:v>2.59</c:v>
                </c:pt>
                <c:pt idx="17">
                  <c:v>2.63</c:v>
                </c:pt>
                <c:pt idx="18">
                  <c:v>2.76</c:v>
                </c:pt>
                <c:pt idx="19">
                  <c:v>2.78</c:v>
                </c:pt>
                <c:pt idx="20">
                  <c:v>2.79</c:v>
                </c:pt>
                <c:pt idx="21">
                  <c:v>2.81</c:v>
                </c:pt>
                <c:pt idx="22">
                  <c:v>2.89</c:v>
                </c:pt>
                <c:pt idx="23">
                  <c:v>3.47</c:v>
                </c:pt>
                <c:pt idx="24">
                  <c:v>3.58</c:v>
                </c:pt>
                <c:pt idx="25">
                  <c:v>3.86</c:v>
                </c:pt>
                <c:pt idx="26">
                  <c:v>4.1100000000000003</c:v>
                </c:pt>
                <c:pt idx="27" formatCode="#,##0.0">
                  <c:v>4.3</c:v>
                </c:pt>
                <c:pt idx="28">
                  <c:v>5.72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3EB5-439F-B060-6E592083C9E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736554952"/>
        <c:axId val="736552328"/>
      </c:barChart>
      <c:catAx>
        <c:axId val="736554952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36552328"/>
        <c:crosses val="autoZero"/>
        <c:auto val="1"/>
        <c:lblAlgn val="ctr"/>
        <c:lblOffset val="100"/>
        <c:noMultiLvlLbl val="0"/>
      </c:catAx>
      <c:valAx>
        <c:axId val="736552328"/>
        <c:scaling>
          <c:orientation val="minMax"/>
          <c:max val="6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.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736554952"/>
        <c:crosses val="autoZero"/>
        <c:crossBetween val="between"/>
        <c:majorUnit val="0.5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49184428033452338"/>
          <c:y val="3.7414965986394558E-2"/>
          <c:w val="0.46465153812295212"/>
          <c:h val="0.8084956344742620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NACE!$B$4</c:f>
              <c:strCache>
                <c:ptCount val="1"/>
                <c:pt idx="0">
                  <c:v> 2009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1.3560261489053E-3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0-F4E5-4B0F-920D-8F9B35638971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NACE!$A$5:$A$18</c:f>
              <c:strCache>
                <c:ptCount val="14"/>
                <c:pt idx="0">
                  <c:v>B – Těžba a dobývání</c:v>
                </c:pt>
                <c:pt idx="1">
                  <c:v>K – Peněžnictví a pojišťovnictví</c:v>
                </c:pt>
                <c:pt idx="2">
                  <c:v>A – Zemědělství, lesnictví, rybářství</c:v>
                </c:pt>
                <c:pt idx="3">
                  <c:v>J – Informační a komunikační činnosti</c:v>
                </c:pt>
                <c:pt idx="4">
                  <c:v>I – Ubytování, stravování a pohostinství</c:v>
                </c:pt>
                <c:pt idx="5">
                  <c:v>N – Administrativní a podpůrné činnosti</c:v>
                </c:pt>
                <c:pt idx="6">
                  <c:v>M – Profesní, vědecké a technické činnosti</c:v>
                </c:pt>
                <c:pt idx="7">
                  <c:v>F – Stavebnictví</c:v>
                </c:pt>
                <c:pt idx="8">
                  <c:v>O – Veřejná správa a obrana; povinné sociální zabezpečení</c:v>
                </c:pt>
                <c:pt idx="9">
                  <c:v>H – Doprava a skladování</c:v>
                </c:pt>
                <c:pt idx="10">
                  <c:v>Q – Zdravotní a sociální péče</c:v>
                </c:pt>
                <c:pt idx="11">
                  <c:v>P – Vzdělávání</c:v>
                </c:pt>
                <c:pt idx="12">
                  <c:v>G – Velkoobchod a maloobchod; opravy a údržba motor. vozidel</c:v>
                </c:pt>
                <c:pt idx="13">
                  <c:v>C – Zpracovatelský průmysl</c:v>
                </c:pt>
              </c:strCache>
            </c:strRef>
          </c:cat>
          <c:val>
            <c:numRef>
              <c:f>NACE!$B$5:$B$18</c:f>
              <c:numCache>
                <c:formatCode>#,##0</c:formatCode>
                <c:ptCount val="14"/>
                <c:pt idx="0">
                  <c:v>38.505000000000003</c:v>
                </c:pt>
                <c:pt idx="1">
                  <c:v>79.679000000000002</c:v>
                </c:pt>
                <c:pt idx="2">
                  <c:v>122.51</c:v>
                </c:pt>
                <c:pt idx="3">
                  <c:v>102.11499999999999</c:v>
                </c:pt>
                <c:pt idx="4">
                  <c:v>140.05500000000001</c:v>
                </c:pt>
                <c:pt idx="5">
                  <c:v>175.25200000000001</c:v>
                </c:pt>
                <c:pt idx="6">
                  <c:v>180.875</c:v>
                </c:pt>
                <c:pt idx="7">
                  <c:v>287.726</c:v>
                </c:pt>
                <c:pt idx="8">
                  <c:v>241.595</c:v>
                </c:pt>
                <c:pt idx="9">
                  <c:v>281.41300000000001</c:v>
                </c:pt>
                <c:pt idx="10">
                  <c:v>306.745</c:v>
                </c:pt>
                <c:pt idx="11">
                  <c:v>312.733</c:v>
                </c:pt>
                <c:pt idx="12">
                  <c:v>569.04300000000001</c:v>
                </c:pt>
                <c:pt idx="13">
                  <c:v>1134.4280000000001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1BF-4B78-80E1-DA94F4912680}"/>
            </c:ext>
          </c:extLst>
        </c:ser>
        <c:ser>
          <c:idx val="1"/>
          <c:order val="1"/>
          <c:tx>
            <c:strRef>
              <c:f>NACE!$C$4</c:f>
              <c:strCache>
                <c:ptCount val="1"/>
                <c:pt idx="0">
                  <c:v> 2019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dLbl>
              <c:idx val="0"/>
              <c:layout>
                <c:manualLayout>
                  <c:x val="-7.3836422621086171E-3"/>
                  <c:y val="-3.4013605442178118E-3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1-C1BF-4B78-80E1-DA94F4912680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NACE!$A$5:$A$18</c:f>
              <c:strCache>
                <c:ptCount val="14"/>
                <c:pt idx="0">
                  <c:v>B – Těžba a dobývání</c:v>
                </c:pt>
                <c:pt idx="1">
                  <c:v>K – Peněžnictví a pojišťovnictví</c:v>
                </c:pt>
                <c:pt idx="2">
                  <c:v>A – Zemědělství, lesnictví, rybářství</c:v>
                </c:pt>
                <c:pt idx="3">
                  <c:v>J – Informační a komunikační činnosti</c:v>
                </c:pt>
                <c:pt idx="4">
                  <c:v>I – Ubytování, stravování a pohostinství</c:v>
                </c:pt>
                <c:pt idx="5">
                  <c:v>N – Administrativní a podpůrné činnosti</c:v>
                </c:pt>
                <c:pt idx="6">
                  <c:v>M – Profesní, vědecké a technické činnosti</c:v>
                </c:pt>
                <c:pt idx="7">
                  <c:v>F – Stavebnictví</c:v>
                </c:pt>
                <c:pt idx="8">
                  <c:v>O – Veřejná správa a obrana; povinné sociální zabezpečení</c:v>
                </c:pt>
                <c:pt idx="9">
                  <c:v>H – Doprava a skladování</c:v>
                </c:pt>
                <c:pt idx="10">
                  <c:v>Q – Zdravotní a sociální péče</c:v>
                </c:pt>
                <c:pt idx="11">
                  <c:v>P – Vzdělávání</c:v>
                </c:pt>
                <c:pt idx="12">
                  <c:v>G – Velkoobchod a maloobchod; opravy a údržba motor. vozidel</c:v>
                </c:pt>
                <c:pt idx="13">
                  <c:v>C – Zpracovatelský průmysl</c:v>
                </c:pt>
              </c:strCache>
            </c:strRef>
          </c:cat>
          <c:val>
            <c:numRef>
              <c:f>NACE!$C$5:$C$18</c:f>
              <c:numCache>
                <c:formatCode>#,##0</c:formatCode>
                <c:ptCount val="14"/>
                <c:pt idx="0">
                  <c:v>23.599717300000002</c:v>
                </c:pt>
                <c:pt idx="1">
                  <c:v>94.743085699999995</c:v>
                </c:pt>
                <c:pt idx="2">
                  <c:v>109.66762900000001</c:v>
                </c:pt>
                <c:pt idx="3">
                  <c:v>142.39541630000002</c:v>
                </c:pt>
                <c:pt idx="4">
                  <c:v>152.71762989999999</c:v>
                </c:pt>
                <c:pt idx="5">
                  <c:v>260.10503589999996</c:v>
                </c:pt>
                <c:pt idx="6">
                  <c:v>230.37470350000001</c:v>
                </c:pt>
                <c:pt idx="7">
                  <c:v>235.57522729999999</c:v>
                </c:pt>
                <c:pt idx="8">
                  <c:v>272.46690850000005</c:v>
                </c:pt>
                <c:pt idx="9">
                  <c:v>300.676625</c:v>
                </c:pt>
                <c:pt idx="10">
                  <c:v>373.96508510000001</c:v>
                </c:pt>
                <c:pt idx="11">
                  <c:v>374.51731150000001</c:v>
                </c:pt>
                <c:pt idx="12">
                  <c:v>623.80372560000001</c:v>
                </c:pt>
                <c:pt idx="13">
                  <c:v>1233.6357849000001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1BF-4B78-80E1-DA94F491268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6"/>
        <c:axId val="558436864"/>
        <c:axId val="558435224"/>
      </c:barChart>
      <c:catAx>
        <c:axId val="55843686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58435224"/>
        <c:crosses val="autoZero"/>
        <c:auto val="1"/>
        <c:lblAlgn val="ctr"/>
        <c:lblOffset val="100"/>
        <c:noMultiLvlLbl val="0"/>
      </c:catAx>
      <c:valAx>
        <c:axId val="558435224"/>
        <c:scaling>
          <c:orientation val="minMax"/>
          <c:max val="700"/>
        </c:scaling>
        <c:delete val="1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průměrný počet nemocensky pojištěných</a:t>
                </a:r>
              </a:p>
            </c:rich>
          </c:tx>
          <c:layout>
            <c:manualLayout>
              <c:xMode val="edge"/>
              <c:yMode val="edge"/>
              <c:x val="0.56994131168386564"/>
              <c:y val="0.86972012427018053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#,##0" sourceLinked="1"/>
        <c:majorTickMark val="out"/>
        <c:minorTickMark val="none"/>
        <c:tickLblPos val="nextTo"/>
        <c:crossAx val="558436864"/>
        <c:crosses val="autoZero"/>
        <c:crossBetween val="between"/>
        <c:majorUnit val="50"/>
        <c:minorUnit val="50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70158304487301"/>
          <c:y val="0.39184150230406867"/>
          <c:w val="6.8571931225988064E-2"/>
          <c:h val="8.6211327242631253E-2"/>
        </c:manualLayout>
      </c:layout>
      <c:overlay val="0"/>
      <c:spPr>
        <a:solidFill>
          <a:schemeClr val="bg1"/>
        </a:solidFill>
        <a:ln>
          <a:solidFill>
            <a:schemeClr val="bg1">
              <a:lumMod val="8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layout>
        <c:manualLayout>
          <c:xMode val="edge"/>
          <c:yMode val="edge"/>
          <c:x val="0.41323029065811212"/>
          <c:y val="4.920049200492004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5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title>
    <c:autoTitleDeleted val="0"/>
    <c:plotArea>
      <c:layout>
        <c:manualLayout>
          <c:layoutTarget val="inner"/>
          <c:xMode val="edge"/>
          <c:yMode val="edge"/>
          <c:x val="0.25070076191932317"/>
          <c:y val="0.18915749000009685"/>
          <c:w val="0.44368037328667248"/>
          <c:h val="0.66306476450591278"/>
        </c:manualLayout>
      </c:layout>
      <c:doughnutChart>
        <c:varyColors val="1"/>
        <c:ser>
          <c:idx val="0"/>
          <c:order val="0"/>
          <c:tx>
            <c:strRef>
              <c:f>'G2.1'!$R$11</c:f>
              <c:strCache>
                <c:ptCount val="1"/>
                <c:pt idx="0">
                  <c:v>muži</c:v>
                </c:pt>
              </c:strCache>
            </c:strRef>
          </c:tx>
          <c:dPt>
            <c:idx val="0"/>
            <c:bubble3D val="0"/>
            <c:spPr>
              <a:solidFill>
                <a:srgbClr val="63282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1F88-4B2C-ABDC-16576A8C6AC8}"/>
              </c:ext>
            </c:extLst>
          </c:dPt>
          <c:dPt>
            <c:idx val="1"/>
            <c:bubble3D val="0"/>
            <c:spPr>
              <a:solidFill>
                <a:srgbClr val="B4494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1F88-4B2C-ABDC-16576A8C6AC8}"/>
              </c:ext>
            </c:extLst>
          </c:dPt>
          <c:dPt>
            <c:idx val="2"/>
            <c:bubble3D val="0"/>
            <c:spPr>
              <a:solidFill>
                <a:srgbClr val="C46A6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1F88-4B2C-ABDC-16576A8C6AC8}"/>
              </c:ext>
            </c:extLst>
          </c:dPt>
          <c:dLbls>
            <c:dLbl>
              <c:idx val="0"/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1F88-4B2C-ABDC-16576A8C6AC8}"/>
                </c:ext>
              </c:extLst>
            </c:dLbl>
            <c:dLbl>
              <c:idx val="1"/>
              <c:layout>
                <c:manualLayout>
                  <c:x val="-7.8806584362139914E-2"/>
                  <c:y val="-0.10641301294902715"/>
                </c:manualLayout>
              </c:layout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1F88-4B2C-ABDC-16576A8C6AC8}"/>
                </c:ext>
              </c:extLst>
            </c:dLbl>
            <c:dLbl>
              <c:idx val="2"/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5-1F88-4B2C-ABDC-16576A8C6AC8}"/>
                </c:ext>
              </c:extLst>
            </c:dLbl>
            <c:numFmt formatCode="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leaderLines>
              <c:spPr>
                <a:ln w="9525" cap="flat" cmpd="sng" algn="ctr">
                  <a:solidFill>
                    <a:schemeClr val="tx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'G2.1'!$Q$12:$Q$14</c:f>
              <c:strCache>
                <c:ptCount val="3"/>
                <c:pt idx="0">
                  <c:v> nemoc</c:v>
                </c:pt>
                <c:pt idx="1">
                  <c:v> pracovní úrazy</c:v>
                </c:pt>
                <c:pt idx="2">
                  <c:v> ostatní úrazy</c:v>
                </c:pt>
              </c:strCache>
            </c:strRef>
          </c:cat>
          <c:val>
            <c:numRef>
              <c:f>'G2.1'!$R$12:$R$14</c:f>
              <c:numCache>
                <c:formatCode>#,##0.0</c:formatCode>
                <c:ptCount val="3"/>
                <c:pt idx="0">
                  <c:v>0.85658871772137868</c:v>
                </c:pt>
                <c:pt idx="1">
                  <c:v>3.335919317300233E-2</c:v>
                </c:pt>
                <c:pt idx="2">
                  <c:v>0.11005208910561898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1F88-4B2C-ABDC-16576A8C6A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47"/>
      </c:doughnutChart>
      <c:spPr>
        <a:noFill/>
        <a:ln>
          <a:noFill/>
        </a:ln>
        <a:effectLst/>
      </c:spPr>
    </c:plotArea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5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cs-CZ" sz="1050"/>
              <a:t>ženy</a:t>
            </a:r>
          </a:p>
        </c:rich>
      </c:tx>
      <c:layout>
        <c:manualLayout>
          <c:xMode val="edge"/>
          <c:yMode val="edge"/>
          <c:x val="0.55627022653721681"/>
          <c:y val="2.4067388688327317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0.29789994393904651"/>
          <c:y val="3.9957076665055859E-2"/>
          <c:w val="0.64951105929719954"/>
          <c:h val="0.96004292333494412"/>
        </c:manualLayout>
      </c:layout>
      <c:doughnutChart>
        <c:varyColors val="1"/>
        <c:ser>
          <c:idx val="0"/>
          <c:order val="0"/>
          <c:tx>
            <c:strRef>
              <c:f>'G2.1'!$S$11</c:f>
              <c:strCache>
                <c:ptCount val="1"/>
                <c:pt idx="0">
                  <c:v>ženy</c:v>
                </c:pt>
              </c:strCache>
            </c:strRef>
          </c:tx>
          <c:dPt>
            <c:idx val="0"/>
            <c:bubble3D val="0"/>
            <c:spPr>
              <a:solidFill>
                <a:srgbClr val="632827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0B86-49AB-9828-95197CD79A41}"/>
              </c:ext>
            </c:extLst>
          </c:dPt>
          <c:dPt>
            <c:idx val="1"/>
            <c:bubble3D val="0"/>
            <c:spPr>
              <a:solidFill>
                <a:srgbClr val="B44946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3-0B86-49AB-9828-95197CD79A41}"/>
              </c:ext>
            </c:extLst>
          </c:dPt>
          <c:dPt>
            <c:idx val="2"/>
            <c:bubble3D val="0"/>
            <c:spPr>
              <a:solidFill>
                <a:srgbClr val="C46A68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5-0B86-49AB-9828-95197CD79A41}"/>
              </c:ext>
            </c:extLst>
          </c:dPt>
          <c:dLbls>
            <c:dLbl>
              <c:idx val="0"/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bg1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6="http://schemas.microsoft.com/office/drawing/2014/chart" uri="{C3380CC4-5D6E-409C-BE32-E72D297353CC}">
                  <c16:uniqueId val="{00000001-0B86-49AB-9828-95197CD79A41}"/>
                </c:ext>
              </c:extLst>
            </c:dLbl>
            <c:dLbl>
              <c:idx val="1"/>
              <c:layout>
                <c:manualLayout>
                  <c:x val="-6.2917908926432745E-2"/>
                  <c:y val="-9.628613661559452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3-0B86-49AB-9828-95197CD79A41}"/>
                </c:ext>
              </c:extLst>
            </c:dLbl>
            <c:dLbl>
              <c:idx val="2"/>
              <c:layout>
                <c:manualLayout>
                  <c:x val="4.0453074433656217E-3"/>
                  <c:y val="-1.2033694344163686E-2"/>
                </c:manualLayout>
              </c:layout>
              <c:numFmt formatCode="0\ 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endParaRPr lang="cs-CZ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/>
                </c:ext>
                <c:ext xmlns:c16="http://schemas.microsoft.com/office/drawing/2014/chart" uri="{C3380CC4-5D6E-409C-BE32-E72D297353CC}">
                  <c16:uniqueId val="{00000005-0B86-49AB-9828-95197CD79A41}"/>
                </c:ext>
              </c:extLst>
            </c:dLbl>
            <c:numFmt formatCode="0\ 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'G2.1'!$Q$12:$Q$14</c:f>
              <c:strCache>
                <c:ptCount val="3"/>
                <c:pt idx="0">
                  <c:v> nemoc</c:v>
                </c:pt>
                <c:pt idx="1">
                  <c:v> pracovní úrazy</c:v>
                </c:pt>
                <c:pt idx="2">
                  <c:v> ostatní úrazy</c:v>
                </c:pt>
              </c:strCache>
            </c:strRef>
          </c:cat>
          <c:val>
            <c:numRef>
              <c:f>'G2.1'!$S$12:$S$14</c:f>
              <c:numCache>
                <c:formatCode>#,##0.0</c:formatCode>
                <c:ptCount val="3"/>
                <c:pt idx="0">
                  <c:v>0.92671604938271601</c:v>
                </c:pt>
                <c:pt idx="1">
                  <c:v>1.4320987654320988E-2</c:v>
                </c:pt>
                <c:pt idx="2">
                  <c:v>5.8962962962962967E-2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6-0B86-49AB-9828-95197CD79A41}"/>
            </c:ext>
          </c:extLst>
        </c:ser>
        <c:ser>
          <c:idx val="1"/>
          <c:order val="1"/>
          <c:tx>
            <c:strRef>
              <c:f>'G2.1'!$Q$12</c:f>
              <c:strCache>
                <c:ptCount val="1"/>
                <c:pt idx="0">
                  <c:v> nemoc</c:v>
                </c:pt>
              </c:strCache>
            </c:strRef>
          </c:tx>
          <c:dPt>
            <c:idx val="0"/>
            <c:bubble3D val="0"/>
            <c:spPr>
              <a:solidFill>
                <a:schemeClr val="accent1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8-0B86-49AB-9828-95197CD79A41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 w="19050">
                <a:solidFill>
                  <a:schemeClr val="lt1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A-0B86-49AB-9828-95197CD79A41}"/>
              </c:ext>
            </c:extLst>
          </c:dPt>
          <c:cat>
            <c:strRef>
              <c:f>'G2.1'!$Q$12:$Q$14</c:f>
              <c:strCache>
                <c:ptCount val="3"/>
                <c:pt idx="0">
                  <c:v> nemoc</c:v>
                </c:pt>
                <c:pt idx="1">
                  <c:v> pracovní úrazy</c:v>
                </c:pt>
                <c:pt idx="2">
                  <c:v> ostatní úrazy</c:v>
                </c:pt>
              </c:strCache>
            </c:strRef>
          </c:cat>
          <c:val>
            <c:numRef>
              <c:f>'G2.1'!$Q$13:$Q$14</c:f>
              <c:numCache>
                <c:formatCode>General</c:formatCode>
                <c:ptCount val="2"/>
                <c:pt idx="0">
                  <c:v>0</c:v>
                </c:pt>
                <c:pt idx="1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B-0B86-49AB-9828-95197CD79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33"/>
      </c:doughnutChart>
      <c:spPr>
        <a:noFill/>
        <a:ln>
          <a:noFill/>
        </a:ln>
        <a:effectLst/>
      </c:spPr>
    </c:plotArea>
    <c:legend>
      <c:legendPos val="l"/>
      <c:layout>
        <c:manualLayout>
          <c:xMode val="edge"/>
          <c:yMode val="edge"/>
          <c:x val="4.8543689320388349E-2"/>
          <c:y val="0.41136662971280213"/>
          <c:w val="0.27810150854929544"/>
          <c:h val="0.26797094857727621"/>
        </c:manualLayout>
      </c:layout>
      <c:overlay val="0"/>
      <c:txPr>
        <a:bodyPr/>
        <a:lstStyle/>
        <a:p>
          <a:pPr>
            <a:defRPr sz="800">
              <a:solidFill>
                <a:schemeClr val="tx1">
                  <a:lumMod val="50000"/>
                  <a:lumOff val="50000"/>
                </a:schemeClr>
              </a:solidFill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'G2.2'!$A$24</c:f>
              <c:strCache>
                <c:ptCount val="1"/>
                <c:pt idx="0">
                  <c:v> 1. pololetí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'G2.2'!$B$23:$I$23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'G2.2'!$B$24:$I$24</c:f>
              <c:numCache>
                <c:formatCode>_-* #,##0_-;\-* #,##0_-;_-* "-"??_-;_-@_-</c:formatCode>
                <c:ptCount val="5"/>
                <c:pt idx="0">
                  <c:v>783807</c:v>
                </c:pt>
                <c:pt idx="1">
                  <c:v>777092</c:v>
                </c:pt>
                <c:pt idx="2">
                  <c:v>841599</c:v>
                </c:pt>
                <c:pt idx="3">
                  <c:v>937751</c:v>
                </c:pt>
                <c:pt idx="4">
                  <c:v>872714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0BF-47EA-B936-359EF328CBAC}"/>
            </c:ext>
          </c:extLst>
        </c:ser>
        <c:ser>
          <c:idx val="1"/>
          <c:order val="1"/>
          <c:tx>
            <c:strRef>
              <c:f>'G2.2'!$A$25</c:f>
              <c:strCache>
                <c:ptCount val="1"/>
                <c:pt idx="0">
                  <c:v> 2. pololetí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'G2.2'!$B$23:$I$23</c:f>
              <c:numCache>
                <c:formatCode>General</c:formatCode>
                <c:ptCount val="5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</c:numCache>
            </c:numRef>
          </c:cat>
          <c:val>
            <c:numRef>
              <c:f>'G2.2'!$B$25:$I$25</c:f>
              <c:numCache>
                <c:formatCode>_-* #,##0_-;\-* #,##0_-;_-* "-"??_-;_-@_-</c:formatCode>
                <c:ptCount val="5"/>
                <c:pt idx="0">
                  <c:v>600048</c:v>
                </c:pt>
                <c:pt idx="1">
                  <c:v>663844</c:v>
                </c:pt>
                <c:pt idx="2">
                  <c:v>669278</c:v>
                </c:pt>
                <c:pt idx="3">
                  <c:v>712518</c:v>
                </c:pt>
                <c:pt idx="4">
                  <c:v>838525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90BF-47EA-B936-359EF328CBA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592809856"/>
        <c:axId val="592809200"/>
      </c:barChart>
      <c:catAx>
        <c:axId val="592809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2809200"/>
        <c:crosses val="autoZero"/>
        <c:auto val="1"/>
        <c:lblAlgn val="ctr"/>
        <c:lblOffset val="100"/>
        <c:noMultiLvlLbl val="0"/>
      </c:catAx>
      <c:valAx>
        <c:axId val="592809200"/>
        <c:scaling>
          <c:orientation val="minMax"/>
          <c:max val="100000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#,##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92809856"/>
        <c:crosses val="autoZero"/>
        <c:crossBetween val="between"/>
        <c:dispUnits>
          <c:builtInUnit val="thousands"/>
          <c:dispUnitsLbl>
            <c:layout>
              <c:manualLayout>
                <c:xMode val="edge"/>
                <c:yMode val="edge"/>
                <c:x val="2.7777777777777776E-2"/>
                <c:y val="0.41245370370370371"/>
              </c:manualLayout>
            </c:layout>
            <c:tx>
              <c:rich>
                <a:bodyPr rot="-5400000" spcFirstLastPara="1" vertOverflow="ellipsis" vert="horz" wrap="square" anchor="ctr" anchorCtr="1"/>
                <a:lstStyle/>
                <a:p>
                  <a:pPr>
                    <a:defRPr sz="800" b="0" i="0" u="none" strike="noStrike" kern="1200" baseline="0">
                      <a:solidFill>
                        <a:schemeClr val="tx1">
                          <a:lumMod val="65000"/>
                          <a:lumOff val="35000"/>
                        </a:schemeClr>
                      </a:solidFill>
                      <a:latin typeface="Arial" panose="020B0604020202020204" pitchFamily="34" charset="0"/>
                      <a:ea typeface="+mn-ea"/>
                      <a:cs typeface="Arial" panose="020B0604020202020204" pitchFamily="34" charset="0"/>
                    </a:defRPr>
                  </a:pPr>
                  <a:r>
                    <a:rPr lang="cs-CZ"/>
                    <a:t>tisíce</a:t>
                  </a:r>
                </a:p>
              </c:rich>
            </c:tx>
            <c:spPr>
              <a:noFill/>
              <a:ln>
                <a:noFill/>
              </a:ln>
              <a:effectLst/>
            </c:spPr>
            <c:txPr>
              <a:bodyPr rot="-540000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</c:dispUnitsLbl>
        </c:dispUnits>
      </c:valAx>
      <c:spPr>
        <a:noFill/>
        <a:ln>
          <a:noFill/>
        </a:ln>
        <a:effectLst/>
      </c:spPr>
    </c:plotArea>
    <c:legend>
      <c:legendPos val="b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stacked"/>
        <c:varyColors val="0"/>
        <c:ser>
          <c:idx val="0"/>
          <c:order val="0"/>
          <c:tx>
            <c:strRef>
              <c:f>'G2.2'!$A$12</c:f>
              <c:strCache>
                <c:ptCount val="1"/>
                <c:pt idx="0">
                  <c:v> nemoc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Lbls>
            <c:numFmt formatCode="#,##0.0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endParaRPr lang="cs-CZ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layout/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numRef>
              <c:f>'G2.2'!$B$11:$L$11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'G2.2'!$B$12:$L$12</c:f>
              <c:numCache>
                <c:formatCode>General</c:formatCode>
                <c:ptCount val="11"/>
                <c:pt idx="0">
                  <c:v>30.695257576826311</c:v>
                </c:pt>
                <c:pt idx="1">
                  <c:v>27.55741127348643</c:v>
                </c:pt>
                <c:pt idx="2">
                  <c:v>27.175590644663423</c:v>
                </c:pt>
                <c:pt idx="3" formatCode="##0.00">
                  <c:v>23.87</c:v>
                </c:pt>
                <c:pt idx="4" formatCode="##0.00">
                  <c:v>26.31</c:v>
                </c:pt>
                <c:pt idx="5" formatCode="##0.00">
                  <c:v>25.68</c:v>
                </c:pt>
                <c:pt idx="6">
                  <c:v>30.704494485000001</c:v>
                </c:pt>
                <c:pt idx="7">
                  <c:v>31.521328864000001</c:v>
                </c:pt>
                <c:pt idx="8">
                  <c:v>32.340186242500003</c:v>
                </c:pt>
                <c:pt idx="9">
                  <c:v>34.869229084899999</c:v>
                </c:pt>
                <c:pt idx="10">
                  <c:v>36.156327396257865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CF4A-44F7-BF72-CEFB04A77625}"/>
            </c:ext>
          </c:extLst>
        </c:ser>
        <c:ser>
          <c:idx val="1"/>
          <c:order val="1"/>
          <c:tx>
            <c:strRef>
              <c:f>'G2.2'!$A$13</c:f>
              <c:strCache>
                <c:ptCount val="1"/>
                <c:pt idx="0">
                  <c:v> pracovní úrazy</c:v>
                </c:pt>
              </c:strCache>
            </c:strRef>
          </c:tx>
          <c:spPr>
            <a:solidFill>
              <a:srgbClr val="B44946"/>
            </a:solidFill>
            <a:ln>
              <a:noFill/>
            </a:ln>
            <a:effectLst/>
          </c:spPr>
          <c:invertIfNegative val="0"/>
          <c:cat>
            <c:numRef>
              <c:f>'G2.2'!$B$11:$L$11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'G2.2'!$B$13:$L$13</c:f>
              <c:numCache>
                <c:formatCode>General</c:formatCode>
                <c:ptCount val="11"/>
                <c:pt idx="0">
                  <c:v>1.1803155345512686</c:v>
                </c:pt>
                <c:pt idx="1">
                  <c:v>1.1992577128276503</c:v>
                </c:pt>
                <c:pt idx="2">
                  <c:v>1.1183663777751394</c:v>
                </c:pt>
                <c:pt idx="3" formatCode="##0.00">
                  <c:v>0.99</c:v>
                </c:pt>
                <c:pt idx="4" formatCode="##0.00">
                  <c:v>0.97</c:v>
                </c:pt>
                <c:pt idx="5" formatCode="##0.00">
                  <c:v>1.01</c:v>
                </c:pt>
                <c:pt idx="6">
                  <c:v>1.0279761491999999</c:v>
                </c:pt>
                <c:pt idx="7">
                  <c:v>1.0364437007</c:v>
                </c:pt>
                <c:pt idx="8">
                  <c:v>1.016540582</c:v>
                </c:pt>
                <c:pt idx="9">
                  <c:v>0.97666524430000001</c:v>
                </c:pt>
                <c:pt idx="10">
                  <c:v>0.94132771527418446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CF4A-44F7-BF72-CEFB04A77625}"/>
            </c:ext>
          </c:extLst>
        </c:ser>
        <c:ser>
          <c:idx val="2"/>
          <c:order val="2"/>
          <c:tx>
            <c:strRef>
              <c:f>'G2.2'!$A$14</c:f>
              <c:strCache>
                <c:ptCount val="1"/>
                <c:pt idx="0">
                  <c:v> ostatní úrazy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cat>
            <c:numRef>
              <c:f>'G2.2'!$B$11:$L$11</c:f>
              <c:numCache>
                <c:formatCode>General</c:formatCode>
                <c:ptCount val="11"/>
                <c:pt idx="0">
                  <c:v>2009</c:v>
                </c:pt>
                <c:pt idx="1">
                  <c:v>2010</c:v>
                </c:pt>
                <c:pt idx="2">
                  <c:v>2011</c:v>
                </c:pt>
                <c:pt idx="3">
                  <c:v>2012</c:v>
                </c:pt>
                <c:pt idx="4">
                  <c:v>2013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  <c:pt idx="8">
                  <c:v>2017</c:v>
                </c:pt>
                <c:pt idx="9">
                  <c:v>2018</c:v>
                </c:pt>
                <c:pt idx="10">
                  <c:v>2019</c:v>
                </c:pt>
              </c:numCache>
            </c:numRef>
          </c:cat>
          <c:val>
            <c:numRef>
              <c:f>'G2.2'!$B$14:$L$14</c:f>
              <c:numCache>
                <c:formatCode>General</c:formatCode>
                <c:ptCount val="11"/>
                <c:pt idx="0">
                  <c:v>2.0173520490936023</c:v>
                </c:pt>
                <c:pt idx="1">
                  <c:v>1.9786592437949433</c:v>
                </c:pt>
                <c:pt idx="2">
                  <c:v>1.8307016502433813</c:v>
                </c:pt>
                <c:pt idx="3" formatCode="##0.00">
                  <c:v>2.58</c:v>
                </c:pt>
                <c:pt idx="4" formatCode="##0.00">
                  <c:v>2.71</c:v>
                </c:pt>
                <c:pt idx="5" formatCode="##0.00">
                  <c:v>2.76</c:v>
                </c:pt>
                <c:pt idx="6">
                  <c:v>2.9569928851</c:v>
                </c:pt>
                <c:pt idx="7">
                  <c:v>3.1726609424999999</c:v>
                </c:pt>
                <c:pt idx="8">
                  <c:v>3.1924353055000001</c:v>
                </c:pt>
                <c:pt idx="9">
                  <c:v>3.2320196819999998</c:v>
                </c:pt>
                <c:pt idx="10">
                  <c:v>3.3599348163568723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CF4A-44F7-BF72-CEFB04A7762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2"/>
        <c:overlap val="100"/>
        <c:axId val="542579272"/>
        <c:axId val="542575664"/>
      </c:barChart>
      <c:catAx>
        <c:axId val="5425792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42575664"/>
        <c:crosses val="autoZero"/>
        <c:auto val="1"/>
        <c:lblAlgn val="ctr"/>
        <c:lblOffset val="100"/>
        <c:noMultiLvlLbl val="0"/>
      </c:catAx>
      <c:valAx>
        <c:axId val="5425756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425792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r"/>
      <c:layout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370760098233203"/>
          <c:y val="4.452675809889961E-2"/>
          <c:w val="0.45808389691068652"/>
          <c:h val="0.85990388525377992"/>
        </c:manualLayout>
      </c:layout>
      <c:barChart>
        <c:barDir val="bar"/>
        <c:grouping val="clustered"/>
        <c:varyColors val="0"/>
        <c:ser>
          <c:idx val="1"/>
          <c:order val="0"/>
          <c:tx>
            <c:strRef>
              <c:f>'G2.4'!$Q$1</c:f>
              <c:strCache>
                <c:ptCount val="1"/>
                <c:pt idx="0">
                  <c:v> 2009</c:v>
                </c:pt>
              </c:strCache>
            </c:strRef>
          </c:tx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15"/>
            <c:invertIfNegative val="0"/>
            <c:bubble3D val="0"/>
            <c:spPr>
              <a:solidFill>
                <a:srgbClr val="C46A68"/>
              </a:solidFill>
              <a:ln w="1270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1-AA24-4E69-86F7-78C1086316E5}"/>
              </c:ext>
            </c:extLst>
          </c:dPt>
          <c:cat>
            <c:strRef>
              <c:f>'G2.4'!$P$3:$P$22</c:f>
              <c:strCache>
                <c:ptCount val="20"/>
                <c:pt idx="0">
                  <c:v>L – Činnosti v oblasti nemovitostí</c:v>
                </c:pt>
                <c:pt idx="1">
                  <c:v>M – Profesní, vědecké a technické činnosti</c:v>
                </c:pt>
                <c:pt idx="2">
                  <c:v>J – Informační a komunikační činnosti</c:v>
                </c:pt>
                <c:pt idx="3">
                  <c:v>R – Kulturní, zábavní a rekreační činnosti</c:v>
                </c:pt>
                <c:pt idx="4">
                  <c:v>D – Výroba a rozvod elektřiny, plynu, tepla a klimatiz. vzduchu</c:v>
                </c:pt>
                <c:pt idx="5">
                  <c:v>I – Ubytování, stravování a pohostinství</c:v>
                </c:pt>
                <c:pt idx="6">
                  <c:v>K – Peněžnictví a pojišťovnictví</c:v>
                </c:pt>
                <c:pt idx="7">
                  <c:v>S – Ostatní činnosti</c:v>
                </c:pt>
                <c:pt idx="8">
                  <c:v>F – Stavebnictví</c:v>
                </c:pt>
                <c:pt idx="9">
                  <c:v>A – Zemědělství, lesnictví, rybářství</c:v>
                </c:pt>
                <c:pt idx="10">
                  <c:v>Q – Zdravotní a sociální péče</c:v>
                </c:pt>
                <c:pt idx="11">
                  <c:v>O – Veřejná správa a obrana; povinné sociální zabezpečení</c:v>
                </c:pt>
                <c:pt idx="12">
                  <c:v>P – Vzdělávání</c:v>
                </c:pt>
                <c:pt idx="13">
                  <c:v>H – Doprava a skladování</c:v>
                </c:pt>
                <c:pt idx="14">
                  <c:v>G – Velkoobchod a maloobchod; opravy a údržba motor. vozidel</c:v>
                </c:pt>
                <c:pt idx="15">
                  <c:v>CELKEM</c:v>
                </c:pt>
                <c:pt idx="16">
                  <c:v>E – Zásobování vodou; činnosti související s odpady a sanacemi</c:v>
                </c:pt>
                <c:pt idx="17">
                  <c:v>B – Těžba a dobývání</c:v>
                </c:pt>
                <c:pt idx="18">
                  <c:v>N – Administrativní a podpůrné činnosti</c:v>
                </c:pt>
                <c:pt idx="19">
                  <c:v>C – Zpracovatelský průmysl</c:v>
                </c:pt>
              </c:strCache>
            </c:strRef>
          </c:cat>
          <c:val>
            <c:numRef>
              <c:f>'G2.4'!$Q$3:$Q$22</c:f>
              <c:numCache>
                <c:formatCode>0.0</c:formatCode>
                <c:ptCount val="20"/>
                <c:pt idx="0">
                  <c:v>23.63</c:v>
                </c:pt>
                <c:pt idx="1">
                  <c:v>25.17</c:v>
                </c:pt>
                <c:pt idx="2">
                  <c:v>30.2</c:v>
                </c:pt>
                <c:pt idx="3">
                  <c:v>27.36</c:v>
                </c:pt>
                <c:pt idx="4">
                  <c:v>20.91</c:v>
                </c:pt>
                <c:pt idx="5">
                  <c:v>32.22</c:v>
                </c:pt>
                <c:pt idx="6">
                  <c:v>34.31</c:v>
                </c:pt>
                <c:pt idx="7">
                  <c:v>28.07</c:v>
                </c:pt>
                <c:pt idx="8">
                  <c:v>34.770000000000003</c:v>
                </c:pt>
                <c:pt idx="9">
                  <c:v>31.35</c:v>
                </c:pt>
                <c:pt idx="10">
                  <c:v>28.42</c:v>
                </c:pt>
                <c:pt idx="11">
                  <c:v>34.03</c:v>
                </c:pt>
                <c:pt idx="12">
                  <c:v>31.03</c:v>
                </c:pt>
                <c:pt idx="13">
                  <c:v>30.74</c:v>
                </c:pt>
                <c:pt idx="14">
                  <c:v>33.32</c:v>
                </c:pt>
                <c:pt idx="15">
                  <c:v>33.89</c:v>
                </c:pt>
                <c:pt idx="16">
                  <c:v>33.64</c:v>
                </c:pt>
                <c:pt idx="17">
                  <c:v>39.159999999999997</c:v>
                </c:pt>
                <c:pt idx="18">
                  <c:v>37.69</c:v>
                </c:pt>
                <c:pt idx="19">
                  <c:v>40.17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AA24-4E69-86F7-78C1086316E5}"/>
            </c:ext>
          </c:extLst>
        </c:ser>
        <c:ser>
          <c:idx val="0"/>
          <c:order val="1"/>
          <c:tx>
            <c:strRef>
              <c:f>'G2.4'!$R$1</c:f>
              <c:strCache>
                <c:ptCount val="1"/>
                <c:pt idx="0">
                  <c:v> 2019</c:v>
                </c:pt>
              </c:strCache>
            </c:strRef>
          </c:tx>
          <c:spPr>
            <a:solidFill>
              <a:srgbClr val="632827"/>
            </a:solidFill>
            <a:ln>
              <a:noFill/>
            </a:ln>
            <a:effectLst/>
          </c:spPr>
          <c:invertIfNegative val="0"/>
          <c:dPt>
            <c:idx val="15"/>
            <c:invertIfNegative val="0"/>
            <c:bubble3D val="0"/>
            <c:spPr>
              <a:solidFill>
                <a:srgbClr val="632827"/>
              </a:solidFill>
              <a:ln w="12700">
                <a:solidFill>
                  <a:srgbClr val="00B0F0"/>
                </a:solidFill>
              </a:ln>
              <a:effectLst/>
            </c:spPr>
            <c:extLst>
              <c:ext xmlns:c16="http://schemas.microsoft.com/office/drawing/2014/chart" uri="{C3380CC4-5D6E-409C-BE32-E72D297353CC}">
                <c16:uniqueId val="{00000004-AA24-4E69-86F7-78C1086316E5}"/>
              </c:ext>
            </c:extLst>
          </c:dPt>
          <c:cat>
            <c:strRef>
              <c:f>'G2.4'!$P$3:$P$22</c:f>
              <c:strCache>
                <c:ptCount val="20"/>
                <c:pt idx="0">
                  <c:v>L – Činnosti v oblasti nemovitostí</c:v>
                </c:pt>
                <c:pt idx="1">
                  <c:v>M – Profesní, vědecké a technické činnosti</c:v>
                </c:pt>
                <c:pt idx="2">
                  <c:v>J – Informační a komunikační činnosti</c:v>
                </c:pt>
                <c:pt idx="3">
                  <c:v>R – Kulturní, zábavní a rekreační činnosti</c:v>
                </c:pt>
                <c:pt idx="4">
                  <c:v>D – Výroba a rozvod elektřiny, plynu, tepla a klimatiz. vzduchu</c:v>
                </c:pt>
                <c:pt idx="5">
                  <c:v>I – Ubytování, stravování a pohostinství</c:v>
                </c:pt>
                <c:pt idx="6">
                  <c:v>K – Peněžnictví a pojišťovnictví</c:v>
                </c:pt>
                <c:pt idx="7">
                  <c:v>S – Ostatní činnosti</c:v>
                </c:pt>
                <c:pt idx="8">
                  <c:v>F – Stavebnictví</c:v>
                </c:pt>
                <c:pt idx="9">
                  <c:v>A – Zemědělství, lesnictví, rybářství</c:v>
                </c:pt>
                <c:pt idx="10">
                  <c:v>Q – Zdravotní a sociální péče</c:v>
                </c:pt>
                <c:pt idx="11">
                  <c:v>O – Veřejná správa a obrana; povinné sociální zabezpečení</c:v>
                </c:pt>
                <c:pt idx="12">
                  <c:v>P – Vzdělávání</c:v>
                </c:pt>
                <c:pt idx="13">
                  <c:v>H – Doprava a skladování</c:v>
                </c:pt>
                <c:pt idx="14">
                  <c:v>G – Velkoobchod a maloobchod; opravy a údržba motor. vozidel</c:v>
                </c:pt>
                <c:pt idx="15">
                  <c:v>CELKEM</c:v>
                </c:pt>
                <c:pt idx="16">
                  <c:v>E – Zásobování vodou; činnosti související s odpady a sanacemi</c:v>
                </c:pt>
                <c:pt idx="17">
                  <c:v>B – Těžba a dobývání</c:v>
                </c:pt>
                <c:pt idx="18">
                  <c:v>N – Administrativní a podpůrné činnosti</c:v>
                </c:pt>
                <c:pt idx="19">
                  <c:v>C – Zpracovatelský průmysl</c:v>
                </c:pt>
              </c:strCache>
            </c:strRef>
          </c:cat>
          <c:val>
            <c:numRef>
              <c:f>'G2.4'!$R$3:$R$22</c:f>
              <c:numCache>
                <c:formatCode>0.00</c:formatCode>
                <c:ptCount val="20"/>
                <c:pt idx="0">
                  <c:v>18.345079369600001</c:v>
                </c:pt>
                <c:pt idx="1">
                  <c:v>22.9664972743</c:v>
                </c:pt>
                <c:pt idx="2">
                  <c:v>27.3182950763</c:v>
                </c:pt>
                <c:pt idx="3">
                  <c:v>27.846363628399999</c:v>
                </c:pt>
                <c:pt idx="4">
                  <c:v>30.038552074399998</c:v>
                </c:pt>
                <c:pt idx="5">
                  <c:v>30.750215303099999</c:v>
                </c:pt>
                <c:pt idx="6">
                  <c:v>30.886686647200001</c:v>
                </c:pt>
                <c:pt idx="7">
                  <c:v>31.314303677200002</c:v>
                </c:pt>
                <c:pt idx="8">
                  <c:v>33.848210999899997</c:v>
                </c:pt>
                <c:pt idx="9">
                  <c:v>34.5626146436</c:v>
                </c:pt>
                <c:pt idx="10">
                  <c:v>35.173337095000001</c:v>
                </c:pt>
                <c:pt idx="11">
                  <c:v>35.533122364500002</c:v>
                </c:pt>
                <c:pt idx="12">
                  <c:v>35.984451415700001</c:v>
                </c:pt>
                <c:pt idx="13">
                  <c:v>39.911316684500001</c:v>
                </c:pt>
                <c:pt idx="14">
                  <c:v>40.286069109000003</c:v>
                </c:pt>
                <c:pt idx="15">
                  <c:v>40.457589927900003</c:v>
                </c:pt>
                <c:pt idx="16">
                  <c:v>42.561036639100003</c:v>
                </c:pt>
                <c:pt idx="17">
                  <c:v>44.483583707999998</c:v>
                </c:pt>
                <c:pt idx="18">
                  <c:v>49.684159152399999</c:v>
                </c:pt>
                <c:pt idx="19">
                  <c:v>53.900511653400002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5-AA24-4E69-86F7-78C1086316E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1"/>
        <c:axId val="413176696"/>
        <c:axId val="413177024"/>
      </c:barChart>
      <c:catAx>
        <c:axId val="413176696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13177024"/>
        <c:crosses val="autoZero"/>
        <c:auto val="1"/>
        <c:lblAlgn val="ctr"/>
        <c:lblOffset val="100"/>
        <c:noMultiLvlLbl val="0"/>
      </c:catAx>
      <c:valAx>
        <c:axId val="413177024"/>
        <c:scaling>
          <c:orientation val="minMax"/>
          <c:max val="55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případů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413176696"/>
        <c:crosses val="autoZero"/>
        <c:crossBetween val="between"/>
        <c:majorUnit val="5"/>
      </c:valAx>
      <c:spPr>
        <a:noFill/>
        <a:ln>
          <a:noFill/>
        </a:ln>
        <a:effectLst/>
      </c:spPr>
    </c:plotArea>
    <c:legend>
      <c:legendPos val="r"/>
      <c:layout>
        <c:manualLayout>
          <c:xMode val="edge"/>
          <c:yMode val="edge"/>
          <c:x val="0.86313134899851163"/>
          <c:y val="0.42994299125672769"/>
          <c:w val="8.2377858066501553E-2"/>
          <c:h val="9.1049313408041108E-2"/>
        </c:manualLayout>
      </c:layout>
      <c:overlay val="0"/>
      <c:spPr>
        <a:solidFill>
          <a:schemeClr val="bg1"/>
        </a:solidFill>
        <a:ln>
          <a:solidFill>
            <a:schemeClr val="bg1">
              <a:lumMod val="85000"/>
            </a:schemeClr>
          </a:solidFill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cs-CZ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cs-CZ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spPr>
            <a:solidFill>
              <a:srgbClr val="C46A68"/>
            </a:solidFill>
            <a:ln>
              <a:noFill/>
            </a:ln>
            <a:effectLst/>
          </c:spPr>
          <c:invertIfNegative val="0"/>
          <c:dPt>
            <c:idx val="3"/>
            <c:invertIfNegative val="0"/>
            <c:bubble3D val="0"/>
            <c:spPr>
              <a:solidFill>
                <a:srgbClr val="632827"/>
              </a:solidFill>
              <a:ln>
                <a:noFill/>
              </a:ln>
              <a:effectLst/>
            </c:spPr>
            <c:extLst>
              <c:ext xmlns:c16="http://schemas.microsoft.com/office/drawing/2014/chart" uri="{C3380CC4-5D6E-409C-BE32-E72D297353CC}">
                <c16:uniqueId val="{00000001-1EBB-4251-8251-78AC698D41C3}"/>
              </c:ext>
            </c:extLst>
          </c:dPt>
          <c:cat>
            <c:strRef>
              <c:f>'G2.4'!$M$4:$M$18</c:f>
              <c:strCache>
                <c:ptCount val="15"/>
                <c:pt idx="0">
                  <c:v>Hlavní město Praha</c:v>
                </c:pt>
                <c:pt idx="1">
                  <c:v>Jihomoravský kraj</c:v>
                </c:pt>
                <c:pt idx="2">
                  <c:v>Olomoucký kraj</c:v>
                </c:pt>
                <c:pt idx="3">
                  <c:v>ČR CELKEM</c:v>
                </c:pt>
                <c:pt idx="4">
                  <c:v>Zlínský kraj</c:v>
                </c:pt>
                <c:pt idx="5">
                  <c:v>Kraj Vysočina</c:v>
                </c:pt>
                <c:pt idx="6">
                  <c:v>Pardubický kraj</c:v>
                </c:pt>
                <c:pt idx="7">
                  <c:v>Moravskoslezský kraj</c:v>
                </c:pt>
                <c:pt idx="8">
                  <c:v>Středočeský kraj</c:v>
                </c:pt>
                <c:pt idx="9">
                  <c:v>Jihočeský kraj</c:v>
                </c:pt>
                <c:pt idx="10">
                  <c:v>Ústecký kraj</c:v>
                </c:pt>
                <c:pt idx="11">
                  <c:v>Karlovarský kraj</c:v>
                </c:pt>
                <c:pt idx="12">
                  <c:v>Královéhradecký kraj</c:v>
                </c:pt>
                <c:pt idx="13">
                  <c:v>Plzeňský kraj</c:v>
                </c:pt>
                <c:pt idx="14">
                  <c:v>Liberecký kraj</c:v>
                </c:pt>
              </c:strCache>
            </c:strRef>
          </c:cat>
          <c:val>
            <c:numRef>
              <c:f>'G2.4'!$N$4:$N$18</c:f>
              <c:numCache>
                <c:formatCode>0.00</c:formatCode>
                <c:ptCount val="15"/>
                <c:pt idx="0">
                  <c:v>33.464854499600001</c:v>
                </c:pt>
                <c:pt idx="1">
                  <c:v>38.867201515600001</c:v>
                </c:pt>
                <c:pt idx="2">
                  <c:v>39.525663584699998</c:v>
                </c:pt>
                <c:pt idx="3">
                  <c:v>40.457589927900003</c:v>
                </c:pt>
                <c:pt idx="4">
                  <c:v>41.2634374796</c:v>
                </c:pt>
                <c:pt idx="5">
                  <c:v>42.837891902499997</c:v>
                </c:pt>
                <c:pt idx="6">
                  <c:v>42.8651500016</c:v>
                </c:pt>
                <c:pt idx="7">
                  <c:v>43.080445475499999</c:v>
                </c:pt>
                <c:pt idx="8">
                  <c:v>43.353846616399998</c:v>
                </c:pt>
                <c:pt idx="9">
                  <c:v>43.969279735599997</c:v>
                </c:pt>
                <c:pt idx="10">
                  <c:v>44.257778185500001</c:v>
                </c:pt>
                <c:pt idx="11">
                  <c:v>45.580675943300001</c:v>
                </c:pt>
                <c:pt idx="12">
                  <c:v>45.692360397800002</c:v>
                </c:pt>
                <c:pt idx="13">
                  <c:v>46.4390874837</c:v>
                </c:pt>
                <c:pt idx="14">
                  <c:v>49.788142404200002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EBB-4251-8251-78AC698D41C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82"/>
        <c:axId val="518180304"/>
        <c:axId val="518180632"/>
      </c:barChart>
      <c:catAx>
        <c:axId val="518180304"/>
        <c:scaling>
          <c:orientation val="minMax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8180632"/>
        <c:crosses val="autoZero"/>
        <c:auto val="1"/>
        <c:lblAlgn val="ctr"/>
        <c:lblOffset val="100"/>
        <c:noMultiLvlLbl val="0"/>
      </c:catAx>
      <c:valAx>
        <c:axId val="518180632"/>
        <c:scaling>
          <c:orientation val="minMax"/>
          <c:max val="5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en-US"/>
                  <a:t>počet případů</a:t>
                </a:r>
              </a:p>
            </c:rich>
          </c:tx>
          <c:layout/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8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cs-CZ"/>
            </a:p>
          </c:txPr>
        </c:title>
        <c:numFmt formatCode="0" sourceLinked="0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endParaRPr lang="cs-CZ"/>
          </a:p>
        </c:txPr>
        <c:crossAx val="51818030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 sz="800">
          <a:latin typeface="Arial" panose="020B0604020202020204" pitchFamily="34" charset="0"/>
          <a:cs typeface="Arial" panose="020B0604020202020204" pitchFamily="34" charset="0"/>
        </a:defRPr>
      </a:pPr>
      <a:endParaRPr lang="cs-CZ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5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6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7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0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1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2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5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ln w="19050">
        <a:solidFill>
          <a:schemeClr val="lt1"/>
        </a:solidFill>
      </a:ln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ln w="25400">
        <a:solidFill>
          <a:schemeClr val="lt1"/>
        </a:solidFill>
      </a:ln>
    </cs:spPr>
  </cs:dataPoint3D>
  <cs:dataPointLine>
    <cs:lnRef idx="0">
      <cs:styleClr val="auto"/>
    </cs:lnRef>
    <cs:fillRef idx="0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0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9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16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F6F895-1346-4B43-B3E5-837E0FEAD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Publikace bar CZ_lide a spolecnost_2017-08-14.dotx</Template>
  <TotalTime>0</TotalTime>
  <Pages>37</Pages>
  <Words>12786</Words>
  <Characters>75441</Characters>
  <Application>Microsoft Office Word</Application>
  <DocSecurity>0</DocSecurity>
  <Lines>628</Lines>
  <Paragraphs>176</Paragraphs>
  <ScaleCrop>false</ScaleCrop>
  <HeadingPairs>
    <vt:vector size="6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10" baseType="lpstr">
      <vt:lpstr/>
      <vt:lpstr/>
      <vt:lpstr>Styl: Nadpis 1</vt:lpstr>
      <vt:lpstr>    Styl: Nadpis 2</vt:lpstr>
      <vt:lpstr>        Styl: Nadpis 3</vt:lpstr>
      <vt:lpstr>        Styl: Nadpis 3</vt:lpstr>
      <vt:lpstr>    Styl: Nadpis 2</vt:lpstr>
      <vt:lpstr>        Styl: Nadpis 3</vt:lpstr>
      <vt:lpstr>    Styl: Nadpis 2</vt:lpstr>
      <vt:lpstr>        Styl: Nadpis 3</vt:lpstr>
    </vt:vector>
  </TitlesOfParts>
  <Company>CSU</Company>
  <LinksUpToDate>false</LinksUpToDate>
  <CharactersWithSpaces>88051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Kostkova</dc:creator>
  <cp:keywords/>
  <dc:description/>
  <cp:lastModifiedBy>hykysova23070</cp:lastModifiedBy>
  <cp:revision>2</cp:revision>
  <cp:lastPrinted>2020-05-28T09:39:00Z</cp:lastPrinted>
  <dcterms:created xsi:type="dcterms:W3CDTF">2020-05-28T09:41:00Z</dcterms:created>
  <dcterms:modified xsi:type="dcterms:W3CDTF">2020-05-28T09:41:00Z</dcterms:modified>
</cp:coreProperties>
</file>