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A461" w14:textId="2FF3D53F" w:rsidR="006E761A" w:rsidRPr="000350C8" w:rsidRDefault="001554C2" w:rsidP="006E761A">
      <w:pPr>
        <w:pStyle w:val="Nadpis1"/>
      </w:pPr>
      <w:bookmarkStart w:id="0" w:name="_Toc444112494"/>
      <w:bookmarkStart w:id="1" w:name="_Toc511215208"/>
      <w:r w:rsidRPr="009110F7">
        <w:t xml:space="preserve"> </w:t>
      </w:r>
      <w:bookmarkStart w:id="2" w:name="_Toc26865016"/>
      <w:r w:rsidR="006E761A" w:rsidRPr="000350C8">
        <w:t>1</w:t>
      </w:r>
      <w:r w:rsidR="006E761A">
        <w:t>. </w:t>
      </w:r>
      <w:r w:rsidR="006E761A" w:rsidRPr="000350C8">
        <w:t>Shrnutí</w:t>
      </w:r>
    </w:p>
    <w:p w14:paraId="7C5ACE50" w14:textId="01418CCC" w:rsidR="006E761A" w:rsidRPr="003E0E34" w:rsidRDefault="006E761A" w:rsidP="006E761A">
      <w:pPr>
        <w:pStyle w:val="Normalodrka"/>
        <w:spacing w:after="100"/>
      </w:pPr>
      <w:r w:rsidRPr="001415D5">
        <w:t>Meziroční růst hrubého domácího produktu (HDP) ve 3</w:t>
      </w:r>
      <w:r>
        <w:t>. čtvrtlet</w:t>
      </w:r>
      <w:r w:rsidRPr="001415D5">
        <w:t>í roku 2019 dosáhl 2,5 %</w:t>
      </w:r>
      <w:r w:rsidRPr="001415D5">
        <w:rPr>
          <w:rStyle w:val="Znakapoznpodarou"/>
          <w:spacing w:val="-4"/>
          <w:szCs w:val="20"/>
        </w:rPr>
        <w:footnoteReference w:id="1"/>
      </w:r>
      <w:r w:rsidRPr="001415D5">
        <w:t>. Mezičtvrtletní přírůstek činil 0,4</w:t>
      </w:r>
      <w:r>
        <w:t> %</w:t>
      </w:r>
      <w:r w:rsidRPr="001415D5">
        <w:t xml:space="preserve">. V obou případech tak dynamika </w:t>
      </w:r>
      <w:r>
        <w:t>zpomalila ve srovnání s 1.</w:t>
      </w:r>
      <w:r w:rsidRPr="001415D5">
        <w:t> </w:t>
      </w:r>
      <w:r>
        <w:t>i</w:t>
      </w:r>
      <w:r w:rsidRPr="001415D5">
        <w:t> </w:t>
      </w:r>
      <w:r>
        <w:t>2.</w:t>
      </w:r>
      <w:r w:rsidRPr="001415D5">
        <w:t> čtvrtletím roku. K růstu i</w:t>
      </w:r>
      <w:r>
        <w:t> </w:t>
      </w:r>
      <w:r w:rsidRPr="001415D5">
        <w:t xml:space="preserve">nadále nejvíce přispívala domácí spotřeba </w:t>
      </w:r>
      <w:r>
        <w:t>doplněná</w:t>
      </w:r>
      <w:r w:rsidRPr="001415D5">
        <w:t xml:space="preserve"> příznivým vývojem bilance zahraničního obchodu se zbožím i</w:t>
      </w:r>
      <w:r>
        <w:t> </w:t>
      </w:r>
      <w:r w:rsidRPr="001415D5">
        <w:t>službami. V</w:t>
      </w:r>
      <w:r>
        <w:t> </w:t>
      </w:r>
      <w:r w:rsidRPr="001415D5">
        <w:t>případě domácností ale meziroční růst výdajů na konečnou spotřebu zpomalil na 2,3</w:t>
      </w:r>
      <w:r>
        <w:t> %</w:t>
      </w:r>
      <w:r w:rsidRPr="001415D5">
        <w:t xml:space="preserve"> a</w:t>
      </w:r>
      <w:r>
        <w:t> </w:t>
      </w:r>
      <w:r w:rsidRPr="001415D5">
        <w:t>mezičtvrtletně jejich spotřeba stagnovala. Investiční aktivita růst HDP mírně brzdila. Meziročně rostly jen investice do obydlí a</w:t>
      </w:r>
      <w:r>
        <w:t> </w:t>
      </w:r>
      <w:r w:rsidRPr="001415D5">
        <w:t xml:space="preserve">ostatních staveb </w:t>
      </w:r>
      <w:r w:rsidRPr="003E0E34">
        <w:t>a</w:t>
      </w:r>
      <w:r>
        <w:t> </w:t>
      </w:r>
      <w:r w:rsidRPr="003E0E34">
        <w:t>budov. Meziroční růst v Česku se držel nad průměrem EU28, který dosáhl 1,4</w:t>
      </w:r>
      <w:r>
        <w:t> %</w:t>
      </w:r>
      <w:r w:rsidRPr="003E0E34">
        <w:t>. Z pohledu mezi</w:t>
      </w:r>
      <w:r w:rsidR="009B72BE">
        <w:t>čtvrtlet</w:t>
      </w:r>
      <w:r w:rsidRPr="003E0E34">
        <w:t xml:space="preserve">ní dynamiky tuzemská ekonomika </w:t>
      </w:r>
      <w:r w:rsidR="009B72BE">
        <w:t xml:space="preserve">sestoupila blíže </w:t>
      </w:r>
      <w:r w:rsidRPr="003E0E34">
        <w:t>Unii (0,3</w:t>
      </w:r>
      <w:r>
        <w:t> </w:t>
      </w:r>
      <w:r w:rsidRPr="003E0E34">
        <w:t>%).</w:t>
      </w:r>
    </w:p>
    <w:p w14:paraId="42A9D24A" w14:textId="77777777" w:rsidR="006E761A" w:rsidRPr="003E0E34" w:rsidRDefault="006E761A" w:rsidP="006E761A">
      <w:pPr>
        <w:pStyle w:val="Normalodrka"/>
        <w:spacing w:after="100"/>
        <w:rPr>
          <w:spacing w:val="2"/>
        </w:rPr>
      </w:pPr>
      <w:r w:rsidRPr="003E0E34">
        <w:rPr>
          <w:spacing w:val="2"/>
        </w:rPr>
        <w:t>Hrubá přidaná hodnota (HPH) se ve 3. čtvrtletí meziročně zvýšila o 2,4 % a</w:t>
      </w:r>
      <w:r>
        <w:rPr>
          <w:spacing w:val="2"/>
        </w:rPr>
        <w:t> </w:t>
      </w:r>
      <w:r w:rsidRPr="003E0E34">
        <w:rPr>
          <w:spacing w:val="2"/>
        </w:rPr>
        <w:t xml:space="preserve">mezičtvrtletně </w:t>
      </w:r>
      <w:r>
        <w:rPr>
          <w:spacing w:val="2"/>
        </w:rPr>
        <w:t>o</w:t>
      </w:r>
      <w:r w:rsidRPr="001415D5">
        <w:rPr>
          <w:spacing w:val="2"/>
        </w:rPr>
        <w:t> </w:t>
      </w:r>
      <w:r>
        <w:rPr>
          <w:spacing w:val="2"/>
        </w:rPr>
        <w:t>0,3</w:t>
      </w:r>
      <w:r w:rsidRPr="001415D5">
        <w:rPr>
          <w:spacing w:val="2"/>
        </w:rPr>
        <w:t> %. Struktura meziroční dynamiky se výrazněji neměnila. I</w:t>
      </w:r>
      <w:r>
        <w:rPr>
          <w:spacing w:val="2"/>
        </w:rPr>
        <w:t> </w:t>
      </w:r>
      <w:r w:rsidRPr="001415D5">
        <w:rPr>
          <w:spacing w:val="2"/>
        </w:rPr>
        <w:t xml:space="preserve">nadále měla největší příspěvek </w:t>
      </w:r>
      <w:r w:rsidRPr="003E0E34">
        <w:rPr>
          <w:spacing w:val="2"/>
        </w:rPr>
        <w:t>(2,0</w:t>
      </w:r>
      <w:r>
        <w:rPr>
          <w:spacing w:val="2"/>
        </w:rPr>
        <w:t> p. b.</w:t>
      </w:r>
      <w:r w:rsidRPr="003E0E34">
        <w:rPr>
          <w:spacing w:val="2"/>
        </w:rPr>
        <w:t>) k růstu odvětví služeb, která čerpala z rostoucí domácí poptávky. Mezi nimi tradičně vynikaly informační a</w:t>
      </w:r>
      <w:r>
        <w:rPr>
          <w:spacing w:val="2"/>
        </w:rPr>
        <w:t> </w:t>
      </w:r>
      <w:r w:rsidRPr="003E0E34">
        <w:rPr>
          <w:spacing w:val="2"/>
        </w:rPr>
        <w:t xml:space="preserve">komunikační </w:t>
      </w:r>
      <w:r>
        <w:rPr>
          <w:spacing w:val="2"/>
        </w:rPr>
        <w:t>činnosti</w:t>
      </w:r>
      <w:r w:rsidRPr="003E0E34">
        <w:rPr>
          <w:spacing w:val="2"/>
        </w:rPr>
        <w:t>, jejichž HPH meziročně rostla o</w:t>
      </w:r>
      <w:r>
        <w:rPr>
          <w:spacing w:val="2"/>
        </w:rPr>
        <w:t> </w:t>
      </w:r>
      <w:r w:rsidRPr="003E0E34">
        <w:rPr>
          <w:spacing w:val="2"/>
        </w:rPr>
        <w:t>8,1</w:t>
      </w:r>
      <w:r>
        <w:rPr>
          <w:spacing w:val="2"/>
        </w:rPr>
        <w:t> %</w:t>
      </w:r>
      <w:r w:rsidRPr="003E0E34">
        <w:rPr>
          <w:spacing w:val="2"/>
        </w:rPr>
        <w:t xml:space="preserve"> a</w:t>
      </w:r>
      <w:r>
        <w:rPr>
          <w:spacing w:val="2"/>
        </w:rPr>
        <w:t> </w:t>
      </w:r>
      <w:r w:rsidRPr="003E0E34">
        <w:rPr>
          <w:spacing w:val="2"/>
        </w:rPr>
        <w:t>k celkovému růstu přispěly 0,4</w:t>
      </w:r>
      <w:r>
        <w:rPr>
          <w:spacing w:val="2"/>
        </w:rPr>
        <w:t> p. b.</w:t>
      </w:r>
      <w:r w:rsidRPr="003E0E34">
        <w:rPr>
          <w:spacing w:val="2"/>
        </w:rPr>
        <w:t xml:space="preserve"> Výkon zpracovatelského průmyslu citelně zvolnil (na 1,0</w:t>
      </w:r>
      <w:r>
        <w:rPr>
          <w:spacing w:val="2"/>
        </w:rPr>
        <w:t> %</w:t>
      </w:r>
      <w:r w:rsidRPr="003E0E34">
        <w:rPr>
          <w:spacing w:val="2"/>
        </w:rPr>
        <w:t>), i</w:t>
      </w:r>
      <w:r>
        <w:rPr>
          <w:spacing w:val="2"/>
        </w:rPr>
        <w:t> </w:t>
      </w:r>
      <w:r w:rsidRPr="003E0E34">
        <w:rPr>
          <w:spacing w:val="2"/>
        </w:rPr>
        <w:t>tak ale</w:t>
      </w:r>
      <w:r>
        <w:rPr>
          <w:spacing w:val="2"/>
        </w:rPr>
        <w:t xml:space="preserve"> </w:t>
      </w:r>
      <w:r w:rsidRPr="003E0E34">
        <w:rPr>
          <w:spacing w:val="2"/>
        </w:rPr>
        <w:t>přispěl k růstu 0,3</w:t>
      </w:r>
      <w:r>
        <w:rPr>
          <w:spacing w:val="2"/>
        </w:rPr>
        <w:t> p. b.</w:t>
      </w:r>
      <w:r w:rsidRPr="003E0E34">
        <w:rPr>
          <w:spacing w:val="2"/>
        </w:rPr>
        <w:t>, naopak ostatní průmyslová odvětví dynamiku HPH brzdila. I</w:t>
      </w:r>
      <w:r>
        <w:rPr>
          <w:spacing w:val="2"/>
        </w:rPr>
        <w:t> </w:t>
      </w:r>
      <w:r w:rsidRPr="003E0E34">
        <w:rPr>
          <w:spacing w:val="2"/>
        </w:rPr>
        <w:t>ve 3</w:t>
      </w:r>
      <w:r>
        <w:rPr>
          <w:spacing w:val="2"/>
        </w:rPr>
        <w:t>. čtvrtlet</w:t>
      </w:r>
      <w:r w:rsidRPr="003E0E34">
        <w:rPr>
          <w:spacing w:val="2"/>
        </w:rPr>
        <w:t>í se dařilo stavebnictví (+4,1</w:t>
      </w:r>
      <w:r>
        <w:rPr>
          <w:spacing w:val="2"/>
        </w:rPr>
        <w:t> %</w:t>
      </w:r>
      <w:r w:rsidRPr="003E0E34">
        <w:rPr>
          <w:spacing w:val="2"/>
        </w:rPr>
        <w:t>), jež tak navázalo na loňské oživení.</w:t>
      </w:r>
    </w:p>
    <w:p w14:paraId="07F54B36" w14:textId="1F930341" w:rsidR="006E761A" w:rsidRPr="001415D5" w:rsidRDefault="006E761A" w:rsidP="006E761A">
      <w:pPr>
        <w:pStyle w:val="Normalodrka"/>
        <w:spacing w:after="100"/>
        <w:rPr>
          <w:spacing w:val="2"/>
        </w:rPr>
      </w:pPr>
      <w:r w:rsidRPr="001415D5">
        <w:rPr>
          <w:spacing w:val="2"/>
        </w:rPr>
        <w:t>Přebytek bilance obchodu se zbožím za 1</w:t>
      </w:r>
      <w:r>
        <w:rPr>
          <w:spacing w:val="2"/>
        </w:rPr>
        <w:t>. </w:t>
      </w:r>
      <w:r w:rsidRPr="001415D5">
        <w:rPr>
          <w:spacing w:val="2"/>
        </w:rPr>
        <w:t>až 3</w:t>
      </w:r>
      <w:r>
        <w:rPr>
          <w:spacing w:val="2"/>
        </w:rPr>
        <w:t>. čtvrtlet</w:t>
      </w:r>
      <w:r w:rsidRPr="001415D5">
        <w:rPr>
          <w:spacing w:val="2"/>
        </w:rPr>
        <w:t>í roku dosáhl 1</w:t>
      </w:r>
      <w:r w:rsidR="00721601">
        <w:rPr>
          <w:spacing w:val="2"/>
        </w:rPr>
        <w:t>36</w:t>
      </w:r>
      <w:r w:rsidRPr="001415D5">
        <w:rPr>
          <w:spacing w:val="2"/>
        </w:rPr>
        <w:t>,</w:t>
      </w:r>
      <w:r w:rsidR="00721601">
        <w:rPr>
          <w:spacing w:val="2"/>
        </w:rPr>
        <w:t>5</w:t>
      </w:r>
      <w:r>
        <w:rPr>
          <w:spacing w:val="2"/>
        </w:rPr>
        <w:t> mld.</w:t>
      </w:r>
      <w:r w:rsidRPr="001415D5">
        <w:rPr>
          <w:spacing w:val="2"/>
        </w:rPr>
        <w:t xml:space="preserve"> korun a</w:t>
      </w:r>
      <w:r>
        <w:rPr>
          <w:spacing w:val="2"/>
        </w:rPr>
        <w:t> </w:t>
      </w:r>
      <w:r w:rsidRPr="001415D5">
        <w:rPr>
          <w:spacing w:val="2"/>
        </w:rPr>
        <w:t>meziročně se zvýšil o</w:t>
      </w:r>
      <w:r>
        <w:rPr>
          <w:spacing w:val="2"/>
        </w:rPr>
        <w:t> </w:t>
      </w:r>
      <w:r w:rsidR="00721601">
        <w:rPr>
          <w:spacing w:val="2"/>
        </w:rPr>
        <w:t>49,9</w:t>
      </w:r>
      <w:r>
        <w:rPr>
          <w:spacing w:val="2"/>
        </w:rPr>
        <w:t> mld.</w:t>
      </w:r>
      <w:r w:rsidRPr="001415D5">
        <w:rPr>
          <w:spacing w:val="2"/>
        </w:rPr>
        <w:t xml:space="preserve"> Velmi příznivý vývoj byl dán kombinací poměrně solidního nárůstu hodnoty vývozu (</w:t>
      </w:r>
      <w:r w:rsidR="00721601">
        <w:rPr>
          <w:spacing w:val="2"/>
        </w:rPr>
        <w:t>3,9</w:t>
      </w:r>
      <w:r>
        <w:rPr>
          <w:spacing w:val="2"/>
        </w:rPr>
        <w:t> %</w:t>
      </w:r>
      <w:r w:rsidRPr="001415D5">
        <w:rPr>
          <w:spacing w:val="2"/>
        </w:rPr>
        <w:t>, 10</w:t>
      </w:r>
      <w:r w:rsidR="00721601">
        <w:rPr>
          <w:spacing w:val="2"/>
        </w:rPr>
        <w:t>5</w:t>
      </w:r>
      <w:r w:rsidRPr="001415D5">
        <w:rPr>
          <w:spacing w:val="2"/>
        </w:rPr>
        <w:t>,</w:t>
      </w:r>
      <w:r w:rsidR="00721601">
        <w:rPr>
          <w:spacing w:val="2"/>
        </w:rPr>
        <w:t>4</w:t>
      </w:r>
      <w:r>
        <w:rPr>
          <w:spacing w:val="2"/>
        </w:rPr>
        <w:t> mld.</w:t>
      </w:r>
      <w:r w:rsidRPr="001415D5">
        <w:rPr>
          <w:spacing w:val="2"/>
        </w:rPr>
        <w:t xml:space="preserve"> korun) a</w:t>
      </w:r>
      <w:r>
        <w:rPr>
          <w:spacing w:val="2"/>
        </w:rPr>
        <w:t> </w:t>
      </w:r>
      <w:r w:rsidRPr="001415D5">
        <w:rPr>
          <w:spacing w:val="2"/>
        </w:rPr>
        <w:t>slábnoucí dynamiky dovozu (2,</w:t>
      </w:r>
      <w:r w:rsidR="00721601">
        <w:rPr>
          <w:spacing w:val="2"/>
        </w:rPr>
        <w:t>2</w:t>
      </w:r>
      <w:r>
        <w:rPr>
          <w:spacing w:val="2"/>
        </w:rPr>
        <w:t> %</w:t>
      </w:r>
      <w:r w:rsidRPr="001415D5">
        <w:rPr>
          <w:spacing w:val="2"/>
        </w:rPr>
        <w:t>, 5</w:t>
      </w:r>
      <w:r w:rsidR="00721601">
        <w:rPr>
          <w:spacing w:val="2"/>
        </w:rPr>
        <w:t>5</w:t>
      </w:r>
      <w:r w:rsidRPr="001415D5">
        <w:rPr>
          <w:spacing w:val="2"/>
        </w:rPr>
        <w:t>,</w:t>
      </w:r>
      <w:r w:rsidR="00721601">
        <w:rPr>
          <w:spacing w:val="2"/>
        </w:rPr>
        <w:t>5</w:t>
      </w:r>
      <w:r>
        <w:rPr>
          <w:spacing w:val="2"/>
        </w:rPr>
        <w:t> mld.</w:t>
      </w:r>
      <w:r w:rsidRPr="001415D5">
        <w:rPr>
          <w:spacing w:val="2"/>
        </w:rPr>
        <w:t>). Ve 3</w:t>
      </w:r>
      <w:r>
        <w:rPr>
          <w:spacing w:val="2"/>
        </w:rPr>
        <w:t>. čtvrtlet</w:t>
      </w:r>
      <w:r w:rsidRPr="001415D5">
        <w:rPr>
          <w:spacing w:val="2"/>
        </w:rPr>
        <w:t>í se tyto rozdíly v dynamice dále prohlubovaly. Ve 3</w:t>
      </w:r>
      <w:r>
        <w:rPr>
          <w:spacing w:val="2"/>
        </w:rPr>
        <w:t>. kvart</w:t>
      </w:r>
      <w:r w:rsidRPr="001415D5">
        <w:rPr>
          <w:spacing w:val="2"/>
        </w:rPr>
        <w:t>álu výrazně posílil vývoz motorových vozidel (15,</w:t>
      </w:r>
      <w:r w:rsidR="00721601">
        <w:rPr>
          <w:spacing w:val="2"/>
        </w:rPr>
        <w:t>3</w:t>
      </w:r>
      <w:r>
        <w:rPr>
          <w:spacing w:val="2"/>
        </w:rPr>
        <w:t> %</w:t>
      </w:r>
      <w:r w:rsidRPr="001415D5">
        <w:rPr>
          <w:spacing w:val="2"/>
        </w:rPr>
        <w:t>). Dařilo se i</w:t>
      </w:r>
      <w:r>
        <w:rPr>
          <w:spacing w:val="2"/>
        </w:rPr>
        <w:t> </w:t>
      </w:r>
      <w:r w:rsidRPr="001415D5">
        <w:rPr>
          <w:spacing w:val="2"/>
        </w:rPr>
        <w:t>exportérům strojů a</w:t>
      </w:r>
      <w:r>
        <w:rPr>
          <w:spacing w:val="2"/>
        </w:rPr>
        <w:t> </w:t>
      </w:r>
      <w:r w:rsidRPr="001415D5">
        <w:rPr>
          <w:spacing w:val="2"/>
        </w:rPr>
        <w:t>zařízení (4,</w:t>
      </w:r>
      <w:r w:rsidR="00721601">
        <w:rPr>
          <w:spacing w:val="2"/>
        </w:rPr>
        <w:t>7</w:t>
      </w:r>
      <w:r>
        <w:rPr>
          <w:spacing w:val="2"/>
        </w:rPr>
        <w:t> %</w:t>
      </w:r>
      <w:r w:rsidRPr="001415D5">
        <w:rPr>
          <w:spacing w:val="2"/>
        </w:rPr>
        <w:t>). Zejména vysoká srovnávací základna měla vliv na pokles hodnoty vývozu počítačů, elektronick</w:t>
      </w:r>
      <w:r>
        <w:rPr>
          <w:spacing w:val="2"/>
        </w:rPr>
        <w:t>ých a optických přístrojů o</w:t>
      </w:r>
      <w:r w:rsidRPr="001415D5">
        <w:rPr>
          <w:spacing w:val="2"/>
        </w:rPr>
        <w:t> </w:t>
      </w:r>
      <w:r>
        <w:rPr>
          <w:spacing w:val="2"/>
        </w:rPr>
        <w:t>6,</w:t>
      </w:r>
      <w:r w:rsidR="00721601">
        <w:rPr>
          <w:spacing w:val="2"/>
        </w:rPr>
        <w:t>0</w:t>
      </w:r>
      <w:r w:rsidRPr="001415D5">
        <w:rPr>
          <w:spacing w:val="2"/>
        </w:rPr>
        <w:t> %.</w:t>
      </w:r>
    </w:p>
    <w:p w14:paraId="6853006D" w14:textId="77777777" w:rsidR="006E761A" w:rsidRPr="003E0E34" w:rsidRDefault="006E761A" w:rsidP="006E761A">
      <w:pPr>
        <w:pStyle w:val="Normalodrka"/>
        <w:spacing w:after="100"/>
        <w:rPr>
          <w:spacing w:val="2"/>
        </w:rPr>
      </w:pPr>
      <w:r w:rsidRPr="003E0E34">
        <w:rPr>
          <w:spacing w:val="2"/>
        </w:rPr>
        <w:t>Meziroční růst cen spotřebitelů ve 3</w:t>
      </w:r>
      <w:r>
        <w:rPr>
          <w:spacing w:val="2"/>
        </w:rPr>
        <w:t>. čtvrtlet</w:t>
      </w:r>
      <w:r w:rsidRPr="003E0E34">
        <w:rPr>
          <w:spacing w:val="2"/>
        </w:rPr>
        <w:t>í dosáhl 2,8</w:t>
      </w:r>
      <w:r>
        <w:rPr>
          <w:spacing w:val="2"/>
        </w:rPr>
        <w:t> %</w:t>
      </w:r>
      <w:r w:rsidRPr="003E0E34">
        <w:rPr>
          <w:spacing w:val="2"/>
        </w:rPr>
        <w:t>. Silně se zvyšovaly ceny bydlení, vody, energií a</w:t>
      </w:r>
      <w:r>
        <w:rPr>
          <w:spacing w:val="2"/>
        </w:rPr>
        <w:t> </w:t>
      </w:r>
      <w:r w:rsidRPr="003E0E34">
        <w:rPr>
          <w:spacing w:val="2"/>
        </w:rPr>
        <w:t>paliv (5,2</w:t>
      </w:r>
      <w:r>
        <w:rPr>
          <w:spacing w:val="2"/>
        </w:rPr>
        <w:t> %</w:t>
      </w:r>
      <w:r w:rsidRPr="003E0E34">
        <w:rPr>
          <w:spacing w:val="2"/>
        </w:rPr>
        <w:t>). Zrychlení se dočkaly ceny potravin, které ve 3</w:t>
      </w:r>
      <w:r>
        <w:rPr>
          <w:spacing w:val="2"/>
        </w:rPr>
        <w:t>. kvart</w:t>
      </w:r>
      <w:r w:rsidRPr="003E0E34">
        <w:rPr>
          <w:spacing w:val="2"/>
        </w:rPr>
        <w:t>álu meziročně narostly o</w:t>
      </w:r>
      <w:r>
        <w:rPr>
          <w:spacing w:val="2"/>
        </w:rPr>
        <w:t> </w:t>
      </w:r>
      <w:r w:rsidRPr="003E0E34">
        <w:rPr>
          <w:spacing w:val="2"/>
        </w:rPr>
        <w:t>3,5 %. Výrazněji se zvyšovaly ceny služeb (3,9</w:t>
      </w:r>
      <w:r>
        <w:rPr>
          <w:spacing w:val="2"/>
        </w:rPr>
        <w:t> %</w:t>
      </w:r>
      <w:r w:rsidRPr="003E0E34">
        <w:rPr>
          <w:spacing w:val="2"/>
        </w:rPr>
        <w:t>) než zboží (2,3</w:t>
      </w:r>
      <w:r>
        <w:rPr>
          <w:spacing w:val="2"/>
        </w:rPr>
        <w:t> %</w:t>
      </w:r>
      <w:r w:rsidRPr="003E0E34">
        <w:rPr>
          <w:spacing w:val="2"/>
        </w:rPr>
        <w:t>), což lze vysvětlit silným růstem mezd, které mají v nákladech na služby velkou váhu. Mzdový vývoj se projevoval i</w:t>
      </w:r>
      <w:r>
        <w:rPr>
          <w:spacing w:val="2"/>
        </w:rPr>
        <w:t> </w:t>
      </w:r>
      <w:r w:rsidRPr="003E0E34">
        <w:rPr>
          <w:spacing w:val="2"/>
        </w:rPr>
        <w:t>v cenách tržních služeb, jejichž meziroční dynamika zrychlila na 2,7</w:t>
      </w:r>
      <w:r>
        <w:rPr>
          <w:spacing w:val="2"/>
        </w:rPr>
        <w:t> %</w:t>
      </w:r>
      <w:r w:rsidRPr="003E0E34">
        <w:rPr>
          <w:spacing w:val="2"/>
        </w:rPr>
        <w:t>. Vývoj cen výrobců byl značně ovlivněn meziročním poklesem cen ropy. Meziroční přírůstek domácích cen výrobců zpomalil na 2,0</w:t>
      </w:r>
      <w:r>
        <w:rPr>
          <w:spacing w:val="2"/>
        </w:rPr>
        <w:t> %</w:t>
      </w:r>
      <w:r w:rsidRPr="003E0E34">
        <w:rPr>
          <w:spacing w:val="2"/>
        </w:rPr>
        <w:t>, v EU ceny klesly.</w:t>
      </w:r>
    </w:p>
    <w:p w14:paraId="53443D13" w14:textId="77777777" w:rsidR="006E761A" w:rsidRPr="003E0E34" w:rsidRDefault="006E761A" w:rsidP="006E761A">
      <w:pPr>
        <w:pStyle w:val="Normalodrka"/>
        <w:spacing w:after="100"/>
        <w:rPr>
          <w:spacing w:val="2"/>
        </w:rPr>
      </w:pPr>
      <w:r w:rsidRPr="003E0E34">
        <w:rPr>
          <w:spacing w:val="-2"/>
        </w:rPr>
        <w:t>Meziroční růst celkové zaměstnanosti</w:t>
      </w:r>
      <w:r w:rsidRPr="003E0E34">
        <w:rPr>
          <w:rStyle w:val="Znakapoznpodarou"/>
          <w:spacing w:val="-2"/>
        </w:rPr>
        <w:footnoteReference w:id="2"/>
      </w:r>
      <w:r w:rsidRPr="003E0E34">
        <w:rPr>
          <w:spacing w:val="-2"/>
        </w:rPr>
        <w:t xml:space="preserve"> ve 3. čtvrtletí dále zpomalil na 0,6 %. V porovnání s předchozím kvartálem došlo k poklesu o</w:t>
      </w:r>
      <w:r>
        <w:rPr>
          <w:spacing w:val="-2"/>
        </w:rPr>
        <w:t> </w:t>
      </w:r>
      <w:r w:rsidRPr="003E0E34">
        <w:rPr>
          <w:spacing w:val="-2"/>
        </w:rPr>
        <w:t>0,2</w:t>
      </w:r>
      <w:r>
        <w:rPr>
          <w:spacing w:val="-2"/>
        </w:rPr>
        <w:t> %</w:t>
      </w:r>
      <w:r w:rsidRPr="003E0E34">
        <w:rPr>
          <w:spacing w:val="-2"/>
        </w:rPr>
        <w:t>. Jedním z důvodů byl i</w:t>
      </w:r>
      <w:r>
        <w:rPr>
          <w:spacing w:val="-2"/>
        </w:rPr>
        <w:t> </w:t>
      </w:r>
      <w:r w:rsidRPr="003E0E34">
        <w:rPr>
          <w:spacing w:val="-2"/>
        </w:rPr>
        <w:t>vývoj v průmyslu, kde zaměstnanost poprvé od roku 2013 meziročně klesla. I</w:t>
      </w:r>
      <w:r>
        <w:rPr>
          <w:spacing w:val="-2"/>
        </w:rPr>
        <w:t> </w:t>
      </w:r>
      <w:r w:rsidRPr="003E0E34">
        <w:rPr>
          <w:spacing w:val="-2"/>
        </w:rPr>
        <w:t>tak zůstal nedostatek pracovníků významnou bariérou růstu napříč odvětvími. Míra nezaměstnanosti zůstala stabilizována na historických minimech, stále však ubývalo dlouhodobě nezaměstnaných. Pod 100 tis. se dostal počet ekonomicky neaktivních osob, které ale chtěly pracovat, což svědčí o</w:t>
      </w:r>
      <w:r>
        <w:rPr>
          <w:spacing w:val="-2"/>
        </w:rPr>
        <w:t> </w:t>
      </w:r>
      <w:r w:rsidRPr="003E0E34">
        <w:rPr>
          <w:spacing w:val="-2"/>
        </w:rPr>
        <w:t>ochotě podniků využít dalších potenciálních zdroj</w:t>
      </w:r>
      <w:r>
        <w:rPr>
          <w:spacing w:val="-2"/>
        </w:rPr>
        <w:t>ů</w:t>
      </w:r>
      <w:r w:rsidRPr="003E0E34">
        <w:rPr>
          <w:spacing w:val="-2"/>
        </w:rPr>
        <w:t xml:space="preserve"> pracovní síly. Průměrná hrubá měsíční mzda ve 3</w:t>
      </w:r>
      <w:r>
        <w:rPr>
          <w:spacing w:val="-2"/>
        </w:rPr>
        <w:t>. čtvrtlet</w:t>
      </w:r>
      <w:r w:rsidRPr="003E0E34">
        <w:rPr>
          <w:spacing w:val="-2"/>
        </w:rPr>
        <w:t>í meziročně vzrostla o</w:t>
      </w:r>
      <w:r>
        <w:rPr>
          <w:spacing w:val="-2"/>
        </w:rPr>
        <w:t> </w:t>
      </w:r>
      <w:r w:rsidRPr="003E0E34">
        <w:rPr>
          <w:spacing w:val="-2"/>
        </w:rPr>
        <w:t>6,9</w:t>
      </w:r>
      <w:r>
        <w:rPr>
          <w:spacing w:val="-2"/>
        </w:rPr>
        <w:t> %</w:t>
      </w:r>
      <w:r w:rsidRPr="003E0E34">
        <w:rPr>
          <w:spacing w:val="-2"/>
        </w:rPr>
        <w:t>. Mírné zpomalení mělo původ v průmyslu, stavebnictví i</w:t>
      </w:r>
      <w:r>
        <w:rPr>
          <w:spacing w:val="-2"/>
        </w:rPr>
        <w:t> </w:t>
      </w:r>
      <w:r w:rsidRPr="003E0E34">
        <w:rPr>
          <w:spacing w:val="-2"/>
        </w:rPr>
        <w:t>odvětví veřejné správy a</w:t>
      </w:r>
      <w:r>
        <w:rPr>
          <w:spacing w:val="-2"/>
        </w:rPr>
        <w:t> </w:t>
      </w:r>
      <w:r w:rsidRPr="003E0E34">
        <w:rPr>
          <w:spacing w:val="-2"/>
        </w:rPr>
        <w:t>obrany.</w:t>
      </w:r>
    </w:p>
    <w:p w14:paraId="7BE7D5D2" w14:textId="77777777" w:rsidR="006E761A" w:rsidRPr="003E0E34" w:rsidRDefault="006E761A" w:rsidP="006E761A">
      <w:pPr>
        <w:pStyle w:val="Normalodrka"/>
        <w:spacing w:after="100"/>
      </w:pPr>
      <w:r w:rsidRPr="003E0E34">
        <w:t>Nastavení základních měnověpolitických sazeb se ve 3</w:t>
      </w:r>
      <w:r>
        <w:t>. čtvrtlet</w:t>
      </w:r>
      <w:r w:rsidRPr="003E0E34">
        <w:t>í neměnilo. Nadále pokračoval příliv peněžní zásoby na vklady s dohodnutou splatností, jejichž úročení se od začátku roku zvyšovalo. Vývoj poptávky po úvěrech odráží zpomalení ekonomiky. Zpomaloval růst zadlužení domácností i</w:t>
      </w:r>
      <w:r w:rsidRPr="003E0E34">
        <w:rPr>
          <w:spacing w:val="-2"/>
        </w:rPr>
        <w:t> </w:t>
      </w:r>
      <w:r w:rsidRPr="003E0E34">
        <w:t>objemu úvěrů a</w:t>
      </w:r>
      <w:r>
        <w:t> </w:t>
      </w:r>
      <w:r w:rsidRPr="003E0E34">
        <w:t>pohledávek nefinančních podniků.</w:t>
      </w:r>
    </w:p>
    <w:p w14:paraId="0802C3EA" w14:textId="77777777" w:rsidR="006E761A" w:rsidRPr="003E0E34" w:rsidRDefault="006E761A" w:rsidP="006E761A">
      <w:pPr>
        <w:pStyle w:val="Normalodrka"/>
        <w:spacing w:after="0"/>
      </w:pPr>
      <w:r w:rsidRPr="003E0E34">
        <w:t>Deficit státního rozpočtu za 1</w:t>
      </w:r>
      <w:r>
        <w:t>. </w:t>
      </w:r>
      <w:r w:rsidRPr="003E0E34">
        <w:t>až 3</w:t>
      </w:r>
      <w:r>
        <w:t>. čtvrtlet</w:t>
      </w:r>
      <w:r w:rsidRPr="003E0E34">
        <w:t>í 2019 dosáhl 21,0</w:t>
      </w:r>
      <w:r>
        <w:t> mld.</w:t>
      </w:r>
      <w:r w:rsidRPr="003E0E34">
        <w:t xml:space="preserve"> korun. Meziroční zhoršení salda bylo způsobeno zejména silným růstem spotřebních i</w:t>
      </w:r>
      <w:r>
        <w:t> </w:t>
      </w:r>
      <w:r w:rsidRPr="003E0E34">
        <w:t>investičních výdajů a</w:t>
      </w:r>
      <w:r>
        <w:t> </w:t>
      </w:r>
      <w:r w:rsidRPr="003E0E34">
        <w:t>mírným zpomalením dynamiky výběru některých váhově významných daní. K růstu kapitálových výdajů přispívalo rychlejší čerpání prostředků z EU, resp. investice do dopravní infrastruktury. Běžné výdaje posilovalo zvýšení objemu vyplacených sociálních dávek (starobní důchody i</w:t>
      </w:r>
      <w:r>
        <w:t> </w:t>
      </w:r>
      <w:r w:rsidRPr="003E0E34">
        <w:t>nemocenské dávky) i</w:t>
      </w:r>
      <w:r>
        <w:t> </w:t>
      </w:r>
      <w:r w:rsidRPr="003E0E34">
        <w:t>vyšší částka směřující na platy. Výše státního dluhu na konci 3</w:t>
      </w:r>
      <w:r>
        <w:t>. čtvrtlet</w:t>
      </w:r>
      <w:r w:rsidRPr="003E0E34">
        <w:t>í činila 1 685</w:t>
      </w:r>
      <w:r>
        <w:t> mld.</w:t>
      </w:r>
      <w:r w:rsidRPr="003E0E34">
        <w:t xml:space="preserve"> korun a</w:t>
      </w:r>
      <w:r>
        <w:t> </w:t>
      </w:r>
      <w:r w:rsidRPr="003E0E34">
        <w:t>meziročně se významně neměnila (+0,8</w:t>
      </w:r>
      <w:r>
        <w:t> </w:t>
      </w:r>
      <w:r w:rsidRPr="003E0E34">
        <w:t>%).</w:t>
      </w:r>
      <w:bookmarkStart w:id="3" w:name="_GoBack"/>
      <w:bookmarkEnd w:id="0"/>
      <w:bookmarkEnd w:id="1"/>
      <w:bookmarkEnd w:id="2"/>
      <w:bookmarkEnd w:id="3"/>
    </w:p>
    <w:sectPr w:rsidR="006E761A" w:rsidRPr="003E0E34" w:rsidSect="00802833">
      <w:headerReference w:type="even" r:id="rId9"/>
      <w:headerReference w:type="default" r:id="rId10"/>
      <w:footerReference w:type="even" r:id="rId11"/>
      <w:footerReference w:type="default" r:id="rId12"/>
      <w:pgSz w:w="11906" w:h="16838" w:code="9"/>
      <w:pgMar w:top="1134" w:right="1134" w:bottom="1418" w:left="1134" w:header="680" w:footer="737"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A2D8F" w16cid:durableId="2195E0BF"/>
  <w16cid:commentId w16cid:paraId="3523D2E1" w16cid:durableId="2195E582"/>
  <w16cid:commentId w16cid:paraId="4A463A0C" w16cid:durableId="2195EAA7"/>
  <w16cid:commentId w16cid:paraId="7AE114DF" w16cid:durableId="2197F4F7"/>
  <w16cid:commentId w16cid:paraId="193E8431" w16cid:durableId="2196655C"/>
  <w16cid:commentId w16cid:paraId="5C5C0950" w16cid:durableId="21988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47F2" w14:textId="77777777" w:rsidR="00F001F3" w:rsidRDefault="00F001F3" w:rsidP="00E71A58">
      <w:r>
        <w:separator/>
      </w:r>
    </w:p>
  </w:endnote>
  <w:endnote w:type="continuationSeparator" w:id="0">
    <w:p w14:paraId="23E092BF" w14:textId="77777777" w:rsidR="00F001F3" w:rsidRDefault="00F001F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5C59C0D3" w:rsidR="005810E1" w:rsidRPr="00932443" w:rsidRDefault="005810E1"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02833">
      <w:rPr>
        <w:szCs w:val="16"/>
      </w:rPr>
      <w:t>4</w:t>
    </w:r>
    <w:r w:rsidRPr="00932443">
      <w:rPr>
        <w:szCs w:val="16"/>
      </w:rPr>
      <w:fldChar w:fldCharType="end"/>
    </w:r>
    <w:r w:rsidRPr="00932443">
      <w:rPr>
        <w:szCs w:val="16"/>
      </w:rPr>
      <w:tab/>
    </w:r>
    <w:r>
      <w:rPr>
        <w:szCs w:val="16"/>
      </w:rPr>
      <w:t>1. až 3.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5C28A7C7" w:rsidR="005810E1" w:rsidRPr="00932443" w:rsidRDefault="005810E1" w:rsidP="00FA6CB6">
    <w:pPr>
      <w:pStyle w:val="Zpat"/>
      <w:rPr>
        <w:szCs w:val="16"/>
      </w:rPr>
    </w:pPr>
    <w:r w:rsidRPr="00FA6CB6">
      <w:rPr>
        <w:szCs w:val="16"/>
      </w:rPr>
      <w:tab/>
      <w:t>1</w:t>
    </w:r>
    <w:r>
      <w:rPr>
        <w:szCs w:val="16"/>
      </w:rPr>
      <w:t>.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až 3. 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02833">
      <w:rPr>
        <w:rStyle w:val="ZpatChar"/>
        <w:szCs w:val="16"/>
      </w:rPr>
      <w:t>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849CD" w14:textId="77777777" w:rsidR="00F001F3" w:rsidRDefault="00F001F3" w:rsidP="00A21B4D">
      <w:pPr>
        <w:spacing w:after="0"/>
      </w:pPr>
      <w:r>
        <w:separator/>
      </w:r>
    </w:p>
  </w:footnote>
  <w:footnote w:type="continuationSeparator" w:id="0">
    <w:p w14:paraId="16A98B7A" w14:textId="77777777" w:rsidR="00F001F3" w:rsidRDefault="00F001F3" w:rsidP="00E71A58">
      <w:r>
        <w:continuationSeparator/>
      </w:r>
    </w:p>
  </w:footnote>
  <w:footnote w:id="1">
    <w:p w14:paraId="6D22ADC3" w14:textId="77777777" w:rsidR="005810E1" w:rsidRPr="00B82076" w:rsidRDefault="005810E1" w:rsidP="006E761A">
      <w:pPr>
        <w:pStyle w:val="Textpoznpodarou"/>
        <w:rPr>
          <w:spacing w:val="-2"/>
          <w:sz w:val="16"/>
          <w:szCs w:val="16"/>
        </w:rPr>
      </w:pPr>
      <w:r w:rsidRPr="00B82076">
        <w:rPr>
          <w:rStyle w:val="Znakapoznpodarou"/>
          <w:spacing w:val="-2"/>
          <w:sz w:val="16"/>
          <w:szCs w:val="16"/>
        </w:rPr>
        <w:footnoteRef/>
      </w:r>
      <w:r w:rsidRPr="00B82076">
        <w:rPr>
          <w:spacing w:val="-2"/>
          <w:sz w:val="16"/>
          <w:szCs w:val="16"/>
        </w:rPr>
        <w:t xml:space="preserve"> Data o HDP, hrubé přidané hodnotě a jejich složkách jsou vyjádřena ve stálých cenách a v očištění o sezónní a kalendářní vlivy.</w:t>
      </w:r>
    </w:p>
  </w:footnote>
  <w:footnote w:id="2">
    <w:p w14:paraId="66711629" w14:textId="77777777" w:rsidR="005810E1" w:rsidRPr="00B4223A" w:rsidRDefault="005810E1" w:rsidP="006E761A">
      <w:pPr>
        <w:pStyle w:val="Textpoznpodarou"/>
        <w:jc w:val="both"/>
        <w:rPr>
          <w:sz w:val="16"/>
          <w:szCs w:val="16"/>
        </w:rPr>
      </w:pPr>
      <w:r w:rsidRPr="00B82076">
        <w:rPr>
          <w:rStyle w:val="Znakapoznpodarou"/>
          <w:spacing w:val="-2"/>
          <w:sz w:val="16"/>
          <w:szCs w:val="16"/>
        </w:rPr>
        <w:footnoteRef/>
      </w:r>
      <w:r w:rsidRPr="00B82076">
        <w:rPr>
          <w:spacing w:val="-2"/>
          <w:sz w:val="16"/>
          <w:szCs w:val="16"/>
        </w:rPr>
        <w:t xml:space="preserve"> Údaje o zaměstnanosti jsou uvedeny v pojetí národních účtů a očištěny o sezónní vlivy.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810E1" w:rsidRDefault="005810E1" w:rsidP="00937AE2">
    <w:pPr>
      <w:pStyle w:val="Zhlav"/>
    </w:pPr>
    <w:r>
      <w:t>Vývoj ekonomiky České republiky</w:t>
    </w:r>
  </w:p>
  <w:p w14:paraId="675E4C41" w14:textId="77777777" w:rsidR="005810E1" w:rsidRPr="006F5416" w:rsidRDefault="005810E1"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810E1" w:rsidRDefault="005810E1" w:rsidP="00937AE2">
    <w:pPr>
      <w:pStyle w:val="Zhlav"/>
    </w:pPr>
    <w:r>
      <w:t>Vývoj ekonomiky České republiky</w:t>
    </w:r>
  </w:p>
  <w:p w14:paraId="0CDCFD48" w14:textId="77777777" w:rsidR="005810E1" w:rsidRPr="006F5416" w:rsidRDefault="005810E1"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66558"/>
    <w:rsid w:val="00070A87"/>
    <w:rsid w:val="000712B3"/>
    <w:rsid w:val="00072FF5"/>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6D94"/>
    <w:rsid w:val="000A7377"/>
    <w:rsid w:val="000B03CC"/>
    <w:rsid w:val="000B4212"/>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86BA9"/>
    <w:rsid w:val="0019196C"/>
    <w:rsid w:val="00192F05"/>
    <w:rsid w:val="00194729"/>
    <w:rsid w:val="00194850"/>
    <w:rsid w:val="00195234"/>
    <w:rsid w:val="00196016"/>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0D9"/>
    <w:rsid w:val="0027025F"/>
    <w:rsid w:val="002709CC"/>
    <w:rsid w:val="00271022"/>
    <w:rsid w:val="00271465"/>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B1619"/>
    <w:rsid w:val="002B3EF4"/>
    <w:rsid w:val="002B4845"/>
    <w:rsid w:val="002B5567"/>
    <w:rsid w:val="002B72AA"/>
    <w:rsid w:val="002C1F09"/>
    <w:rsid w:val="002C22A4"/>
    <w:rsid w:val="002C260B"/>
    <w:rsid w:val="002C27A6"/>
    <w:rsid w:val="002C398D"/>
    <w:rsid w:val="002C40D2"/>
    <w:rsid w:val="002C43BD"/>
    <w:rsid w:val="002C5245"/>
    <w:rsid w:val="002C59D8"/>
    <w:rsid w:val="002D05CB"/>
    <w:rsid w:val="002D0E59"/>
    <w:rsid w:val="002D2C4F"/>
    <w:rsid w:val="002D455C"/>
    <w:rsid w:val="002E02A1"/>
    <w:rsid w:val="002E196A"/>
    <w:rsid w:val="002E20C7"/>
    <w:rsid w:val="002E20CD"/>
    <w:rsid w:val="002E222E"/>
    <w:rsid w:val="002E28D8"/>
    <w:rsid w:val="002E37D1"/>
    <w:rsid w:val="002E3BEE"/>
    <w:rsid w:val="002E4E4C"/>
    <w:rsid w:val="002E4EA7"/>
    <w:rsid w:val="002E5846"/>
    <w:rsid w:val="002E792B"/>
    <w:rsid w:val="002F1B09"/>
    <w:rsid w:val="002F1DCB"/>
    <w:rsid w:val="002F1DE4"/>
    <w:rsid w:val="002F333D"/>
    <w:rsid w:val="002F351A"/>
    <w:rsid w:val="002F46D6"/>
    <w:rsid w:val="002F498A"/>
    <w:rsid w:val="002F4AD8"/>
    <w:rsid w:val="002F5285"/>
    <w:rsid w:val="002F5820"/>
    <w:rsid w:val="00300C31"/>
    <w:rsid w:val="00304771"/>
    <w:rsid w:val="003052D4"/>
    <w:rsid w:val="00306C5B"/>
    <w:rsid w:val="00307529"/>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3CD0"/>
    <w:rsid w:val="0033448D"/>
    <w:rsid w:val="00334AD2"/>
    <w:rsid w:val="0033709C"/>
    <w:rsid w:val="003370C5"/>
    <w:rsid w:val="00340BF3"/>
    <w:rsid w:val="00341D26"/>
    <w:rsid w:val="00341F05"/>
    <w:rsid w:val="0034335E"/>
    <w:rsid w:val="00344668"/>
    <w:rsid w:val="003462D9"/>
    <w:rsid w:val="0034723F"/>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5525"/>
    <w:rsid w:val="003A5889"/>
    <w:rsid w:val="003A6B38"/>
    <w:rsid w:val="003A6B83"/>
    <w:rsid w:val="003A6C97"/>
    <w:rsid w:val="003A722F"/>
    <w:rsid w:val="003A7373"/>
    <w:rsid w:val="003B039F"/>
    <w:rsid w:val="003B0DF4"/>
    <w:rsid w:val="003B1F9D"/>
    <w:rsid w:val="003B2AD1"/>
    <w:rsid w:val="003B2D2E"/>
    <w:rsid w:val="003B461F"/>
    <w:rsid w:val="003B483F"/>
    <w:rsid w:val="003B4998"/>
    <w:rsid w:val="003B5A32"/>
    <w:rsid w:val="003B7B50"/>
    <w:rsid w:val="003C0B07"/>
    <w:rsid w:val="003C2CE7"/>
    <w:rsid w:val="003C3490"/>
    <w:rsid w:val="003C3608"/>
    <w:rsid w:val="003C3D2C"/>
    <w:rsid w:val="003C4E13"/>
    <w:rsid w:val="003C6221"/>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A58"/>
    <w:rsid w:val="004331C3"/>
    <w:rsid w:val="00434617"/>
    <w:rsid w:val="00435051"/>
    <w:rsid w:val="00435C69"/>
    <w:rsid w:val="004360FB"/>
    <w:rsid w:val="00437CED"/>
    <w:rsid w:val="004407BF"/>
    <w:rsid w:val="00440900"/>
    <w:rsid w:val="0044121D"/>
    <w:rsid w:val="00441BF6"/>
    <w:rsid w:val="00441D2B"/>
    <w:rsid w:val="004441A0"/>
    <w:rsid w:val="00445861"/>
    <w:rsid w:val="00445A8E"/>
    <w:rsid w:val="00446D44"/>
    <w:rsid w:val="0045078A"/>
    <w:rsid w:val="0045086D"/>
    <w:rsid w:val="00450DAB"/>
    <w:rsid w:val="00451EF1"/>
    <w:rsid w:val="00452E60"/>
    <w:rsid w:val="0045321B"/>
    <w:rsid w:val="00456FE5"/>
    <w:rsid w:val="00457490"/>
    <w:rsid w:val="00457953"/>
    <w:rsid w:val="00460656"/>
    <w:rsid w:val="00460FB3"/>
    <w:rsid w:val="00464851"/>
    <w:rsid w:val="0046746A"/>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3E85"/>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6468"/>
    <w:rsid w:val="004B6EF8"/>
    <w:rsid w:val="004B7125"/>
    <w:rsid w:val="004B756A"/>
    <w:rsid w:val="004B7FB1"/>
    <w:rsid w:val="004C0B3F"/>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622E"/>
    <w:rsid w:val="00597BBF"/>
    <w:rsid w:val="005A0948"/>
    <w:rsid w:val="005A10F2"/>
    <w:rsid w:val="005A21E0"/>
    <w:rsid w:val="005A28FF"/>
    <w:rsid w:val="005A2C09"/>
    <w:rsid w:val="005A3778"/>
    <w:rsid w:val="005A3DF8"/>
    <w:rsid w:val="005A5549"/>
    <w:rsid w:val="005A7CF8"/>
    <w:rsid w:val="005B0EDA"/>
    <w:rsid w:val="005B121D"/>
    <w:rsid w:val="005B26B0"/>
    <w:rsid w:val="005B41C9"/>
    <w:rsid w:val="005B4853"/>
    <w:rsid w:val="005B6CA1"/>
    <w:rsid w:val="005B770C"/>
    <w:rsid w:val="005C06ED"/>
    <w:rsid w:val="005C11B8"/>
    <w:rsid w:val="005C2609"/>
    <w:rsid w:val="005C2B30"/>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EC9"/>
    <w:rsid w:val="00662469"/>
    <w:rsid w:val="00664205"/>
    <w:rsid w:val="00664647"/>
    <w:rsid w:val="00664803"/>
    <w:rsid w:val="006653CC"/>
    <w:rsid w:val="00665982"/>
    <w:rsid w:val="00665BA4"/>
    <w:rsid w:val="00666BF3"/>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AA0"/>
    <w:rsid w:val="00706AD4"/>
    <w:rsid w:val="00707150"/>
    <w:rsid w:val="007124D7"/>
    <w:rsid w:val="00712C20"/>
    <w:rsid w:val="00713549"/>
    <w:rsid w:val="007140BE"/>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1E9"/>
    <w:rsid w:val="00766460"/>
    <w:rsid w:val="00767062"/>
    <w:rsid w:val="00767777"/>
    <w:rsid w:val="00771972"/>
    <w:rsid w:val="00772279"/>
    <w:rsid w:val="00772DAB"/>
    <w:rsid w:val="00772FF9"/>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0E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2833"/>
    <w:rsid w:val="00803008"/>
    <w:rsid w:val="00803069"/>
    <w:rsid w:val="00804155"/>
    <w:rsid w:val="00805AF3"/>
    <w:rsid w:val="0080734C"/>
    <w:rsid w:val="00807C82"/>
    <w:rsid w:val="008117CC"/>
    <w:rsid w:val="00813D58"/>
    <w:rsid w:val="00813DCA"/>
    <w:rsid w:val="008161A6"/>
    <w:rsid w:val="008165B8"/>
    <w:rsid w:val="00816905"/>
    <w:rsid w:val="00816D98"/>
    <w:rsid w:val="00817040"/>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7127"/>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4068"/>
    <w:rsid w:val="009640F6"/>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923"/>
    <w:rsid w:val="00975909"/>
    <w:rsid w:val="00977C3D"/>
    <w:rsid w:val="00980D3D"/>
    <w:rsid w:val="0098103E"/>
    <w:rsid w:val="00983101"/>
    <w:rsid w:val="00983E4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EBB"/>
    <w:rsid w:val="009D3ACD"/>
    <w:rsid w:val="009D4F21"/>
    <w:rsid w:val="009D587D"/>
    <w:rsid w:val="009D7731"/>
    <w:rsid w:val="009E1120"/>
    <w:rsid w:val="009E1393"/>
    <w:rsid w:val="009E1922"/>
    <w:rsid w:val="009E1A3D"/>
    <w:rsid w:val="009E4715"/>
    <w:rsid w:val="009E5273"/>
    <w:rsid w:val="009E57A8"/>
    <w:rsid w:val="009E5B85"/>
    <w:rsid w:val="009E5DDB"/>
    <w:rsid w:val="009F2921"/>
    <w:rsid w:val="009F4982"/>
    <w:rsid w:val="009F4CA7"/>
    <w:rsid w:val="009F55BA"/>
    <w:rsid w:val="009F7D36"/>
    <w:rsid w:val="00A00E71"/>
    <w:rsid w:val="00A0306F"/>
    <w:rsid w:val="00A03B10"/>
    <w:rsid w:val="00A03E2E"/>
    <w:rsid w:val="00A04616"/>
    <w:rsid w:val="00A04717"/>
    <w:rsid w:val="00A05EE4"/>
    <w:rsid w:val="00A06F99"/>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3E0"/>
    <w:rsid w:val="00A23E43"/>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60AC1"/>
    <w:rsid w:val="00A626FF"/>
    <w:rsid w:val="00A62CE1"/>
    <w:rsid w:val="00A65469"/>
    <w:rsid w:val="00A65528"/>
    <w:rsid w:val="00A655D3"/>
    <w:rsid w:val="00A662D9"/>
    <w:rsid w:val="00A6741E"/>
    <w:rsid w:val="00A7016A"/>
    <w:rsid w:val="00A7018D"/>
    <w:rsid w:val="00A7191D"/>
    <w:rsid w:val="00A722F9"/>
    <w:rsid w:val="00A72D42"/>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34F9"/>
    <w:rsid w:val="00A940E3"/>
    <w:rsid w:val="00A95F1A"/>
    <w:rsid w:val="00A96116"/>
    <w:rsid w:val="00A9614E"/>
    <w:rsid w:val="00A96C0F"/>
    <w:rsid w:val="00AA0E80"/>
    <w:rsid w:val="00AA17CD"/>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216"/>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201A"/>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10"/>
    <w:rsid w:val="00C755F9"/>
    <w:rsid w:val="00C770C9"/>
    <w:rsid w:val="00C8174E"/>
    <w:rsid w:val="00C82191"/>
    <w:rsid w:val="00C83134"/>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205"/>
    <w:rsid w:val="00CF4908"/>
    <w:rsid w:val="00CF51EC"/>
    <w:rsid w:val="00CF545D"/>
    <w:rsid w:val="00CF5873"/>
    <w:rsid w:val="00CF73AE"/>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AD6"/>
    <w:rsid w:val="00D35BBB"/>
    <w:rsid w:val="00D35E1A"/>
    <w:rsid w:val="00D36B0A"/>
    <w:rsid w:val="00D36DFB"/>
    <w:rsid w:val="00D36E1C"/>
    <w:rsid w:val="00D373AF"/>
    <w:rsid w:val="00D40556"/>
    <w:rsid w:val="00D41F74"/>
    <w:rsid w:val="00D43ED2"/>
    <w:rsid w:val="00D50F46"/>
    <w:rsid w:val="00D5384E"/>
    <w:rsid w:val="00D544E7"/>
    <w:rsid w:val="00D5499F"/>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321D"/>
    <w:rsid w:val="00DB459B"/>
    <w:rsid w:val="00DB47FD"/>
    <w:rsid w:val="00DB5E9A"/>
    <w:rsid w:val="00DB657E"/>
    <w:rsid w:val="00DB7342"/>
    <w:rsid w:val="00DC17D0"/>
    <w:rsid w:val="00DC2B41"/>
    <w:rsid w:val="00DC3128"/>
    <w:rsid w:val="00DC435B"/>
    <w:rsid w:val="00DC53D8"/>
    <w:rsid w:val="00DC56FE"/>
    <w:rsid w:val="00DC5B3B"/>
    <w:rsid w:val="00DC6C2D"/>
    <w:rsid w:val="00DC7B1A"/>
    <w:rsid w:val="00DD04B0"/>
    <w:rsid w:val="00DD129F"/>
    <w:rsid w:val="00DD1A3F"/>
    <w:rsid w:val="00DD29B5"/>
    <w:rsid w:val="00DD32DD"/>
    <w:rsid w:val="00DD5287"/>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53F9"/>
    <w:rsid w:val="00E45D7D"/>
    <w:rsid w:val="00E4623F"/>
    <w:rsid w:val="00E4665D"/>
    <w:rsid w:val="00E47854"/>
    <w:rsid w:val="00E47EBA"/>
    <w:rsid w:val="00E50156"/>
    <w:rsid w:val="00E5076C"/>
    <w:rsid w:val="00E50D2E"/>
    <w:rsid w:val="00E50D7D"/>
    <w:rsid w:val="00E53470"/>
    <w:rsid w:val="00E539F6"/>
    <w:rsid w:val="00E54698"/>
    <w:rsid w:val="00E54FB4"/>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01F3"/>
    <w:rsid w:val="00F00866"/>
    <w:rsid w:val="00F0160B"/>
    <w:rsid w:val="00F0193E"/>
    <w:rsid w:val="00F03F8D"/>
    <w:rsid w:val="00F04811"/>
    <w:rsid w:val="00F0488C"/>
    <w:rsid w:val="00F073ED"/>
    <w:rsid w:val="00F07C4C"/>
    <w:rsid w:val="00F10F11"/>
    <w:rsid w:val="00F11159"/>
    <w:rsid w:val="00F115E4"/>
    <w:rsid w:val="00F12CFB"/>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36"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BF79-D87F-4048-B981-EAF8DE1D0D37}">
  <ds:schemaRefs>
    <ds:schemaRef ds:uri="http://schemas.openxmlformats.org/officeDocument/2006/bibliography"/>
  </ds:schemaRefs>
</ds:datastoreItem>
</file>

<file path=customXml/itemProps2.xml><?xml version="1.0" encoding="utf-8"?>
<ds:datastoreItem xmlns:ds="http://schemas.openxmlformats.org/officeDocument/2006/customXml" ds:itemID="{C23D726E-8273-4F69-97FF-965AD7CF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46</TotalTime>
  <Pages>1</Pages>
  <Words>618</Words>
  <Characters>3647</Characters>
  <Application>Microsoft Office Word</Application>
  <DocSecurity>0</DocSecurity>
  <Lines>30</Lines>
  <Paragraphs>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4257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14</cp:revision>
  <cp:lastPrinted>2019-04-08T10:52:00Z</cp:lastPrinted>
  <dcterms:created xsi:type="dcterms:W3CDTF">2019-12-13T09:19:00Z</dcterms:created>
  <dcterms:modified xsi:type="dcterms:W3CDTF">2019-12-13T10:15:00Z</dcterms:modified>
</cp:coreProperties>
</file>