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C97B" w14:textId="20EEEBEA" w:rsidR="00C62828" w:rsidRPr="009110F7" w:rsidRDefault="004A5D4E" w:rsidP="00CC612B">
      <w:pPr>
        <w:pStyle w:val="Nadpis1"/>
      </w:pPr>
      <w:bookmarkStart w:id="0" w:name="_Toc26865017"/>
      <w:r w:rsidRPr="0077605B">
        <w:t>2</w:t>
      </w:r>
      <w:r>
        <w:t>. </w:t>
      </w:r>
      <w:r w:rsidR="00C62828" w:rsidRPr="0077605B">
        <w:t>Souhrnná výkonnost</w:t>
      </w:r>
      <w:bookmarkEnd w:id="0"/>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C42EBB" w:rsidRPr="009110F7" w14:paraId="71FBA8C8" w14:textId="77777777" w:rsidTr="00C42EBB">
        <w:trPr>
          <w:trHeight w:val="145"/>
        </w:trPr>
        <w:tc>
          <w:tcPr>
            <w:tcW w:w="1888" w:type="dxa"/>
            <w:shd w:val="clear" w:color="auto" w:fill="auto"/>
            <w:tcMar>
              <w:left w:w="0" w:type="dxa"/>
            </w:tcMar>
          </w:tcPr>
          <w:p w14:paraId="2C565CE2" w14:textId="318A2944" w:rsidR="00C42EBB" w:rsidRDefault="00C42EBB" w:rsidP="00C42EBB">
            <w:pPr>
              <w:pStyle w:val="Marginlie"/>
            </w:pPr>
            <w:r>
              <w:t xml:space="preserve">Meziroční </w:t>
            </w:r>
            <w:r w:rsidR="00283F7B">
              <w:t>i </w:t>
            </w:r>
            <w:r>
              <w:t xml:space="preserve">mezičtvrtletní růst HDP zpomalil. </w:t>
            </w:r>
            <w:r w:rsidR="00283F7B">
              <w:t>I </w:t>
            </w:r>
            <w:r>
              <w:t>nadále jej z většiny podpořila domácí poptávka.</w:t>
            </w:r>
          </w:p>
        </w:tc>
        <w:tc>
          <w:tcPr>
            <w:tcW w:w="250" w:type="dxa"/>
            <w:shd w:val="clear" w:color="auto" w:fill="auto"/>
            <w:tcMar>
              <w:left w:w="0" w:type="dxa"/>
            </w:tcMar>
          </w:tcPr>
          <w:p w14:paraId="083624D8" w14:textId="77777777" w:rsidR="00C42EBB" w:rsidRDefault="00C42EBB" w:rsidP="00C42EBB">
            <w:pPr>
              <w:pStyle w:val="Textpoznpodarou"/>
              <w:jc w:val="both"/>
              <w:rPr>
                <w:spacing w:val="-4"/>
              </w:rPr>
            </w:pPr>
          </w:p>
        </w:tc>
        <w:tc>
          <w:tcPr>
            <w:tcW w:w="7501" w:type="dxa"/>
            <w:shd w:val="clear" w:color="auto" w:fill="auto"/>
            <w:tcMar>
              <w:left w:w="0" w:type="dxa"/>
            </w:tcMar>
          </w:tcPr>
          <w:p w14:paraId="203024AC" w14:textId="45E6971A" w:rsidR="00C42EBB" w:rsidRPr="00B83E07" w:rsidRDefault="00C42EBB" w:rsidP="00C42EBB">
            <w:pPr>
              <w:spacing w:after="220"/>
              <w:rPr>
                <w:spacing w:val="-2"/>
              </w:rPr>
            </w:pPr>
            <w:r>
              <w:rPr>
                <w:spacing w:val="-2"/>
              </w:rPr>
              <w:t>Meziroční růst hrubého domácího produktu (HDP) ve 3</w:t>
            </w:r>
            <w:r w:rsidR="00EE2EB4">
              <w:rPr>
                <w:spacing w:val="-2"/>
              </w:rPr>
              <w:t>. čtvrtlet</w:t>
            </w:r>
            <w:r>
              <w:rPr>
                <w:spacing w:val="-2"/>
              </w:rPr>
              <w:t>í dosáhl 2,5</w:t>
            </w:r>
            <w:r w:rsidR="00C5197D">
              <w:rPr>
                <w:spacing w:val="-2"/>
              </w:rPr>
              <w:t> %</w:t>
            </w:r>
            <w:r w:rsidRPr="00B83E07">
              <w:rPr>
                <w:rStyle w:val="Znakapoznpodarou"/>
                <w:rFonts w:cs="Arial"/>
                <w:spacing w:val="-2"/>
              </w:rPr>
              <w:footnoteReference w:id="1"/>
            </w:r>
            <w:r>
              <w:rPr>
                <w:spacing w:val="-2"/>
              </w:rPr>
              <w:t>. V porovnání s 1</w:t>
            </w:r>
            <w:r w:rsidR="00EE2EB4">
              <w:rPr>
                <w:spacing w:val="-2"/>
              </w:rPr>
              <w:t>. pololet</w:t>
            </w:r>
            <w:r>
              <w:rPr>
                <w:spacing w:val="-2"/>
              </w:rPr>
              <w:t xml:space="preserve">ím se jedná </w:t>
            </w:r>
            <w:r w:rsidR="00283F7B">
              <w:rPr>
                <w:spacing w:val="-2"/>
              </w:rPr>
              <w:t>o </w:t>
            </w:r>
            <w:r>
              <w:rPr>
                <w:spacing w:val="-2"/>
              </w:rPr>
              <w:t xml:space="preserve">mírné zpomalení (meziroční přírůstky dosáhly v 1. </w:t>
            </w:r>
            <w:r w:rsidR="00283F7B">
              <w:rPr>
                <w:spacing w:val="-2"/>
              </w:rPr>
              <w:t>i </w:t>
            </w:r>
            <w:r>
              <w:rPr>
                <w:spacing w:val="-2"/>
              </w:rPr>
              <w:t>2</w:t>
            </w:r>
            <w:r w:rsidR="00EE2EB4">
              <w:rPr>
                <w:spacing w:val="-2"/>
              </w:rPr>
              <w:t>. čtvrtlet</w:t>
            </w:r>
            <w:r>
              <w:rPr>
                <w:spacing w:val="-2"/>
              </w:rPr>
              <w:t>í shodně 2,7</w:t>
            </w:r>
            <w:r w:rsidR="00C5197D">
              <w:rPr>
                <w:spacing w:val="-2"/>
              </w:rPr>
              <w:t> %</w:t>
            </w:r>
            <w:r>
              <w:rPr>
                <w:spacing w:val="-2"/>
              </w:rPr>
              <w:t xml:space="preserve">). K meziroční dynamice </w:t>
            </w:r>
            <w:r w:rsidR="00283F7B">
              <w:rPr>
                <w:spacing w:val="-2"/>
              </w:rPr>
              <w:t>i </w:t>
            </w:r>
            <w:r>
              <w:rPr>
                <w:spacing w:val="-2"/>
              </w:rPr>
              <w:t>nadále z většiny kladně přispívaly výdaje na konečnou spotřebu (1,7</w:t>
            </w:r>
            <w:r w:rsidR="00C5197D">
              <w:rPr>
                <w:spacing w:val="-2"/>
              </w:rPr>
              <w:t> p. b.</w:t>
            </w:r>
            <w:r>
              <w:rPr>
                <w:spacing w:val="-2"/>
              </w:rPr>
              <w:t>)</w:t>
            </w:r>
            <w:r w:rsidRPr="009110F7">
              <w:rPr>
                <w:rStyle w:val="Znakapoznpodarou"/>
              </w:rPr>
              <w:footnoteReference w:id="2"/>
            </w:r>
            <w:r>
              <w:rPr>
                <w:spacing w:val="-2"/>
              </w:rPr>
              <w:t xml:space="preserve">, poměrně výrazný byl rovněž pozitivní příspěvek bilance zahraničního obchodu se zbožím </w:t>
            </w:r>
            <w:r w:rsidR="00283F7B">
              <w:rPr>
                <w:spacing w:val="-2"/>
              </w:rPr>
              <w:t>a </w:t>
            </w:r>
            <w:r>
              <w:rPr>
                <w:spacing w:val="-2"/>
              </w:rPr>
              <w:t>službami (1,0</w:t>
            </w:r>
            <w:r w:rsidR="00C5197D">
              <w:rPr>
                <w:spacing w:val="-2"/>
              </w:rPr>
              <w:t> p. b.</w:t>
            </w:r>
            <w:r>
              <w:rPr>
                <w:spacing w:val="-2"/>
              </w:rPr>
              <w:t>). Naopak výdaje na tvorbu hrubého kapitálu meziroční růst brzdily (</w:t>
            </w:r>
            <w:r w:rsidR="00EE2EB4">
              <w:rPr>
                <w:spacing w:val="-2"/>
              </w:rPr>
              <w:t>–</w:t>
            </w:r>
            <w:r>
              <w:rPr>
                <w:spacing w:val="-2"/>
              </w:rPr>
              <w:t>0,1</w:t>
            </w:r>
            <w:r w:rsidR="00C5197D">
              <w:rPr>
                <w:spacing w:val="-2"/>
              </w:rPr>
              <w:t> p. b.</w:t>
            </w:r>
            <w:r>
              <w:rPr>
                <w:spacing w:val="-2"/>
              </w:rPr>
              <w:t xml:space="preserve">). V porovnání s předchozím čtvrtletím HDP vzrostl </w:t>
            </w:r>
            <w:r w:rsidR="00283F7B">
              <w:rPr>
                <w:spacing w:val="-2"/>
              </w:rPr>
              <w:t>o </w:t>
            </w:r>
            <w:r>
              <w:rPr>
                <w:spacing w:val="-2"/>
              </w:rPr>
              <w:t>0,4</w:t>
            </w:r>
            <w:r w:rsidR="00C5197D">
              <w:rPr>
                <w:spacing w:val="-2"/>
              </w:rPr>
              <w:t> %</w:t>
            </w:r>
            <w:r>
              <w:rPr>
                <w:spacing w:val="-2"/>
              </w:rPr>
              <w:t>. To je nejnižší tempo od 1. čtvrtletí 2016. Oproti 1.</w:t>
            </w:r>
            <w:r w:rsidR="00805AF3">
              <w:rPr>
                <w:spacing w:val="-2"/>
              </w:rPr>
              <w:t> </w:t>
            </w:r>
            <w:r w:rsidR="00283F7B">
              <w:rPr>
                <w:spacing w:val="-2"/>
              </w:rPr>
              <w:t>a </w:t>
            </w:r>
            <w:r>
              <w:rPr>
                <w:spacing w:val="-2"/>
              </w:rPr>
              <w:t>2</w:t>
            </w:r>
            <w:r w:rsidR="00EE2EB4">
              <w:rPr>
                <w:spacing w:val="-2"/>
              </w:rPr>
              <w:t>. čtvrtlet</w:t>
            </w:r>
            <w:r>
              <w:rPr>
                <w:spacing w:val="-2"/>
              </w:rPr>
              <w:t xml:space="preserve">í 2019 růst zpomalil </w:t>
            </w:r>
            <w:r w:rsidR="00283F7B">
              <w:rPr>
                <w:spacing w:val="-2"/>
              </w:rPr>
              <w:t>o </w:t>
            </w:r>
            <w:r>
              <w:rPr>
                <w:spacing w:val="-2"/>
              </w:rPr>
              <w:t>0,2</w:t>
            </w:r>
            <w:r w:rsidR="00C5197D">
              <w:rPr>
                <w:spacing w:val="-2"/>
              </w:rPr>
              <w:t> p. b.</w:t>
            </w:r>
            <w:r>
              <w:rPr>
                <w:spacing w:val="-2"/>
              </w:rPr>
              <w:t xml:space="preserve"> Výrazně totiž zabrzdil mezičtvrtletní růst domácí spotřeby. Negativně mezičtvrtletní růst HDP ovlivnila také bilance zahraničního obchodu. Ekonomickému zvolnění nezabránil ani výraznější přírůstek tvorby hrubého kapitálu. Vývoj hrubého domácího produktu tak začal více odrážet klesající důvěru spotřebitelů </w:t>
            </w:r>
            <w:r w:rsidR="00283F7B">
              <w:rPr>
                <w:spacing w:val="-2"/>
              </w:rPr>
              <w:t>i </w:t>
            </w:r>
            <w:r>
              <w:rPr>
                <w:spacing w:val="-2"/>
              </w:rPr>
              <w:t>podnikatelů vyjadřovanou v konjunkturálních průzkumech. Ukázaly se rovněž limity růstu dlouhodobě podporovaného domácí poptávkou.</w:t>
            </w:r>
          </w:p>
        </w:tc>
      </w:tr>
      <w:tr w:rsidR="00C42EBB" w:rsidRPr="009110F7" w14:paraId="737E5CC8" w14:textId="77777777" w:rsidTr="00C42EBB">
        <w:trPr>
          <w:trHeight w:val="170"/>
        </w:trPr>
        <w:tc>
          <w:tcPr>
            <w:tcW w:w="1888" w:type="dxa"/>
            <w:vMerge w:val="restart"/>
            <w:shd w:val="clear" w:color="auto" w:fill="auto"/>
            <w:tcMar>
              <w:left w:w="0" w:type="dxa"/>
            </w:tcMar>
          </w:tcPr>
          <w:p w14:paraId="5E86F9BD" w14:textId="77777777" w:rsidR="00C42EBB" w:rsidRDefault="00C42EBB" w:rsidP="00C42EBB">
            <w:pPr>
              <w:pStyle w:val="Marginlie"/>
            </w:pPr>
          </w:p>
        </w:tc>
        <w:tc>
          <w:tcPr>
            <w:tcW w:w="250" w:type="dxa"/>
            <w:vMerge w:val="restart"/>
            <w:shd w:val="clear" w:color="auto" w:fill="auto"/>
            <w:tcMar>
              <w:left w:w="0" w:type="dxa"/>
            </w:tcMar>
          </w:tcPr>
          <w:p w14:paraId="7B27B5E0" w14:textId="77777777" w:rsidR="00C42EBB" w:rsidRDefault="00C42EBB" w:rsidP="00C42EBB">
            <w:pPr>
              <w:pStyle w:val="Textpoznpodarou"/>
              <w:jc w:val="both"/>
              <w:rPr>
                <w:spacing w:val="-4"/>
              </w:rPr>
            </w:pPr>
          </w:p>
        </w:tc>
        <w:tc>
          <w:tcPr>
            <w:tcW w:w="7501" w:type="dxa"/>
            <w:shd w:val="clear" w:color="auto" w:fill="auto"/>
            <w:tcMar>
              <w:left w:w="0" w:type="dxa"/>
            </w:tcMar>
          </w:tcPr>
          <w:p w14:paraId="3D7959FF" w14:textId="370B7D4D" w:rsidR="00C42EBB" w:rsidRPr="001208E3" w:rsidRDefault="00C42EBB" w:rsidP="00C42EBB">
            <w:pPr>
              <w:spacing w:after="0"/>
              <w:rPr>
                <w:b/>
                <w:szCs w:val="20"/>
              </w:rPr>
            </w:pPr>
            <w:r w:rsidRPr="0041745D">
              <w:rPr>
                <w:rFonts w:cs="Arial"/>
                <w:b/>
                <w:bCs/>
                <w:color w:val="000000"/>
                <w:sz w:val="18"/>
                <w:szCs w:val="18"/>
              </w:rPr>
              <w:t xml:space="preserve">Graf </w:t>
            </w:r>
            <w:r w:rsidR="00EE2EB4">
              <w:rPr>
                <w:rFonts w:cs="Arial"/>
                <w:b/>
                <w:bCs/>
                <w:color w:val="000000"/>
                <w:sz w:val="18"/>
                <w:szCs w:val="18"/>
              </w:rPr>
              <w:t>č. </w:t>
            </w:r>
            <w:r w:rsidR="00283F7B" w:rsidRPr="00663018">
              <w:rPr>
                <w:rFonts w:cs="Arial"/>
                <w:b/>
                <w:bCs/>
                <w:color w:val="000000"/>
                <w:sz w:val="18"/>
                <w:szCs w:val="18"/>
              </w:rPr>
              <w:t>1</w:t>
            </w:r>
            <w:r w:rsidR="00805AF3">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 xml:space="preserve">HDP (objemové indexy, očištěno </w:t>
            </w:r>
            <w:r w:rsidR="00283F7B" w:rsidRPr="00663018">
              <w:rPr>
                <w:rFonts w:cs="Arial"/>
                <w:b/>
                <w:sz w:val="18"/>
                <w:szCs w:val="18"/>
                <w:lang w:eastAsia="en-US"/>
              </w:rPr>
              <w:t>o</w:t>
            </w:r>
            <w:r w:rsidR="00283F7B">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C42EBB" w:rsidRPr="009110F7" w14:paraId="7D447A6C" w14:textId="77777777" w:rsidTr="00C42EBB">
        <w:trPr>
          <w:trHeight w:val="170"/>
        </w:trPr>
        <w:tc>
          <w:tcPr>
            <w:tcW w:w="1888" w:type="dxa"/>
            <w:vMerge/>
            <w:shd w:val="clear" w:color="auto" w:fill="auto"/>
            <w:tcMar>
              <w:left w:w="0" w:type="dxa"/>
            </w:tcMar>
          </w:tcPr>
          <w:p w14:paraId="51BA59FE" w14:textId="77777777" w:rsidR="00C42EBB" w:rsidRPr="009110F7" w:rsidRDefault="00C42EBB" w:rsidP="00C42EBB">
            <w:pPr>
              <w:pStyle w:val="Marginlie"/>
            </w:pPr>
          </w:p>
        </w:tc>
        <w:tc>
          <w:tcPr>
            <w:tcW w:w="250" w:type="dxa"/>
            <w:vMerge/>
            <w:shd w:val="clear" w:color="auto" w:fill="auto"/>
            <w:tcMar>
              <w:left w:w="0" w:type="dxa"/>
            </w:tcMar>
          </w:tcPr>
          <w:p w14:paraId="751B507E"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33EBEF34" w14:textId="406DC16F" w:rsidR="00C42EBB" w:rsidRPr="009110F7" w:rsidRDefault="00C42EBB" w:rsidP="00C42EBB">
            <w:pPr>
              <w:spacing w:after="0"/>
            </w:pPr>
            <w:r>
              <w:rPr>
                <w:noProof/>
              </w:rPr>
              <w:drawing>
                <wp:inline distT="0" distB="0" distL="0" distR="0" wp14:anchorId="4DA2889B" wp14:editId="6F5F6E82">
                  <wp:extent cx="4737600" cy="35532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42EBB" w:rsidRPr="009110F7" w14:paraId="1971686F" w14:textId="77777777" w:rsidTr="00C42EBB">
        <w:trPr>
          <w:trHeight w:val="170"/>
        </w:trPr>
        <w:tc>
          <w:tcPr>
            <w:tcW w:w="1888" w:type="dxa"/>
            <w:vMerge/>
            <w:shd w:val="clear" w:color="auto" w:fill="auto"/>
            <w:tcMar>
              <w:left w:w="0" w:type="dxa"/>
            </w:tcMar>
          </w:tcPr>
          <w:p w14:paraId="47198DF3" w14:textId="77777777" w:rsidR="00C42EBB" w:rsidRPr="009110F7" w:rsidRDefault="00C42EBB" w:rsidP="00C42EBB">
            <w:pPr>
              <w:pStyle w:val="Marginlie"/>
            </w:pPr>
          </w:p>
        </w:tc>
        <w:tc>
          <w:tcPr>
            <w:tcW w:w="250" w:type="dxa"/>
            <w:vMerge/>
            <w:shd w:val="clear" w:color="auto" w:fill="auto"/>
            <w:tcMar>
              <w:left w:w="0" w:type="dxa"/>
            </w:tcMar>
          </w:tcPr>
          <w:p w14:paraId="3A6781EA"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2FEFB14B" w14:textId="3EBFCC9C" w:rsidR="00C42EBB" w:rsidRPr="009110F7" w:rsidRDefault="00C42EBB" w:rsidP="00C42EBB">
            <w:pPr>
              <w:spacing w:after="220"/>
              <w:rPr>
                <w:sz w:val="14"/>
                <w:szCs w:val="14"/>
              </w:rPr>
            </w:pPr>
            <w:r>
              <w:rPr>
                <w:sz w:val="14"/>
                <w:szCs w:val="14"/>
              </w:rPr>
              <w:t>Zdroj: ČSÚ, Eurostat</w:t>
            </w:r>
          </w:p>
        </w:tc>
      </w:tr>
      <w:tr w:rsidR="00C42EBB" w:rsidRPr="009110F7" w14:paraId="235CAA10" w14:textId="77777777" w:rsidTr="00C42EBB">
        <w:trPr>
          <w:trHeight w:val="145"/>
        </w:trPr>
        <w:tc>
          <w:tcPr>
            <w:tcW w:w="1888" w:type="dxa"/>
            <w:shd w:val="clear" w:color="auto" w:fill="auto"/>
            <w:tcMar>
              <w:left w:w="0" w:type="dxa"/>
            </w:tcMar>
          </w:tcPr>
          <w:p w14:paraId="2EC02A2A" w14:textId="00C0DDB9" w:rsidR="00C42EBB" w:rsidRDefault="00450DAB" w:rsidP="00C42EBB">
            <w:pPr>
              <w:pStyle w:val="Marginlie"/>
            </w:pPr>
            <w:r>
              <w:t>Hrubý domácí produkt EU se meziročně zvýšil o 1,4 % a růst opět zpomalil.</w:t>
            </w:r>
          </w:p>
        </w:tc>
        <w:tc>
          <w:tcPr>
            <w:tcW w:w="250" w:type="dxa"/>
            <w:shd w:val="clear" w:color="auto" w:fill="auto"/>
            <w:tcMar>
              <w:left w:w="0" w:type="dxa"/>
            </w:tcMar>
          </w:tcPr>
          <w:p w14:paraId="1D1E5DCF" w14:textId="77777777" w:rsidR="00C42EBB" w:rsidRDefault="00C42EBB" w:rsidP="00C42EBB">
            <w:pPr>
              <w:pStyle w:val="Textpoznpodarou"/>
              <w:jc w:val="both"/>
              <w:rPr>
                <w:spacing w:val="-4"/>
              </w:rPr>
            </w:pPr>
          </w:p>
        </w:tc>
        <w:tc>
          <w:tcPr>
            <w:tcW w:w="7501" w:type="dxa"/>
            <w:shd w:val="clear" w:color="auto" w:fill="auto"/>
            <w:tcMar>
              <w:left w:w="0" w:type="dxa"/>
            </w:tcMar>
          </w:tcPr>
          <w:p w14:paraId="31018BCB" w14:textId="4FF6C516" w:rsidR="00C42EBB" w:rsidRDefault="00C42EBB" w:rsidP="00C42EBB">
            <w:r>
              <w:t>Meziroční růst HDP v evropské osmadvacítce ve 3</w:t>
            </w:r>
            <w:r w:rsidR="00EE2EB4">
              <w:t>. čtvrtlet</w:t>
            </w:r>
            <w:r>
              <w:t>í dosáhl 1,4</w:t>
            </w:r>
            <w:r w:rsidR="00C5197D">
              <w:t> %</w:t>
            </w:r>
            <w:r w:rsidRPr="009110F7">
              <w:rPr>
                <w:rStyle w:val="Znakapoznpodarou"/>
                <w:spacing w:val="-2"/>
              </w:rPr>
              <w:footnoteReference w:id="3"/>
            </w:r>
            <w:r>
              <w:t xml:space="preserve">. To je stejně jako v předchozím kvartálu. Mezičtvrtletně se HDP v EU zvýšil </w:t>
            </w:r>
            <w:r w:rsidR="00283F7B">
              <w:t>o </w:t>
            </w:r>
            <w:r>
              <w:t>0,3</w:t>
            </w:r>
            <w:r w:rsidR="00C5197D">
              <w:t> %</w:t>
            </w:r>
            <w:r>
              <w:t>, takže růst mírně zrychlil oproti předchozímu čtvrtletí. Růst podpořilo mírné zrychlení dynamiky spotřeby (1,7</w:t>
            </w:r>
            <w:r w:rsidR="00C5197D">
              <w:t> %</w:t>
            </w:r>
            <w:r>
              <w:t xml:space="preserve">), </w:t>
            </w:r>
            <w:r w:rsidR="00283F7B">
              <w:t>u </w:t>
            </w:r>
            <w:r>
              <w:t>kapitálových výdajů se kladný přírůstek udržel, ale byl nižší než v předchozím půlroce (3,3</w:t>
            </w:r>
            <w:r w:rsidR="00C5197D">
              <w:t> %</w:t>
            </w:r>
            <w:r>
              <w:t xml:space="preserve">, mezičtvrtletně došlo k propadu </w:t>
            </w:r>
            <w:r w:rsidR="00283F7B">
              <w:t>o </w:t>
            </w:r>
            <w:r>
              <w:t>0,9</w:t>
            </w:r>
            <w:r w:rsidR="00C5197D">
              <w:t> %</w:t>
            </w:r>
            <w:r>
              <w:t>). Z hlediska meziročního růstu si pozici nejrychleji rostoucí ekonomiky udrželo Maďarsko (4,8</w:t>
            </w:r>
            <w:r w:rsidR="00C5197D">
              <w:t> %</w:t>
            </w:r>
            <w:r>
              <w:t xml:space="preserve">), kde se po roce prolomila série více než 5% přírůstků (výrazně se totiž propadlo tempo růstu kapitálových výdajů). Shodně </w:t>
            </w:r>
            <w:r w:rsidR="00283F7B">
              <w:t>o </w:t>
            </w:r>
            <w:r>
              <w:t>4,1</w:t>
            </w:r>
            <w:r w:rsidR="00C5197D">
              <w:t> %</w:t>
            </w:r>
            <w:r>
              <w:t xml:space="preserve"> rostly ekonomiky Estonska </w:t>
            </w:r>
            <w:r w:rsidR="00283F7B">
              <w:t>a </w:t>
            </w:r>
            <w:r>
              <w:t xml:space="preserve">Polska. Blízko meziroční stagnace se pohybovala dynamika HDP Itálie </w:t>
            </w:r>
            <w:r>
              <w:lastRenderedPageBreak/>
              <w:t>(0,3</w:t>
            </w:r>
            <w:r w:rsidR="00C5197D">
              <w:t> %</w:t>
            </w:r>
            <w:r>
              <w:t xml:space="preserve">) </w:t>
            </w:r>
            <w:r w:rsidR="00283F7B">
              <w:t>a </w:t>
            </w:r>
            <w:r>
              <w:t>Německa (0,5</w:t>
            </w:r>
            <w:r w:rsidR="00C5197D">
              <w:t> %</w:t>
            </w:r>
            <w:r>
              <w:t>). Na 1,0</w:t>
            </w:r>
            <w:r w:rsidR="00C5197D">
              <w:t> %</w:t>
            </w:r>
            <w:r>
              <w:t xml:space="preserve"> se snížil přírůstek HDP Velké Británie. V porovnání s předchozím kvartálem vzrostl HDP ve všech zemích EU, nejvíce v Polsku (1,3</w:t>
            </w:r>
            <w:r w:rsidR="00C5197D">
              <w:t> %</w:t>
            </w:r>
            <w:r>
              <w:t>), Maďarsku (1,1</w:t>
            </w:r>
            <w:r w:rsidR="00C5197D">
              <w:t> %</w:t>
            </w:r>
            <w:r>
              <w:t xml:space="preserve">) </w:t>
            </w:r>
            <w:r w:rsidR="00283F7B">
              <w:t>a </w:t>
            </w:r>
            <w:r>
              <w:t>Estonsku (1,0</w:t>
            </w:r>
            <w:r w:rsidR="00C5197D">
              <w:t> %</w:t>
            </w:r>
            <w:r>
              <w:t xml:space="preserve">). Jen </w:t>
            </w:r>
            <w:r w:rsidR="00283F7B">
              <w:t>o </w:t>
            </w:r>
            <w:r>
              <w:t>0,1</w:t>
            </w:r>
            <w:r w:rsidR="00C5197D">
              <w:t> %</w:t>
            </w:r>
            <w:r>
              <w:t xml:space="preserve"> mezičtvrtletně rostl HDP Rakouska, Itálie </w:t>
            </w:r>
            <w:r w:rsidR="00283F7B">
              <w:t>a </w:t>
            </w:r>
            <w:r>
              <w:t>Německa.</w:t>
            </w:r>
          </w:p>
        </w:tc>
      </w:tr>
      <w:tr w:rsidR="00C42EBB" w:rsidRPr="009110F7" w14:paraId="1FF501B1" w14:textId="77777777" w:rsidTr="00C42EBB">
        <w:trPr>
          <w:trHeight w:val="145"/>
        </w:trPr>
        <w:tc>
          <w:tcPr>
            <w:tcW w:w="1888" w:type="dxa"/>
            <w:shd w:val="clear" w:color="auto" w:fill="auto"/>
            <w:tcMar>
              <w:left w:w="0" w:type="dxa"/>
            </w:tcMar>
          </w:tcPr>
          <w:p w14:paraId="665FA05E" w14:textId="7D46A9EA" w:rsidR="00C42EBB" w:rsidRDefault="00C42EBB" w:rsidP="00C42EBB">
            <w:pPr>
              <w:pStyle w:val="Marginlie"/>
            </w:pPr>
            <w:r>
              <w:lastRenderedPageBreak/>
              <w:t>Meziroční růst spotřeby domácností zpomalil. Oproti předchozímu kvartálu se spotřeba neměnila.</w:t>
            </w:r>
          </w:p>
        </w:tc>
        <w:tc>
          <w:tcPr>
            <w:tcW w:w="250" w:type="dxa"/>
            <w:shd w:val="clear" w:color="auto" w:fill="auto"/>
            <w:tcMar>
              <w:left w:w="0" w:type="dxa"/>
            </w:tcMar>
          </w:tcPr>
          <w:p w14:paraId="7D9829E9" w14:textId="77777777" w:rsidR="00C42EBB" w:rsidRDefault="00C42EBB" w:rsidP="00C42EBB">
            <w:pPr>
              <w:pStyle w:val="Textpoznpodarou"/>
              <w:jc w:val="both"/>
              <w:rPr>
                <w:spacing w:val="-4"/>
              </w:rPr>
            </w:pPr>
          </w:p>
        </w:tc>
        <w:tc>
          <w:tcPr>
            <w:tcW w:w="7501" w:type="dxa"/>
            <w:shd w:val="clear" w:color="auto" w:fill="auto"/>
            <w:tcMar>
              <w:left w:w="0" w:type="dxa"/>
            </w:tcMar>
          </w:tcPr>
          <w:p w14:paraId="518CC1D6" w14:textId="1AF16D25" w:rsidR="00C42EBB" w:rsidRDefault="00C42EBB" w:rsidP="00C42EBB">
            <w:r>
              <w:t>Meziroční růst výdajů na konečnou spotřebu ve 3</w:t>
            </w:r>
            <w:r w:rsidR="00EE2EB4">
              <w:t>. čtvrtlet</w:t>
            </w:r>
            <w:r>
              <w:t>í zpomalil na 2,6</w:t>
            </w:r>
            <w:r w:rsidR="00C5197D">
              <w:t> %</w:t>
            </w:r>
            <w:r>
              <w:t>. Zvolnil růst spotřeby domácností (2,3</w:t>
            </w:r>
            <w:r w:rsidR="00C5197D">
              <w:t> %</w:t>
            </w:r>
            <w:r>
              <w:t xml:space="preserve">) </w:t>
            </w:r>
            <w:r w:rsidR="00283F7B">
              <w:t>i </w:t>
            </w:r>
            <w:r>
              <w:t>vládních institucí (3,3</w:t>
            </w:r>
            <w:r w:rsidR="00C5197D">
              <w:t> %</w:t>
            </w:r>
            <w:r>
              <w:t xml:space="preserve">). Redukce růstu </w:t>
            </w:r>
            <w:r w:rsidR="00283F7B">
              <w:t>u </w:t>
            </w:r>
            <w:r>
              <w:t>domácností byla výraznější, což se také projevilo na příspěvku k celkovému růstu HDP (1,0</w:t>
            </w:r>
            <w:r w:rsidR="00C5197D">
              <w:t> p. b.</w:t>
            </w:r>
            <w:r>
              <w:t>, v předchozím kvartálu to bylo 1,2</w:t>
            </w:r>
            <w:r w:rsidR="00C5197D">
              <w:t> p. b.</w:t>
            </w:r>
            <w:r>
              <w:t>). Vládní sektor přispěl stejně jako ve 2</w:t>
            </w:r>
            <w:r w:rsidR="00EE2EB4">
              <w:t>. čtvrtlet</w:t>
            </w:r>
            <w:r>
              <w:t>í 0,7</w:t>
            </w:r>
            <w:r w:rsidR="00C5197D">
              <w:t> p. b.</w:t>
            </w:r>
            <w:r>
              <w:t xml:space="preserve"> </w:t>
            </w:r>
            <w:r w:rsidR="00283F7B">
              <w:t>U </w:t>
            </w:r>
            <w:r>
              <w:t>domácností výdaje na konečnou spotřebu mezičtvrtletně stagnovaly, poprvé od konce roku 2013. Naopak vládní sektor si udržel poměrně silnou mezičtvrtletní dynamiku (1,0</w:t>
            </w:r>
            <w:r w:rsidR="00C5197D">
              <w:t> %</w:t>
            </w:r>
            <w:r>
              <w:t>). Ve 3</w:t>
            </w:r>
            <w:r w:rsidR="00EE2EB4">
              <w:t>. čtvrtlet</w:t>
            </w:r>
            <w:r>
              <w:t>í výrazněji posílil meziroční růst výdajů na předměty dlouhodobé (5,1</w:t>
            </w:r>
            <w:r w:rsidR="00C5197D">
              <w:t> %</w:t>
            </w:r>
            <w:r>
              <w:t xml:space="preserve">) </w:t>
            </w:r>
            <w:r w:rsidR="00283F7B">
              <w:t>i </w:t>
            </w:r>
            <w:r>
              <w:t>střednědobé (8,5</w:t>
            </w:r>
            <w:r w:rsidR="00C5197D">
              <w:t> %</w:t>
            </w:r>
            <w:r>
              <w:t>) spotřeby</w:t>
            </w:r>
            <w:r>
              <w:rPr>
                <w:rStyle w:val="Znakapoznpodarou"/>
              </w:rPr>
              <w:footnoteReference w:id="4"/>
            </w:r>
            <w:r>
              <w:t>. Na druhé straně opět zmírnil přírůstek výdajů na služby (1,9</w:t>
            </w:r>
            <w:r w:rsidR="00C5197D">
              <w:t> %</w:t>
            </w:r>
            <w:r>
              <w:t>).</w:t>
            </w:r>
          </w:p>
        </w:tc>
      </w:tr>
      <w:tr w:rsidR="00C42EBB" w:rsidRPr="009110F7" w14:paraId="697F84FF" w14:textId="77777777" w:rsidTr="00C42EBB">
        <w:trPr>
          <w:trHeight w:val="170"/>
        </w:trPr>
        <w:tc>
          <w:tcPr>
            <w:tcW w:w="1888" w:type="dxa"/>
            <w:vMerge w:val="restart"/>
            <w:shd w:val="clear" w:color="auto" w:fill="auto"/>
            <w:tcMar>
              <w:left w:w="0" w:type="dxa"/>
            </w:tcMar>
          </w:tcPr>
          <w:p w14:paraId="6616EC08" w14:textId="77777777" w:rsidR="00C42EBB" w:rsidRDefault="00C42EBB" w:rsidP="00C42EBB">
            <w:pPr>
              <w:pStyle w:val="Marginlie"/>
            </w:pPr>
          </w:p>
        </w:tc>
        <w:tc>
          <w:tcPr>
            <w:tcW w:w="250" w:type="dxa"/>
            <w:vMerge w:val="restart"/>
            <w:shd w:val="clear" w:color="auto" w:fill="auto"/>
            <w:tcMar>
              <w:left w:w="0" w:type="dxa"/>
            </w:tcMar>
          </w:tcPr>
          <w:p w14:paraId="1869EB97" w14:textId="77777777" w:rsidR="00C42EBB" w:rsidRDefault="00C42EBB" w:rsidP="00C42EBB">
            <w:pPr>
              <w:pStyle w:val="Textpoznpodarou"/>
              <w:jc w:val="both"/>
              <w:rPr>
                <w:spacing w:val="-4"/>
              </w:rPr>
            </w:pPr>
          </w:p>
        </w:tc>
        <w:tc>
          <w:tcPr>
            <w:tcW w:w="7501" w:type="dxa"/>
            <w:shd w:val="clear" w:color="auto" w:fill="auto"/>
            <w:tcMar>
              <w:left w:w="0" w:type="dxa"/>
            </w:tcMar>
          </w:tcPr>
          <w:p w14:paraId="327FBCEC" w14:textId="537F26A4" w:rsidR="00C42EBB" w:rsidRDefault="00C42EBB" w:rsidP="00C42EBB">
            <w:pPr>
              <w:spacing w:after="0"/>
            </w:pPr>
            <w:r w:rsidRPr="0041745D">
              <w:rPr>
                <w:b/>
                <w:sz w:val="18"/>
                <w:szCs w:val="18"/>
              </w:rPr>
              <w:t xml:space="preserve">Graf </w:t>
            </w:r>
            <w:r w:rsidR="00EE2EB4">
              <w:rPr>
                <w:b/>
                <w:sz w:val="18"/>
                <w:szCs w:val="18"/>
              </w:rPr>
              <w:t>č. </w:t>
            </w:r>
            <w:r w:rsidR="00283F7B">
              <w:rPr>
                <w:b/>
                <w:sz w:val="18"/>
                <w:szCs w:val="18"/>
              </w:rPr>
              <w:t>2</w:t>
            </w:r>
            <w:r w:rsidR="00805AF3">
              <w:rPr>
                <w:b/>
                <w:sz w:val="18"/>
                <w:szCs w:val="18"/>
              </w:rPr>
              <w:t xml:space="preserve">  </w:t>
            </w:r>
            <w:r w:rsidRPr="00663018">
              <w:rPr>
                <w:rFonts w:cs="Arial"/>
                <w:b/>
                <w:sz w:val="18"/>
                <w:szCs w:val="18"/>
                <w:lang w:eastAsia="en-US"/>
              </w:rPr>
              <w:t xml:space="preserve">Příspěvky výdajových složek </w:t>
            </w:r>
            <w:r w:rsidR="00283F7B" w:rsidRPr="00663018">
              <w:rPr>
                <w:rFonts w:cs="Arial"/>
                <w:b/>
                <w:sz w:val="18"/>
                <w:szCs w:val="18"/>
                <w:lang w:eastAsia="en-US"/>
              </w:rPr>
              <w:t>k</w:t>
            </w:r>
            <w:r w:rsidR="00E12191">
              <w:rPr>
                <w:rFonts w:cs="Arial"/>
                <w:b/>
                <w:sz w:val="18"/>
                <w:szCs w:val="18"/>
                <w:lang w:eastAsia="en-US"/>
              </w:rPr>
              <w:t> </w:t>
            </w:r>
            <w:r w:rsidRPr="00663018">
              <w:rPr>
                <w:rFonts w:cs="Arial"/>
                <w:b/>
                <w:sz w:val="18"/>
                <w:szCs w:val="18"/>
                <w:lang w:eastAsia="en-US"/>
              </w:rPr>
              <w:t>reálné</w:t>
            </w:r>
            <w:r w:rsidR="00E12191">
              <w:rPr>
                <w:rFonts w:cs="Arial"/>
                <w:b/>
                <w:sz w:val="18"/>
                <w:szCs w:val="18"/>
                <w:lang w:eastAsia="en-US"/>
              </w:rPr>
              <w:t xml:space="preserve"> </w:t>
            </w:r>
            <w:r w:rsidRPr="00663018">
              <w:rPr>
                <w:rFonts w:cs="Arial"/>
                <w:b/>
                <w:sz w:val="18"/>
                <w:szCs w:val="18"/>
                <w:lang w:eastAsia="en-US"/>
              </w:rPr>
              <w:t>změně HDP* (objemové indexy, meziroční růst, příspěvky v p.</w:t>
            </w:r>
            <w:r w:rsidR="00E12191">
              <w:rPr>
                <w:rFonts w:cs="Arial"/>
                <w:b/>
                <w:sz w:val="18"/>
                <w:szCs w:val="18"/>
                <w:lang w:eastAsia="en-US"/>
              </w:rPr>
              <w:t> </w:t>
            </w:r>
            <w:r w:rsidRPr="00663018">
              <w:rPr>
                <w:rFonts w:cs="Arial"/>
                <w:b/>
                <w:sz w:val="18"/>
                <w:szCs w:val="18"/>
                <w:lang w:eastAsia="en-US"/>
              </w:rPr>
              <w:t>b., HDP v</w:t>
            </w:r>
            <w:r>
              <w:rPr>
                <w:rFonts w:cs="Arial"/>
                <w:b/>
                <w:sz w:val="18"/>
                <w:szCs w:val="18"/>
                <w:lang w:eastAsia="en-US"/>
              </w:rPr>
              <w:t> %</w:t>
            </w:r>
            <w:r w:rsidRPr="00663018">
              <w:rPr>
                <w:rFonts w:cs="Arial"/>
                <w:b/>
                <w:sz w:val="18"/>
                <w:szCs w:val="18"/>
                <w:lang w:eastAsia="en-US"/>
              </w:rPr>
              <w:t>)</w:t>
            </w:r>
          </w:p>
        </w:tc>
      </w:tr>
      <w:tr w:rsidR="00C42EBB" w:rsidRPr="009110F7" w14:paraId="66EB41E1" w14:textId="77777777" w:rsidTr="00C42EBB">
        <w:trPr>
          <w:trHeight w:val="170"/>
        </w:trPr>
        <w:tc>
          <w:tcPr>
            <w:tcW w:w="1888" w:type="dxa"/>
            <w:vMerge/>
            <w:shd w:val="clear" w:color="auto" w:fill="auto"/>
            <w:tcMar>
              <w:left w:w="0" w:type="dxa"/>
            </w:tcMar>
          </w:tcPr>
          <w:p w14:paraId="5240B9BD" w14:textId="77777777" w:rsidR="00C42EBB" w:rsidRDefault="00C42EBB" w:rsidP="00C42EBB">
            <w:pPr>
              <w:pStyle w:val="Marginlie"/>
            </w:pPr>
          </w:p>
        </w:tc>
        <w:tc>
          <w:tcPr>
            <w:tcW w:w="250" w:type="dxa"/>
            <w:vMerge/>
            <w:shd w:val="clear" w:color="auto" w:fill="auto"/>
            <w:tcMar>
              <w:left w:w="0" w:type="dxa"/>
            </w:tcMar>
          </w:tcPr>
          <w:p w14:paraId="18227249" w14:textId="77777777" w:rsidR="00C42EBB" w:rsidRDefault="00C42EBB" w:rsidP="00C42EBB">
            <w:pPr>
              <w:pStyle w:val="Textpoznpodarou"/>
              <w:jc w:val="both"/>
              <w:rPr>
                <w:spacing w:val="-4"/>
              </w:rPr>
            </w:pPr>
          </w:p>
        </w:tc>
        <w:tc>
          <w:tcPr>
            <w:tcW w:w="7501" w:type="dxa"/>
            <w:shd w:val="clear" w:color="auto" w:fill="auto"/>
            <w:tcMar>
              <w:left w:w="0" w:type="dxa"/>
            </w:tcMar>
          </w:tcPr>
          <w:p w14:paraId="7C872033" w14:textId="375817B2" w:rsidR="00C42EBB" w:rsidRDefault="00C42EBB" w:rsidP="00C42EBB">
            <w:pPr>
              <w:spacing w:after="0"/>
            </w:pPr>
            <w:r>
              <w:rPr>
                <w:noProof/>
              </w:rPr>
              <w:drawing>
                <wp:inline distT="0" distB="0" distL="0" distR="0" wp14:anchorId="4991CC99" wp14:editId="7962E79D">
                  <wp:extent cx="4737600" cy="3553200"/>
                  <wp:effectExtent l="0" t="0" r="635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42EBB" w:rsidRPr="009110F7" w14:paraId="535B008C" w14:textId="77777777" w:rsidTr="00C42EBB">
        <w:trPr>
          <w:trHeight w:val="170"/>
        </w:trPr>
        <w:tc>
          <w:tcPr>
            <w:tcW w:w="1888" w:type="dxa"/>
            <w:vMerge/>
            <w:shd w:val="clear" w:color="auto" w:fill="auto"/>
            <w:tcMar>
              <w:left w:w="0" w:type="dxa"/>
            </w:tcMar>
          </w:tcPr>
          <w:p w14:paraId="6A4B5098" w14:textId="77777777" w:rsidR="00C42EBB" w:rsidRDefault="00C42EBB" w:rsidP="00C42EBB">
            <w:pPr>
              <w:pStyle w:val="Marginlie"/>
            </w:pPr>
          </w:p>
        </w:tc>
        <w:tc>
          <w:tcPr>
            <w:tcW w:w="250" w:type="dxa"/>
            <w:vMerge/>
            <w:shd w:val="clear" w:color="auto" w:fill="auto"/>
            <w:tcMar>
              <w:left w:w="0" w:type="dxa"/>
            </w:tcMar>
          </w:tcPr>
          <w:p w14:paraId="665FBAB9" w14:textId="77777777" w:rsidR="00C42EBB" w:rsidRDefault="00C42EBB" w:rsidP="00C42EBB">
            <w:pPr>
              <w:pStyle w:val="Textpoznpodarou"/>
              <w:jc w:val="both"/>
              <w:rPr>
                <w:spacing w:val="-4"/>
              </w:rPr>
            </w:pPr>
          </w:p>
        </w:tc>
        <w:tc>
          <w:tcPr>
            <w:tcW w:w="7501" w:type="dxa"/>
            <w:shd w:val="clear" w:color="auto" w:fill="auto"/>
            <w:tcMar>
              <w:left w:w="0" w:type="dxa"/>
            </w:tcMar>
          </w:tcPr>
          <w:p w14:paraId="625C70AA" w14:textId="77777777" w:rsidR="00C42EBB" w:rsidRDefault="00C42EBB" w:rsidP="00C42EBB">
            <w:pPr>
              <w:spacing w:after="0"/>
              <w:rPr>
                <w:sz w:val="14"/>
                <w:szCs w:val="14"/>
              </w:rPr>
            </w:pPr>
            <w:r>
              <w:rPr>
                <w:sz w:val="14"/>
                <w:szCs w:val="14"/>
              </w:rPr>
              <w:t>Zdroj: ČSÚ</w:t>
            </w:r>
          </w:p>
          <w:p w14:paraId="018B2D71" w14:textId="0F5B02B3" w:rsidR="00C42EBB" w:rsidRDefault="00C42EBB" w:rsidP="00C42EBB">
            <w:r>
              <w:rPr>
                <w:sz w:val="14"/>
                <w:szCs w:val="14"/>
              </w:rPr>
              <w:t>*po vyloučení dovozu pro konečné užití</w:t>
            </w:r>
          </w:p>
        </w:tc>
      </w:tr>
      <w:tr w:rsidR="00C42EBB" w:rsidRPr="009110F7" w14:paraId="4126DD65" w14:textId="77777777" w:rsidTr="00570464">
        <w:tc>
          <w:tcPr>
            <w:tcW w:w="1888" w:type="dxa"/>
            <w:shd w:val="clear" w:color="auto" w:fill="auto"/>
            <w:tcMar>
              <w:left w:w="0" w:type="dxa"/>
            </w:tcMar>
          </w:tcPr>
          <w:p w14:paraId="154E99B4" w14:textId="10D662FE" w:rsidR="00C42EBB" w:rsidRDefault="00C42EBB" w:rsidP="00C42EBB">
            <w:pPr>
              <w:pStyle w:val="Marginlie"/>
            </w:pPr>
            <w:r>
              <w:t>Velmi vysoká úroveň mzdového růstu se neudržela.</w:t>
            </w:r>
          </w:p>
        </w:tc>
        <w:tc>
          <w:tcPr>
            <w:tcW w:w="250" w:type="dxa"/>
            <w:shd w:val="clear" w:color="auto" w:fill="auto"/>
            <w:tcMar>
              <w:left w:w="0" w:type="dxa"/>
            </w:tcMar>
          </w:tcPr>
          <w:p w14:paraId="036B3CED" w14:textId="77777777" w:rsidR="00C42EBB" w:rsidRDefault="00C42EBB" w:rsidP="00C42EBB">
            <w:pPr>
              <w:pStyle w:val="Textpoznpodarou"/>
              <w:jc w:val="both"/>
              <w:rPr>
                <w:spacing w:val="-4"/>
              </w:rPr>
            </w:pPr>
          </w:p>
        </w:tc>
        <w:tc>
          <w:tcPr>
            <w:tcW w:w="7501" w:type="dxa"/>
            <w:shd w:val="clear" w:color="auto" w:fill="auto"/>
            <w:tcMar>
              <w:left w:w="0" w:type="dxa"/>
            </w:tcMar>
          </w:tcPr>
          <w:p w14:paraId="440CFBDB" w14:textId="4CEBE2DD" w:rsidR="00C42EBB" w:rsidRDefault="00C42EBB" w:rsidP="009B72BE">
            <w:r>
              <w:t xml:space="preserve">Spotřební chování domácností ovlivňovala </w:t>
            </w:r>
            <w:r w:rsidR="00283F7B">
              <w:t>i </w:t>
            </w:r>
            <w:r>
              <w:t>zvolňující se dynamika mezd. Objem mezd vyplacených ve 3</w:t>
            </w:r>
            <w:r w:rsidR="00EE2EB4">
              <w:t>. čtvrtlet</w:t>
            </w:r>
            <w:r>
              <w:t xml:space="preserve">í se meziročně zvýšil </w:t>
            </w:r>
            <w:r w:rsidR="00283F7B">
              <w:t>o </w:t>
            </w:r>
            <w:r>
              <w:t>6,9</w:t>
            </w:r>
            <w:r w:rsidR="00C5197D">
              <w:t> %</w:t>
            </w:r>
            <w:r>
              <w:t>, což je nejméně od 1</w:t>
            </w:r>
            <w:r w:rsidR="00EE2EB4">
              <w:t>. kvartál</w:t>
            </w:r>
            <w:r>
              <w:t>u 2017. Meziroční růst celkové zaměstnanosti zpomalil na 0,6</w:t>
            </w:r>
            <w:r w:rsidR="00C5197D">
              <w:t> %</w:t>
            </w:r>
            <w:r w:rsidRPr="00B83E07">
              <w:rPr>
                <w:rStyle w:val="Znakapoznpodarou"/>
                <w:spacing w:val="-2"/>
              </w:rPr>
              <w:footnoteReference w:id="5"/>
            </w:r>
            <w:r>
              <w:t>, naprostá většina růstu mzdových prostředků se promítala do výše průměrné mzdy. Růst kupní síly domácností však dále brzdilo poměrně silné zvyšování cenové hladiny, takže reálné navýšení objemu vyplacených mezd dosahovalo 3,9</w:t>
            </w:r>
            <w:r w:rsidR="00C5197D">
              <w:t> %</w:t>
            </w:r>
            <w:r w:rsidRPr="00B83E07">
              <w:rPr>
                <w:rStyle w:val="Znakapoznpodarou"/>
                <w:spacing w:val="-2"/>
              </w:rPr>
              <w:footnoteReference w:id="6"/>
            </w:r>
            <w:r>
              <w:t>, nejméně od konce roku 2014. Největší podíl na růstu mzdových výdajů měla odvětví s převahou vládní</w:t>
            </w:r>
            <w:r w:rsidR="009B72BE">
              <w:t>ch institucí</w:t>
            </w:r>
            <w:r>
              <w:rPr>
                <w:rStyle w:val="Znakapoznpodarou"/>
                <w:spacing w:val="-2"/>
              </w:rPr>
              <w:footnoteReference w:id="7"/>
            </w:r>
            <w:r>
              <w:t xml:space="preserve">, kde byl 10,1% přírůstek zčásti podpořen </w:t>
            </w:r>
            <w:r w:rsidR="00283F7B">
              <w:t>i </w:t>
            </w:r>
            <w:r>
              <w:t xml:space="preserve">meziročním nárůstem zaměstnanosti </w:t>
            </w:r>
            <w:r w:rsidR="00283F7B">
              <w:t>o </w:t>
            </w:r>
            <w:r>
              <w:t>2,5</w:t>
            </w:r>
            <w:r w:rsidR="00C5197D">
              <w:t> %</w:t>
            </w:r>
            <w:r>
              <w:t xml:space="preserve">. Významně k celkové dynamice přispělo také uskupení obchod, doprava, ubytování </w:t>
            </w:r>
            <w:r w:rsidR="00283F7B">
              <w:t>a </w:t>
            </w:r>
            <w:r>
              <w:t>pohostinství (107,2</w:t>
            </w:r>
            <w:r w:rsidR="00C5197D">
              <w:t> %</w:t>
            </w:r>
            <w:r>
              <w:t xml:space="preserve">), které zahrnuje podstatnou část </w:t>
            </w:r>
            <w:r>
              <w:lastRenderedPageBreak/>
              <w:t>pracovníků ve službách. Odvětví služeb si obecně udržela vyšší dynamiku vyplacených mezd než průmysl. Výrazným přírůstkem zaměstnanosti (4,9</w:t>
            </w:r>
            <w:r w:rsidR="00C5197D">
              <w:t> %</w:t>
            </w:r>
            <w:r>
              <w:t xml:space="preserve">) bylo podpořeno zvýšení objemu mezd v informačních </w:t>
            </w:r>
            <w:r w:rsidR="00283F7B">
              <w:t>a </w:t>
            </w:r>
            <w:r>
              <w:t>komunikačních činnostech (7,0</w:t>
            </w:r>
            <w:r w:rsidR="00C5197D">
              <w:t> %</w:t>
            </w:r>
            <w:r>
              <w:t xml:space="preserve">). Poměrně silně ve srovnání s průměrem rostla zaměstnanost v peněžnictví </w:t>
            </w:r>
            <w:r w:rsidR="00283F7B">
              <w:t>a </w:t>
            </w:r>
            <w:r>
              <w:t xml:space="preserve">pojišťovnictví, což se promítalo </w:t>
            </w:r>
            <w:r w:rsidR="00283F7B">
              <w:t>i </w:t>
            </w:r>
            <w:r>
              <w:t>do dynamiky mzdových nákladů (6,1</w:t>
            </w:r>
            <w:r w:rsidR="00C5197D">
              <w:t> %</w:t>
            </w:r>
            <w:r>
              <w:t xml:space="preserve">). </w:t>
            </w:r>
            <w:r w:rsidR="00283F7B">
              <w:t>O </w:t>
            </w:r>
            <w:r>
              <w:t>6,7</w:t>
            </w:r>
            <w:r w:rsidR="00C5197D">
              <w:t> %</w:t>
            </w:r>
            <w:r>
              <w:t xml:space="preserve"> se zvýšil objem vyplacených mezd v profesních, vědeckých </w:t>
            </w:r>
            <w:r w:rsidR="00283F7B">
              <w:t>a </w:t>
            </w:r>
            <w:r>
              <w:t>technických činnostech. Naopak podprůměrného růstu dosahoval objem mezd ve zpracovatelském průmyslu (4,5</w:t>
            </w:r>
            <w:r w:rsidR="00C5197D">
              <w:t> %</w:t>
            </w:r>
            <w:r w:rsidR="007C10BD">
              <w:t>), ale také ve stavebnictví (5,0</w:t>
            </w:r>
            <w:r w:rsidR="00C5197D">
              <w:t> %</w:t>
            </w:r>
            <w:r>
              <w:t>).</w:t>
            </w:r>
          </w:p>
        </w:tc>
      </w:tr>
      <w:tr w:rsidR="00C42EBB" w:rsidRPr="009110F7" w14:paraId="2E59976F" w14:textId="77777777" w:rsidTr="00C42EBB">
        <w:trPr>
          <w:trHeight w:val="145"/>
        </w:trPr>
        <w:tc>
          <w:tcPr>
            <w:tcW w:w="1888" w:type="dxa"/>
            <w:shd w:val="clear" w:color="auto" w:fill="auto"/>
            <w:tcMar>
              <w:left w:w="0" w:type="dxa"/>
            </w:tcMar>
          </w:tcPr>
          <w:p w14:paraId="6D85B0D1" w14:textId="0ED7ED4D" w:rsidR="00C42EBB" w:rsidRDefault="00C42EBB" w:rsidP="00C42EBB">
            <w:pPr>
              <w:pStyle w:val="Marginlie"/>
            </w:pPr>
            <w:r>
              <w:lastRenderedPageBreak/>
              <w:t>Růst investiční aktivity podpořily hlavně domácnosti. Vývoj investic do strojů ukazuje na zhoršená očekávání sektoru nefinančních podniků.</w:t>
            </w:r>
          </w:p>
        </w:tc>
        <w:tc>
          <w:tcPr>
            <w:tcW w:w="250" w:type="dxa"/>
            <w:shd w:val="clear" w:color="auto" w:fill="auto"/>
            <w:tcMar>
              <w:left w:w="0" w:type="dxa"/>
            </w:tcMar>
          </w:tcPr>
          <w:p w14:paraId="3CDD38B0" w14:textId="77777777" w:rsidR="00C42EBB" w:rsidRDefault="00C42EBB" w:rsidP="00C42EBB">
            <w:pPr>
              <w:pStyle w:val="Textpoznpodarou"/>
              <w:jc w:val="both"/>
              <w:rPr>
                <w:spacing w:val="-4"/>
              </w:rPr>
            </w:pPr>
          </w:p>
        </w:tc>
        <w:tc>
          <w:tcPr>
            <w:tcW w:w="7501" w:type="dxa"/>
            <w:shd w:val="clear" w:color="auto" w:fill="auto"/>
            <w:tcMar>
              <w:left w:w="0" w:type="dxa"/>
            </w:tcMar>
          </w:tcPr>
          <w:p w14:paraId="0DD48E09" w14:textId="188266A5" w:rsidR="00C42EBB" w:rsidRDefault="00C42EBB" w:rsidP="00C42EBB">
            <w:r>
              <w:t>Meziroční přírůstek výdajů na tvorbu hrubého kapitálu dosáhl 0,2</w:t>
            </w:r>
            <w:r w:rsidR="00C5197D">
              <w:t> %</w:t>
            </w:r>
            <w:r>
              <w:t xml:space="preserve">. Růstu ale bylo dosaženo díky příznivému vývoji zásob. Výdaje na tvorbu hrubého fixního kapitálu (investiční aktivita) naopak poklesly </w:t>
            </w:r>
            <w:r w:rsidR="00283F7B">
              <w:t>o </w:t>
            </w:r>
            <w:r>
              <w:t>0,3</w:t>
            </w:r>
            <w:r w:rsidR="00C5197D">
              <w:t> %</w:t>
            </w:r>
            <w:r>
              <w:t>, poprvé od počátku roku 2017. Negativní příspěvek k růstu HDP ještě dál prohloubilo vyloučení dovozu pro konečné užití. Investiční poptávka byla totiž zčásti saturována dovozem. Z věcného složení investiční aktivity</w:t>
            </w:r>
            <w:r w:rsidRPr="009110F7">
              <w:rPr>
                <w:rStyle w:val="Znakapoznpodarou"/>
              </w:rPr>
              <w:footnoteReference w:id="8"/>
            </w:r>
            <w:r>
              <w:t xml:space="preserve"> lze nepřímo usuzovat, že růst podporovala spíše činnost domácností </w:t>
            </w:r>
            <w:r w:rsidR="00283F7B">
              <w:t>a </w:t>
            </w:r>
            <w:r>
              <w:t>vládních institucí. Nejvýrazněji rostly výdaje na obydlí (7,0</w:t>
            </w:r>
            <w:r w:rsidR="00C5197D">
              <w:t> %</w:t>
            </w:r>
            <w:r>
              <w:t xml:space="preserve">). V porovnání s předchozím čtvrtletím posílila meziroční dynamika také </w:t>
            </w:r>
            <w:r w:rsidR="00283F7B">
              <w:t>u </w:t>
            </w:r>
            <w:r>
              <w:t xml:space="preserve">výdajů na ostatní budovy </w:t>
            </w:r>
            <w:r w:rsidR="00283F7B">
              <w:t>a </w:t>
            </w:r>
            <w:r>
              <w:t>stavby (3,0</w:t>
            </w:r>
            <w:r w:rsidR="00C5197D">
              <w:t> %</w:t>
            </w:r>
            <w:r>
              <w:t xml:space="preserve">). Stagnovaly investice do dopravních prostředků </w:t>
            </w:r>
            <w:r w:rsidR="00283F7B">
              <w:t>a </w:t>
            </w:r>
            <w:r>
              <w:t>zařízení (0,4</w:t>
            </w:r>
            <w:r w:rsidR="00C5197D">
              <w:t> %</w:t>
            </w:r>
            <w:r>
              <w:t xml:space="preserve">) </w:t>
            </w:r>
            <w:r w:rsidR="00283F7B">
              <w:t>a </w:t>
            </w:r>
            <w:r>
              <w:t>produktů duševního vlastnictví (0,4</w:t>
            </w:r>
            <w:r w:rsidR="00C5197D">
              <w:t> %</w:t>
            </w:r>
            <w:r>
              <w:t xml:space="preserve">). Nejistotu </w:t>
            </w:r>
            <w:r w:rsidR="00283F7B">
              <w:t>a </w:t>
            </w:r>
            <w:r>
              <w:t>zhoršený ekonomický sentiment nefinančních podniků potvrzují výdaje na</w:t>
            </w:r>
            <w:r w:rsidR="003E2DFB">
              <w:t> </w:t>
            </w:r>
            <w:r>
              <w:t xml:space="preserve">ICT </w:t>
            </w:r>
            <w:r w:rsidR="00283F7B">
              <w:t>a </w:t>
            </w:r>
            <w:r>
              <w:t xml:space="preserve">ostatní stroje </w:t>
            </w:r>
            <w:r w:rsidR="00283F7B">
              <w:t>a </w:t>
            </w:r>
            <w:r>
              <w:t>zařízení, které ve 3</w:t>
            </w:r>
            <w:r w:rsidR="00EE2EB4">
              <w:t>. čtvrtlet</w:t>
            </w:r>
            <w:r>
              <w:t xml:space="preserve">í meziročně klesly </w:t>
            </w:r>
            <w:r w:rsidR="00283F7B">
              <w:t>o </w:t>
            </w:r>
            <w:r>
              <w:t>2,6</w:t>
            </w:r>
            <w:r w:rsidR="00C5197D">
              <w:t> %</w:t>
            </w:r>
            <w:r>
              <w:t>.</w:t>
            </w:r>
          </w:p>
        </w:tc>
      </w:tr>
      <w:tr w:rsidR="00C42EBB" w:rsidRPr="009110F7" w14:paraId="3E7DFCEA" w14:textId="77777777" w:rsidTr="00C42EBB">
        <w:trPr>
          <w:trHeight w:val="145"/>
        </w:trPr>
        <w:tc>
          <w:tcPr>
            <w:tcW w:w="1888" w:type="dxa"/>
            <w:shd w:val="clear" w:color="auto" w:fill="auto"/>
            <w:tcMar>
              <w:left w:w="0" w:type="dxa"/>
            </w:tcMar>
          </w:tcPr>
          <w:p w14:paraId="3E133E96" w14:textId="7DFF432A" w:rsidR="00C42EBB" w:rsidRDefault="00C42EBB" w:rsidP="00C42EBB">
            <w:pPr>
              <w:pStyle w:val="Marginlie"/>
            </w:pPr>
            <w:r>
              <w:t>Bilance zahraničního obchodu meziročně rostla, zejména však pod vlivem útlumu dovozu.</w:t>
            </w:r>
          </w:p>
        </w:tc>
        <w:tc>
          <w:tcPr>
            <w:tcW w:w="250" w:type="dxa"/>
            <w:shd w:val="clear" w:color="auto" w:fill="auto"/>
            <w:tcMar>
              <w:left w:w="0" w:type="dxa"/>
            </w:tcMar>
          </w:tcPr>
          <w:p w14:paraId="0354E25A" w14:textId="77777777" w:rsidR="00C42EBB" w:rsidRDefault="00C42EBB" w:rsidP="00C42EBB">
            <w:pPr>
              <w:pStyle w:val="Textpoznpodarou"/>
              <w:jc w:val="both"/>
              <w:rPr>
                <w:spacing w:val="-4"/>
              </w:rPr>
            </w:pPr>
          </w:p>
        </w:tc>
        <w:tc>
          <w:tcPr>
            <w:tcW w:w="7501" w:type="dxa"/>
            <w:shd w:val="clear" w:color="auto" w:fill="auto"/>
            <w:tcMar>
              <w:left w:w="0" w:type="dxa"/>
            </w:tcMar>
          </w:tcPr>
          <w:p w14:paraId="6A7C52B6" w14:textId="58E4902F" w:rsidR="00C42EBB" w:rsidRDefault="00C42EBB" w:rsidP="00C42EBB">
            <w:r>
              <w:t xml:space="preserve">Bilance zahraničního obchodu se zbožím </w:t>
            </w:r>
            <w:r w:rsidR="00283F7B">
              <w:t>a </w:t>
            </w:r>
            <w:r>
              <w:t>službami ve 3</w:t>
            </w:r>
            <w:r w:rsidR="00EE2EB4">
              <w:t>. čtvrtlet</w:t>
            </w:r>
            <w:r>
              <w:t>í dosáhla přebytku 92,2</w:t>
            </w:r>
            <w:r w:rsidR="00C5197D">
              <w:t> mld.</w:t>
            </w:r>
            <w:r>
              <w:t xml:space="preserve"> korun</w:t>
            </w:r>
            <w:r w:rsidRPr="009110F7">
              <w:rPr>
                <w:rStyle w:val="Znakapoznpodarou"/>
              </w:rPr>
              <w:footnoteReference w:id="9"/>
            </w:r>
            <w:r>
              <w:t xml:space="preserve">, který se meziročně zvýšil </w:t>
            </w:r>
            <w:r w:rsidR="00283F7B">
              <w:t>o </w:t>
            </w:r>
            <w:r>
              <w:t>17,8</w:t>
            </w:r>
            <w:r w:rsidR="00C5197D">
              <w:t> mld.</w:t>
            </w:r>
            <w:r>
              <w:t xml:space="preserve"> Výrazný přírůstek kladného salda byl z většiny způsoben nárůstem přebytku obchodu se zbožím (+16,6</w:t>
            </w:r>
            <w:r w:rsidR="00C5197D">
              <w:t> mld.</w:t>
            </w:r>
            <w:r>
              <w:t xml:space="preserve"> korun), méně službami (+1,2</w:t>
            </w:r>
            <w:r w:rsidR="00C5197D">
              <w:t> mld.</w:t>
            </w:r>
            <w:r>
              <w:t xml:space="preserve">). K pozitivnímu výsledku přispělo </w:t>
            </w:r>
            <w:r w:rsidR="00283F7B">
              <w:t>i </w:t>
            </w:r>
            <w:r>
              <w:t>srovnání s poměrně nízkou úrovní 3</w:t>
            </w:r>
            <w:r w:rsidR="0004431D">
              <w:t>. </w:t>
            </w:r>
            <w:r>
              <w:t>čtvrtletí loňského roku. Podobně jako ve 2</w:t>
            </w:r>
            <w:r w:rsidR="00EE2EB4">
              <w:t>. čtvrtlet</w:t>
            </w:r>
            <w:r>
              <w:t xml:space="preserve">í 2019 docházelo </w:t>
            </w:r>
            <w:r w:rsidR="00283F7B">
              <w:t>k</w:t>
            </w:r>
            <w:r w:rsidR="0004431D">
              <w:t> </w:t>
            </w:r>
            <w:r>
              <w:t>výraznějšímu</w:t>
            </w:r>
            <w:r w:rsidR="0004431D">
              <w:t xml:space="preserve"> </w:t>
            </w:r>
            <w:r>
              <w:t>útlumu dynamiky importu (reálný meziroční přírůstek činil 1,0</w:t>
            </w:r>
            <w:r w:rsidR="00C5197D">
              <w:t> %</w:t>
            </w:r>
            <w:r>
              <w:t>), což vedlo ke zlepšení bilance navzdory jen mírnému růstu vývozu (1,8</w:t>
            </w:r>
            <w:r w:rsidR="00C5197D">
              <w:t> %</w:t>
            </w:r>
            <w:r>
              <w:t xml:space="preserve">). To potvrzuje </w:t>
            </w:r>
            <w:r w:rsidR="00283F7B">
              <w:t>i </w:t>
            </w:r>
            <w:r>
              <w:t xml:space="preserve">srovnání příspěvků k růstu HDP po vyloučení dovozu pro konečné užití </w:t>
            </w:r>
            <w:r w:rsidR="00283F7B">
              <w:t>a </w:t>
            </w:r>
            <w:r>
              <w:t xml:space="preserve">bez vyloučení. Na rozdíl od loňského roku, kdy rozdíly </w:t>
            </w:r>
            <w:r w:rsidR="00283F7B">
              <w:t>u </w:t>
            </w:r>
            <w:r>
              <w:t xml:space="preserve">příspěvku spotřeby </w:t>
            </w:r>
            <w:r w:rsidR="00283F7B">
              <w:t>a </w:t>
            </w:r>
            <w:r>
              <w:t>investic k růstu dosahovaly více než 0,5</w:t>
            </w:r>
            <w:r w:rsidR="00C5197D">
              <w:t> p. b.</w:t>
            </w:r>
            <w:r>
              <w:t xml:space="preserve">, nyní jsou nepatrné. Růst spotřební </w:t>
            </w:r>
            <w:r w:rsidR="00283F7B">
              <w:t>a </w:t>
            </w:r>
            <w:r>
              <w:t>investiční poptávky již není tak silně saturován dovozem.</w:t>
            </w:r>
          </w:p>
        </w:tc>
      </w:tr>
      <w:tr w:rsidR="00C42EBB" w:rsidRPr="009110F7" w14:paraId="00DB0054" w14:textId="77777777" w:rsidTr="00C42EBB">
        <w:trPr>
          <w:trHeight w:val="145"/>
        </w:trPr>
        <w:tc>
          <w:tcPr>
            <w:tcW w:w="1888" w:type="dxa"/>
            <w:shd w:val="clear" w:color="auto" w:fill="auto"/>
            <w:tcMar>
              <w:left w:w="0" w:type="dxa"/>
            </w:tcMar>
          </w:tcPr>
          <w:p w14:paraId="025C83F7" w14:textId="537C340C" w:rsidR="00C42EBB" w:rsidRDefault="00C42EBB" w:rsidP="00C42EBB">
            <w:pPr>
              <w:pStyle w:val="Marginlie"/>
            </w:pPr>
            <w:r>
              <w:t xml:space="preserve">Pozice služeb jako tahouna růstu HPH zůstává nezměněna. Vyniká mezi nimi dynamika informačních </w:t>
            </w:r>
            <w:r w:rsidR="00283F7B">
              <w:t>a </w:t>
            </w:r>
            <w:r>
              <w:t xml:space="preserve">komunikačních </w:t>
            </w:r>
            <w:r w:rsidR="003D1E7A">
              <w:t>činností</w:t>
            </w:r>
            <w:r>
              <w:t>.</w:t>
            </w:r>
          </w:p>
        </w:tc>
        <w:tc>
          <w:tcPr>
            <w:tcW w:w="250" w:type="dxa"/>
            <w:shd w:val="clear" w:color="auto" w:fill="auto"/>
            <w:tcMar>
              <w:left w:w="0" w:type="dxa"/>
            </w:tcMar>
          </w:tcPr>
          <w:p w14:paraId="323F3DDF" w14:textId="77777777" w:rsidR="00C42EBB" w:rsidRDefault="00C42EBB" w:rsidP="00C42EBB">
            <w:pPr>
              <w:pStyle w:val="Textpoznpodarou"/>
              <w:jc w:val="both"/>
              <w:rPr>
                <w:spacing w:val="-4"/>
              </w:rPr>
            </w:pPr>
          </w:p>
        </w:tc>
        <w:tc>
          <w:tcPr>
            <w:tcW w:w="7501" w:type="dxa"/>
            <w:shd w:val="clear" w:color="auto" w:fill="auto"/>
            <w:tcMar>
              <w:left w:w="0" w:type="dxa"/>
            </w:tcMar>
          </w:tcPr>
          <w:p w14:paraId="3F35751F" w14:textId="78B6BDDE" w:rsidR="00C42EBB" w:rsidRDefault="00C42EBB" w:rsidP="009B72BE">
            <w:r>
              <w:t>Meziroční přírůstek hrubé přidané hodnoty (HPH) ve 3</w:t>
            </w:r>
            <w:r w:rsidR="00EE2EB4">
              <w:t>. čtvrtlet</w:t>
            </w:r>
            <w:r>
              <w:t>í dosáhl 2,4</w:t>
            </w:r>
            <w:r w:rsidR="00C5197D">
              <w:t> %</w:t>
            </w:r>
            <w:r>
              <w:t xml:space="preserve"> </w:t>
            </w:r>
            <w:r w:rsidR="00283F7B">
              <w:t>a </w:t>
            </w:r>
            <w:r>
              <w:t>oproti úrovni 1.</w:t>
            </w:r>
            <w:r w:rsidR="0004431D">
              <w:t> </w:t>
            </w:r>
            <w:r w:rsidR="00283F7B">
              <w:t>a </w:t>
            </w:r>
            <w:r>
              <w:t>2</w:t>
            </w:r>
            <w:r w:rsidR="00EE2EB4">
              <w:t>. čtvrtlet</w:t>
            </w:r>
            <w:r>
              <w:t xml:space="preserve">í zpomalil </w:t>
            </w:r>
            <w:r w:rsidR="00283F7B">
              <w:t>o </w:t>
            </w:r>
            <w:r>
              <w:t>0,3</w:t>
            </w:r>
            <w:r w:rsidR="00C5197D">
              <w:t> p. b.</w:t>
            </w:r>
            <w:r>
              <w:t xml:space="preserve"> V porovnání s předchozím kvartálem se HPH zvýšila </w:t>
            </w:r>
            <w:r w:rsidR="00283F7B">
              <w:t>o </w:t>
            </w:r>
            <w:r>
              <w:t>0,3</w:t>
            </w:r>
            <w:r w:rsidR="00C5197D">
              <w:t> %</w:t>
            </w:r>
            <w:r>
              <w:t>, což znamenalo rovněž výrazné zpomalení oproti tempu předchozích sedmi čtvrtletí. Struktura meziročního růstu se ve 3</w:t>
            </w:r>
            <w:r w:rsidR="00EE2EB4">
              <w:t>. čtvrtlet</w:t>
            </w:r>
            <w:r>
              <w:t xml:space="preserve">í prakticky neměnila </w:t>
            </w:r>
            <w:r w:rsidR="00283F7B">
              <w:t>a </w:t>
            </w:r>
            <w:r>
              <w:t xml:space="preserve">dominanci si udržela odvětví služeb, zatímco příspěvek zpracovatelského průmyslu byl nevýrazný. Celkově HPH ve zpracovatelském průmyslu meziročně vzrostla </w:t>
            </w:r>
            <w:r w:rsidR="00283F7B">
              <w:t>o </w:t>
            </w:r>
            <w:r>
              <w:t>1,0</w:t>
            </w:r>
            <w:r w:rsidR="00C5197D">
              <w:t> %</w:t>
            </w:r>
            <w:r>
              <w:t xml:space="preserve"> </w:t>
            </w:r>
            <w:r w:rsidR="00283F7B">
              <w:t>a </w:t>
            </w:r>
            <w:r>
              <w:t>příspěvek k růstu činil 0,3</w:t>
            </w:r>
            <w:r w:rsidR="00C5197D">
              <w:t> p. b.</w:t>
            </w:r>
            <w:r>
              <w:t xml:space="preserve"> Ostatním průmyslovým odvětvím se ale nedařilo </w:t>
            </w:r>
            <w:r w:rsidR="00283F7B">
              <w:t>a </w:t>
            </w:r>
            <w:r>
              <w:t>jejich vliv na dynamiku HPH byl negativní. Jen mírný byl rovněž příspěvek stavebnictví (0,2 p.</w:t>
            </w:r>
            <w:r w:rsidR="003D1E7A">
              <w:t> </w:t>
            </w:r>
            <w:r>
              <w:t>b.), kde růst HPH ve 3</w:t>
            </w:r>
            <w:r w:rsidR="00EE2EB4">
              <w:t>. čtvrtlet</w:t>
            </w:r>
            <w:r>
              <w:t>í zrychlil na 4,1</w:t>
            </w:r>
            <w:r w:rsidR="00C5197D">
              <w:t> %</w:t>
            </w:r>
            <w:r>
              <w:t xml:space="preserve">. Z odvětví služeb </w:t>
            </w:r>
            <w:r w:rsidR="003D1E7A">
              <w:t>přispělo nejvíce</w:t>
            </w:r>
            <w:r>
              <w:t xml:space="preserve"> k růstu HPH uskupení obchod, doprava, ubytování </w:t>
            </w:r>
            <w:r w:rsidR="00283F7B">
              <w:t>a </w:t>
            </w:r>
            <w:r>
              <w:t>pohostinství</w:t>
            </w:r>
            <w:r w:rsidR="009B72BE">
              <w:t xml:space="preserve"> (0,6 p. b.)</w:t>
            </w:r>
            <w:r>
              <w:t xml:space="preserve">. Má totiž v ekonomice velkou váhu </w:t>
            </w:r>
            <w:r w:rsidR="00283F7B">
              <w:t>a </w:t>
            </w:r>
            <w:r>
              <w:t>navzdory mírnému zpomalení si udrželo nadprůměrný růst (2,9</w:t>
            </w:r>
            <w:r w:rsidR="00C5197D">
              <w:t> %</w:t>
            </w:r>
            <w:r>
              <w:t xml:space="preserve">). Do pozice tahouna růstu se postupně dostávají informační </w:t>
            </w:r>
            <w:r w:rsidR="00283F7B">
              <w:t>a </w:t>
            </w:r>
            <w:r>
              <w:t xml:space="preserve">komunikační činnosti, které si navzdory všeobecnému zpomalování udržely růst </w:t>
            </w:r>
            <w:r w:rsidR="00283F7B">
              <w:t>o </w:t>
            </w:r>
            <w:r>
              <w:t>8,1</w:t>
            </w:r>
            <w:r w:rsidR="00C5197D">
              <w:t> %</w:t>
            </w:r>
            <w:r>
              <w:t xml:space="preserve"> </w:t>
            </w:r>
            <w:r w:rsidR="00283F7B">
              <w:t>a </w:t>
            </w:r>
            <w:r>
              <w:t>přispěly k celkové dynamice 0,4</w:t>
            </w:r>
            <w:r w:rsidR="00C5197D">
              <w:t> p. b.</w:t>
            </w:r>
            <w:r>
              <w:t xml:space="preserve"> Výrazný růst posledních dvou let také přispěl k posílení jejich váhy v ekonomice – nyní je HPH odvětví velmi blízko HPH stavebnictví. Nad průměrem ekonomiky rostla také HPH činností v oblasti nemovitostí (3,0</w:t>
            </w:r>
            <w:r w:rsidR="00C5197D">
              <w:t> %</w:t>
            </w:r>
            <w:r>
              <w:t>, příspěvek 0,3</w:t>
            </w:r>
            <w:r w:rsidR="00C5197D">
              <w:t> p. b.</w:t>
            </w:r>
            <w:r>
              <w:t xml:space="preserve">) </w:t>
            </w:r>
            <w:r w:rsidR="00283F7B">
              <w:t>a </w:t>
            </w:r>
            <w:r>
              <w:t xml:space="preserve">profesních, vědeckých, </w:t>
            </w:r>
            <w:r>
              <w:lastRenderedPageBreak/>
              <w:t xml:space="preserve">technických </w:t>
            </w:r>
            <w:r w:rsidR="00283F7B">
              <w:t>a </w:t>
            </w:r>
            <w:r>
              <w:t>administrativních činností (4,3</w:t>
            </w:r>
            <w:r w:rsidR="00C5197D">
              <w:t> %</w:t>
            </w:r>
            <w:r>
              <w:t>, 0,3</w:t>
            </w:r>
            <w:r w:rsidR="00C5197D">
              <w:t> p. b.</w:t>
            </w:r>
            <w:r>
              <w:t>). Solidně přispěla také odvětví s převahou vládní</w:t>
            </w:r>
            <w:r w:rsidR="009B72BE">
              <w:t xml:space="preserve">ch institucí </w:t>
            </w:r>
            <w:r>
              <w:t>(0,3</w:t>
            </w:r>
            <w:r w:rsidR="00C5197D">
              <w:t> p. b.</w:t>
            </w:r>
            <w:r>
              <w:t>) navzdory</w:t>
            </w:r>
            <w:r w:rsidR="008D033D">
              <w:t xml:space="preserve"> jen</w:t>
            </w:r>
            <w:r>
              <w:t xml:space="preserve"> mírnému růstu HPH (1,8</w:t>
            </w:r>
            <w:r w:rsidR="00C5197D">
              <w:t> %</w:t>
            </w:r>
            <w:r>
              <w:t>).</w:t>
            </w:r>
          </w:p>
        </w:tc>
      </w:tr>
      <w:tr w:rsidR="00C42EBB" w:rsidRPr="009110F7" w14:paraId="06070C1E" w14:textId="77777777" w:rsidTr="00C42EBB">
        <w:trPr>
          <w:trHeight w:val="170"/>
        </w:trPr>
        <w:tc>
          <w:tcPr>
            <w:tcW w:w="1888" w:type="dxa"/>
            <w:vMerge w:val="restart"/>
            <w:shd w:val="clear" w:color="auto" w:fill="auto"/>
            <w:tcMar>
              <w:left w:w="0" w:type="dxa"/>
            </w:tcMar>
          </w:tcPr>
          <w:p w14:paraId="6CA856BA" w14:textId="77777777" w:rsidR="00C42EBB" w:rsidRDefault="00C42EBB" w:rsidP="00C42EBB">
            <w:pPr>
              <w:pStyle w:val="Marginlie"/>
            </w:pPr>
          </w:p>
        </w:tc>
        <w:tc>
          <w:tcPr>
            <w:tcW w:w="250" w:type="dxa"/>
            <w:vMerge w:val="restart"/>
            <w:shd w:val="clear" w:color="auto" w:fill="auto"/>
            <w:tcMar>
              <w:left w:w="0" w:type="dxa"/>
            </w:tcMar>
          </w:tcPr>
          <w:p w14:paraId="111410F7" w14:textId="77777777" w:rsidR="00C42EBB" w:rsidRDefault="00C42EBB" w:rsidP="00C42EBB">
            <w:pPr>
              <w:pStyle w:val="Textpoznpodarou"/>
              <w:jc w:val="both"/>
              <w:rPr>
                <w:spacing w:val="-4"/>
              </w:rPr>
            </w:pPr>
          </w:p>
        </w:tc>
        <w:tc>
          <w:tcPr>
            <w:tcW w:w="7501" w:type="dxa"/>
            <w:shd w:val="clear" w:color="auto" w:fill="auto"/>
            <w:tcMar>
              <w:left w:w="0" w:type="dxa"/>
            </w:tcMar>
          </w:tcPr>
          <w:p w14:paraId="49DB8841" w14:textId="76D97D9B" w:rsidR="00C42EBB" w:rsidRPr="001208E3" w:rsidRDefault="00C42EBB" w:rsidP="00C42EBB">
            <w:pPr>
              <w:spacing w:after="0"/>
              <w:rPr>
                <w:szCs w:val="20"/>
              </w:rPr>
            </w:pPr>
            <w:r>
              <w:rPr>
                <w:b/>
                <w:sz w:val="18"/>
                <w:szCs w:val="18"/>
              </w:rPr>
              <w:t xml:space="preserve">Graf </w:t>
            </w:r>
            <w:r w:rsidR="00EE2EB4">
              <w:rPr>
                <w:b/>
                <w:sz w:val="18"/>
                <w:szCs w:val="18"/>
              </w:rPr>
              <w:t>č. </w:t>
            </w:r>
            <w:r w:rsidR="00283F7B">
              <w:rPr>
                <w:b/>
                <w:sz w:val="18"/>
                <w:szCs w:val="18"/>
              </w:rPr>
              <w:t>3</w:t>
            </w:r>
            <w:r w:rsidR="00805AF3">
              <w:rPr>
                <w:b/>
                <w:sz w:val="18"/>
                <w:szCs w:val="18"/>
              </w:rPr>
              <w:t xml:space="preserve">  </w:t>
            </w:r>
            <w:r w:rsidRPr="00663018">
              <w:rPr>
                <w:rFonts w:cs="Arial"/>
                <w:b/>
                <w:sz w:val="18"/>
                <w:szCs w:val="18"/>
                <w:lang w:eastAsia="en-US"/>
              </w:rPr>
              <w:t xml:space="preserve">Příspěvky odvětví </w:t>
            </w:r>
            <w:r w:rsidR="00283F7B" w:rsidRPr="00663018">
              <w:rPr>
                <w:rFonts w:cs="Arial"/>
                <w:b/>
                <w:sz w:val="18"/>
                <w:szCs w:val="18"/>
                <w:lang w:eastAsia="en-US"/>
              </w:rPr>
              <w:t>k</w:t>
            </w:r>
            <w:r w:rsidR="00666BF3">
              <w:rPr>
                <w:rFonts w:cs="Arial"/>
                <w:b/>
                <w:sz w:val="18"/>
                <w:szCs w:val="18"/>
                <w:lang w:eastAsia="en-US"/>
              </w:rPr>
              <w:t> </w:t>
            </w:r>
            <w:r w:rsidRPr="00663018">
              <w:rPr>
                <w:rFonts w:cs="Arial"/>
                <w:b/>
                <w:sz w:val="18"/>
                <w:szCs w:val="18"/>
                <w:lang w:eastAsia="en-US"/>
              </w:rPr>
              <w:t>reálné</w:t>
            </w:r>
            <w:r w:rsidR="00666BF3">
              <w:rPr>
                <w:rFonts w:cs="Arial"/>
                <w:b/>
                <w:sz w:val="18"/>
                <w:szCs w:val="18"/>
                <w:lang w:eastAsia="en-US"/>
              </w:rPr>
              <w:t xml:space="preserve"> </w:t>
            </w:r>
            <w:r w:rsidRPr="00663018">
              <w:rPr>
                <w:rFonts w:cs="Arial"/>
                <w:b/>
                <w:sz w:val="18"/>
                <w:szCs w:val="18"/>
                <w:lang w:eastAsia="en-US"/>
              </w:rPr>
              <w:t>změně HPH (objemové indexy, meziroční příspěvky v p.</w:t>
            </w:r>
            <w:r w:rsidR="00666BF3">
              <w:rPr>
                <w:rFonts w:cs="Arial"/>
                <w:b/>
                <w:sz w:val="18"/>
                <w:szCs w:val="18"/>
                <w:lang w:eastAsia="en-US"/>
              </w:rPr>
              <w:t> </w:t>
            </w:r>
            <w:r w:rsidRPr="00663018">
              <w:rPr>
                <w:rFonts w:cs="Arial"/>
                <w:b/>
                <w:sz w:val="18"/>
                <w:szCs w:val="18"/>
                <w:lang w:eastAsia="en-US"/>
              </w:rPr>
              <w:t>b., HPH v</w:t>
            </w:r>
            <w:r>
              <w:rPr>
                <w:rFonts w:cs="Arial"/>
                <w:b/>
                <w:sz w:val="18"/>
                <w:szCs w:val="18"/>
                <w:lang w:eastAsia="en-US"/>
              </w:rPr>
              <w:t> %</w:t>
            </w:r>
            <w:r w:rsidRPr="00663018">
              <w:rPr>
                <w:rFonts w:cs="Arial"/>
                <w:b/>
                <w:sz w:val="18"/>
                <w:szCs w:val="18"/>
                <w:lang w:eastAsia="en-US"/>
              </w:rPr>
              <w:t>)</w:t>
            </w:r>
          </w:p>
        </w:tc>
      </w:tr>
      <w:tr w:rsidR="00C42EBB" w:rsidRPr="009110F7" w14:paraId="4580B5C3" w14:textId="77777777" w:rsidTr="00C42EBB">
        <w:trPr>
          <w:trHeight w:val="170"/>
        </w:trPr>
        <w:tc>
          <w:tcPr>
            <w:tcW w:w="1888" w:type="dxa"/>
            <w:vMerge/>
            <w:shd w:val="clear" w:color="auto" w:fill="auto"/>
            <w:tcMar>
              <w:left w:w="0" w:type="dxa"/>
            </w:tcMar>
          </w:tcPr>
          <w:p w14:paraId="5768A0F5" w14:textId="77777777" w:rsidR="00C42EBB" w:rsidRPr="009110F7" w:rsidRDefault="00C42EBB" w:rsidP="00C42EBB">
            <w:pPr>
              <w:pStyle w:val="Marginlie"/>
            </w:pPr>
          </w:p>
        </w:tc>
        <w:tc>
          <w:tcPr>
            <w:tcW w:w="250" w:type="dxa"/>
            <w:vMerge/>
            <w:shd w:val="clear" w:color="auto" w:fill="auto"/>
            <w:tcMar>
              <w:left w:w="0" w:type="dxa"/>
            </w:tcMar>
          </w:tcPr>
          <w:p w14:paraId="63F3AA79"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15DFCB23" w14:textId="577480A1" w:rsidR="00C42EBB" w:rsidRPr="009110F7" w:rsidRDefault="00C42EBB" w:rsidP="00C42EBB">
            <w:pPr>
              <w:spacing w:after="0"/>
            </w:pPr>
            <w:r>
              <w:rPr>
                <w:noProof/>
              </w:rPr>
              <w:drawing>
                <wp:inline distT="0" distB="0" distL="0" distR="0" wp14:anchorId="2B777589" wp14:editId="20E4C277">
                  <wp:extent cx="4737600" cy="3553200"/>
                  <wp:effectExtent l="0" t="0" r="635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42EBB" w:rsidRPr="009110F7" w14:paraId="10A8BFF4" w14:textId="77777777" w:rsidTr="00C42EBB">
        <w:trPr>
          <w:trHeight w:val="170"/>
        </w:trPr>
        <w:tc>
          <w:tcPr>
            <w:tcW w:w="1888" w:type="dxa"/>
            <w:vMerge/>
            <w:shd w:val="clear" w:color="auto" w:fill="auto"/>
            <w:tcMar>
              <w:left w:w="0" w:type="dxa"/>
            </w:tcMar>
          </w:tcPr>
          <w:p w14:paraId="75C9CE95" w14:textId="77777777" w:rsidR="00C42EBB" w:rsidRPr="009110F7" w:rsidRDefault="00C42EBB" w:rsidP="00C42EBB">
            <w:pPr>
              <w:pStyle w:val="Marginlie"/>
            </w:pPr>
          </w:p>
        </w:tc>
        <w:tc>
          <w:tcPr>
            <w:tcW w:w="250" w:type="dxa"/>
            <w:vMerge/>
            <w:shd w:val="clear" w:color="auto" w:fill="auto"/>
            <w:tcMar>
              <w:left w:w="0" w:type="dxa"/>
            </w:tcMar>
          </w:tcPr>
          <w:p w14:paraId="5A0714AD" w14:textId="77777777" w:rsidR="00C42EBB" w:rsidRPr="009110F7" w:rsidRDefault="00C42EBB" w:rsidP="00C42EBB">
            <w:pPr>
              <w:pStyle w:val="Textpoznpodarou"/>
              <w:jc w:val="both"/>
              <w:rPr>
                <w:spacing w:val="-4"/>
              </w:rPr>
            </w:pPr>
          </w:p>
        </w:tc>
        <w:tc>
          <w:tcPr>
            <w:tcW w:w="7501" w:type="dxa"/>
            <w:shd w:val="clear" w:color="auto" w:fill="auto"/>
            <w:tcMar>
              <w:left w:w="0" w:type="dxa"/>
            </w:tcMar>
          </w:tcPr>
          <w:p w14:paraId="5CB11613" w14:textId="773C3243" w:rsidR="00C42EBB" w:rsidRPr="009110F7" w:rsidRDefault="00C42EBB" w:rsidP="00C42EBB">
            <w:pPr>
              <w:rPr>
                <w:sz w:val="14"/>
                <w:szCs w:val="14"/>
              </w:rPr>
            </w:pPr>
            <w:r w:rsidRPr="00A85DE1">
              <w:rPr>
                <w:sz w:val="14"/>
                <w:szCs w:val="14"/>
              </w:rPr>
              <w:t>Zdroj: ČSÚ</w:t>
            </w:r>
          </w:p>
        </w:tc>
      </w:tr>
    </w:tbl>
    <w:p w14:paraId="34D8C071" w14:textId="77DB0437" w:rsidR="009A24F1" w:rsidRDefault="009A24F1">
      <w:pPr>
        <w:spacing w:after="0" w:line="240" w:lineRule="auto"/>
        <w:jc w:val="left"/>
        <w:rPr>
          <w:rFonts w:eastAsia="MS Gothic"/>
          <w:b/>
          <w:bCs/>
          <w:color w:val="71818C"/>
          <w:sz w:val="32"/>
          <w:szCs w:val="28"/>
        </w:rPr>
      </w:pPr>
      <w:bookmarkStart w:id="1" w:name="_GoBack"/>
      <w:bookmarkEnd w:id="1"/>
    </w:p>
    <w:sectPr w:rsidR="009A24F1" w:rsidSect="005014C6">
      <w:headerReference w:type="even" r:id="rId12"/>
      <w:headerReference w:type="default" r:id="rId13"/>
      <w:footerReference w:type="even" r:id="rId14"/>
      <w:footerReference w:type="default" r:id="rId15"/>
      <w:pgSz w:w="11906" w:h="16838" w:code="9"/>
      <w:pgMar w:top="1134" w:right="1134" w:bottom="1418" w:left="1134" w:header="680" w:footer="737" w:gutter="0"/>
      <w:pgNumType w:start="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2D8F" w16cid:durableId="2195E0BF"/>
  <w16cid:commentId w16cid:paraId="3523D2E1" w16cid:durableId="2195E582"/>
  <w16cid:commentId w16cid:paraId="4A463A0C" w16cid:durableId="2195EAA7"/>
  <w16cid:commentId w16cid:paraId="7AE114DF" w16cid:durableId="2197F4F7"/>
  <w16cid:commentId w16cid:paraId="193E8431" w16cid:durableId="2196655C"/>
  <w16cid:commentId w16cid:paraId="5C5C0950" w16cid:durableId="21988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E4CB" w14:textId="77777777" w:rsidR="00C0109A" w:rsidRDefault="00C0109A" w:rsidP="00E71A58">
      <w:r>
        <w:separator/>
      </w:r>
    </w:p>
  </w:endnote>
  <w:endnote w:type="continuationSeparator" w:id="0">
    <w:p w14:paraId="14152D36" w14:textId="77777777" w:rsidR="00C0109A" w:rsidRDefault="00C0109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5CB0B60" w:rsidR="005810E1" w:rsidRPr="00932443" w:rsidRDefault="005810E1"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014C6">
      <w:rPr>
        <w:szCs w:val="16"/>
      </w:rPr>
      <w:t>6</w:t>
    </w:r>
    <w:r w:rsidRPr="00932443">
      <w:rPr>
        <w:szCs w:val="16"/>
      </w:rPr>
      <w:fldChar w:fldCharType="end"/>
    </w:r>
    <w:r w:rsidRPr="00932443">
      <w:rPr>
        <w:szCs w:val="16"/>
      </w:rPr>
      <w:tab/>
    </w:r>
    <w:r>
      <w:rPr>
        <w:szCs w:val="16"/>
      </w:rPr>
      <w:t>1. až 3.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ED8644D" w:rsidR="005810E1" w:rsidRPr="00932443" w:rsidRDefault="005810E1"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až 3. 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014C6">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3631" w14:textId="77777777" w:rsidR="00C0109A" w:rsidRDefault="00C0109A" w:rsidP="00A21B4D">
      <w:pPr>
        <w:spacing w:after="0"/>
      </w:pPr>
      <w:r>
        <w:separator/>
      </w:r>
    </w:p>
  </w:footnote>
  <w:footnote w:type="continuationSeparator" w:id="0">
    <w:p w14:paraId="43DCED16" w14:textId="77777777" w:rsidR="00C0109A" w:rsidRDefault="00C0109A" w:rsidP="00E71A58">
      <w:r>
        <w:continuationSeparator/>
      </w:r>
    </w:p>
  </w:footnote>
  <w:footnote w:id="1">
    <w:p w14:paraId="656F9258" w14:textId="77777777" w:rsidR="005810E1" w:rsidRPr="00EF1EE3" w:rsidRDefault="005810E1" w:rsidP="0028431A">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29. 11. 2019</w:t>
      </w:r>
      <w:r w:rsidRPr="00EF1EE3">
        <w:rPr>
          <w:sz w:val="16"/>
          <w:szCs w:val="16"/>
        </w:rPr>
        <w:t>.</w:t>
      </w:r>
    </w:p>
  </w:footnote>
  <w:footnote w:id="2">
    <w:p w14:paraId="044E3647" w14:textId="77777777" w:rsidR="005810E1" w:rsidRPr="009C6EA8" w:rsidRDefault="005810E1" w:rsidP="0028431A">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3">
    <w:p w14:paraId="3FF02685" w14:textId="77777777" w:rsidR="005810E1" w:rsidRPr="00BB319F" w:rsidRDefault="005810E1" w:rsidP="0028431A">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xml:space="preserve">, Řecko, Kypr, </w:t>
      </w:r>
      <w:r w:rsidRPr="00BB319F">
        <w:rPr>
          <w:sz w:val="16"/>
          <w:szCs w:val="16"/>
        </w:rPr>
        <w:t>Lucembursko</w:t>
      </w:r>
      <w:r>
        <w:rPr>
          <w:sz w:val="16"/>
          <w:szCs w:val="16"/>
        </w:rPr>
        <w:t xml:space="preserve"> a Maltu</w:t>
      </w:r>
      <w:r w:rsidRPr="00BB319F">
        <w:rPr>
          <w:sz w:val="16"/>
          <w:szCs w:val="16"/>
        </w:rPr>
        <w:t>.</w:t>
      </w:r>
      <w:r>
        <w:rPr>
          <w:sz w:val="16"/>
          <w:szCs w:val="16"/>
        </w:rPr>
        <w:t xml:space="preserve"> Data za Slovensko nejsou očištěna o kalendářní vlivy.</w:t>
      </w:r>
    </w:p>
  </w:footnote>
  <w:footnote w:id="4">
    <w:p w14:paraId="084C9EE4" w14:textId="77777777" w:rsidR="005810E1" w:rsidRPr="00954992" w:rsidRDefault="005810E1" w:rsidP="0028431A">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5">
    <w:p w14:paraId="1FCF61A1" w14:textId="77777777" w:rsidR="005810E1" w:rsidRDefault="005810E1" w:rsidP="0028431A">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6">
    <w:p w14:paraId="71E11D53" w14:textId="77777777" w:rsidR="005810E1" w:rsidRPr="009C6EA8" w:rsidRDefault="005810E1" w:rsidP="0028431A">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7">
    <w:p w14:paraId="642EF010" w14:textId="77777777" w:rsidR="005810E1" w:rsidRPr="00771972" w:rsidRDefault="005810E1" w:rsidP="0028431A">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8">
    <w:p w14:paraId="0476E502" w14:textId="77777777" w:rsidR="005810E1" w:rsidRPr="0021552C" w:rsidRDefault="005810E1" w:rsidP="0028431A">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9">
    <w:p w14:paraId="6960B2F5" w14:textId="77777777" w:rsidR="005810E1" w:rsidRPr="00167B30" w:rsidRDefault="005810E1" w:rsidP="0028431A">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810E1" w:rsidRDefault="005810E1" w:rsidP="00937AE2">
    <w:pPr>
      <w:pStyle w:val="Zhlav"/>
    </w:pPr>
    <w:r>
      <w:t>Vývoj ekonomiky České republiky</w:t>
    </w:r>
  </w:p>
  <w:p w14:paraId="675E4C41" w14:textId="77777777" w:rsidR="005810E1" w:rsidRPr="006F5416" w:rsidRDefault="005810E1"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810E1" w:rsidRDefault="005810E1" w:rsidP="00937AE2">
    <w:pPr>
      <w:pStyle w:val="Zhlav"/>
    </w:pPr>
    <w:r>
      <w:t>Vývoj ekonomiky České republiky</w:t>
    </w:r>
  </w:p>
  <w:p w14:paraId="0CDCFD48" w14:textId="77777777" w:rsidR="005810E1" w:rsidRPr="006F5416" w:rsidRDefault="005810E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6D94"/>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B161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2C4F"/>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3F"/>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A58"/>
    <w:rsid w:val="004331C3"/>
    <w:rsid w:val="00434617"/>
    <w:rsid w:val="00435051"/>
    <w:rsid w:val="00435C69"/>
    <w:rsid w:val="004360FB"/>
    <w:rsid w:val="00437CED"/>
    <w:rsid w:val="004407BF"/>
    <w:rsid w:val="00440900"/>
    <w:rsid w:val="0044121D"/>
    <w:rsid w:val="00441BF6"/>
    <w:rsid w:val="00441D2B"/>
    <w:rsid w:val="004441A0"/>
    <w:rsid w:val="00445861"/>
    <w:rsid w:val="00445A8E"/>
    <w:rsid w:val="00446D44"/>
    <w:rsid w:val="0045078A"/>
    <w:rsid w:val="0045086D"/>
    <w:rsid w:val="00450DAB"/>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3E8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5014C6"/>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622E"/>
    <w:rsid w:val="00597BBF"/>
    <w:rsid w:val="005A0948"/>
    <w:rsid w:val="005A10F2"/>
    <w:rsid w:val="005A21E0"/>
    <w:rsid w:val="005A28FF"/>
    <w:rsid w:val="005A2C09"/>
    <w:rsid w:val="005A3778"/>
    <w:rsid w:val="005A3DF8"/>
    <w:rsid w:val="005A5549"/>
    <w:rsid w:val="005A7CF8"/>
    <w:rsid w:val="005B0EDA"/>
    <w:rsid w:val="005B121D"/>
    <w:rsid w:val="005B26B0"/>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3CC"/>
    <w:rsid w:val="00665982"/>
    <w:rsid w:val="00665BA4"/>
    <w:rsid w:val="00666BF3"/>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AA0"/>
    <w:rsid w:val="00706AD4"/>
    <w:rsid w:val="00707150"/>
    <w:rsid w:val="007124D7"/>
    <w:rsid w:val="00712C20"/>
    <w:rsid w:val="00713549"/>
    <w:rsid w:val="007140BE"/>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1E9"/>
    <w:rsid w:val="00766460"/>
    <w:rsid w:val="00767062"/>
    <w:rsid w:val="00767777"/>
    <w:rsid w:val="00771972"/>
    <w:rsid w:val="00772279"/>
    <w:rsid w:val="00772DAB"/>
    <w:rsid w:val="00772FF9"/>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4155"/>
    <w:rsid w:val="00805AF3"/>
    <w:rsid w:val="0080734C"/>
    <w:rsid w:val="00807C82"/>
    <w:rsid w:val="008117CC"/>
    <w:rsid w:val="00813D58"/>
    <w:rsid w:val="00813DCA"/>
    <w:rsid w:val="008161A6"/>
    <w:rsid w:val="008165B8"/>
    <w:rsid w:val="00816905"/>
    <w:rsid w:val="00816D98"/>
    <w:rsid w:val="00817040"/>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4068"/>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3E0"/>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201A"/>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09A"/>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10"/>
    <w:rsid w:val="00C755F9"/>
    <w:rsid w:val="00C770C9"/>
    <w:rsid w:val="00C8174E"/>
    <w:rsid w:val="00C82191"/>
    <w:rsid w:val="00C83134"/>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B0A"/>
    <w:rsid w:val="00D36DFB"/>
    <w:rsid w:val="00D36E1C"/>
    <w:rsid w:val="00D373AF"/>
    <w:rsid w:val="00D40556"/>
    <w:rsid w:val="00D41F74"/>
    <w:rsid w:val="00D43ED2"/>
    <w:rsid w:val="00D50F46"/>
    <w:rsid w:val="00D5384E"/>
    <w:rsid w:val="00D544E7"/>
    <w:rsid w:val="00D5499F"/>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321D"/>
    <w:rsid w:val="00DB459B"/>
    <w:rsid w:val="00DB47FD"/>
    <w:rsid w:val="00DB5E9A"/>
    <w:rsid w:val="00DB657E"/>
    <w:rsid w:val="00DB7342"/>
    <w:rsid w:val="00DC17D0"/>
    <w:rsid w:val="00DC2B41"/>
    <w:rsid w:val="00DC3128"/>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0D7D"/>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15E4"/>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9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1'!$C$13:$C$35</c:f>
              <c:numCache>
                <c:formatCode>#\ ##0.0</c:formatCode>
                <c:ptCount val="23"/>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4.22483883313663</c:v>
                </c:pt>
                <c:pt idx="17" formatCode="General">
                  <c:v>2.3828601900949735</c:v>
                </c:pt>
                <c:pt idx="18" formatCode="General">
                  <c:v>2.4575548921913253</c:v>
                </c:pt>
                <c:pt idx="19">
                  <c:v>2.7217885634296834</c:v>
                </c:pt>
                <c:pt idx="20">
                  <c:v>2.7208626801042328</c:v>
                </c:pt>
                <c:pt idx="21" formatCode="General">
                  <c:v>2.7371303794748059</c:v>
                </c:pt>
                <c:pt idx="22" formatCode="General">
                  <c:v>2.5305181141762603</c:v>
                </c:pt>
              </c:numCache>
            </c:numRef>
          </c:val>
          <c:extLst>
            <c:ext xmlns:c16="http://schemas.microsoft.com/office/drawing/2014/chart" uri="{C3380CC4-5D6E-409C-BE32-E72D297353CC}">
              <c16:uniqueId val="{00000000-EA2E-44C0-983D-FE9D9D29E194}"/>
            </c:ext>
          </c:extLst>
        </c:ser>
        <c:ser>
          <c:idx val="1"/>
          <c:order val="1"/>
          <c:tx>
            <c:strRef>
              <c:f>'souhrnná výkonnost 1'!$D$4</c:f>
              <c:strCache>
                <c:ptCount val="1"/>
                <c:pt idx="0">
                  <c:v>EU28 meziroční změna</c:v>
                </c:pt>
              </c:strCache>
            </c:strRef>
          </c:tx>
          <c:spPr>
            <a:solidFill>
              <a:srgbClr val="808080"/>
            </a:solidFill>
            <a:ln>
              <a:noFill/>
            </a:ln>
          </c:spPr>
          <c:invertIfNegative val="0"/>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1'!$D$13:$D$35</c:f>
              <c:numCache>
                <c:formatCode>#\ ##0.0</c:formatCode>
                <c:ptCount val="23"/>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2.4</c:v>
                </c:pt>
                <c:pt idx="13">
                  <c:v>2.6</c:v>
                </c:pt>
                <c:pt idx="14">
                  <c:v>2.9</c:v>
                </c:pt>
                <c:pt idx="15">
                  <c:v>2.8</c:v>
                </c:pt>
                <c:pt idx="16">
                  <c:v>2.4</c:v>
                </c:pt>
                <c:pt idx="17">
                  <c:v>2.2000000000000002</c:v>
                </c:pt>
                <c:pt idx="18">
                  <c:v>1.8</c:v>
                </c:pt>
                <c:pt idx="19">
                  <c:v>1.5</c:v>
                </c:pt>
                <c:pt idx="20">
                  <c:v>1.7</c:v>
                </c:pt>
                <c:pt idx="21">
                  <c:v>1.4</c:v>
                </c:pt>
                <c:pt idx="22">
                  <c:v>1.4</c:v>
                </c:pt>
              </c:numCache>
            </c:numRef>
          </c:val>
          <c:extLst>
            <c:ext xmlns:c16="http://schemas.microsoft.com/office/drawing/2014/chart" uri="{C3380CC4-5D6E-409C-BE32-E72D297353CC}">
              <c16:uniqueId val="{00000001-EA2E-44C0-983D-FE9D9D29E194}"/>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1'!$E$13:$E$35</c:f>
              <c:numCache>
                <c:formatCode>#\ ##0.0</c:formatCode>
                <c:ptCount val="23"/>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0.60012539268639387</c:v>
                </c:pt>
                <c:pt idx="17">
                  <c:v>0.63304358628937507</c:v>
                </c:pt>
                <c:pt idx="18">
                  <c:v>0.56602405139275902</c:v>
                </c:pt>
                <c:pt idx="19">
                  <c:v>0.89558491139287355</c:v>
                </c:pt>
                <c:pt idx="20">
                  <c:v>0.59921863298191624</c:v>
                </c:pt>
                <c:pt idx="21" formatCode="General">
                  <c:v>0.64898064188932381</c:v>
                </c:pt>
                <c:pt idx="22" formatCode="General">
                  <c:v>0.36377804778551592</c:v>
                </c:pt>
              </c:numCache>
            </c:numRef>
          </c:val>
          <c:smooth val="0"/>
          <c:extLst>
            <c:ext xmlns:c16="http://schemas.microsoft.com/office/drawing/2014/chart" uri="{C3380CC4-5D6E-409C-BE32-E72D297353CC}">
              <c16:uniqueId val="{00000002-EA2E-44C0-983D-FE9D9D29E194}"/>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1'!$A$13:$B$35</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1'!$F$13:$F$35</c:f>
              <c:numCache>
                <c:formatCode>#\ ##0.0</c:formatCode>
                <c:ptCount val="23"/>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0.3</c:v>
                </c:pt>
              </c:numCache>
            </c:numRef>
          </c:val>
          <c:smooth val="0"/>
          <c:extLst>
            <c:ext xmlns:c16="http://schemas.microsoft.com/office/drawing/2014/chart" uri="{C3380CC4-5D6E-409C-BE32-E72D297353CC}">
              <c16:uniqueId val="{00000003-EA2E-44C0-983D-FE9D9D29E194}"/>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3'!$D$14:$D$36</c:f>
              <c:numCache>
                <c:formatCode>#\ ##0.0</c:formatCode>
                <c:ptCount val="23"/>
                <c:pt idx="0">
                  <c:v>-0.34466465253407302</c:v>
                </c:pt>
                <c:pt idx="1">
                  <c:v>2.6060603139314679E-2</c:v>
                </c:pt>
                <c:pt idx="2">
                  <c:v>0.63044507278831585</c:v>
                </c:pt>
                <c:pt idx="3">
                  <c:v>1.1281972482474159</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1.3092827598767516</c:v>
                </c:pt>
                <c:pt idx="17">
                  <c:v>1.0384704164467136</c:v>
                </c:pt>
                <c:pt idx="18">
                  <c:v>0.79586573137503702</c:v>
                </c:pt>
                <c:pt idx="19">
                  <c:v>0.63855706157811842</c:v>
                </c:pt>
                <c:pt idx="20">
                  <c:v>1.0807029216537523</c:v>
                </c:pt>
                <c:pt idx="21">
                  <c:v>1.1539117439036108</c:v>
                </c:pt>
                <c:pt idx="22">
                  <c:v>0.97757630411384255</c:v>
                </c:pt>
              </c:numCache>
            </c:numRef>
          </c:val>
          <c:extLst>
            <c:ext xmlns:c16="http://schemas.microsoft.com/office/drawing/2014/chart" uri="{C3380CC4-5D6E-409C-BE32-E72D297353CC}">
              <c16:uniqueId val="{00000000-CF1A-4456-8A9A-BF61A08F45E3}"/>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3'!$E$14:$E$36</c:f>
              <c:numCache>
                <c:formatCode>#\ ##0.0</c:formatCode>
                <c:ptCount val="23"/>
                <c:pt idx="0">
                  <c:v>0.20577198825120416</c:v>
                </c:pt>
                <c:pt idx="1">
                  <c:v>0.33883190557992837</c:v>
                </c:pt>
                <c:pt idx="2">
                  <c:v>1.2158794576732425E-2</c:v>
                </c:pt>
                <c:pt idx="3">
                  <c:v>0.40389733446089826</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0.59877821818207988</c:v>
                </c:pt>
                <c:pt idx="17">
                  <c:v>0.64730121578566036</c:v>
                </c:pt>
                <c:pt idx="18">
                  <c:v>0.8751678542928174</c:v>
                </c:pt>
                <c:pt idx="19">
                  <c:v>0.75136961429992677</c:v>
                </c:pt>
                <c:pt idx="20">
                  <c:v>0.58261144233992868</c:v>
                </c:pt>
                <c:pt idx="21">
                  <c:v>0.67697669905453151</c:v>
                </c:pt>
                <c:pt idx="22">
                  <c:v>0.65474627195993973</c:v>
                </c:pt>
              </c:numCache>
            </c:numRef>
          </c:val>
          <c:extLst>
            <c:ext xmlns:c16="http://schemas.microsoft.com/office/drawing/2014/chart" uri="{C3380CC4-5D6E-409C-BE32-E72D297353CC}">
              <c16:uniqueId val="{00000001-CF1A-4456-8A9A-BF61A08F45E3}"/>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3'!$G$14:$G$36</c:f>
              <c:numCache>
                <c:formatCode>#\ ##0.0</c:formatCode>
                <c:ptCount val="23"/>
                <c:pt idx="0">
                  <c:v>-2.3991466431909317E-2</c:v>
                </c:pt>
                <c:pt idx="1">
                  <c:v>1.7451742182379062</c:v>
                </c:pt>
                <c:pt idx="2">
                  <c:v>1.1824385369018755</c:v>
                </c:pt>
                <c:pt idx="3">
                  <c:v>0.45289756665603148</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2.2557743652112885</c:v>
                </c:pt>
                <c:pt idx="17">
                  <c:v>0.4809751900419868</c:v>
                </c:pt>
                <c:pt idx="18">
                  <c:v>0.64530228847382531</c:v>
                </c:pt>
                <c:pt idx="19">
                  <c:v>4.2273401596654159E-2</c:v>
                </c:pt>
                <c:pt idx="20">
                  <c:v>0.96103198794140454</c:v>
                </c:pt>
                <c:pt idx="21">
                  <c:v>-0.20024708462847376</c:v>
                </c:pt>
                <c:pt idx="22">
                  <c:v>-0.13823502087569547</c:v>
                </c:pt>
              </c:numCache>
            </c:numRef>
          </c:val>
          <c:extLst>
            <c:ext xmlns:c16="http://schemas.microsoft.com/office/drawing/2014/chart" uri="{C3380CC4-5D6E-409C-BE32-E72D297353CC}">
              <c16:uniqueId val="{00000002-CF1A-4456-8A9A-BF61A08F45E3}"/>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3'!$F$14:$F$36</c:f>
              <c:numCache>
                <c:formatCode>#\ ##0.0</c:formatCode>
                <c:ptCount val="23"/>
                <c:pt idx="0">
                  <c:v>1.754622759396387</c:v>
                </c:pt>
                <c:pt idx="1">
                  <c:v>0.26870369648226777</c:v>
                </c:pt>
                <c:pt idx="2">
                  <c:v>1.5495167456083836</c:v>
                </c:pt>
                <c:pt idx="3">
                  <c:v>1.4172294109942891</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3.8038544497294602E-2</c:v>
                </c:pt>
                <c:pt idx="17">
                  <c:v>0.18654883636317754</c:v>
                </c:pt>
                <c:pt idx="18">
                  <c:v>0.10620165919219682</c:v>
                </c:pt>
                <c:pt idx="19">
                  <c:v>1.2425350517505631</c:v>
                </c:pt>
                <c:pt idx="20">
                  <c:v>6.734198419785753E-2</c:v>
                </c:pt>
                <c:pt idx="21">
                  <c:v>1.083025736638044</c:v>
                </c:pt>
                <c:pt idx="22">
                  <c:v>1.0124920487189413</c:v>
                </c:pt>
              </c:numCache>
            </c:numRef>
          </c:val>
          <c:extLst>
            <c:ext xmlns:c16="http://schemas.microsoft.com/office/drawing/2014/chart" uri="{C3380CC4-5D6E-409C-BE32-E72D297353CC}">
              <c16:uniqueId val="{00000003-CF1A-4456-8A9A-BF61A08F45E3}"/>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3'!$C$14:$C$36</c:f>
              <c:numCache>
                <c:formatCode>#\ ##0.0</c:formatCode>
                <c:ptCount val="23"/>
                <c:pt idx="0">
                  <c:v>1.6119852610403171</c:v>
                </c:pt>
                <c:pt idx="1">
                  <c:v>2.4036588344783354</c:v>
                </c:pt>
                <c:pt idx="2">
                  <c:v>3.402592096510773</c:v>
                </c:pt>
                <c:pt idx="3">
                  <c:v>3.4266275487343023</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4.2248198519072986</c:v>
                </c:pt>
                <c:pt idx="17">
                  <c:v>2.3828986882713252</c:v>
                </c:pt>
                <c:pt idx="18">
                  <c:v>2.4575571606080899</c:v>
                </c:pt>
                <c:pt idx="19">
                  <c:v>2.7217600378119755</c:v>
                </c:pt>
                <c:pt idx="20">
                  <c:v>2.7209309451421859</c:v>
                </c:pt>
                <c:pt idx="21">
                  <c:v>2.7371376857560961</c:v>
                </c:pt>
                <c:pt idx="22">
                  <c:v>2.5305671383708557</c:v>
                </c:pt>
              </c:numCache>
            </c:numRef>
          </c:val>
          <c:smooth val="0"/>
          <c:extLst>
            <c:ext xmlns:c16="http://schemas.microsoft.com/office/drawing/2014/chart" uri="{C3380CC4-5D6E-409C-BE32-E72D297353CC}">
              <c16:uniqueId val="{00000004-CF1A-4456-8A9A-BF61A08F45E3}"/>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4'!$C$14:$C$36</c:f>
              <c:numCache>
                <c:formatCode>#\ ##0.0</c:formatCode>
                <c:ptCount val="23"/>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4.4380571270461411E-2</c:v>
                </c:pt>
                <c:pt idx="17">
                  <c:v>0.12293374441652177</c:v>
                </c:pt>
                <c:pt idx="18">
                  <c:v>0.15337129134843361</c:v>
                </c:pt>
                <c:pt idx="19">
                  <c:v>0.12794932644732585</c:v>
                </c:pt>
                <c:pt idx="20">
                  <c:v>2.8521096171270865E-2</c:v>
                </c:pt>
                <c:pt idx="21">
                  <c:v>3.3289985923110929E-2</c:v>
                </c:pt>
                <c:pt idx="22">
                  <c:v>3.5549534771576276E-2</c:v>
                </c:pt>
              </c:numCache>
            </c:numRef>
          </c:val>
          <c:extLst>
            <c:ext xmlns:c16="http://schemas.microsoft.com/office/drawing/2014/chart" uri="{C3380CC4-5D6E-409C-BE32-E72D297353CC}">
              <c16:uniqueId val="{00000000-E28D-45B0-AFCD-8EEFE3530CC4}"/>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4'!$D$14:$D$36</c:f>
              <c:numCache>
                <c:formatCode>#\ ##0.0</c:formatCode>
                <c:ptCount val="23"/>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1.6158683116111645</c:v>
                </c:pt>
                <c:pt idx="17">
                  <c:v>0.16665868260544436</c:v>
                </c:pt>
                <c:pt idx="18">
                  <c:v>-0.24117944278572961</c:v>
                </c:pt>
                <c:pt idx="19">
                  <c:v>0.17057635306489757</c:v>
                </c:pt>
                <c:pt idx="20">
                  <c:v>0.2073775359830507</c:v>
                </c:pt>
                <c:pt idx="21">
                  <c:v>0.34083716331013936</c:v>
                </c:pt>
                <c:pt idx="22">
                  <c:v>0.26615967259178447</c:v>
                </c:pt>
              </c:numCache>
            </c:numRef>
          </c:val>
          <c:extLst>
            <c:ext xmlns:c16="http://schemas.microsoft.com/office/drawing/2014/chart" uri="{C3380CC4-5D6E-409C-BE32-E72D297353CC}">
              <c16:uniqueId val="{00000001-E28D-45B0-AFCD-8EEFE3530CC4}"/>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4'!$E$14:$E$36</c:f>
              <c:numCache>
                <c:formatCode>#\ ##0.0</c:formatCode>
                <c:ptCount val="23"/>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-0.2047485087676475</c:v>
                </c:pt>
                <c:pt idx="17">
                  <c:v>-0.14893952349777578</c:v>
                </c:pt>
                <c:pt idx="18" formatCode="General">
                  <c:v>3.0516556236865555E-2</c:v>
                </c:pt>
                <c:pt idx="19" formatCode="General">
                  <c:v>-0.12763591387912171</c:v>
                </c:pt>
                <c:pt idx="20" formatCode="General">
                  <c:v>9.5149213188367554E-2</c:v>
                </c:pt>
                <c:pt idx="21" formatCode="General">
                  <c:v>5.8823626234496662E-2</c:v>
                </c:pt>
                <c:pt idx="22" formatCode="General">
                  <c:v>-0.1257360543624548</c:v>
                </c:pt>
              </c:numCache>
            </c:numRef>
          </c:val>
          <c:extLst>
            <c:ext xmlns:c16="http://schemas.microsoft.com/office/drawing/2014/chart" uri="{C3380CC4-5D6E-409C-BE32-E72D297353CC}">
              <c16:uniqueId val="{00000002-E28D-45B0-AFCD-8EEFE3530CC4}"/>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4'!$F$14:$F$36</c:f>
              <c:numCache>
                <c:formatCode>#\ ##0.0</c:formatCode>
                <c:ptCount val="23"/>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2.4056083548026529E-2</c:v>
                </c:pt>
                <c:pt idx="17">
                  <c:v>0.20608372620098434</c:v>
                </c:pt>
                <c:pt idx="18">
                  <c:v>0.21704997678515395</c:v>
                </c:pt>
                <c:pt idx="19">
                  <c:v>0.23160518708265232</c:v>
                </c:pt>
                <c:pt idx="20">
                  <c:v>0.1488563176564765</c:v>
                </c:pt>
                <c:pt idx="21">
                  <c:v>0.18300513359180662</c:v>
                </c:pt>
                <c:pt idx="22">
                  <c:v>0.22575824904395481</c:v>
                </c:pt>
              </c:numCache>
            </c:numRef>
          </c:val>
          <c:extLst>
            <c:ext xmlns:c16="http://schemas.microsoft.com/office/drawing/2014/chart" uri="{C3380CC4-5D6E-409C-BE32-E72D297353CC}">
              <c16:uniqueId val="{00000003-E28D-45B0-AFCD-8EEFE3530CC4}"/>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4'!$G$14:$G$36</c:f>
              <c:numCache>
                <c:formatCode>#\ ##0.0</c:formatCode>
                <c:ptCount val="23"/>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2.5911061457899343</c:v>
                </c:pt>
                <c:pt idx="17">
                  <c:v>2.156127350226984</c:v>
                </c:pt>
                <c:pt idx="18" formatCode="General">
                  <c:v>2.5052104726860049</c:v>
                </c:pt>
                <c:pt idx="19" formatCode="General">
                  <c:v>2.5798857852575705</c:v>
                </c:pt>
                <c:pt idx="20" formatCode="General">
                  <c:v>2.2677545012955007</c:v>
                </c:pt>
                <c:pt idx="21" formatCode="General">
                  <c:v>2.1132722011705316</c:v>
                </c:pt>
                <c:pt idx="22" formatCode="General">
                  <c:v>2.0121638692824657</c:v>
                </c:pt>
              </c:numCache>
            </c:numRef>
          </c:val>
          <c:extLst>
            <c:ext xmlns:c16="http://schemas.microsoft.com/office/drawing/2014/chart" uri="{C3380CC4-5D6E-409C-BE32-E72D297353CC}">
              <c16:uniqueId val="{00000004-E28D-45B0-AFCD-8EEFE3530CC4}"/>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4'!$A$14:$B$36</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2014</c:v>
                  </c:pt>
                  <c:pt idx="4">
                    <c:v>2015</c:v>
                  </c:pt>
                  <c:pt idx="8">
                    <c:v>2016</c:v>
                  </c:pt>
                  <c:pt idx="12">
                    <c:v>2017</c:v>
                  </c:pt>
                  <c:pt idx="16">
                    <c:v>2018</c:v>
                  </c:pt>
                  <c:pt idx="20">
                    <c:v>2019</c:v>
                  </c:pt>
                </c:lvl>
              </c:multiLvlStrCache>
            </c:multiLvlStrRef>
          </c:cat>
          <c:val>
            <c:numRef>
              <c:f>'souhrnná výkonnost 4'!$H$14:$H$36</c:f>
              <c:numCache>
                <c:formatCode>#\ ##0.0</c:formatCode>
                <c:ptCount val="23"/>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4.2495507522697409</c:v>
                </c:pt>
                <c:pt idx="17">
                  <c:v>2.5028586069883829</c:v>
                </c:pt>
                <c:pt idx="18">
                  <c:v>2.6649302828572985</c:v>
                </c:pt>
                <c:pt idx="19">
                  <c:v>2.9825285510890183</c:v>
                </c:pt>
                <c:pt idx="20">
                  <c:v>2.7476561458456388</c:v>
                </c:pt>
                <c:pt idx="21">
                  <c:v>2.7292068315513802</c:v>
                </c:pt>
                <c:pt idx="22">
                  <c:v>2.4140134062402296</c:v>
                </c:pt>
              </c:numCache>
            </c:numRef>
          </c:val>
          <c:smooth val="0"/>
          <c:extLst>
            <c:ext xmlns:c16="http://schemas.microsoft.com/office/drawing/2014/chart" uri="{C3380CC4-5D6E-409C-BE32-E72D297353CC}">
              <c16:uniqueId val="{00000005-E28D-45B0-AFCD-8EEFE3530CC4}"/>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1BD0-B1EC-4863-BD88-CED30199C775}">
  <ds:schemaRefs>
    <ds:schemaRef ds:uri="http://schemas.openxmlformats.org/officeDocument/2006/bibliography"/>
  </ds:schemaRefs>
</ds:datastoreItem>
</file>

<file path=customXml/itemProps2.xml><?xml version="1.0" encoding="utf-8"?>
<ds:datastoreItem xmlns:ds="http://schemas.openxmlformats.org/officeDocument/2006/customXml" ds:itemID="{7EA0A9C5-1C76-4132-8CB9-94D25187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46</TotalTime>
  <Pages>1</Pages>
  <Words>1258</Words>
  <Characters>7425</Characters>
  <Application>Microsoft Office Word</Application>
  <DocSecurity>0</DocSecurity>
  <Lines>61</Lines>
  <Paragraphs>17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8666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14</cp:revision>
  <cp:lastPrinted>2019-04-08T10:52:00Z</cp:lastPrinted>
  <dcterms:created xsi:type="dcterms:W3CDTF">2019-12-13T09:19:00Z</dcterms:created>
  <dcterms:modified xsi:type="dcterms:W3CDTF">2019-12-13T10:16:00Z</dcterms:modified>
</cp:coreProperties>
</file>