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9EA9" w14:textId="77777777" w:rsidR="006E761A" w:rsidRDefault="006E761A" w:rsidP="006E761A">
      <w:pPr>
        <w:pStyle w:val="Nadpis11"/>
      </w:pPr>
      <w:bookmarkStart w:id="0" w:name="_Toc19090676"/>
      <w:bookmarkStart w:id="1" w:name="_Toc26865018"/>
      <w:r w:rsidRPr="009F2921">
        <w:t>3. </w:t>
      </w:r>
      <w:bookmarkStart w:id="2" w:name="_Toc454185150"/>
      <w:bookmarkStart w:id="3" w:name="_Toc493683635"/>
      <w:r w:rsidRPr="009F2921">
        <w:t>Výkonnost odvětví</w:t>
      </w:r>
      <w:bookmarkEnd w:id="2"/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3"/>
        <w:gridCol w:w="206"/>
        <w:gridCol w:w="7670"/>
      </w:tblGrid>
      <w:tr w:rsidR="006E761A" w:rsidRPr="00DF6A33" w14:paraId="6F5E9E97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0A048E5E" w14:textId="77777777" w:rsidR="006E761A" w:rsidRDefault="006E761A" w:rsidP="005810E1">
            <w:pPr>
              <w:pStyle w:val="Marginlie"/>
            </w:pPr>
            <w:r>
              <w:t>Zatímco v první polovině roku 2019 projevovala tuzemská ekonomika dostatečnou odolnost vůči nepříznivým vnějším faktorům, ve 3. čtvrtletí její výkon již zpomalil.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BD65EDF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A029018" w14:textId="77777777" w:rsidR="006E761A" w:rsidRPr="000E298B" w:rsidRDefault="006E761A" w:rsidP="005810E1">
            <w:pPr>
              <w:spacing w:after="220"/>
              <w:rPr>
                <w:spacing w:val="-7"/>
              </w:rPr>
            </w:pPr>
            <w:r>
              <w:rPr>
                <w:spacing w:val="-7"/>
              </w:rPr>
              <w:t>Vý</w:t>
            </w:r>
            <w:r w:rsidRPr="000E298B">
              <w:rPr>
                <w:spacing w:val="-7"/>
              </w:rPr>
              <w:t>kon všech odvětví ekonomiky zachycený prostřednictvím jimi vytvořené hrubé přidané hodnoty (HPH)</w:t>
            </w:r>
            <w:r w:rsidRPr="000E298B">
              <w:rPr>
                <w:rStyle w:val="Znakapoznpodarou"/>
                <w:spacing w:val="-7"/>
              </w:rPr>
              <w:footnoteReference w:id="1"/>
            </w:r>
            <w:r>
              <w:rPr>
                <w:spacing w:val="-7"/>
              </w:rPr>
              <w:t xml:space="preserve"> vzrostl během 3. čtvrtletí o 0,3</w:t>
            </w:r>
            <w:r w:rsidRPr="000E298B">
              <w:rPr>
                <w:spacing w:val="-7"/>
              </w:rPr>
              <w:t> %</w:t>
            </w:r>
            <w:r>
              <w:rPr>
                <w:spacing w:val="-7"/>
              </w:rPr>
              <w:t xml:space="preserve"> a zaznamenal nejslabší mezikvartální posun od poloviny roku 2016. Pozitivní bylo, že alespoň mírný růst si uchovala drtivá většina hlavních odvětví</w:t>
            </w:r>
            <w:r w:rsidRPr="000E298B">
              <w:rPr>
                <w:rStyle w:val="Znakapoznpodarou"/>
                <w:spacing w:val="-7"/>
              </w:rPr>
              <w:footnoteReference w:id="2"/>
            </w:r>
            <w:r>
              <w:rPr>
                <w:spacing w:val="-7"/>
              </w:rPr>
              <w:t>. Během prvního pololetí 2019 přitom projevovala tuzemská ekonomika dostatečnou odolnost vůči nepříznivým vnějším faktorům</w:t>
            </w:r>
            <w:r w:rsidRPr="000E298B">
              <w:rPr>
                <w:rStyle w:val="Znakapoznpodarou"/>
                <w:spacing w:val="-7"/>
              </w:rPr>
              <w:footnoteReference w:id="3"/>
            </w:r>
            <w:r>
              <w:rPr>
                <w:spacing w:val="-7"/>
              </w:rPr>
              <w:t>, růstová tempa HPH dosahovala stabilně 0,6 % a jen nepatrně zaostávala za průměrem roku 2018. Za 1. až 3. čtvrtletí vzrostla HPH meziročně o 2,6 % (v samotném 3. kvartálu o 2,4 %).</w:t>
            </w:r>
          </w:p>
        </w:tc>
      </w:tr>
      <w:tr w:rsidR="006E761A" w:rsidRPr="00DF6A33" w14:paraId="1D51B142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BF6F7B3" w14:textId="77777777" w:rsidR="006E761A" w:rsidRDefault="006E761A" w:rsidP="005810E1">
            <w:pPr>
              <w:pStyle w:val="Marginlie"/>
            </w:pPr>
            <w:r>
              <w:t>Více než tři čtvrtiny růstu HPH v ekonomice zajistily služby. Pokračoval dynamický rozvoj informačních a komunikačních činností, rostla poptávka po službách pro podniky.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C8956C8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BD31ECE" w14:textId="77777777" w:rsidR="006E761A" w:rsidRPr="000E298B" w:rsidRDefault="006E761A" w:rsidP="005810E1">
            <w:pPr>
              <w:spacing w:after="220"/>
              <w:rPr>
                <w:spacing w:val="-7"/>
              </w:rPr>
            </w:pPr>
            <w:r w:rsidRPr="000E298B">
              <w:rPr>
                <w:spacing w:val="-7"/>
              </w:rPr>
              <w:t>K meziročnímu růstu HPH přispělo letos všech jedenáct hlavních odvětvových uskupe</w:t>
            </w:r>
            <w:r>
              <w:rPr>
                <w:spacing w:val="-7"/>
              </w:rPr>
              <w:t>ní. Podobně jako po celý loňský rok tvoři</w:t>
            </w:r>
            <w:r w:rsidRPr="000E298B">
              <w:rPr>
                <w:spacing w:val="-7"/>
              </w:rPr>
              <w:t>l těžiště růstu terciární sektor. Jeho výkon</w:t>
            </w:r>
            <w:r>
              <w:rPr>
                <w:spacing w:val="-7"/>
              </w:rPr>
              <w:t xml:space="preserve"> za tři čtvrtletí 2019 posílil o významná 3,4</w:t>
            </w:r>
            <w:r w:rsidRPr="000E298B">
              <w:rPr>
                <w:spacing w:val="-7"/>
              </w:rPr>
              <w:t> %</w:t>
            </w:r>
            <w:r>
              <w:rPr>
                <w:spacing w:val="-7"/>
              </w:rPr>
              <w:t xml:space="preserve"> a sám tak zajistil více než tři čtvrtiny</w:t>
            </w:r>
            <w:r w:rsidRPr="000E298B">
              <w:rPr>
                <w:spacing w:val="-7"/>
              </w:rPr>
              <w:t xml:space="preserve"> růstu HPH celé ekonomiky. </w:t>
            </w:r>
            <w:r>
              <w:rPr>
                <w:spacing w:val="-7"/>
              </w:rPr>
              <w:t>V rámci služeb rostly letos, podobně jako v roce 2018, nejvíce</w:t>
            </w:r>
            <w:r w:rsidRPr="000E298B">
              <w:rPr>
                <w:spacing w:val="-7"/>
              </w:rPr>
              <w:t xml:space="preserve"> informa</w:t>
            </w:r>
            <w:r>
              <w:rPr>
                <w:spacing w:val="-7"/>
              </w:rPr>
              <w:t>ční a komunikační činnosti (+8,4</w:t>
            </w:r>
            <w:r w:rsidRPr="000E298B">
              <w:rPr>
                <w:spacing w:val="-7"/>
              </w:rPr>
              <w:t xml:space="preserve"> %), </w:t>
            </w:r>
            <w:r>
              <w:rPr>
                <w:spacing w:val="-7"/>
              </w:rPr>
              <w:t>za posledních šest let</w:t>
            </w:r>
            <w:r w:rsidRPr="000E298B">
              <w:rPr>
                <w:spacing w:val="-7"/>
              </w:rPr>
              <w:t xml:space="preserve"> navýšily svou přidanou hodnotu o více než polovinu.</w:t>
            </w:r>
            <w:r>
              <w:rPr>
                <w:spacing w:val="-7"/>
              </w:rPr>
              <w:t xml:space="preserve"> </w:t>
            </w:r>
            <w:r w:rsidRPr="000E298B">
              <w:rPr>
                <w:spacing w:val="-7"/>
              </w:rPr>
              <w:t>Na silný loňský rok navázalo také váhově významné uskupení obchod, doprava</w:t>
            </w:r>
            <w:r>
              <w:rPr>
                <w:spacing w:val="-7"/>
              </w:rPr>
              <w:t>, ubytování a pohostinství (+3,3 %) profitující</w:t>
            </w:r>
            <w:r w:rsidRPr="000E298B">
              <w:rPr>
                <w:spacing w:val="-7"/>
              </w:rPr>
              <w:t xml:space="preserve"> z rostoucí kupní síly domácností, rozvoje zbožového zahraničního obchodu i příjezdového cestovního ruchu. </w:t>
            </w:r>
            <w:r>
              <w:rPr>
                <w:spacing w:val="-7"/>
              </w:rPr>
              <w:t xml:space="preserve">V průběhu roku 2019 bylo ale v tomto uskupení patrné zvolnění tempa (v 1. čtvrtletí +4,0 %, ve 3. čtvrtletí +2,9 %), které souviselo se slábnoucím růstem spotřeby domácností v Česku. </w:t>
            </w:r>
            <w:r w:rsidRPr="000E298B">
              <w:rPr>
                <w:spacing w:val="-7"/>
              </w:rPr>
              <w:t>D</w:t>
            </w:r>
            <w:r>
              <w:rPr>
                <w:spacing w:val="-7"/>
              </w:rPr>
              <w:t xml:space="preserve">ařilo se </w:t>
            </w:r>
            <w:r w:rsidRPr="000E298B">
              <w:rPr>
                <w:spacing w:val="-7"/>
              </w:rPr>
              <w:t>i všem ostatním odvětvím služeb</w:t>
            </w:r>
            <w:r>
              <w:rPr>
                <w:spacing w:val="-7"/>
              </w:rPr>
              <w:t>. Druhý rok v řadě sílil růst v profesních, vědeckých,  technických</w:t>
            </w:r>
            <w:r w:rsidRPr="000E298B">
              <w:rPr>
                <w:spacing w:val="-7"/>
              </w:rPr>
              <w:t xml:space="preserve"> </w:t>
            </w:r>
            <w:r>
              <w:rPr>
                <w:spacing w:val="-7"/>
              </w:rPr>
              <w:t>a administrativních činnostech (+4,3 %) i v činnostech</w:t>
            </w:r>
            <w:r w:rsidRPr="00AC28E1">
              <w:rPr>
                <w:spacing w:val="-7"/>
              </w:rPr>
              <w:t xml:space="preserve"> v</w:t>
            </w:r>
            <w:r>
              <w:rPr>
                <w:spacing w:val="-7"/>
              </w:rPr>
              <w:t> </w:t>
            </w:r>
            <w:r w:rsidRPr="00AC28E1">
              <w:rPr>
                <w:spacing w:val="-7"/>
              </w:rPr>
              <w:t>oblasti nemovitostí</w:t>
            </w:r>
            <w:r>
              <w:rPr>
                <w:spacing w:val="-7"/>
              </w:rPr>
              <w:t xml:space="preserve"> (+3,1 %). Naopak po dynamickém období let 2015 až 2018 zvolnil růst HPH ve finančním sektoru (na 2,4 %).</w:t>
            </w:r>
            <w:r w:rsidRPr="000E298B">
              <w:rPr>
                <w:spacing w:val="-7"/>
              </w:rPr>
              <w:t xml:space="preserve"> Nejslabším </w:t>
            </w:r>
            <w:r>
              <w:rPr>
                <w:spacing w:val="-7"/>
              </w:rPr>
              <w:t>tempem v rámci služeb rostla přidaná hodnota</w:t>
            </w:r>
            <w:r w:rsidRPr="000E298B">
              <w:rPr>
                <w:spacing w:val="-7"/>
              </w:rPr>
              <w:t xml:space="preserve"> v uskupení veřejná správa a obrana, vzdělávání, </w:t>
            </w:r>
            <w:r>
              <w:rPr>
                <w:spacing w:val="-7"/>
              </w:rPr>
              <w:t>zdravotní a sociální péče (o 1,8 %), její</w:t>
            </w:r>
            <w:r w:rsidRPr="000E298B">
              <w:rPr>
                <w:spacing w:val="-7"/>
              </w:rPr>
              <w:t xml:space="preserve"> dynamika se ale nevymykala z trendů předchozích tří let.</w:t>
            </w:r>
          </w:p>
        </w:tc>
      </w:tr>
      <w:tr w:rsidR="006E761A" w:rsidRPr="00DF6A33" w14:paraId="3A0B68A7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20A0485" w14:textId="77777777" w:rsidR="006E761A" w:rsidRDefault="006E761A" w:rsidP="005810E1">
            <w:pPr>
              <w:pStyle w:val="Marginlie"/>
            </w:pPr>
            <w:r>
              <w:t>Meziroční růst HPH ve zpracovatelském průmyslu zvolnil k 1 %. Stavebnictví naopak pokračovalo v loňském oživení. K růstu výkonu primárního sektoru pomohly i vyšší sklizně obilovin.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55C5076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1879928" w14:textId="77777777" w:rsidR="006E761A" w:rsidRPr="000E298B" w:rsidRDefault="006E761A" w:rsidP="005810E1">
            <w:pPr>
              <w:spacing w:after="220"/>
              <w:rPr>
                <w:spacing w:val="-7"/>
              </w:rPr>
            </w:pPr>
            <w:r w:rsidRPr="000E298B">
              <w:rPr>
                <w:spacing w:val="-7"/>
              </w:rPr>
              <w:t>V návaznosti na vývoj v Německu i v celé eurozóně</w:t>
            </w:r>
            <w:r w:rsidRPr="000E298B">
              <w:rPr>
                <w:rStyle w:val="Znakapoznpodarou"/>
                <w:spacing w:val="-7"/>
              </w:rPr>
              <w:footnoteReference w:id="4"/>
            </w:r>
            <w:r w:rsidRPr="000E298B">
              <w:rPr>
                <w:spacing w:val="-7"/>
              </w:rPr>
              <w:t xml:space="preserve"> pokračovalo zpomalování výkonu tuzemského</w:t>
            </w:r>
            <w:r>
              <w:rPr>
                <w:spacing w:val="-7"/>
              </w:rPr>
              <w:t xml:space="preserve"> zpracovatelského průmyslu. V 1. až 3. čtvrtletí 2019 zde HPH vzrostla o 1</w:t>
            </w:r>
            <w:r w:rsidRPr="000E298B">
              <w:rPr>
                <w:spacing w:val="-7"/>
              </w:rPr>
              <w:t xml:space="preserve">,1 % a připsala </w:t>
            </w:r>
            <w:r>
              <w:rPr>
                <w:spacing w:val="-7"/>
              </w:rPr>
              <w:t>si tak za srovnatelné období nejslabší meziroční tempo</w:t>
            </w:r>
            <w:r w:rsidRPr="000E298B">
              <w:rPr>
                <w:spacing w:val="-7"/>
              </w:rPr>
              <w:t xml:space="preserve"> od konce poslední recese.</w:t>
            </w:r>
            <w:r>
              <w:rPr>
                <w:spacing w:val="-7"/>
              </w:rPr>
              <w:t xml:space="preserve"> Výkon nezpracovatelských průmyslových oborů stagnoval, především vlivem slabších výsledků v samotném 3. čtvrtletí. Na loňské oživení navázalo stavebnictví (+3,3 %), kde růst během roku 2019 mírně sílil a ve 3. čtvrtletí přispěl k navýšení HPH celé ekonomiky prakticky srovnatelně jako celý zpracovatelský průmysl</w:t>
            </w:r>
            <w:r w:rsidRPr="000E298B">
              <w:rPr>
                <w:rStyle w:val="Znakapoznpodarou"/>
                <w:spacing w:val="-7"/>
              </w:rPr>
              <w:footnoteReference w:id="5"/>
            </w:r>
            <w:r>
              <w:rPr>
                <w:spacing w:val="-7"/>
              </w:rPr>
              <w:t>.</w:t>
            </w:r>
            <w:r w:rsidRPr="000E298B">
              <w:rPr>
                <w:spacing w:val="-7"/>
              </w:rPr>
              <w:t xml:space="preserve"> V primár</w:t>
            </w:r>
            <w:r>
              <w:rPr>
                <w:spacing w:val="-7"/>
              </w:rPr>
              <w:t>ním sektoru se HPH za tři čtvrtletí zvýšila o 1,5</w:t>
            </w:r>
            <w:r w:rsidRPr="000E298B">
              <w:rPr>
                <w:spacing w:val="-7"/>
              </w:rPr>
              <w:t> %.</w:t>
            </w:r>
            <w:r>
              <w:rPr>
                <w:spacing w:val="-7"/>
              </w:rPr>
              <w:t xml:space="preserve"> Projevil se pozitivní vývoj v rostlinné produkci, kde došlo zejména vlivem meziročního růstu hektarových </w:t>
            </w:r>
            <w:r w:rsidRPr="000E298B">
              <w:rPr>
                <w:spacing w:val="-7"/>
              </w:rPr>
              <w:t xml:space="preserve">výnosů </w:t>
            </w:r>
            <w:r>
              <w:rPr>
                <w:spacing w:val="-7"/>
              </w:rPr>
              <w:t>k posunu objemu celkových sklizní na úroveň blízkou desetiletému průměru (především u </w:t>
            </w:r>
            <w:r w:rsidRPr="000E298B">
              <w:rPr>
                <w:color w:val="0D0D0D" w:themeColor="text1" w:themeTint="F2"/>
                <w:spacing w:val="-7"/>
              </w:rPr>
              <w:t>obilovin</w:t>
            </w:r>
            <w:r>
              <w:rPr>
                <w:color w:val="0D0D0D" w:themeColor="text1" w:themeTint="F2"/>
                <w:spacing w:val="-7"/>
              </w:rPr>
              <w:t xml:space="preserve"> a pícnin)</w:t>
            </w:r>
            <w:r w:rsidRPr="000E298B">
              <w:rPr>
                <w:rStyle w:val="Znakapoznpodarou"/>
                <w:spacing w:val="-7"/>
              </w:rPr>
              <w:footnoteReference w:id="6"/>
            </w:r>
            <w:r w:rsidRPr="000E298B">
              <w:rPr>
                <w:spacing w:val="-7"/>
              </w:rPr>
              <w:t xml:space="preserve">. Ve směru růstu </w:t>
            </w:r>
            <w:r>
              <w:rPr>
                <w:spacing w:val="-7"/>
              </w:rPr>
              <w:t>reálné produkce patrně působil</w:t>
            </w:r>
            <w:r w:rsidRPr="000E298B">
              <w:rPr>
                <w:spacing w:val="-7"/>
              </w:rPr>
              <w:t xml:space="preserve"> </w:t>
            </w:r>
            <w:r>
              <w:rPr>
                <w:spacing w:val="-7"/>
              </w:rPr>
              <w:t>i </w:t>
            </w:r>
            <w:r w:rsidRPr="000E298B">
              <w:rPr>
                <w:spacing w:val="-7"/>
              </w:rPr>
              <w:t>vyšší objem těžby kůrovcového dříví, mírné nav</w:t>
            </w:r>
            <w:r>
              <w:rPr>
                <w:spacing w:val="-7"/>
              </w:rPr>
              <w:t>ýšení výroby masa i mléka.</w:t>
            </w:r>
          </w:p>
        </w:tc>
      </w:tr>
      <w:tr w:rsidR="006E761A" w:rsidRPr="00DF6A33" w14:paraId="22A982DA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2BA8F54" w14:textId="77777777" w:rsidR="006E761A" w:rsidRDefault="006E761A" w:rsidP="005810E1">
            <w:pPr>
              <w:pStyle w:val="Marginlie"/>
            </w:pPr>
            <w:r>
              <w:t xml:space="preserve">Index průmyslové produkce ve 3. čtvrtletí meziročně klesl, poprvé od poloviny roku 2013. Reagoval primárně na </w:t>
            </w:r>
            <w:r>
              <w:lastRenderedPageBreak/>
              <w:t>delší recesi německého průmyslu.</w:t>
            </w:r>
          </w:p>
          <w:p w14:paraId="2A19805B" w14:textId="77777777" w:rsidR="006E761A" w:rsidRDefault="006E761A" w:rsidP="005810E1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F5DD9AF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E74D203" w14:textId="7F00F380" w:rsidR="006E761A" w:rsidRPr="000E298B" w:rsidRDefault="006E761A" w:rsidP="005810E1">
            <w:pPr>
              <w:spacing w:after="220"/>
              <w:rPr>
                <w:spacing w:val="-7"/>
              </w:rPr>
            </w:pPr>
            <w:r w:rsidRPr="000E298B">
              <w:rPr>
                <w:spacing w:val="-7"/>
              </w:rPr>
              <w:t>Podrobnější p</w:t>
            </w:r>
            <w:r>
              <w:rPr>
                <w:spacing w:val="-7"/>
              </w:rPr>
              <w:t>ohled na dílčí odvětví umožňují</w:t>
            </w:r>
            <w:r w:rsidRPr="000E298B">
              <w:rPr>
                <w:spacing w:val="-7"/>
              </w:rPr>
              <w:t xml:space="preserve"> podnikové statistiky.</w:t>
            </w:r>
            <w:r>
              <w:rPr>
                <w:spacing w:val="-7"/>
              </w:rPr>
              <w:t xml:space="preserve"> Jestliže i</w:t>
            </w:r>
            <w:r w:rsidRPr="000E298B">
              <w:rPr>
                <w:color w:val="000000" w:themeColor="text1"/>
                <w:spacing w:val="-7"/>
              </w:rPr>
              <w:t>ndex průmyslové produkce</w:t>
            </w:r>
            <w:r w:rsidRPr="000E298B">
              <w:rPr>
                <w:color w:val="000000" w:themeColor="text1"/>
                <w:spacing w:val="-7"/>
                <w:vertAlign w:val="superscript"/>
              </w:rPr>
              <w:footnoteReference w:id="7"/>
            </w:r>
            <w:r>
              <w:rPr>
                <w:color w:val="000000" w:themeColor="text1"/>
                <w:spacing w:val="-7"/>
              </w:rPr>
              <w:t xml:space="preserve"> za 1. pololetí 2019 vykazoval </w:t>
            </w:r>
            <w:r w:rsidR="007C10BD">
              <w:rPr>
                <w:color w:val="000000" w:themeColor="text1"/>
                <w:spacing w:val="-7"/>
              </w:rPr>
              <w:t>ještě mírný meziroční růst (+0,6</w:t>
            </w:r>
            <w:r>
              <w:rPr>
                <w:color w:val="000000" w:themeColor="text1"/>
                <w:spacing w:val="-7"/>
              </w:rPr>
              <w:t xml:space="preserve"> %), ve 3. čtvrtletí se tempo snížilo až na –0,9 %, čímž došlo ve čtvrtletní periodě k prvnímu poklesu od poloviny roku 2013. Nicméně časné náznaky zpomalení již byly z mezičtvrtletních temp patrné na sklonku </w:t>
            </w:r>
            <w:r>
              <w:rPr>
                <w:color w:val="000000" w:themeColor="text1"/>
                <w:spacing w:val="-7"/>
              </w:rPr>
              <w:lastRenderedPageBreak/>
              <w:t>roku 2018</w:t>
            </w:r>
            <w:r w:rsidRPr="000E298B">
              <w:rPr>
                <w:rStyle w:val="Znakapoznpodarou"/>
                <w:spacing w:val="-7"/>
              </w:rPr>
              <w:footnoteReference w:id="8"/>
            </w:r>
            <w:r>
              <w:rPr>
                <w:color w:val="000000" w:themeColor="text1"/>
                <w:spacing w:val="-7"/>
              </w:rPr>
              <w:t>, kdy tuzemský průmysl se zpožděním reagoval na ochlazení poptávky v eurozóně</w:t>
            </w:r>
            <w:r w:rsidRPr="000E298B">
              <w:rPr>
                <w:rStyle w:val="Znakapoznpodarou"/>
                <w:spacing w:val="-7"/>
              </w:rPr>
              <w:footnoteReference w:id="9"/>
            </w:r>
            <w:r>
              <w:rPr>
                <w:color w:val="000000" w:themeColor="text1"/>
                <w:spacing w:val="-7"/>
              </w:rPr>
              <w:t>. Ta se nezlepšila ani v průběhu roku 2019 a například recese německého průmyslu již dokonce dosáhla délky (zdaleka však ne intenzity) z přelomu let 2008 a 2009</w:t>
            </w:r>
            <w:r w:rsidRPr="000E298B">
              <w:rPr>
                <w:rStyle w:val="Znakapoznpodarou"/>
                <w:spacing w:val="-7"/>
              </w:rPr>
              <w:footnoteReference w:id="10"/>
            </w:r>
            <w:r>
              <w:rPr>
                <w:color w:val="000000" w:themeColor="text1"/>
                <w:spacing w:val="-7"/>
              </w:rPr>
              <w:t>. S </w:t>
            </w:r>
            <w:r w:rsidRPr="000E298B">
              <w:rPr>
                <w:spacing w:val="-7"/>
              </w:rPr>
              <w:t>ohledem na výraznou exportní orientaci tuzemského průmyslu i silnou provázanost zejména s vývojem v Německu</w:t>
            </w:r>
            <w:r w:rsidRPr="000E298B">
              <w:rPr>
                <w:rStyle w:val="Znakapoznpodarou"/>
                <w:spacing w:val="-7"/>
              </w:rPr>
              <w:footnoteReference w:id="11"/>
            </w:r>
            <w:r w:rsidRPr="000E298B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tak </w:t>
            </w:r>
            <w:r w:rsidRPr="000E298B">
              <w:rPr>
                <w:spacing w:val="-7"/>
              </w:rPr>
              <w:t xml:space="preserve">není </w:t>
            </w:r>
            <w:r>
              <w:rPr>
                <w:spacing w:val="-7"/>
              </w:rPr>
              <w:t>letošní vývoj průmyslu v ČR příliš překvapivý.</w:t>
            </w:r>
          </w:p>
        </w:tc>
      </w:tr>
      <w:tr w:rsidR="006E761A" w:rsidRPr="00DF6A33" w14:paraId="5CE0D21C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5C0D9CCA" w14:textId="77777777" w:rsidR="006E761A" w:rsidRDefault="006E761A" w:rsidP="005810E1">
            <w:pPr>
              <w:pStyle w:val="Marginlie"/>
            </w:pPr>
            <w:r>
              <w:lastRenderedPageBreak/>
              <w:t>Prorůstově působila na průmyslovou produkci výroba dopravních prostředků (vč. návazných oborů), v menší míře také farmaceutický a potravinářský průmysl.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144E90C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BAD27E9" w14:textId="78C5DC37" w:rsidR="006E761A" w:rsidRPr="000E298B" w:rsidRDefault="006E761A" w:rsidP="005810E1">
            <w:pPr>
              <w:spacing w:after="220"/>
              <w:rPr>
                <w:spacing w:val="-7"/>
              </w:rPr>
            </w:pPr>
            <w:r>
              <w:rPr>
                <w:spacing w:val="-7"/>
              </w:rPr>
              <w:t xml:space="preserve"> V úhrnu za tři čtvrtletí 2019 průmyslová produkce v ČR meziročně fakticky stagnovala (+0,1 %, o rok dříve +3,4 %). Relativně příznivý vývoj pokračoval letos ve výrobě dopravních prostředků spolu s nejbližšími subdodavatelskými obory (zejména výrobou elektrických zařízení). Výše uvedená odvětví v úhrnu podpořila růst průmyslu o 0,9 p. b. </w:t>
            </w:r>
            <w:r w:rsidRPr="000E298B">
              <w:rPr>
                <w:spacing w:val="-7"/>
              </w:rPr>
              <w:t>Ve váhově dominantním oboru výroby motorových vozidel vzros</w:t>
            </w:r>
            <w:r>
              <w:rPr>
                <w:spacing w:val="-7"/>
              </w:rPr>
              <w:t>tla produkce o 2,2</w:t>
            </w:r>
            <w:r w:rsidRPr="000E298B">
              <w:rPr>
                <w:color w:val="000000" w:themeColor="text1"/>
                <w:spacing w:val="-7"/>
              </w:rPr>
              <w:t> </w:t>
            </w:r>
            <w:r>
              <w:rPr>
                <w:spacing w:val="-7"/>
              </w:rPr>
              <w:t xml:space="preserve">% (podobně jako v 1. až 3. čtvrtletí 2018), což </w:t>
            </w:r>
            <w:r w:rsidRPr="000E298B">
              <w:rPr>
                <w:spacing w:val="-7"/>
              </w:rPr>
              <w:t>dokl</w:t>
            </w:r>
            <w:r>
              <w:rPr>
                <w:spacing w:val="-7"/>
              </w:rPr>
              <w:t>ádaly i údaje o fyzické výrobě</w:t>
            </w:r>
            <w:r w:rsidRPr="000E298B">
              <w:rPr>
                <w:rStyle w:val="Znakapoznpodarou"/>
                <w:spacing w:val="-7"/>
              </w:rPr>
              <w:footnoteReference w:id="12"/>
            </w:r>
            <w:r w:rsidRPr="000E298B">
              <w:rPr>
                <w:spacing w:val="-7"/>
              </w:rPr>
              <w:t>.</w:t>
            </w:r>
            <w:r>
              <w:rPr>
                <w:spacing w:val="-7"/>
              </w:rPr>
              <w:t xml:space="preserve"> Z loňského tempa letos výrazně neslevila ani výroba ostatních (zejm. kolejových) dopravních prostředků (+4,9 %), a to zásluhou posílení zahraniční poptávky. K růstu průmyslové produkce přispěl také váhově okrajový, ale dynamický a výrazně proexportní obor farmaceutického průmyslu (0,2 p. b.)</w:t>
            </w:r>
            <w:r w:rsidRPr="000E298B">
              <w:rPr>
                <w:rStyle w:val="Znakapoznpodarou"/>
                <w:spacing w:val="-7"/>
              </w:rPr>
              <w:footnoteReference w:id="13"/>
            </w:r>
            <w:r>
              <w:rPr>
                <w:color w:val="000000" w:themeColor="text1"/>
                <w:spacing w:val="-7"/>
              </w:rPr>
              <w:t xml:space="preserve">. Mírně, ale dlouhodobě posilovaly produkci papírenský průmysl a též váhově významnější potravinářský průmysl, jenž je tradičně orientován převážně na tuzemskou poptávku. Ve výrobě </w:t>
            </w:r>
            <w:r w:rsidR="005B26B0">
              <w:rPr>
                <w:color w:val="000000" w:themeColor="text1"/>
                <w:spacing w:val="-7"/>
              </w:rPr>
              <w:t xml:space="preserve">počítačů, </w:t>
            </w:r>
            <w:r>
              <w:rPr>
                <w:color w:val="000000" w:themeColor="text1"/>
                <w:spacing w:val="-7"/>
              </w:rPr>
              <w:t>elektronických a optických přístrojů, která patřila v letech 2017 i 2018 k nejdynamičtějším průmyslovým oborům, produkce posílila jen o 0,7 %. Projevilo se oslabení zahraniční poptávky, speciálně ve 3. čtvrtletí 2019.</w:t>
            </w:r>
          </w:p>
        </w:tc>
      </w:tr>
      <w:tr w:rsidR="006E761A" w:rsidRPr="0041745D" w14:paraId="6F2A4779" w14:textId="77777777" w:rsidTr="006E761A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37E96C6A" w14:textId="77777777" w:rsidR="006E761A" w:rsidRDefault="006E761A" w:rsidP="005810E1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10F0FC19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803F98B" w14:textId="77777777" w:rsidR="006E761A" w:rsidRPr="000E298B" w:rsidRDefault="006E761A" w:rsidP="005810E1">
            <w:pPr>
              <w:spacing w:after="0"/>
              <w:rPr>
                <w:b/>
                <w:spacing w:val="-7"/>
              </w:rPr>
            </w:pPr>
            <w:r w:rsidRPr="000E298B">
              <w:rPr>
                <w:rFonts w:cs="Arial"/>
                <w:b/>
                <w:bCs/>
                <w:color w:val="000000"/>
                <w:spacing w:val="-7"/>
                <w:szCs w:val="20"/>
              </w:rPr>
              <w:t>Graf č. 5</w:t>
            </w:r>
            <w:r>
              <w:rPr>
                <w:rFonts w:cs="Arial"/>
                <w:b/>
                <w:bCs/>
                <w:color w:val="000000"/>
                <w:spacing w:val="-7"/>
                <w:szCs w:val="20"/>
              </w:rPr>
              <w:t xml:space="preserve">  </w:t>
            </w:r>
            <w:r w:rsidRPr="000E298B">
              <w:rPr>
                <w:b/>
                <w:spacing w:val="-7"/>
              </w:rPr>
              <w:t>Příspěvky dílčích odvětví k meziroční změně průmyslové produkce</w:t>
            </w:r>
          </w:p>
          <w:p w14:paraId="1B88EE4A" w14:textId="77777777" w:rsidR="006E761A" w:rsidRPr="000E298B" w:rsidRDefault="006E761A" w:rsidP="005810E1">
            <w:pPr>
              <w:spacing w:after="0"/>
              <w:rPr>
                <w:b/>
                <w:spacing w:val="-7"/>
              </w:rPr>
            </w:pPr>
            <w:r w:rsidRPr="000E298B">
              <w:rPr>
                <w:spacing w:val="-7"/>
              </w:rPr>
              <w:t>(v procentních bodech, očištěno o kalendářní vlivy)</w:t>
            </w:r>
          </w:p>
        </w:tc>
      </w:tr>
      <w:tr w:rsidR="006E761A" w14:paraId="1F2E33C1" w14:textId="77777777" w:rsidTr="006E761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4404EECF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0C4A4CCD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19710088" w14:textId="77777777" w:rsidR="006E761A" w:rsidRPr="000E298B" w:rsidRDefault="006E761A" w:rsidP="005810E1">
            <w:pPr>
              <w:spacing w:after="0"/>
              <w:rPr>
                <w:color w:val="000000" w:themeColor="text1"/>
                <w:spacing w:val="-7"/>
              </w:rPr>
            </w:pPr>
            <w:r>
              <w:rPr>
                <w:noProof/>
              </w:rPr>
              <w:drawing>
                <wp:inline distT="0" distB="0" distL="0" distR="0" wp14:anchorId="2841B89C" wp14:editId="7C54046C">
                  <wp:extent cx="4781550" cy="3467405"/>
                  <wp:effectExtent l="0" t="0" r="0" b="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E761A" w14:paraId="0774E53C" w14:textId="77777777" w:rsidTr="006E761A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4A843E7E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4E5E3746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F7B478F" w14:textId="77777777" w:rsidR="006E761A" w:rsidRPr="000E298B" w:rsidRDefault="006E761A" w:rsidP="005810E1">
            <w:pPr>
              <w:spacing w:after="0"/>
              <w:rPr>
                <w:color w:val="000000" w:themeColor="text1"/>
                <w:spacing w:val="-7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Zdroj: ČSÚ</w:t>
            </w:r>
          </w:p>
        </w:tc>
      </w:tr>
      <w:tr w:rsidR="006E761A" w:rsidRPr="00B01C55" w14:paraId="6AE9D524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2A8AEFB0" w14:textId="77777777" w:rsidR="006E761A" w:rsidRDefault="006E761A" w:rsidP="005810E1">
            <w:pPr>
              <w:pStyle w:val="Marginlie"/>
            </w:pPr>
            <w:r>
              <w:lastRenderedPageBreak/>
              <w:t>Produkce se snížila ve strojírenství i kovovýrobě – odvětvích, která v Česku zažívala poklesy obvykle jen v éře recese.</w:t>
            </w:r>
          </w:p>
          <w:p w14:paraId="2F19F1F4" w14:textId="77777777" w:rsidR="006E761A" w:rsidRDefault="006E761A" w:rsidP="005810E1">
            <w:pPr>
              <w:pStyle w:val="Marginlie"/>
            </w:pPr>
          </w:p>
          <w:p w14:paraId="1163EE44" w14:textId="77777777" w:rsidR="006E761A" w:rsidRDefault="006E761A" w:rsidP="005810E1">
            <w:pPr>
              <w:pStyle w:val="Marginlie"/>
            </w:pPr>
          </w:p>
          <w:p w14:paraId="41B86B43" w14:textId="77777777" w:rsidR="006E761A" w:rsidRDefault="006E761A" w:rsidP="005810E1">
            <w:pPr>
              <w:pStyle w:val="Marginlie"/>
            </w:pPr>
          </w:p>
          <w:p w14:paraId="5AF7CAE5" w14:textId="77777777" w:rsidR="006E761A" w:rsidRDefault="006E761A" w:rsidP="005810E1">
            <w:pPr>
              <w:pStyle w:val="Marginlie"/>
            </w:pPr>
          </w:p>
          <w:p w14:paraId="6F2FA00F" w14:textId="77777777" w:rsidR="006E761A" w:rsidRDefault="006E761A" w:rsidP="005810E1">
            <w:pPr>
              <w:pStyle w:val="Marginlie"/>
            </w:pPr>
          </w:p>
          <w:p w14:paraId="111C5CBC" w14:textId="77777777" w:rsidR="006E761A" w:rsidRDefault="006E761A" w:rsidP="005810E1">
            <w:pPr>
              <w:pStyle w:val="Marginlie"/>
            </w:pPr>
          </w:p>
          <w:p w14:paraId="081E4063" w14:textId="77777777" w:rsidR="006E761A" w:rsidRDefault="006E761A" w:rsidP="005810E1">
            <w:pPr>
              <w:pStyle w:val="Marginlie"/>
            </w:pPr>
          </w:p>
          <w:p w14:paraId="0B98D043" w14:textId="77777777" w:rsidR="006E761A" w:rsidRDefault="006E761A" w:rsidP="005810E1">
            <w:pPr>
              <w:pStyle w:val="Marginlie"/>
            </w:pPr>
            <w:r>
              <w:t>Dlouhodobý útlum těžby uhlí pokračoval. Nadále naopak posilovala těžba stavebních materiálů.</w:t>
            </w:r>
          </w:p>
          <w:p w14:paraId="007A59F5" w14:textId="77777777" w:rsidR="006E761A" w:rsidRDefault="006E761A" w:rsidP="005810E1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0D9C7A5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DCCF542" w14:textId="77777777" w:rsidR="006E761A" w:rsidRPr="000E298B" w:rsidRDefault="006E761A" w:rsidP="005810E1">
            <w:pPr>
              <w:spacing w:after="200"/>
              <w:rPr>
                <w:color w:val="000000" w:themeColor="text1"/>
                <w:spacing w:val="-7"/>
              </w:rPr>
            </w:pPr>
            <w:r>
              <w:rPr>
                <w:color w:val="000000" w:themeColor="text1"/>
                <w:spacing w:val="-7"/>
              </w:rPr>
              <w:t>Výkon průmyslu v 1. až 3. čtvrtletí tlumilo nejvíce strojírenství (příspěvek –0,2 p. b.). Mělké 2% snížení produkce znamenalo v tomto váhově významném odvětví nejslabší meziroční výsledek od hluboké recese v roce 2009. Nepříznivý výsledek zde zrcadlil snížení zahraniční poptávky, naopak tržby i hodnota nových zakázek z tuzemska letos rostly. První pokles od poslední recese (resp. roku 2012) dolehl letos také na kovovýrobu (–0,8 %). Snížení zahraniční a zčásti i tuzemské poptávky vyústilo ve 4,7% pokles produkce hutnictví a slévárenství, nejhlubší za posledních sedm let. Klesl i výkon odvětví výroby</w:t>
            </w:r>
            <w:r w:rsidRPr="000E298B">
              <w:rPr>
                <w:color w:val="000000" w:themeColor="text1"/>
                <w:spacing w:val="-7"/>
              </w:rPr>
              <w:t xml:space="preserve"> ostatních nekovových minerálních výrobků</w:t>
            </w:r>
            <w:r>
              <w:rPr>
                <w:color w:val="000000" w:themeColor="text1"/>
                <w:spacing w:val="-7"/>
              </w:rPr>
              <w:t xml:space="preserve"> (o 3,7 %), primárně vlivem oslabení zahraniční poptávky. V menší míře se projevilo i to, že zčásti již </w:t>
            </w:r>
            <w:r w:rsidRPr="000E298B">
              <w:rPr>
                <w:color w:val="000000" w:themeColor="text1"/>
                <w:spacing w:val="-7"/>
              </w:rPr>
              <w:t>vyprchal silný růstový impulz spojený s tuzemskou popt</w:t>
            </w:r>
            <w:r>
              <w:rPr>
                <w:color w:val="000000" w:themeColor="text1"/>
                <w:spacing w:val="-7"/>
              </w:rPr>
              <w:t>ávkou po stavebních materiálech, patrný v předchozích dvou letech. Zastavil se také růst drtivé většiny menších zpracovatelských oborů (např. dřevozpracujícího, nábytkářského či obuvnického průmyslu). Pokračoval dlouhodobý útlum v těžebním průmyslu, v němž váhově dominantní těžba uhlí pokles produkce prohloubila (na –6,5 %, na šestileté minimum). Souběžně posilovala těžba stavebních materiálů (</w:t>
            </w:r>
            <w:r w:rsidRPr="00171D1C">
              <w:rPr>
                <w:color w:val="000000" w:themeColor="text1"/>
                <w:spacing w:val="-7"/>
              </w:rPr>
              <w:t>kamene, písků a jílů)</w:t>
            </w:r>
            <w:r>
              <w:rPr>
                <w:color w:val="000000" w:themeColor="text1"/>
                <w:spacing w:val="-7"/>
              </w:rPr>
              <w:t>, meziročně</w:t>
            </w:r>
            <w:r w:rsidRPr="00171D1C">
              <w:rPr>
                <w:color w:val="000000" w:themeColor="text1"/>
                <w:spacing w:val="-7"/>
              </w:rPr>
              <w:t xml:space="preserve"> </w:t>
            </w:r>
            <w:r>
              <w:rPr>
                <w:color w:val="000000" w:themeColor="text1"/>
                <w:spacing w:val="-7"/>
              </w:rPr>
              <w:t>o 1,3 %, proti roku 2013 o 21 %. V odvětví energetiky produkce meziročně stagnovala.</w:t>
            </w:r>
          </w:p>
        </w:tc>
      </w:tr>
      <w:tr w:rsidR="006E761A" w:rsidRPr="00B01C55" w14:paraId="785C9C61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27A2C323" w14:textId="77777777" w:rsidR="006E761A" w:rsidRDefault="006E761A" w:rsidP="005810E1">
            <w:pPr>
              <w:pStyle w:val="Marginlie"/>
            </w:pPr>
            <w:r>
              <w:t>Nominální tržby průmyslových podniků dále posilovaly. Projevil se cenový růst i vyšší počet pracovních dní.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A24CF56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132E3DE" w14:textId="77777777" w:rsidR="006E761A" w:rsidRPr="00E75BA0" w:rsidRDefault="006E761A" w:rsidP="005810E1">
            <w:pPr>
              <w:spacing w:after="200"/>
              <w:rPr>
                <w:color w:val="0D0D0D" w:themeColor="text1" w:themeTint="F2"/>
                <w:spacing w:val="-7"/>
              </w:rPr>
            </w:pPr>
            <w:r>
              <w:rPr>
                <w:color w:val="0D0D0D" w:themeColor="text1" w:themeTint="F2"/>
                <w:spacing w:val="-7"/>
              </w:rPr>
              <w:t>N</w:t>
            </w:r>
            <w:r w:rsidRPr="000E298B">
              <w:rPr>
                <w:color w:val="0D0D0D" w:themeColor="text1" w:themeTint="F2"/>
                <w:spacing w:val="-7"/>
              </w:rPr>
              <w:t xml:space="preserve">ominální tržby průmyslových podniků </w:t>
            </w:r>
            <w:r>
              <w:rPr>
                <w:color w:val="0D0D0D" w:themeColor="text1" w:themeTint="F2"/>
                <w:spacing w:val="-7"/>
              </w:rPr>
              <w:t xml:space="preserve">vzrostly v 1. až 3. čtvrtletí meziročně o 3,2 % (bez významnějších rozdílů mezi tržbami z tuzemska a z přímého vývozu). Podobným tempem se celkové tržby zvyšovaly i za celý loňský rok. </w:t>
            </w:r>
            <w:r w:rsidRPr="000E298B">
              <w:rPr>
                <w:color w:val="0D0D0D" w:themeColor="text1" w:themeTint="F2"/>
                <w:spacing w:val="-7"/>
              </w:rPr>
              <w:t>Navzdo</w:t>
            </w:r>
            <w:r>
              <w:rPr>
                <w:color w:val="0D0D0D" w:themeColor="text1" w:themeTint="F2"/>
                <w:spacing w:val="-7"/>
              </w:rPr>
              <w:t xml:space="preserve">ry oslabování dynamiky produkce posílily tržby ve 3. čtvrtletí na 3,3 %, převážně působením meziročně vyššího počtu pracovních dní (o tři). Růst tržeb zrcadlil mírné vzlínání cen v ekonomice vlivem vyšších cen energií i lidské práce. </w:t>
            </w:r>
            <w:r w:rsidRPr="000E298B">
              <w:rPr>
                <w:color w:val="0D0D0D" w:themeColor="text1" w:themeTint="F2"/>
                <w:spacing w:val="-7"/>
              </w:rPr>
              <w:t>Celkové tržby</w:t>
            </w:r>
            <w:r>
              <w:rPr>
                <w:color w:val="0D0D0D" w:themeColor="text1" w:themeTint="F2"/>
                <w:spacing w:val="-7"/>
              </w:rPr>
              <w:t xml:space="preserve"> letos</w:t>
            </w:r>
            <w:r w:rsidRPr="000E298B">
              <w:rPr>
                <w:color w:val="0D0D0D" w:themeColor="text1" w:themeTint="F2"/>
                <w:spacing w:val="-7"/>
              </w:rPr>
              <w:t xml:space="preserve"> klesly jen ve čtyřech průmyslových oborech, z významnější</w:t>
            </w:r>
            <w:r>
              <w:rPr>
                <w:color w:val="0D0D0D" w:themeColor="text1" w:themeTint="F2"/>
                <w:spacing w:val="-7"/>
              </w:rPr>
              <w:t>ch šlo o chemický průmysl (o 1 %) a hutnictví (o 5 %) či těžbu uhlí (o 13 %).</w:t>
            </w:r>
          </w:p>
        </w:tc>
      </w:tr>
      <w:tr w:rsidR="006E761A" w:rsidRPr="0041745D" w14:paraId="2C28D187" w14:textId="77777777" w:rsidTr="006E761A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13E82230" w14:textId="77777777" w:rsidR="006E761A" w:rsidRDefault="006E761A" w:rsidP="005810E1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4B74431C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63F6170" w14:textId="77777777" w:rsidR="006E761A" w:rsidRPr="000E298B" w:rsidRDefault="006E761A" w:rsidP="005810E1">
            <w:pPr>
              <w:pStyle w:val="Textpoznpodarou"/>
              <w:spacing w:line="276" w:lineRule="auto"/>
              <w:rPr>
                <w:b/>
                <w:spacing w:val="-7"/>
              </w:rPr>
            </w:pPr>
            <w:r w:rsidRPr="000E298B">
              <w:rPr>
                <w:b/>
                <w:spacing w:val="-7"/>
              </w:rPr>
              <w:t>Graf č. 6</w:t>
            </w:r>
            <w:r>
              <w:rPr>
                <w:b/>
                <w:spacing w:val="-7"/>
              </w:rPr>
              <w:t xml:space="preserve"> </w:t>
            </w:r>
            <w:r w:rsidRPr="000E298B">
              <w:rPr>
                <w:b/>
                <w:spacing w:val="-7"/>
              </w:rPr>
              <w:t xml:space="preserve"> Nové zakázky v automobilovém průmyslu, v průmyslu celkem</w:t>
            </w:r>
          </w:p>
          <w:p w14:paraId="0889DE7B" w14:textId="77777777" w:rsidR="006E761A" w:rsidRPr="000E298B" w:rsidRDefault="006E761A" w:rsidP="005810E1">
            <w:pPr>
              <w:spacing w:after="0"/>
              <w:rPr>
                <w:b/>
                <w:spacing w:val="-7"/>
                <w:sz w:val="18"/>
                <w:szCs w:val="18"/>
              </w:rPr>
            </w:pPr>
            <w:r w:rsidRPr="000E298B">
              <w:rPr>
                <w:bCs/>
                <w:spacing w:val="-7"/>
              </w:rPr>
              <w:t xml:space="preserve">(v běžných cenách, </w:t>
            </w:r>
            <w:r w:rsidRPr="000E298B">
              <w:rPr>
                <w:spacing w:val="-7"/>
              </w:rPr>
              <w:t>meziročně</w:t>
            </w:r>
            <w:r w:rsidRPr="000E298B">
              <w:rPr>
                <w:bCs/>
                <w:spacing w:val="-7"/>
              </w:rPr>
              <w:t xml:space="preserve"> v %)</w:t>
            </w:r>
            <w:r w:rsidRPr="00D03158">
              <w:rPr>
                <w:b/>
                <w:spacing w:val="-7"/>
              </w:rPr>
              <w:t xml:space="preserve">, </w:t>
            </w:r>
            <w:r w:rsidRPr="000E298B">
              <w:rPr>
                <w:b/>
                <w:spacing w:val="-7"/>
              </w:rPr>
              <w:t xml:space="preserve">saldo indikátoru důvěry v průmyslu* </w:t>
            </w:r>
            <w:r w:rsidRPr="000E298B">
              <w:rPr>
                <w:spacing w:val="-7"/>
              </w:rPr>
              <w:t xml:space="preserve">(v bodech) </w:t>
            </w:r>
            <w:r w:rsidRPr="000E298B">
              <w:rPr>
                <w:b/>
                <w:spacing w:val="-7"/>
              </w:rPr>
              <w:t>a využití výrobních kapacit v průmyslu*</w:t>
            </w:r>
            <w:r w:rsidRPr="000E298B">
              <w:rPr>
                <w:spacing w:val="-7"/>
              </w:rPr>
              <w:t xml:space="preserve"> (v %, pravá osa)</w:t>
            </w:r>
          </w:p>
        </w:tc>
      </w:tr>
      <w:tr w:rsidR="006E761A" w:rsidRPr="00970E6F" w14:paraId="4451604C" w14:textId="77777777" w:rsidTr="006E761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34FAEE67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1998AE67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116755C0" w14:textId="77777777" w:rsidR="006E761A" w:rsidRPr="000E298B" w:rsidRDefault="006E761A" w:rsidP="005810E1">
            <w:pPr>
              <w:spacing w:after="0" w:line="240" w:lineRule="auto"/>
              <w:rPr>
                <w:spacing w:val="-7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3A9593" wp14:editId="6889096F">
                  <wp:extent cx="4773930" cy="3303468"/>
                  <wp:effectExtent l="0" t="0" r="7620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E761A" w:rsidRPr="00DE6706" w14:paraId="0F307E68" w14:textId="77777777" w:rsidTr="006E761A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00E80A45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60DEB78E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B34AF28" w14:textId="77777777" w:rsidR="006E761A" w:rsidRPr="000E298B" w:rsidRDefault="006E761A" w:rsidP="005810E1">
            <w:pPr>
              <w:spacing w:after="200"/>
              <w:rPr>
                <w:rFonts w:cs="Arial"/>
                <w:spacing w:val="-7"/>
                <w:sz w:val="14"/>
                <w:szCs w:val="14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 xml:space="preserve">*Údaje jsou sezónně očištěny.                                                                                                               </w:t>
            </w:r>
            <w:r>
              <w:rPr>
                <w:rFonts w:cs="Arial"/>
                <w:spacing w:val="-7"/>
                <w:sz w:val="14"/>
                <w:szCs w:val="14"/>
              </w:rPr>
              <w:t xml:space="preserve">                                               </w:t>
            </w:r>
            <w:r w:rsidRPr="000E298B">
              <w:rPr>
                <w:rFonts w:cs="Arial"/>
                <w:spacing w:val="-7"/>
                <w:sz w:val="14"/>
                <w:szCs w:val="14"/>
              </w:rPr>
              <w:t xml:space="preserve">          Zdroj: ČSÚ</w:t>
            </w:r>
          </w:p>
        </w:tc>
      </w:tr>
      <w:tr w:rsidR="006E761A" w14:paraId="1F112191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526E0C56" w14:textId="77777777" w:rsidR="006E761A" w:rsidRDefault="006E761A" w:rsidP="005810E1">
            <w:pPr>
              <w:pStyle w:val="Marginlie"/>
            </w:pPr>
            <w:r>
              <w:t>Mírný růst hodnoty nových zakázek stále přetrvával i ve 3. čtvrtletí.</w:t>
            </w:r>
          </w:p>
          <w:p w14:paraId="62DC0DB1" w14:textId="77777777" w:rsidR="006E761A" w:rsidRDefault="006E761A" w:rsidP="005810E1">
            <w:pPr>
              <w:pStyle w:val="Marginlie"/>
            </w:pPr>
            <w:r>
              <w:lastRenderedPageBreak/>
              <w:t>Využití výrobních kapacit zůstávalo i přes mírnou korekci stále vysoké.</w:t>
            </w:r>
          </w:p>
          <w:p w14:paraId="2F061FF6" w14:textId="77777777" w:rsidR="006E761A" w:rsidRDefault="006E761A" w:rsidP="005810E1">
            <w:pPr>
              <w:pStyle w:val="Marginlie"/>
            </w:pPr>
          </w:p>
          <w:p w14:paraId="1904DFFC" w14:textId="77777777" w:rsidR="006E761A" w:rsidRDefault="006E761A" w:rsidP="005810E1">
            <w:pPr>
              <w:pStyle w:val="Marginlie"/>
            </w:pPr>
          </w:p>
          <w:p w14:paraId="6B118230" w14:textId="77777777" w:rsidR="006E761A" w:rsidRDefault="006E761A" w:rsidP="005810E1">
            <w:pPr>
              <w:pStyle w:val="Marginlie"/>
            </w:pPr>
          </w:p>
          <w:p w14:paraId="19BC5BC2" w14:textId="77777777" w:rsidR="006E761A" w:rsidRDefault="006E761A" w:rsidP="005810E1">
            <w:pPr>
              <w:pStyle w:val="Marginlie"/>
            </w:pPr>
          </w:p>
          <w:p w14:paraId="6A18DFBD" w14:textId="77777777" w:rsidR="006E761A" w:rsidRDefault="006E761A" w:rsidP="005810E1">
            <w:pPr>
              <w:pStyle w:val="Marginlie"/>
            </w:pPr>
            <w:r>
              <w:t>Saldo indikátoru důvěry v průmyslu sestoupilo do lehce záporného pásma, na počátku 4. čtvrtletí pesimismus podniků mírně vzrostl.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74C53B0" w14:textId="77777777" w:rsidR="006E761A" w:rsidRPr="002A4B98" w:rsidRDefault="006E761A" w:rsidP="005810E1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63374B6" w14:textId="6258EF46" w:rsidR="006E761A" w:rsidRPr="003567CF" w:rsidRDefault="006E761A" w:rsidP="005810E1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7"/>
              </w:rPr>
            </w:pPr>
            <w:r w:rsidRPr="000E298B">
              <w:rPr>
                <w:color w:val="0D0D0D" w:themeColor="text1" w:themeTint="F2"/>
                <w:spacing w:val="-7"/>
              </w:rPr>
              <w:t>Vyhlídky tuzemského průmy</w:t>
            </w:r>
            <w:r>
              <w:rPr>
                <w:color w:val="0D0D0D" w:themeColor="text1" w:themeTint="F2"/>
                <w:spacing w:val="-7"/>
              </w:rPr>
              <w:t>slu směrem k přelomu</w:t>
            </w:r>
            <w:r w:rsidRPr="000E298B">
              <w:rPr>
                <w:color w:val="0D0D0D" w:themeColor="text1" w:themeTint="F2"/>
                <w:spacing w:val="-7"/>
              </w:rPr>
              <w:t xml:space="preserve"> </w:t>
            </w:r>
            <w:r>
              <w:rPr>
                <w:color w:val="0D0D0D" w:themeColor="text1" w:themeTint="F2"/>
                <w:spacing w:val="-7"/>
              </w:rPr>
              <w:t xml:space="preserve">let </w:t>
            </w:r>
            <w:r w:rsidRPr="000E298B">
              <w:rPr>
                <w:color w:val="0D0D0D" w:themeColor="text1" w:themeTint="F2"/>
                <w:spacing w:val="-7"/>
              </w:rPr>
              <w:t>2019</w:t>
            </w:r>
            <w:r>
              <w:rPr>
                <w:color w:val="0D0D0D" w:themeColor="text1" w:themeTint="F2"/>
                <w:spacing w:val="-7"/>
              </w:rPr>
              <w:t xml:space="preserve"> a 2020</w:t>
            </w:r>
            <w:r w:rsidRPr="000E298B">
              <w:rPr>
                <w:color w:val="0D0D0D" w:themeColor="text1" w:themeTint="F2"/>
                <w:spacing w:val="-7"/>
              </w:rPr>
              <w:t xml:space="preserve"> zůstávají rozporuplné</w:t>
            </w:r>
            <w:r>
              <w:rPr>
                <w:color w:val="0D0D0D" w:themeColor="text1" w:themeTint="F2"/>
                <w:spacing w:val="-7"/>
              </w:rPr>
              <w:t>. Na jedné straně přetrvává od loňského roku mírný růst zakázek</w:t>
            </w:r>
            <w:r w:rsidRPr="000E298B">
              <w:rPr>
                <w:rStyle w:val="Znakapoznpodarou"/>
                <w:spacing w:val="-7"/>
              </w:rPr>
              <w:footnoteReference w:id="14"/>
            </w:r>
            <w:r>
              <w:rPr>
                <w:color w:val="0D0D0D" w:themeColor="text1" w:themeTint="F2"/>
                <w:spacing w:val="-7"/>
              </w:rPr>
              <w:t>. Ten ve 3. čtvrtletí 2019 dosahoval meziročně 3,5 %</w:t>
            </w:r>
            <w:r w:rsidRPr="000E298B">
              <w:rPr>
                <w:rStyle w:val="Znakapoznpodarou"/>
                <w:spacing w:val="-7"/>
              </w:rPr>
              <w:footnoteReference w:id="15"/>
            </w:r>
            <w:r>
              <w:rPr>
                <w:color w:val="0D0D0D" w:themeColor="text1" w:themeTint="F2"/>
                <w:spacing w:val="-7"/>
              </w:rPr>
              <w:t xml:space="preserve"> (s minimálními rozdíly mezi objednávkami z tuzemska či ze </w:t>
            </w:r>
            <w:r>
              <w:rPr>
                <w:color w:val="0D0D0D" w:themeColor="text1" w:themeTint="F2"/>
                <w:spacing w:val="-7"/>
              </w:rPr>
              <w:lastRenderedPageBreak/>
              <w:t xml:space="preserve">zahraničí). Dvojciferný růst zakázek signalizovaly podniky vyrábějící dopravní prostředky a také odvětví elektrotechnického a farmaceutického průmyslu. S mírně slabší poptávkou se patrně bude potýkat strojírenství, hlubší redukce pak hrozí hutnictví a slévárenství. Přestože využití výrobních kapacit </w:t>
            </w:r>
            <w:r w:rsidR="005B26B0">
              <w:rPr>
                <w:color w:val="0D0D0D" w:themeColor="text1" w:themeTint="F2"/>
                <w:spacing w:val="-7"/>
              </w:rPr>
              <w:t xml:space="preserve">v celém průmyslu </w:t>
            </w:r>
            <w:r>
              <w:rPr>
                <w:color w:val="0D0D0D" w:themeColor="text1" w:themeTint="F2"/>
                <w:spacing w:val="-7"/>
              </w:rPr>
              <w:t>se mezi počátkem 2. a 4. čtvrtletí 2019 snížilo z 86 na 84 %, zů</w:t>
            </w:r>
            <w:r w:rsidR="005810E1">
              <w:rPr>
                <w:color w:val="0D0D0D" w:themeColor="text1" w:themeTint="F2"/>
                <w:spacing w:val="-7"/>
              </w:rPr>
              <w:t>stává stále vysoké, především ve výrobě motorových vozidel</w:t>
            </w:r>
            <w:r>
              <w:rPr>
                <w:color w:val="0D0D0D" w:themeColor="text1" w:themeTint="F2"/>
                <w:spacing w:val="-7"/>
              </w:rPr>
              <w:t xml:space="preserve">. </w:t>
            </w:r>
            <w:r w:rsidRPr="000E298B">
              <w:rPr>
                <w:color w:val="0D0D0D" w:themeColor="text1" w:themeTint="F2"/>
                <w:spacing w:val="-7"/>
              </w:rPr>
              <w:t xml:space="preserve">Sezónně očištěné saldo 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indikátoru důvěry v průmyslu sestoupilo </w:t>
            </w:r>
            <w:r>
              <w:rPr>
                <w:rFonts w:cs="Arial"/>
                <w:color w:val="0D0D0D" w:themeColor="text1" w:themeTint="F2"/>
                <w:spacing w:val="-7"/>
              </w:rPr>
              <w:t>v březnu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 2019 po více než pěti letech do záporného pásma a</w:t>
            </w:r>
            <w:r w:rsidRPr="000E298B">
              <w:rPr>
                <w:spacing w:val="-7"/>
              </w:rPr>
              <w:t> </w:t>
            </w:r>
            <w:r>
              <w:rPr>
                <w:rFonts w:cs="Arial"/>
                <w:color w:val="0D0D0D" w:themeColor="text1" w:themeTint="F2"/>
                <w:spacing w:val="-7"/>
              </w:rPr>
              <w:t>na počátku 4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. čtvrtletí se lehký pesimismus dále prohloubil (na </w:t>
            </w:r>
            <w:r>
              <w:rPr>
                <w:color w:val="0D0D0D" w:themeColor="text1" w:themeTint="F2"/>
                <w:spacing w:val="-7"/>
              </w:rPr>
              <w:t>–6,7 bodu v listopadu</w:t>
            </w:r>
            <w:r w:rsidRPr="000E298B">
              <w:rPr>
                <w:color w:val="0D0D0D" w:themeColor="text1" w:themeTint="F2"/>
                <w:spacing w:val="-7"/>
              </w:rPr>
              <w:t>)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>.</w:t>
            </w:r>
            <w:r>
              <w:rPr>
                <w:rFonts w:cs="Arial"/>
                <w:color w:val="0D0D0D" w:themeColor="text1" w:themeTint="F2"/>
                <w:spacing w:val="-7"/>
              </w:rPr>
              <w:t xml:space="preserve"> Nejvýznamnější bariérou růstu průmyslových podniků je od poloviny roku 2019 opět nedostatečná poptávka, na počátku 4. čtvrtletí ji naznačovalo 47 % podniků, o rok dříve 33 %. Ve stejném období naopak role nedostatku pracovní síly klesla (ze 45 na 37 %). Šestina podniků však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 žádné</w:t>
            </w:r>
            <w:r>
              <w:rPr>
                <w:rFonts w:cs="Arial"/>
                <w:color w:val="0D0D0D" w:themeColor="text1" w:themeTint="F2"/>
                <w:spacing w:val="-7"/>
              </w:rPr>
              <w:t xml:space="preserve"> významné bariéry neindikovala. Lehce pesimisticky vyznívá pro průmysl prohlubující se mírný pokles zaměstnanosti i obezřetnější přístup k investiční činnosti</w:t>
            </w:r>
            <w:r w:rsidRPr="000E298B">
              <w:rPr>
                <w:rStyle w:val="Znakapoznpodarou"/>
                <w:spacing w:val="-7"/>
              </w:rPr>
              <w:footnoteReference w:id="16"/>
            </w:r>
            <w:r>
              <w:rPr>
                <w:rFonts w:cs="Arial"/>
                <w:color w:val="0D0D0D" w:themeColor="text1" w:themeTint="F2"/>
                <w:spacing w:val="-7"/>
              </w:rPr>
              <w:t>.</w:t>
            </w:r>
          </w:p>
        </w:tc>
      </w:tr>
      <w:tr w:rsidR="006E761A" w14:paraId="7E87F616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F417B09" w14:textId="77777777" w:rsidR="006E761A" w:rsidRDefault="006E761A" w:rsidP="005810E1">
            <w:pPr>
              <w:pStyle w:val="Marginlie"/>
            </w:pPr>
            <w:r>
              <w:lastRenderedPageBreak/>
              <w:t>Velmi vysoké loňské růstové tempo letos stavebnictví neudrželo. Ve 3. čtvrtletí stavební produkce meziročně pouze stagnovala.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E19ED6C" w14:textId="77777777" w:rsidR="006E761A" w:rsidRPr="002A4B98" w:rsidRDefault="006E761A" w:rsidP="005810E1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3B62A78" w14:textId="77777777" w:rsidR="006E761A" w:rsidRPr="000E298B" w:rsidRDefault="006E761A" w:rsidP="005810E1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7"/>
              </w:rPr>
            </w:pPr>
            <w:r>
              <w:rPr>
                <w:color w:val="0D0D0D" w:themeColor="text1" w:themeTint="F2"/>
                <w:spacing w:val="-7"/>
              </w:rPr>
              <w:t>S</w:t>
            </w:r>
            <w:r w:rsidRPr="000E298B">
              <w:rPr>
                <w:spacing w:val="-7"/>
              </w:rPr>
              <w:t>tavební produkce</w:t>
            </w:r>
            <w:r w:rsidRPr="000E298B">
              <w:rPr>
                <w:rStyle w:val="Znakapoznpodarou"/>
                <w:spacing w:val="-7"/>
              </w:rPr>
              <w:footnoteReference w:id="17"/>
            </w:r>
            <w:r>
              <w:rPr>
                <w:spacing w:val="-7"/>
              </w:rPr>
              <w:t xml:space="preserve"> vzrostla v 1. až 3. čtvrtletí meziročně o 1,9 %</w:t>
            </w:r>
            <w:r w:rsidRPr="000E298B">
              <w:rPr>
                <w:rStyle w:val="Znakapoznpodarou"/>
                <w:spacing w:val="-7"/>
              </w:rPr>
              <w:footnoteReference w:id="18"/>
            </w:r>
            <w:r>
              <w:rPr>
                <w:spacing w:val="-7"/>
              </w:rPr>
              <w:t xml:space="preserve">, ve srovnání se silným tempem ze stejného období roku 2018 (+11,2 %) šlo o citelné zvolnění. V loňském roce bylo celé odvětví podpořeno výrazným zrychlením čerpání </w:t>
            </w:r>
            <w:r w:rsidRPr="000E298B">
              <w:rPr>
                <w:spacing w:val="-7"/>
              </w:rPr>
              <w:t>prostředků z rozpočtu EU</w:t>
            </w:r>
            <w:r>
              <w:rPr>
                <w:spacing w:val="-7"/>
              </w:rPr>
              <w:t xml:space="preserve">, tento faktor se letos projevoval v menší míře. K růstu stavebnictví přispěl </w:t>
            </w:r>
            <w:r w:rsidRPr="000E298B">
              <w:rPr>
                <w:spacing w:val="-7"/>
              </w:rPr>
              <w:t xml:space="preserve">svižný vstup do letošního roku </w:t>
            </w:r>
            <w:r w:rsidRPr="000E298B">
              <w:rPr>
                <w:color w:val="0D0D0D" w:themeColor="text1" w:themeTint="F2"/>
                <w:spacing w:val="-7"/>
              </w:rPr>
              <w:t>–</w:t>
            </w:r>
            <w:r>
              <w:rPr>
                <w:color w:val="0D0D0D" w:themeColor="text1" w:themeTint="F2"/>
                <w:spacing w:val="-7"/>
              </w:rPr>
              <w:t> </w:t>
            </w:r>
            <w:r w:rsidRPr="000E298B">
              <w:rPr>
                <w:spacing w:val="-7"/>
              </w:rPr>
              <w:t xml:space="preserve">za první tři měsíce vzrostl </w:t>
            </w:r>
            <w:r>
              <w:rPr>
                <w:spacing w:val="-7"/>
              </w:rPr>
              <w:t xml:space="preserve">jeho </w:t>
            </w:r>
            <w:r w:rsidRPr="000E298B">
              <w:rPr>
                <w:spacing w:val="-7"/>
              </w:rPr>
              <w:t>výkon mezičtvrtletně</w:t>
            </w:r>
            <w:r>
              <w:rPr>
                <w:spacing w:val="-7"/>
              </w:rPr>
              <w:t xml:space="preserve"> o 3,3</w:t>
            </w:r>
            <w:r w:rsidRPr="000E298B">
              <w:rPr>
                <w:spacing w:val="-7"/>
              </w:rPr>
              <w:t> %, když rychlejšímu rozjezdu stavebních prací přálo i teplejší počasí</w:t>
            </w:r>
            <w:r>
              <w:rPr>
                <w:spacing w:val="-7"/>
              </w:rPr>
              <w:t>. V průběhu roku ale dynamika celého odvětví slábla, a</w:t>
            </w:r>
            <w:r w:rsidRPr="000E298B">
              <w:rPr>
                <w:spacing w:val="-7"/>
              </w:rPr>
              <w:t> </w:t>
            </w:r>
            <w:r>
              <w:rPr>
                <w:spacing w:val="-7"/>
              </w:rPr>
              <w:t>ve 3. čtvrtletí se meziroční růst dokonce zastavil</w:t>
            </w:r>
            <w:r w:rsidRPr="000E298B">
              <w:rPr>
                <w:rStyle w:val="Znakapoznpodarou"/>
                <w:spacing w:val="-7"/>
              </w:rPr>
              <w:footnoteReference w:id="19"/>
            </w:r>
            <w:r>
              <w:rPr>
                <w:spacing w:val="-7"/>
              </w:rPr>
              <w:t xml:space="preserve"> (výhradně vlivem pozemního stavitelství). Za tři čtvrtletí vzrostl výkon pozemního stavitelství meziročně o 1,2 %, inženýrského stavitelství o</w:t>
            </w:r>
            <w:r w:rsidRPr="000E298B">
              <w:rPr>
                <w:spacing w:val="-7"/>
              </w:rPr>
              <w:t> </w:t>
            </w:r>
            <w:r>
              <w:rPr>
                <w:spacing w:val="-7"/>
              </w:rPr>
              <w:t>4,1</w:t>
            </w:r>
            <w:r w:rsidRPr="000E298B">
              <w:rPr>
                <w:spacing w:val="-7"/>
              </w:rPr>
              <w:t> </w:t>
            </w:r>
            <w:r>
              <w:rPr>
                <w:spacing w:val="-7"/>
              </w:rPr>
              <w:t>% (obě dílčí odvětví přispěla k posílení celého stavebnictví srovnatelnou měrou).</w:t>
            </w:r>
          </w:p>
        </w:tc>
      </w:tr>
      <w:tr w:rsidR="006E761A" w14:paraId="06FC06A4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40F8A88C" w14:textId="77777777" w:rsidR="006E761A" w:rsidRDefault="006E761A" w:rsidP="005810E1">
            <w:pPr>
              <w:pStyle w:val="Marginlie"/>
            </w:pPr>
            <w:r>
              <w:t>K akceleraci bytové výstavby v ČR letos přispěly téměř výhradně byty v bytových domech.</w:t>
            </w:r>
          </w:p>
          <w:p w14:paraId="1E66D4C2" w14:textId="77777777" w:rsidR="006E761A" w:rsidRDefault="006E761A" w:rsidP="005810E1">
            <w:pPr>
              <w:pStyle w:val="Marginlie"/>
            </w:pPr>
          </w:p>
          <w:p w14:paraId="69FCDE68" w14:textId="77777777" w:rsidR="006E761A" w:rsidRDefault="006E761A" w:rsidP="005810E1">
            <w:pPr>
              <w:pStyle w:val="Marginlie"/>
            </w:pPr>
          </w:p>
          <w:p w14:paraId="24ED2402" w14:textId="77777777" w:rsidR="006E761A" w:rsidRDefault="006E761A" w:rsidP="005810E1">
            <w:pPr>
              <w:pStyle w:val="Marginlie"/>
            </w:pPr>
            <w:r>
              <w:t>Nabídka zahájených bytů v Praze se výrazně rozšířila, i tak stále zaostávala za přírůstkem obyvatel i pracovních příležitostí.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88B2D9B" w14:textId="77777777" w:rsidR="006E761A" w:rsidRPr="002A4B98" w:rsidRDefault="006E761A" w:rsidP="005810E1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E6154B8" w14:textId="72598FA4" w:rsidR="006E761A" w:rsidRDefault="006E761A" w:rsidP="005810E1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7"/>
              </w:rPr>
            </w:pPr>
            <w:r>
              <w:rPr>
                <w:color w:val="0D0D0D" w:themeColor="text1" w:themeTint="F2"/>
                <w:spacing w:val="-7"/>
              </w:rPr>
              <w:t>Výrazně lépe než ostatním segmentům pozemního stavitelství se letos dařilo rezidentní výstavbě, která postupně reaguje</w:t>
            </w:r>
            <w:r w:rsidRPr="000E298B">
              <w:rPr>
                <w:color w:val="0D0D0D" w:themeColor="text1" w:themeTint="F2"/>
                <w:spacing w:val="-7"/>
              </w:rPr>
              <w:t xml:space="preserve"> na dlouhodobě</w:t>
            </w:r>
            <w:r>
              <w:rPr>
                <w:color w:val="0D0D0D" w:themeColor="text1" w:themeTint="F2"/>
                <w:spacing w:val="-7"/>
              </w:rPr>
              <w:t xml:space="preserve"> silnou poptávku v této oblasti</w:t>
            </w:r>
            <w:r w:rsidRPr="000E298B">
              <w:rPr>
                <w:color w:val="0D0D0D" w:themeColor="text1" w:themeTint="F2"/>
                <w:spacing w:val="-7"/>
              </w:rPr>
              <w:t>.</w:t>
            </w:r>
            <w:r>
              <w:rPr>
                <w:color w:val="0D0D0D" w:themeColor="text1" w:themeTint="F2"/>
                <w:spacing w:val="-7"/>
              </w:rPr>
              <w:t xml:space="preserve"> Tempo meziročního růstu počtu zahájených bytů v ČR letos za tři čtvrtletí zrychlilo na 17,8 % (na 29,1 tis. bytů). Z drtivé většiny to bylo zásluhou vyššího počtu bytů v bytových domech (o 4,2 tis.), jejichž výstavba loni stagnovala. Na růstu všech zahájených bytů se letos, na rozdíl od předchozích let, podílela zejména Praha</w:t>
            </w:r>
            <w:r w:rsidRPr="000E298B">
              <w:rPr>
                <w:rStyle w:val="Znakapoznpodarou"/>
                <w:spacing w:val="-7"/>
              </w:rPr>
              <w:footnoteReference w:id="20"/>
            </w:r>
            <w:r>
              <w:rPr>
                <w:color w:val="0D0D0D" w:themeColor="text1" w:themeTint="F2"/>
                <w:spacing w:val="-7"/>
              </w:rPr>
              <w:t xml:space="preserve"> (celou polovinou), mírnější posílení výstavby ale zaznamenalo i dalších devět krajů ČR. Zvyšovala se i nabídka dokončených bytů v ČR, a to již pátým rokem (až na 25,8 tis.). Četnost </w:t>
            </w:r>
            <w:r w:rsidR="00817040">
              <w:rPr>
                <w:color w:val="0D0D0D" w:themeColor="text1" w:themeTint="F2"/>
                <w:spacing w:val="-7"/>
              </w:rPr>
              <w:t xml:space="preserve">dokončených </w:t>
            </w:r>
            <w:r>
              <w:rPr>
                <w:color w:val="0D0D0D" w:themeColor="text1" w:themeTint="F2"/>
                <w:spacing w:val="-7"/>
              </w:rPr>
              <w:t>bytů v bytových domech se letos blížila úrovni vrcholu konjunktury minulé dekády, počet bytů v rodinných domech byl v rámci 1. až 3. čtvrtletí dokonce v samostatné historii ČR nejvyšší.</w:t>
            </w:r>
          </w:p>
        </w:tc>
      </w:tr>
      <w:tr w:rsidR="006E761A" w14:paraId="1D50B5B0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0D97755B" w14:textId="77777777" w:rsidR="006E761A" w:rsidRDefault="006E761A" w:rsidP="005810E1">
            <w:pPr>
              <w:pStyle w:val="Marginlie"/>
            </w:pPr>
            <w:r>
              <w:t>Hodnota nových stavebních zakázek ve 3. čtvrtletí meziročně vzrostla o 17 %. Pokračoval trend růstu váhy větších projektů.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67DEB3F" w14:textId="77777777" w:rsidR="006E761A" w:rsidRPr="002A4B98" w:rsidRDefault="006E761A" w:rsidP="005810E1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7B6726E" w14:textId="24861900" w:rsidR="006E761A" w:rsidRDefault="006E761A" w:rsidP="005810E1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7"/>
              </w:rPr>
            </w:pPr>
            <w:r w:rsidRPr="000E298B">
              <w:rPr>
                <w:spacing w:val="-7"/>
              </w:rPr>
              <w:t xml:space="preserve">Krátkodobé vyhlídky stavebnictví zůstávají </w:t>
            </w:r>
            <w:r>
              <w:rPr>
                <w:spacing w:val="-7"/>
              </w:rPr>
              <w:t xml:space="preserve">spíše </w:t>
            </w:r>
            <w:r w:rsidRPr="000E298B">
              <w:rPr>
                <w:spacing w:val="-7"/>
              </w:rPr>
              <w:t>příznivé</w:t>
            </w:r>
            <w:r>
              <w:rPr>
                <w:spacing w:val="-7"/>
              </w:rPr>
              <w:t xml:space="preserve">. Hodnota </w:t>
            </w:r>
            <w:r w:rsidRPr="000E298B">
              <w:rPr>
                <w:spacing w:val="-7"/>
              </w:rPr>
              <w:t>nových tuzemských zakázek (</w:t>
            </w:r>
            <w:r w:rsidRPr="000E298B">
              <w:rPr>
                <w:rFonts w:cs="Arial"/>
                <w:spacing w:val="-7"/>
              </w:rPr>
              <w:t>u podniků s více než 50 zaměstnanci)</w:t>
            </w:r>
            <w:r w:rsidR="00772FF9">
              <w:rPr>
                <w:rFonts w:cs="Arial"/>
                <w:spacing w:val="-7"/>
              </w:rPr>
              <w:t xml:space="preserve"> po </w:t>
            </w:r>
            <w:r>
              <w:rPr>
                <w:rFonts w:cs="Arial"/>
                <w:spacing w:val="-7"/>
              </w:rPr>
              <w:t>oslabení ve 2. čtvrtletí v</w:t>
            </w:r>
            <w:r w:rsidRPr="000E298B">
              <w:rPr>
                <w:rFonts w:cs="Arial"/>
                <w:spacing w:val="-7"/>
              </w:rPr>
              <w:t> </w:t>
            </w:r>
            <w:r>
              <w:rPr>
                <w:rFonts w:cs="Arial"/>
                <w:spacing w:val="-7"/>
              </w:rPr>
              <w:t>následujícím kvartálu opět rostla (meziročně o 17 %). K růstu ale přispělo jen inženýrské stavitelství. I díky výstavbě a modernizaci</w:t>
            </w:r>
            <w:r w:rsidRPr="000E298B">
              <w:rPr>
                <w:rFonts w:cs="Arial"/>
                <w:spacing w:val="-7"/>
              </w:rPr>
              <w:t xml:space="preserve"> dopravní infrastruktury se </w:t>
            </w:r>
            <w:r>
              <w:rPr>
                <w:rFonts w:cs="Arial"/>
                <w:spacing w:val="-7"/>
              </w:rPr>
              <w:t xml:space="preserve">stále </w:t>
            </w:r>
            <w:r w:rsidRPr="000E298B">
              <w:rPr>
                <w:color w:val="0D0D0D" w:themeColor="text1" w:themeTint="F2"/>
                <w:spacing w:val="-7"/>
              </w:rPr>
              <w:t xml:space="preserve">více prosazovaly větší projekty, průměrná velikost nové zakázky </w:t>
            </w:r>
            <w:r w:rsidR="00772FF9">
              <w:rPr>
                <w:color w:val="0D0D0D" w:themeColor="text1" w:themeTint="F2"/>
                <w:spacing w:val="-7"/>
              </w:rPr>
              <w:t xml:space="preserve">ve stavebnictví </w:t>
            </w:r>
            <w:r w:rsidRPr="000E298B">
              <w:rPr>
                <w:color w:val="0D0D0D" w:themeColor="text1" w:themeTint="F2"/>
                <w:spacing w:val="-7"/>
              </w:rPr>
              <w:t>rostla třetím rokem v řadě (</w:t>
            </w:r>
            <w:r w:rsidR="00772FF9">
              <w:rPr>
                <w:color w:val="0D0D0D" w:themeColor="text1" w:themeTint="F2"/>
                <w:spacing w:val="-7"/>
              </w:rPr>
              <w:t>za tři čtvrtletí 2019 na</w:t>
            </w:r>
            <w:r>
              <w:rPr>
                <w:color w:val="0D0D0D" w:themeColor="text1" w:themeTint="F2"/>
                <w:spacing w:val="-7"/>
              </w:rPr>
              <w:t xml:space="preserve"> 4,2</w:t>
            </w:r>
            <w:r w:rsidRPr="000E298B">
              <w:rPr>
                <w:color w:val="0D0D0D" w:themeColor="text1" w:themeTint="F2"/>
                <w:spacing w:val="-7"/>
              </w:rPr>
              <w:t> mil. korun</w:t>
            </w:r>
            <w:r w:rsidRPr="000E298B">
              <w:rPr>
                <w:rStyle w:val="Znakapoznpodarou"/>
                <w:spacing w:val="-7"/>
              </w:rPr>
              <w:footnoteReference w:id="21"/>
            </w:r>
            <w:r w:rsidRPr="000E298B">
              <w:rPr>
                <w:color w:val="0D0D0D" w:themeColor="text1" w:themeTint="F2"/>
                <w:spacing w:val="-7"/>
              </w:rPr>
              <w:t>).</w:t>
            </w:r>
            <w:r>
              <w:rPr>
                <w:color w:val="0D0D0D" w:themeColor="text1" w:themeTint="F2"/>
                <w:spacing w:val="-7"/>
              </w:rPr>
              <w:t xml:space="preserve"> C</w:t>
            </w:r>
            <w:r w:rsidRPr="000E298B">
              <w:rPr>
                <w:color w:val="0D0D0D" w:themeColor="text1" w:themeTint="F2"/>
                <w:spacing w:val="-7"/>
              </w:rPr>
              <w:t>elková zásoba práce (</w:t>
            </w:r>
            <w:r>
              <w:rPr>
                <w:color w:val="0D0D0D" w:themeColor="text1" w:themeTint="F2"/>
                <w:spacing w:val="-7"/>
              </w:rPr>
              <w:t>představovaná dosud nerealizovanými stavebními zakázkami</w:t>
            </w:r>
            <w:r w:rsidRPr="000E298B">
              <w:rPr>
                <w:color w:val="0D0D0D" w:themeColor="text1" w:themeTint="F2"/>
                <w:spacing w:val="-7"/>
              </w:rPr>
              <w:t>)</w:t>
            </w:r>
            <w:r>
              <w:rPr>
                <w:color w:val="0D0D0D" w:themeColor="text1" w:themeTint="F2"/>
                <w:spacing w:val="-7"/>
              </w:rPr>
              <w:t xml:space="preserve"> se podobně jako loni meziročně navyšovala, ve 3. čtvrtletí 2019 o 11 %. Přestože i letošní růst byl stále dominantně tažen veřejnými zakázkami (s růstem o 17 %), bylo pozitivní, že proti loňsku posílilo růstové tempo zásoby soukromých tuzemských zakázek (ze 6 na 13 %). </w:t>
            </w:r>
          </w:p>
        </w:tc>
      </w:tr>
      <w:tr w:rsidR="006E761A" w:rsidRPr="001A21A7" w14:paraId="25BACD53" w14:textId="77777777" w:rsidTr="006E761A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3C56DE9B" w14:textId="77777777" w:rsidR="006E761A" w:rsidRDefault="006E761A" w:rsidP="005810E1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6BA6A697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351D73A" w14:textId="77777777" w:rsidR="006E761A" w:rsidRPr="000E298B" w:rsidRDefault="006E761A" w:rsidP="005810E1">
            <w:pPr>
              <w:spacing w:after="0"/>
              <w:jc w:val="left"/>
              <w:rPr>
                <w:b/>
                <w:spacing w:val="-7"/>
              </w:rPr>
            </w:pPr>
            <w:r w:rsidRPr="000E298B">
              <w:rPr>
                <w:b/>
                <w:spacing w:val="-7"/>
              </w:rPr>
              <w:t>Graf č. 7</w:t>
            </w:r>
            <w:r>
              <w:rPr>
                <w:b/>
                <w:spacing w:val="-7"/>
              </w:rPr>
              <w:t xml:space="preserve"> </w:t>
            </w:r>
            <w:r w:rsidRPr="000E298B">
              <w:rPr>
                <w:b/>
                <w:spacing w:val="-7"/>
              </w:rPr>
              <w:t xml:space="preserve"> Příspěvky odvětví k meziroční změně stavební produkce </w:t>
            </w:r>
            <w:r w:rsidRPr="000E298B">
              <w:rPr>
                <w:spacing w:val="-7"/>
              </w:rPr>
              <w:t>(v p. b.)</w:t>
            </w:r>
            <w:r w:rsidRPr="002638AC">
              <w:rPr>
                <w:b/>
                <w:bCs/>
                <w:spacing w:val="-7"/>
              </w:rPr>
              <w:t xml:space="preserve">, </w:t>
            </w:r>
            <w:r w:rsidRPr="000E298B">
              <w:rPr>
                <w:b/>
                <w:spacing w:val="-7"/>
              </w:rPr>
              <w:t xml:space="preserve">celková stavební produkce a nové zakázky </w:t>
            </w:r>
            <w:r w:rsidRPr="000E298B">
              <w:rPr>
                <w:bCs/>
                <w:spacing w:val="-7"/>
              </w:rPr>
              <w:t>(</w:t>
            </w:r>
            <w:r w:rsidRPr="000E298B">
              <w:rPr>
                <w:spacing w:val="-7"/>
              </w:rPr>
              <w:t>meziročně</w:t>
            </w:r>
            <w:r w:rsidRPr="000E298B">
              <w:rPr>
                <w:bCs/>
                <w:spacing w:val="-7"/>
              </w:rPr>
              <w:t xml:space="preserve"> v %)</w:t>
            </w:r>
            <w:r w:rsidRPr="002638AC">
              <w:rPr>
                <w:b/>
                <w:spacing w:val="-7"/>
              </w:rPr>
              <w:t xml:space="preserve">, </w:t>
            </w:r>
            <w:r w:rsidRPr="000E298B">
              <w:rPr>
                <w:b/>
                <w:spacing w:val="-7"/>
              </w:rPr>
              <w:t>saldo indikátoru důvěry ve stavebnictví*</w:t>
            </w:r>
            <w:r w:rsidRPr="000E298B">
              <w:rPr>
                <w:spacing w:val="-7"/>
              </w:rPr>
              <w:t xml:space="preserve"> (v bodech, pravá osa) </w:t>
            </w:r>
            <w:r>
              <w:rPr>
                <w:b/>
                <w:spacing w:val="-7"/>
              </w:rPr>
              <w:t>a vybrané</w:t>
            </w:r>
            <w:r w:rsidRPr="000E298B">
              <w:rPr>
                <w:b/>
                <w:spacing w:val="-7"/>
              </w:rPr>
              <w:t xml:space="preserve"> bariéry růstu</w:t>
            </w:r>
            <w:r w:rsidRPr="000E298B">
              <w:rPr>
                <w:spacing w:val="-7"/>
              </w:rPr>
              <w:t>* (v %, pravá osa)</w:t>
            </w:r>
          </w:p>
        </w:tc>
      </w:tr>
      <w:tr w:rsidR="006E761A" w:rsidRPr="00B4411A" w14:paraId="31DD5537" w14:textId="77777777" w:rsidTr="006E761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0A63A95F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2C65482D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448EB5B2" w14:textId="77777777" w:rsidR="006E761A" w:rsidRPr="000E298B" w:rsidRDefault="006E761A" w:rsidP="005810E1">
            <w:pPr>
              <w:spacing w:after="0"/>
              <w:rPr>
                <w:spacing w:val="-7"/>
              </w:rPr>
            </w:pPr>
            <w:r>
              <w:rPr>
                <w:noProof/>
              </w:rPr>
              <w:drawing>
                <wp:inline distT="0" distB="0" distL="0" distR="0" wp14:anchorId="6C3BC9C7" wp14:editId="4CB8CB0F">
                  <wp:extent cx="4748530" cy="3314700"/>
                  <wp:effectExtent l="0" t="0" r="0" b="0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E761A" w:rsidRPr="004621FE" w14:paraId="2381B750" w14:textId="77777777" w:rsidTr="006E761A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131AF9DF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CF0A027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63CBE3B" w14:textId="77777777" w:rsidR="006E761A" w:rsidRPr="000E298B" w:rsidRDefault="006E761A" w:rsidP="005810E1">
            <w:pPr>
              <w:spacing w:after="0"/>
              <w:rPr>
                <w:rFonts w:cs="Arial"/>
                <w:spacing w:val="-7"/>
                <w:sz w:val="14"/>
                <w:szCs w:val="14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Údaje o stavební produkci jsou očištěny o kalendářní vlivy.</w:t>
            </w:r>
          </w:p>
          <w:p w14:paraId="635A8A8A" w14:textId="77777777" w:rsidR="006E761A" w:rsidRPr="000E298B" w:rsidRDefault="006E761A" w:rsidP="005810E1">
            <w:pPr>
              <w:spacing w:after="200"/>
              <w:rPr>
                <w:rFonts w:cs="Arial"/>
                <w:color w:val="0D0D0D" w:themeColor="text1" w:themeTint="F2"/>
                <w:spacing w:val="-7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 xml:space="preserve">*Údaje jsou sezónně očištěny.                                                                                                                                  </w:t>
            </w:r>
            <w:r>
              <w:rPr>
                <w:rFonts w:cs="Arial"/>
                <w:spacing w:val="-7"/>
                <w:sz w:val="14"/>
                <w:szCs w:val="14"/>
              </w:rPr>
              <w:t xml:space="preserve">                              </w:t>
            </w:r>
            <w:r w:rsidRPr="000E298B">
              <w:rPr>
                <w:rFonts w:cs="Arial"/>
                <w:spacing w:val="-7"/>
                <w:sz w:val="14"/>
                <w:szCs w:val="14"/>
              </w:rPr>
              <w:t>Zdroj: ČSÚ</w:t>
            </w:r>
          </w:p>
        </w:tc>
      </w:tr>
      <w:tr w:rsidR="006E761A" w14:paraId="780901A9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4262301C" w14:textId="77777777" w:rsidR="006E761A" w:rsidRPr="00A805C0" w:rsidRDefault="006E761A" w:rsidP="005810E1">
            <w:pPr>
              <w:pStyle w:val="Marginlie"/>
            </w:pPr>
            <w:r>
              <w:t>Pozitivní saldo důvěry ve stavebnictví dosáhlo vrcholu v lednu 2019. Klíčovou bariérou silně vytížených stavebních podniků je nedostatek pracovní síly.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BDC76EA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3CAD98E" w14:textId="77777777" w:rsidR="006E761A" w:rsidRPr="000E298B" w:rsidRDefault="006E761A" w:rsidP="005810E1">
            <w:pPr>
              <w:spacing w:after="200"/>
              <w:rPr>
                <w:color w:val="0D0D0D" w:themeColor="text1" w:themeTint="F2"/>
                <w:spacing w:val="-7"/>
                <w:szCs w:val="20"/>
              </w:rPr>
            </w:pPr>
            <w:r w:rsidRPr="000E298B">
              <w:rPr>
                <w:color w:val="0D0D0D" w:themeColor="text1" w:themeTint="F2"/>
                <w:spacing w:val="-7"/>
                <w:szCs w:val="20"/>
              </w:rPr>
              <w:t>Indikátor důvěry manažerů stavebních podniků opustil v listopadu 2018 záporné pásmo (poprvé od září 2008) a na počátku roku 2019 těsně překonal dosud rekordní optimismus z roku 2005 (+5,5 bodu).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 xml:space="preserve">V další části roku již důvěra nerostla, ale stále zůstávala 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převážně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mírně pozitivní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. Pokračoval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 xml:space="preserve">strmý růst 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podílu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podniků, jejichž rozvoj limitoval nedostatek pracovní síly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 (až na 50 % na počátku 4. čtvrtletí 2019). Vysoká vytíženost stavebních podniků se odrážela i v mírném růstu zaměstnanosti.</w:t>
            </w:r>
          </w:p>
        </w:tc>
      </w:tr>
      <w:tr w:rsidR="006E761A" w14:paraId="59298A09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0C91B1E0" w14:textId="77777777" w:rsidR="006E761A" w:rsidRPr="00A805C0" w:rsidRDefault="006E761A" w:rsidP="005810E1">
            <w:pPr>
              <w:pStyle w:val="Marginlie"/>
            </w:pPr>
            <w:r>
              <w:t>Tempo tržeb ve vybraných službách během roku 2019 sláblo.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C618D0E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56D3225" w14:textId="77777777" w:rsidR="006E761A" w:rsidRPr="000E298B" w:rsidRDefault="006E761A" w:rsidP="005810E1">
            <w:pPr>
              <w:spacing w:after="200"/>
              <w:rPr>
                <w:color w:val="0D0D0D" w:themeColor="text1" w:themeTint="F2"/>
                <w:spacing w:val="-7"/>
                <w:szCs w:val="20"/>
              </w:rPr>
            </w:pPr>
            <w:r>
              <w:rPr>
                <w:spacing w:val="-7"/>
              </w:rPr>
              <w:t>Dynamika tržeb</w:t>
            </w:r>
            <w:r w:rsidRPr="000E298B">
              <w:rPr>
                <w:spacing w:val="-7"/>
              </w:rPr>
              <w:t xml:space="preserve"> </w:t>
            </w:r>
            <w:r w:rsidRPr="000E298B">
              <w:rPr>
                <w:color w:val="0D0D0D" w:themeColor="text1" w:themeTint="F2"/>
                <w:spacing w:val="-7"/>
              </w:rPr>
              <w:t>ve vybraných službách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2"/>
            </w:r>
            <w:r>
              <w:rPr>
                <w:color w:val="0D0D0D" w:themeColor="text1" w:themeTint="F2"/>
                <w:spacing w:val="-7"/>
              </w:rPr>
              <w:t xml:space="preserve"> během roku 2019 slábla a ve 3. čtvrtletí se meziroční tempo snížilo na –0,9 %. Výkon služeb klesl teprve podruhé za posledních pět let. V růstu sice pokračovaly dlouhodobě dynamické informační a komunikační činnosti (+4,8 %), ty ale nedokázaly kompenzovat nepříznivý vývoj v ostatních odvětvových sekcích – především ve váhově dominantní dopravě a skladování (–2,5 %). V úhrnu za tři čtvrtletí rostly služby o rovné 1 %, ve stejném období let 2017 i 2018 se meziroční tempa pohybovala mezi 4 a 5 %.</w:t>
            </w:r>
          </w:p>
        </w:tc>
      </w:tr>
      <w:tr w:rsidR="006E761A" w14:paraId="3C7A218E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29A157E2" w14:textId="77777777" w:rsidR="006E761A" w:rsidRDefault="006E761A" w:rsidP="005810E1">
            <w:pPr>
              <w:pStyle w:val="Marginlie"/>
            </w:pPr>
            <w:r>
              <w:t>Dynamický růst informačních a komunikačních činností přetrvával.</w:t>
            </w:r>
          </w:p>
          <w:p w14:paraId="2DB5400F" w14:textId="77777777" w:rsidR="006E761A" w:rsidRDefault="006E761A" w:rsidP="005810E1">
            <w:pPr>
              <w:pStyle w:val="Marginlie"/>
            </w:pPr>
          </w:p>
          <w:p w14:paraId="1D6759D1" w14:textId="77777777" w:rsidR="006E761A" w:rsidRDefault="006E761A" w:rsidP="005810E1">
            <w:pPr>
              <w:pStyle w:val="Marginlie"/>
            </w:pPr>
          </w:p>
          <w:p w14:paraId="20ED5CA7" w14:textId="77777777" w:rsidR="006E761A" w:rsidRDefault="006E761A" w:rsidP="005810E1">
            <w:pPr>
              <w:pStyle w:val="Marginlie"/>
            </w:pPr>
          </w:p>
          <w:p w14:paraId="4D082F36" w14:textId="77777777" w:rsidR="006E761A" w:rsidRDefault="006E761A" w:rsidP="005810E1">
            <w:pPr>
              <w:pStyle w:val="Marginlie"/>
            </w:pPr>
            <w:r>
              <w:t>Tržby dopravy a skladování klesly poprvé od krizového roku 2009. Projevilo se zvolnění v průmyslu i zahraničním obchodu.</w:t>
            </w:r>
          </w:p>
          <w:p w14:paraId="4E07FB77" w14:textId="77777777" w:rsidR="006E761A" w:rsidRPr="00A805C0" w:rsidRDefault="006E761A" w:rsidP="005810E1">
            <w:pPr>
              <w:pStyle w:val="Marginlie"/>
            </w:pPr>
            <w:r>
              <w:lastRenderedPageBreak/>
              <w:t>Tržby v ubytování, stravování a pohostinství rostly již druhým rokem jen mírně. Odrážely tak výsledky příjezdového cestovního ruchu.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346DDB2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0B3CADB" w14:textId="77777777" w:rsidR="006E761A" w:rsidRPr="000E298B" w:rsidRDefault="006E761A" w:rsidP="005810E1">
            <w:pPr>
              <w:spacing w:after="200"/>
              <w:rPr>
                <w:color w:val="0D0D0D" w:themeColor="text1" w:themeTint="F2"/>
                <w:spacing w:val="-7"/>
                <w:szCs w:val="20"/>
              </w:rPr>
            </w:pPr>
            <w:r>
              <w:rPr>
                <w:color w:val="0D0D0D" w:themeColor="text1" w:themeTint="F2"/>
                <w:spacing w:val="-7"/>
                <w:szCs w:val="20"/>
              </w:rPr>
              <w:t>V sekci informační a komunikační činnosti tržby za 1. až 3. čtvrtletí meziročně posílily o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 </w:t>
            </w:r>
            <w:r>
              <w:rPr>
                <w:color w:val="0D0D0D" w:themeColor="text1" w:themeTint="F2"/>
                <w:spacing w:val="-7"/>
                <w:szCs w:val="20"/>
              </w:rPr>
              <w:t>5,4 %, především zásluhou činností</w:t>
            </w:r>
            <w:r w:rsidRPr="00AA1C9D">
              <w:rPr>
                <w:color w:val="0D0D0D" w:themeColor="text1" w:themeTint="F2"/>
                <w:spacing w:val="-7"/>
                <w:szCs w:val="20"/>
              </w:rPr>
              <w:t xml:space="preserve"> v</w:t>
            </w:r>
            <w:r>
              <w:rPr>
                <w:color w:val="0D0D0D" w:themeColor="text1" w:themeTint="F2"/>
                <w:spacing w:val="-7"/>
                <w:szCs w:val="20"/>
              </w:rPr>
              <w:t> </w:t>
            </w:r>
            <w:r w:rsidRPr="00AA1C9D">
              <w:rPr>
                <w:color w:val="0D0D0D" w:themeColor="text1" w:themeTint="F2"/>
                <w:spacing w:val="-7"/>
                <w:szCs w:val="20"/>
              </w:rPr>
              <w:t>oblasti informačních technologií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 (zahrnující programování, správu počítačového vybavení či poradenství v oblasti IT). Menší měrou ale přispěla k růstu všechna dílčí odvětví. Nejvíce se dařilo vydavatelským činnostem (+10,9 %), kde svižný růst tržeb za prodej SW kompenzoval pokles tržeb vydavatelů novin a časopisů. Vedlo </w:t>
            </w:r>
            <w:r>
              <w:rPr>
                <w:color w:val="0D0D0D" w:themeColor="text1" w:themeTint="F2"/>
                <w:spacing w:val="-7"/>
              </w:rPr>
              <w:t>se i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 </w:t>
            </w:r>
            <w:r w:rsidRPr="000E298B">
              <w:rPr>
                <w:color w:val="0D0D0D" w:themeColor="text1" w:themeTint="F2"/>
                <w:spacing w:val="-7"/>
              </w:rPr>
              <w:t>tzv. fil</w:t>
            </w:r>
            <w:r>
              <w:rPr>
                <w:color w:val="0D0D0D" w:themeColor="text1" w:themeTint="F2"/>
                <w:spacing w:val="-7"/>
              </w:rPr>
              <w:t>movému a hudebnímu průmyslu (+7,1</w:t>
            </w:r>
            <w:r w:rsidRPr="000E298B">
              <w:rPr>
                <w:color w:val="0D0D0D" w:themeColor="text1" w:themeTint="F2"/>
                <w:spacing w:val="-7"/>
              </w:rPr>
              <w:t> %)</w:t>
            </w:r>
            <w:r w:rsidRPr="000E298B">
              <w:rPr>
                <w:rStyle w:val="Znakapoznpodarou"/>
                <w:spacing w:val="-7"/>
              </w:rPr>
              <w:footnoteReference w:id="23"/>
            </w:r>
            <w:r w:rsidRPr="000E298B">
              <w:rPr>
                <w:color w:val="0D0D0D" w:themeColor="text1" w:themeTint="F2"/>
                <w:spacing w:val="-7"/>
              </w:rPr>
              <w:t xml:space="preserve">. </w:t>
            </w:r>
            <w:r>
              <w:rPr>
                <w:color w:val="0D0D0D" w:themeColor="text1" w:themeTint="F2"/>
                <w:spacing w:val="-7"/>
                <w:szCs w:val="20"/>
              </w:rPr>
              <w:t>V sekci doprava</w:t>
            </w:r>
            <w:r w:rsidRPr="00807DDE">
              <w:rPr>
                <w:color w:val="0D0D0D" w:themeColor="text1" w:themeTint="F2"/>
                <w:spacing w:val="-7"/>
                <w:szCs w:val="20"/>
              </w:rPr>
              <w:t xml:space="preserve"> a</w:t>
            </w:r>
            <w:r>
              <w:rPr>
                <w:color w:val="0D0D0D" w:themeColor="text1" w:themeTint="F2"/>
                <w:spacing w:val="-7"/>
                <w:szCs w:val="20"/>
              </w:rPr>
              <w:t> </w:t>
            </w:r>
            <w:r w:rsidRPr="00807DDE">
              <w:rPr>
                <w:color w:val="0D0D0D" w:themeColor="text1" w:themeTint="F2"/>
                <w:spacing w:val="-7"/>
                <w:szCs w:val="20"/>
              </w:rPr>
              <w:t>skladování</w:t>
            </w:r>
            <w:r>
              <w:rPr>
                <w:color w:val="0D0D0D" w:themeColor="text1" w:themeTint="F2"/>
                <w:spacing w:val="-7"/>
                <w:szCs w:val="20"/>
              </w:rPr>
              <w:t xml:space="preserve"> tržby letos klesly o 0,5 % a docílily nejslabšího tempa od krizového roku 2009. Do letošního výsledku se promítá slabší výkonnost průmyslu doprovázená klesající dynamikou obratu v zahraničním obchodu. K poklesu nejvíce přispěly nižší tržby ve skladování (i vlivem velmi vysoké loňské srovnávací základny). V klíčovém segmentu pozemní a potrubní dopravy tržby setrvaly na loňské úrovni, neboť vyšší přepravní výkony osobní dopravy (zejm. železniční) kompenzovaly </w:t>
            </w:r>
            <w:r>
              <w:rPr>
                <w:color w:val="0D0D0D" w:themeColor="text1" w:themeTint="F2"/>
                <w:spacing w:val="-7"/>
                <w:szCs w:val="20"/>
              </w:rPr>
              <w:lastRenderedPageBreak/>
              <w:t xml:space="preserve">méně příznivý vývoj nákladní dopravy. Z ostatních segmentů se dařilo poštovním a kurýrním činnostem (profitujícím z rychlého rozvoje internetového obchodu) a již druhým rokem i vodní dopravě. V sekci ubytování, stravování a pohostinství vzrostly tržby, podobně jako loni, jen mírně přes 1 %. </w:t>
            </w:r>
            <w:r>
              <w:rPr>
                <w:color w:val="0D0D0D" w:themeColor="text1" w:themeTint="F2"/>
                <w:spacing w:val="-7"/>
              </w:rPr>
              <w:t>Tempo</w:t>
            </w:r>
            <w:r w:rsidRPr="000E298B">
              <w:rPr>
                <w:color w:val="0D0D0D" w:themeColor="text1" w:themeTint="F2"/>
                <w:spacing w:val="-7"/>
              </w:rPr>
              <w:t xml:space="preserve"> tržeb odpovídal</w:t>
            </w:r>
            <w:r>
              <w:rPr>
                <w:color w:val="0D0D0D" w:themeColor="text1" w:themeTint="F2"/>
                <w:spacing w:val="-7"/>
              </w:rPr>
              <w:t>o</w:t>
            </w:r>
            <w:r w:rsidRPr="000E298B">
              <w:rPr>
                <w:color w:val="0D0D0D" w:themeColor="text1" w:themeTint="F2"/>
                <w:spacing w:val="-7"/>
              </w:rPr>
              <w:t xml:space="preserve"> vývoji počtu přenocování v hromadných ubytovacích</w:t>
            </w:r>
            <w:r>
              <w:rPr>
                <w:color w:val="0D0D0D" w:themeColor="text1" w:themeTint="F2"/>
                <w:spacing w:val="-7"/>
              </w:rPr>
              <w:t xml:space="preserve"> </w:t>
            </w:r>
            <w:r w:rsidRPr="000E298B">
              <w:rPr>
                <w:color w:val="0D0D0D" w:themeColor="text1" w:themeTint="F2"/>
                <w:spacing w:val="-7"/>
              </w:rPr>
              <w:t>zařízeních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4"/>
            </w:r>
            <w:r>
              <w:rPr>
                <w:color w:val="0D0D0D" w:themeColor="text1" w:themeTint="F2"/>
                <w:spacing w:val="-7"/>
              </w:rPr>
              <w:t xml:space="preserve">. V ostatních odvětvových sekcích letos tržby meziročně fakticky stagnovaly. Sekce </w:t>
            </w:r>
            <w:r w:rsidRPr="000E298B">
              <w:rPr>
                <w:color w:val="0D0D0D" w:themeColor="text1" w:themeTint="F2"/>
                <w:spacing w:val="-7"/>
              </w:rPr>
              <w:t>profes</w:t>
            </w:r>
            <w:r>
              <w:rPr>
                <w:color w:val="0D0D0D" w:themeColor="text1" w:themeTint="F2"/>
                <w:spacing w:val="-7"/>
              </w:rPr>
              <w:t xml:space="preserve">ní, vědecké a technické činnosti a také </w:t>
            </w:r>
            <w:r w:rsidRPr="000E298B">
              <w:rPr>
                <w:color w:val="0D0D0D" w:themeColor="text1" w:themeTint="F2"/>
                <w:spacing w:val="-7"/>
              </w:rPr>
              <w:t>adminis</w:t>
            </w:r>
            <w:r>
              <w:rPr>
                <w:color w:val="0D0D0D" w:themeColor="text1" w:themeTint="F2"/>
                <w:spacing w:val="-7"/>
              </w:rPr>
              <w:t>trativní a podpůrné činnosti přitom ve stejném období loňského roku vykazovaly solidní růst (2,9, resp. 3,9 %). Ten v rámci dílčích odvětví přetrval do letošního roku u p</w:t>
            </w:r>
            <w:r w:rsidRPr="0078270B">
              <w:rPr>
                <w:color w:val="0D0D0D" w:themeColor="text1" w:themeTint="F2"/>
                <w:spacing w:val="-7"/>
              </w:rPr>
              <w:t>rávní</w:t>
            </w:r>
            <w:r>
              <w:rPr>
                <w:color w:val="0D0D0D" w:themeColor="text1" w:themeTint="F2"/>
                <w:spacing w:val="-7"/>
              </w:rPr>
              <w:t>ch a účetnických činností, u vedení podniků a </w:t>
            </w:r>
            <w:r w:rsidRPr="00DD0AB3">
              <w:rPr>
                <w:color w:val="0D0D0D" w:themeColor="text1" w:themeTint="F2"/>
                <w:spacing w:val="-7"/>
              </w:rPr>
              <w:t>poradenství v</w:t>
            </w:r>
            <w:r>
              <w:rPr>
                <w:color w:val="0D0D0D" w:themeColor="text1" w:themeTint="F2"/>
                <w:spacing w:val="-7"/>
              </w:rPr>
              <w:t> </w:t>
            </w:r>
            <w:r w:rsidRPr="00DD0AB3">
              <w:rPr>
                <w:color w:val="0D0D0D" w:themeColor="text1" w:themeTint="F2"/>
                <w:spacing w:val="-7"/>
              </w:rPr>
              <w:t>oblasti řízení</w:t>
            </w:r>
            <w:r>
              <w:rPr>
                <w:color w:val="0D0D0D" w:themeColor="text1" w:themeTint="F2"/>
                <w:spacing w:val="-7"/>
              </w:rPr>
              <w:t xml:space="preserve">, aktivit </w:t>
            </w:r>
            <w:r w:rsidRPr="00DD0AB3">
              <w:rPr>
                <w:color w:val="0D0D0D" w:themeColor="text1" w:themeTint="F2"/>
                <w:spacing w:val="-7"/>
              </w:rPr>
              <w:t>v</w:t>
            </w:r>
            <w:r>
              <w:rPr>
                <w:color w:val="0D0D0D" w:themeColor="text1" w:themeTint="F2"/>
                <w:spacing w:val="-7"/>
              </w:rPr>
              <w:t> </w:t>
            </w:r>
            <w:r w:rsidRPr="00DD0AB3">
              <w:rPr>
                <w:color w:val="0D0D0D" w:themeColor="text1" w:themeTint="F2"/>
                <w:spacing w:val="-7"/>
              </w:rPr>
              <w:t>oblasti pronájmu a</w:t>
            </w:r>
            <w:r>
              <w:rPr>
                <w:color w:val="0D0D0D" w:themeColor="text1" w:themeTint="F2"/>
                <w:spacing w:val="-7"/>
              </w:rPr>
              <w:t> </w:t>
            </w:r>
            <w:r w:rsidRPr="00DD0AB3">
              <w:rPr>
                <w:color w:val="0D0D0D" w:themeColor="text1" w:themeTint="F2"/>
                <w:spacing w:val="-7"/>
              </w:rPr>
              <w:t>operativního leasingu</w:t>
            </w:r>
            <w:r>
              <w:rPr>
                <w:color w:val="0D0D0D" w:themeColor="text1" w:themeTint="F2"/>
                <w:spacing w:val="-7"/>
              </w:rPr>
              <w:t xml:space="preserve"> či v oblasti průzkumu trhu a veřejného mínění.</w:t>
            </w:r>
          </w:p>
        </w:tc>
      </w:tr>
      <w:tr w:rsidR="006E761A" w:rsidRPr="00FB502E" w14:paraId="11A1317D" w14:textId="77777777" w:rsidTr="006E761A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346610F0" w14:textId="77777777" w:rsidR="006E761A" w:rsidRDefault="006E761A" w:rsidP="005810E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Díky příznivé finanční situaci domácností i</w:t>
            </w:r>
            <w:r>
              <w:t> </w:t>
            </w:r>
            <w:r>
              <w:rPr>
                <w:color w:val="0D0D0D" w:themeColor="text1" w:themeTint="F2"/>
                <w:spacing w:val="-4"/>
              </w:rPr>
              <w:t>přetrvávající spotřebitelské důvěře zůstalo svižné tempo růstu maloobchodních tržeb zachováno.</w:t>
            </w:r>
          </w:p>
          <w:p w14:paraId="4AA4A48C" w14:textId="77777777" w:rsidR="006E761A" w:rsidRDefault="006E761A" w:rsidP="005810E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9497523" w14:textId="77777777" w:rsidR="006E761A" w:rsidRDefault="006E761A" w:rsidP="005810E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21F973C" w14:textId="77777777" w:rsidR="006E761A" w:rsidRDefault="006E761A" w:rsidP="005810E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0F99245" w14:textId="77777777" w:rsidR="006E761A" w:rsidRDefault="006E761A" w:rsidP="005810E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t>Tržby za prodej nepotravinářského zboží v ČR se zvyšovaly čtvrtým nejvyšším tempem mezi státy EU.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16D20C2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28E8C17" w14:textId="4C44C9D4" w:rsidR="006E761A" w:rsidRPr="00777611" w:rsidRDefault="006E761A" w:rsidP="005810E1">
            <w:pPr>
              <w:spacing w:after="200"/>
              <w:rPr>
                <w:color w:val="0D0D0D" w:themeColor="text1" w:themeTint="F2"/>
                <w:spacing w:val="-7"/>
              </w:rPr>
            </w:pPr>
            <w:r w:rsidRPr="000E298B">
              <w:rPr>
                <w:rFonts w:cs="Arial"/>
                <w:spacing w:val="-7"/>
                <w:szCs w:val="20"/>
              </w:rPr>
              <w:t>R</w:t>
            </w:r>
            <w:r>
              <w:rPr>
                <w:rFonts w:cs="Arial"/>
                <w:spacing w:val="-7"/>
                <w:szCs w:val="20"/>
              </w:rPr>
              <w:t>ekordně nízká výše nezaměstnanosti, r</w:t>
            </w:r>
            <w:r w:rsidRPr="000E298B">
              <w:rPr>
                <w:rFonts w:cs="Arial"/>
                <w:spacing w:val="-7"/>
                <w:szCs w:val="20"/>
              </w:rPr>
              <w:t>ůst kupní síly mezd i důchodů ve spojení s pozitivním (byť mírně slábnoucím) saldem spotřebitel</w:t>
            </w:r>
            <w:r>
              <w:rPr>
                <w:rFonts w:cs="Arial"/>
                <w:spacing w:val="-7"/>
                <w:szCs w:val="20"/>
              </w:rPr>
              <w:t>ské důvěry vyústily ve 3. čtvrtletí</w:t>
            </w:r>
            <w:r w:rsidRPr="000E298B">
              <w:rPr>
                <w:rFonts w:cs="Arial"/>
                <w:spacing w:val="-7"/>
                <w:szCs w:val="20"/>
              </w:rPr>
              <w:t xml:space="preserve"> v</w:t>
            </w:r>
            <w:r>
              <w:rPr>
                <w:rFonts w:cs="Arial"/>
                <w:spacing w:val="-7"/>
                <w:szCs w:val="20"/>
              </w:rPr>
              <w:t>e 4,6</w:t>
            </w:r>
            <w:r w:rsidRPr="000E298B">
              <w:rPr>
                <w:rFonts w:cs="Arial"/>
                <w:spacing w:val="-7"/>
                <w:szCs w:val="20"/>
              </w:rPr>
              <w:t>% meziroční růst maloobchodních tržeb</w:t>
            </w:r>
            <w:r w:rsidRPr="000E298B">
              <w:rPr>
                <w:rStyle w:val="Znakapoznpodarou"/>
                <w:spacing w:val="-7"/>
              </w:rPr>
              <w:footnoteReference w:id="25"/>
            </w:r>
            <w:r w:rsidRPr="000E298B">
              <w:rPr>
                <w:rFonts w:cs="Arial"/>
                <w:spacing w:val="-7"/>
                <w:szCs w:val="20"/>
              </w:rPr>
              <w:t xml:space="preserve">. </w:t>
            </w:r>
            <w:r w:rsidR="005B26B0">
              <w:rPr>
                <w:rFonts w:cs="Arial"/>
                <w:spacing w:val="-7"/>
                <w:szCs w:val="20"/>
              </w:rPr>
              <w:t>Za tři čtvrtletí činil růst 5,0</w:t>
            </w:r>
            <w:r>
              <w:rPr>
                <w:rFonts w:cs="Arial"/>
                <w:spacing w:val="-7"/>
                <w:szCs w:val="20"/>
              </w:rPr>
              <w:t xml:space="preserve"> %, na podobném tempu přitom setrvává již pátým rokem. Růst maloobchodu táhl tradičně </w:t>
            </w:r>
            <w:r w:rsidRPr="000E298B">
              <w:rPr>
                <w:color w:val="0D0D0D" w:themeColor="text1" w:themeTint="F2"/>
                <w:spacing w:val="-7"/>
              </w:rPr>
              <w:t>prodej nepotravin</w:t>
            </w:r>
            <w:r>
              <w:rPr>
                <w:color w:val="0D0D0D" w:themeColor="text1" w:themeTint="F2"/>
                <w:spacing w:val="-7"/>
              </w:rPr>
              <w:t>ářského zboží (s růstem v 1. až 3. čtvrtletí o 8,0 %)</w:t>
            </w:r>
            <w:r w:rsidRPr="000E298B">
              <w:rPr>
                <w:rStyle w:val="Znakapoznpodarou"/>
                <w:spacing w:val="-7"/>
              </w:rPr>
              <w:footnoteReference w:id="26"/>
            </w:r>
            <w:r>
              <w:rPr>
                <w:color w:val="0D0D0D" w:themeColor="text1" w:themeTint="F2"/>
                <w:spacing w:val="-7"/>
              </w:rPr>
              <w:t xml:space="preserve"> zahrnující i dynamický segment internetového a zásilkového prodeje (+18,4 %). Mezi specializovanými prodejnami se již třetím rokem dařilo nejvíce těm </w:t>
            </w:r>
            <w:r w:rsidRPr="000E298B">
              <w:rPr>
                <w:color w:val="0D0D0D" w:themeColor="text1" w:themeTint="F2"/>
                <w:spacing w:val="-7"/>
              </w:rPr>
              <w:t>s počítačovým</w:t>
            </w:r>
            <w:r>
              <w:rPr>
                <w:color w:val="0D0D0D" w:themeColor="text1" w:themeTint="F2"/>
                <w:spacing w:val="-7"/>
              </w:rPr>
              <w:t xml:space="preserve"> a komunikačním zařízením (letos +10,3 %). V těsném závěsu následovaly prodejny s výrobky pro kulturu a rekreaci (díky brzkému nástupu</w:t>
            </w:r>
            <w:r w:rsidRPr="000E298B">
              <w:rPr>
                <w:color w:val="0D0D0D" w:themeColor="text1" w:themeTint="F2"/>
                <w:spacing w:val="-7"/>
              </w:rPr>
              <w:t xml:space="preserve"> </w:t>
            </w:r>
            <w:r>
              <w:rPr>
                <w:color w:val="0D0D0D" w:themeColor="text1" w:themeTint="F2"/>
                <w:spacing w:val="-7"/>
              </w:rPr>
              <w:t xml:space="preserve">letošní </w:t>
            </w:r>
            <w:r w:rsidRPr="000E298B">
              <w:rPr>
                <w:color w:val="0D0D0D" w:themeColor="text1" w:themeTint="F2"/>
                <w:spacing w:val="-7"/>
              </w:rPr>
              <w:t>jarní sezóny</w:t>
            </w:r>
            <w:r>
              <w:rPr>
                <w:color w:val="0D0D0D" w:themeColor="text1" w:themeTint="F2"/>
                <w:spacing w:val="-7"/>
              </w:rPr>
              <w:t>). I díky slevovým akcím se vedlo i prodeji odě</w:t>
            </w:r>
            <w:r w:rsidR="005B26B0">
              <w:rPr>
                <w:color w:val="0D0D0D" w:themeColor="text1" w:themeTint="F2"/>
                <w:spacing w:val="-7"/>
              </w:rPr>
              <w:t>vů, obuvi i koženého zboží (+8,0</w:t>
            </w:r>
            <w:r>
              <w:rPr>
                <w:color w:val="0D0D0D" w:themeColor="text1" w:themeTint="F2"/>
                <w:spacing w:val="-7"/>
              </w:rPr>
              <w:t> %). Mírný pokles</w:t>
            </w:r>
            <w:r w:rsidRPr="000E298B">
              <w:rPr>
                <w:color w:val="0D0D0D" w:themeColor="text1" w:themeTint="F2"/>
                <w:spacing w:val="-7"/>
              </w:rPr>
              <w:t xml:space="preserve"> postihl jen specializované prodejny s</w:t>
            </w:r>
            <w:r>
              <w:rPr>
                <w:color w:val="0D0D0D" w:themeColor="text1" w:themeTint="F2"/>
                <w:spacing w:val="-7"/>
              </w:rPr>
              <w:t> </w:t>
            </w:r>
            <w:r w:rsidRPr="000E298B">
              <w:rPr>
                <w:color w:val="0D0D0D" w:themeColor="text1" w:themeTint="F2"/>
                <w:spacing w:val="-7"/>
              </w:rPr>
              <w:t>potravinami</w:t>
            </w:r>
            <w:r>
              <w:rPr>
                <w:color w:val="0D0D0D" w:themeColor="text1" w:themeTint="F2"/>
                <w:spacing w:val="-7"/>
              </w:rPr>
              <w:t xml:space="preserve"> (o 1,5</w:t>
            </w:r>
            <w:r w:rsidRPr="000E298B">
              <w:rPr>
                <w:color w:val="0D0D0D" w:themeColor="text1" w:themeTint="F2"/>
                <w:spacing w:val="-7"/>
              </w:rPr>
              <w:t xml:space="preserve"> %). Celkové tržby za </w:t>
            </w:r>
            <w:r>
              <w:rPr>
                <w:color w:val="0D0D0D" w:themeColor="text1" w:themeTint="F2"/>
                <w:spacing w:val="-7"/>
              </w:rPr>
              <w:t>prodej potravin ale rostly (+2,1 %), byť nejslabším tempem za posledních pět let.</w:t>
            </w:r>
            <w:r w:rsidRPr="000E298B">
              <w:rPr>
                <w:color w:val="0D0D0D" w:themeColor="text1" w:themeTint="F2"/>
                <w:spacing w:val="-7"/>
              </w:rPr>
              <w:t xml:space="preserve"> </w:t>
            </w:r>
            <w:r w:rsidR="005B26B0">
              <w:rPr>
                <w:color w:val="0D0D0D" w:themeColor="text1" w:themeTint="F2"/>
                <w:spacing w:val="-7"/>
              </w:rPr>
              <w:t>Totéž</w:t>
            </w:r>
            <w:r>
              <w:rPr>
                <w:color w:val="0D0D0D" w:themeColor="text1" w:themeTint="F2"/>
                <w:spacing w:val="-7"/>
              </w:rPr>
              <w:t xml:space="preserve"> platilo </w:t>
            </w:r>
            <w:r w:rsidR="005B26B0">
              <w:rPr>
                <w:color w:val="0D0D0D" w:themeColor="text1" w:themeTint="F2"/>
                <w:spacing w:val="-7"/>
              </w:rPr>
              <w:t>i o prodeji pohonných hmot (+2,8</w:t>
            </w:r>
            <w:r>
              <w:rPr>
                <w:color w:val="0D0D0D" w:themeColor="text1" w:themeTint="F2"/>
                <w:spacing w:val="-7"/>
              </w:rPr>
              <w:t> %). V motoristickém segmentu obchodu se tržby obdobným tempem jako loni mírně snižovaly (o 0,7 %), v samotném 3. čtvrtletí 2019 se ale meziroční pokles zastavil.</w:t>
            </w:r>
          </w:p>
        </w:tc>
      </w:tr>
      <w:tr w:rsidR="006E761A" w:rsidRPr="00A16220" w14:paraId="613D6F24" w14:textId="77777777" w:rsidTr="006E761A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6FF447CC" w14:textId="77777777" w:rsidR="006E761A" w:rsidRDefault="006E761A" w:rsidP="005810E1">
            <w:pPr>
              <w:pStyle w:val="Marginlie"/>
            </w:pPr>
            <w:bookmarkStart w:id="4" w:name="_GoBack"/>
            <w:bookmarkEnd w:id="4"/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09735094" w14:textId="77777777" w:rsidR="006E761A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7E6EDCC" w14:textId="77777777" w:rsidR="006E761A" w:rsidRPr="000E298B" w:rsidRDefault="006E761A" w:rsidP="005810E1">
            <w:pPr>
              <w:pStyle w:val="Textpoznpodarou"/>
              <w:spacing w:line="276" w:lineRule="auto"/>
              <w:rPr>
                <w:b/>
                <w:spacing w:val="-6"/>
              </w:rPr>
            </w:pPr>
            <w:r w:rsidRPr="000E298B">
              <w:rPr>
                <w:b/>
                <w:spacing w:val="-6"/>
              </w:rPr>
              <w:t>Graf č. 8</w:t>
            </w:r>
            <w:r>
              <w:rPr>
                <w:b/>
                <w:spacing w:val="-6"/>
              </w:rPr>
              <w:t xml:space="preserve"> </w:t>
            </w:r>
            <w:r w:rsidRPr="000E298B">
              <w:rPr>
                <w:b/>
                <w:spacing w:val="-6"/>
              </w:rPr>
              <w:t xml:space="preserve"> Tržby ve vybraných sekcích služeb </w:t>
            </w:r>
            <w:r w:rsidRPr="000E298B">
              <w:rPr>
                <w:bCs/>
                <w:spacing w:val="-6"/>
              </w:rPr>
              <w:t xml:space="preserve">(reálně, sezónně </w:t>
            </w:r>
            <w:r w:rsidRPr="000E298B">
              <w:rPr>
                <w:rFonts w:cs="Arial"/>
                <w:spacing w:val="-6"/>
              </w:rPr>
              <w:t xml:space="preserve">očištěno, </w:t>
            </w:r>
            <w:r w:rsidRPr="000E298B">
              <w:rPr>
                <w:spacing w:val="-6"/>
              </w:rPr>
              <w:t>úroveň roku 2015</w:t>
            </w:r>
            <w:r>
              <w:rPr>
                <w:spacing w:val="-6"/>
              </w:rPr>
              <w:t> </w:t>
            </w:r>
            <w:r w:rsidRPr="000E298B">
              <w:rPr>
                <w:spacing w:val="-6"/>
              </w:rPr>
              <w:t>=</w:t>
            </w:r>
            <w:r>
              <w:rPr>
                <w:spacing w:val="-6"/>
              </w:rPr>
              <w:t> </w:t>
            </w:r>
            <w:r w:rsidRPr="000E298B">
              <w:rPr>
                <w:spacing w:val="-6"/>
              </w:rPr>
              <w:t>100</w:t>
            </w:r>
            <w:r w:rsidRPr="000E298B">
              <w:rPr>
                <w:bCs/>
                <w:spacing w:val="-6"/>
              </w:rPr>
              <w:t>)</w:t>
            </w:r>
            <w:r w:rsidRPr="00E3100E">
              <w:rPr>
                <w:b/>
                <w:spacing w:val="-6"/>
              </w:rPr>
              <w:t xml:space="preserve"> </w:t>
            </w:r>
            <w:r w:rsidRPr="000E298B">
              <w:rPr>
                <w:b/>
                <w:spacing w:val="-6"/>
              </w:rPr>
              <w:t xml:space="preserve">a saldo indikátoru důvěry ve vybraných službách* </w:t>
            </w:r>
            <w:r w:rsidRPr="000E298B">
              <w:rPr>
                <w:spacing w:val="-6"/>
              </w:rPr>
              <w:t>(v bodech)</w:t>
            </w:r>
          </w:p>
        </w:tc>
      </w:tr>
      <w:tr w:rsidR="006E761A" w:rsidRPr="00535F78" w14:paraId="1B16CDB6" w14:textId="77777777" w:rsidTr="006E761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0CDDB596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308BF87C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04C88158" w14:textId="77777777" w:rsidR="006E761A" w:rsidRPr="000E298B" w:rsidRDefault="006E761A" w:rsidP="005810E1">
            <w:pPr>
              <w:spacing w:after="0"/>
              <w:rPr>
                <w:rFonts w:cs="Arial"/>
                <w:spacing w:val="-6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852CA59" wp14:editId="63D16482">
                  <wp:extent cx="4724400" cy="3495675"/>
                  <wp:effectExtent l="0" t="0" r="0" b="0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E761A" w:rsidRPr="00535F78" w14:paraId="71CA3227" w14:textId="77777777" w:rsidTr="006E761A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54DE7032" w14:textId="77777777" w:rsidR="006E761A" w:rsidRPr="009110F7" w:rsidRDefault="006E761A" w:rsidP="005810E1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74830707" w14:textId="77777777" w:rsidR="006E761A" w:rsidRPr="009110F7" w:rsidRDefault="006E761A" w:rsidP="005810E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1B181B7" w14:textId="77777777" w:rsidR="006E761A" w:rsidRPr="000E298B" w:rsidRDefault="006E761A" w:rsidP="005810E1">
            <w:pPr>
              <w:spacing w:after="0"/>
              <w:rPr>
                <w:rFonts w:cs="Arial"/>
                <w:spacing w:val="-6"/>
                <w:sz w:val="14"/>
                <w:szCs w:val="14"/>
              </w:rPr>
            </w:pPr>
            <w:r w:rsidRPr="000E298B">
              <w:rPr>
                <w:rFonts w:cs="Arial"/>
                <w:spacing w:val="-6"/>
                <w:sz w:val="14"/>
                <w:szCs w:val="14"/>
              </w:rPr>
              <w:t xml:space="preserve">*Údaje jsou sezónně očištěny, zahrnuje i finanční sektor.                                                                               </w:t>
            </w:r>
            <w:r>
              <w:rPr>
                <w:rFonts w:cs="Arial"/>
                <w:spacing w:val="-6"/>
                <w:sz w:val="14"/>
                <w:szCs w:val="14"/>
              </w:rPr>
              <w:t xml:space="preserve">                    </w:t>
            </w:r>
            <w:r w:rsidRPr="000E298B">
              <w:rPr>
                <w:rFonts w:cs="Arial"/>
                <w:spacing w:val="-6"/>
                <w:sz w:val="14"/>
                <w:szCs w:val="14"/>
              </w:rPr>
              <w:t xml:space="preserve">  Zdroj: ČSÚ</w:t>
            </w:r>
          </w:p>
        </w:tc>
      </w:tr>
      <w:bookmarkEnd w:id="0"/>
    </w:tbl>
    <w:p w14:paraId="1C649B4E" w14:textId="77777777" w:rsidR="00AA4790" w:rsidRPr="009110F7" w:rsidRDefault="00AA4790" w:rsidP="00AA4790">
      <w:pPr>
        <w:pStyle w:val="Nadpis11"/>
        <w:rPr>
          <w:sz w:val="2"/>
          <w:szCs w:val="2"/>
        </w:rPr>
      </w:pPr>
    </w:p>
    <w:bookmarkEnd w:id="1"/>
    <w:p w14:paraId="63ECF9C9" w14:textId="0D85A1DD"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0D072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A2D8F" w16cid:durableId="2195E0BF"/>
  <w16cid:commentId w16cid:paraId="3523D2E1" w16cid:durableId="2195E582"/>
  <w16cid:commentId w16cid:paraId="4A463A0C" w16cid:durableId="2195EAA7"/>
  <w16cid:commentId w16cid:paraId="7AE114DF" w16cid:durableId="2197F4F7"/>
  <w16cid:commentId w16cid:paraId="193E8431" w16cid:durableId="2196655C"/>
  <w16cid:commentId w16cid:paraId="5C5C0950" w16cid:durableId="21988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9267" w14:textId="77777777" w:rsidR="007042E2" w:rsidRDefault="007042E2" w:rsidP="00E71A58">
      <w:r>
        <w:separator/>
      </w:r>
    </w:p>
  </w:endnote>
  <w:endnote w:type="continuationSeparator" w:id="0">
    <w:p w14:paraId="0DAF50A4" w14:textId="77777777" w:rsidR="007042E2" w:rsidRDefault="007042E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1EE4F7D" w:rsidR="005810E1" w:rsidRPr="00932443" w:rsidRDefault="005810E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D0720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 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3850294B" w:rsidR="005810E1" w:rsidRPr="00932443" w:rsidRDefault="005810E1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až 3. 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D0720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018B" w14:textId="77777777" w:rsidR="007042E2" w:rsidRDefault="007042E2" w:rsidP="00A21B4D">
      <w:pPr>
        <w:spacing w:after="0"/>
      </w:pPr>
      <w:r>
        <w:separator/>
      </w:r>
    </w:p>
  </w:footnote>
  <w:footnote w:type="continuationSeparator" w:id="0">
    <w:p w14:paraId="64E293BA" w14:textId="77777777" w:rsidR="007042E2" w:rsidRDefault="007042E2" w:rsidP="00E71A58">
      <w:r>
        <w:continuationSeparator/>
      </w:r>
    </w:p>
  </w:footnote>
  <w:footnote w:id="1">
    <w:p w14:paraId="1A9C1151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7050FF54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Výjimkou byla odvětví s převahou veřejného sektoru (–0,2 %, mezikvartálně) a seskupení těžebního průmyslu a energetiky (–2,5 %).</w:t>
      </w:r>
    </w:p>
  </w:footnote>
  <w:footnote w:id="3">
    <w:p w14:paraId="6E602E7A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Jednalo se zejména o </w:t>
      </w:r>
      <w:r w:rsidRPr="00DF1F46">
        <w:rPr>
          <w:rFonts w:cs="Arial"/>
          <w:color w:val="0D0D0D" w:themeColor="text1" w:themeTint="F2"/>
          <w:spacing w:val="-2"/>
          <w:sz w:val="16"/>
          <w:szCs w:val="16"/>
        </w:rPr>
        <w:t>citelné zpomalení hospodářského růstu v klíčových exportních teritoriích, dále posilované narůstajícími regulačními opatřeními v mezinárodním obchodu i přetrvávající nejistotou ohledně budoucího uspořádání vztahů mezi Velkou Británií a EU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.</w:t>
      </w:r>
    </w:p>
  </w:footnote>
  <w:footnote w:id="4">
    <w:p w14:paraId="7AE3ECFC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Růst celkové hrubé přidané 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>hodnoty v těchto uskupeních výrazně zpomaloval již v průběhu celého loňského roku. V jeho poslední čtvrtině dosahoval v zemích eurozóny slabých 1,2 %, v samotném Německu dokonce jen 0,5 %. Ve 3. čtvrtletí 2019 klesla obdobná tempa na 1,1 %, resp. 0,3 %, horší výsledky se naposledy projevily v roce 2013.</w:t>
      </w:r>
    </w:p>
  </w:footnote>
  <w:footnote w:id="5">
    <w:p w14:paraId="15078AB1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I tak ale HPH ve stavebnictví za </w:t>
      </w:r>
      <w:r w:rsidRPr="00CE302C">
        <w:rPr>
          <w:rFonts w:cs="Arial"/>
          <w:color w:val="0D0D0D" w:themeColor="text1" w:themeTint="F2"/>
          <w:spacing w:val="-2"/>
          <w:sz w:val="16"/>
          <w:szCs w:val="16"/>
        </w:rPr>
        <w:t>úrovní svého konjunkturního vrcholu z minulé dekády nadále mírně zaostávala (o 3 %).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Naopak zpracovatelský průmysl se ve 3. čtvrtletí 2019 nacházel téměř o třetinu nad touto úrovní, celá ekonomika pak bezmála o pětinu.</w:t>
      </w:r>
    </w:p>
  </w:footnote>
  <w:footnote w:id="6">
    <w:p w14:paraId="5D60679D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Celková sklizeň (dle odhadu z poloviny října) dosáhla v roce 2019 u obilovin 7,64 mil. tun a meziročně vzrostla o desetinu. Méně příznivá situace byla u technických plodin, jimž neprospělo dlouhé suché období v první polovině jara ani rekordně vysoké červnové teploty. Sklizeň řepky klesla meziročně o šestinu a dosáhla sedmiletého minima. Meziročně mírně vyšší (+3 %), ale citelně pod dlouhodobým průměrem byla letos sklizeň brambor. Spíše k průměru se po velmi dobré úrodě z roku 2018 letos posunula situace v ovocnářství či vinařství.</w:t>
      </w:r>
    </w:p>
  </w:footnote>
  <w:footnote w:id="7">
    <w:p w14:paraId="5673DE88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těžby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zpracovatelského průmyslu a také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energetiky (zde pojímané jako odvětví výroby a rozvodu elektřiny, plynu, tepla a klimatizovaného vzduchu).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Všechna meziroční tempa produkce (na úrovni odvětvových sekcí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sou očištěna o kalendářní vlivy, 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8">
    <w:p w14:paraId="362CE1D8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 xml:space="preserve">Ve 4. čtvrtletí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2018 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mezikvartálně klesl o 0,1 % a v následujícím období se dá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le jeho pokles prohloubil na 1,1 %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.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 xml:space="preserve">Průmysl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v Česku 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tak zaznamenal nejslabší výsledek od konce roku 2012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.</w:t>
      </w:r>
    </w:p>
  </w:footnote>
  <w:footnote w:id="9">
    <w:p w14:paraId="72E0FE85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Zde se index průmyslové produkce v mezičtvrtletním vyjádření zastavil již na počátku roku 2018 a neožil ani v jeho průběhu. Naopak ve 4. čtvrtletí se pokles výkonu průmyslu eurozóny prohloubil (na 1,2 %) a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 xml:space="preserve">poprvé od konce recese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se snížil i meziročně (o 1,9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%). Snížení výkonu v tomto období nastalo současně 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ve všech pěti největších ekonomikách EU (meziročně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mezičtvrtletně).</w:t>
      </w:r>
    </w:p>
  </w:footnote>
  <w:footnote w:id="10">
    <w:p w14:paraId="3C913977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Mezikvartální pokles průmyslové produkce Německa, započatý ve druhé polovině loňského roku, trval již páté čtvrtletí v řadě. Za toto období se výkon průmyslu </w:t>
      </w:r>
      <w:r w:rsidRPr="00BF2EA4">
        <w:rPr>
          <w:rFonts w:cs="Arial"/>
          <w:color w:val="0D0D0D" w:themeColor="text1" w:themeTint="F2"/>
          <w:spacing w:val="-2"/>
          <w:sz w:val="16"/>
          <w:szCs w:val="16"/>
        </w:rPr>
        <w:t>snížil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BF2EA4">
        <w:rPr>
          <w:rFonts w:cs="Arial"/>
          <w:color w:val="0D0D0D" w:themeColor="text1" w:themeTint="F2"/>
          <w:spacing w:val="-2"/>
          <w:sz w:val="16"/>
          <w:szCs w:val="16"/>
        </w:rPr>
        <w:t>6,4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BF2EA4">
        <w:rPr>
          <w:rFonts w:cs="Arial"/>
          <w:color w:val="0D0D0D" w:themeColor="text1" w:themeTint="F2"/>
          <w:spacing w:val="-2"/>
          <w:sz w:val="16"/>
          <w:szCs w:val="16"/>
        </w:rPr>
        <w:t>. Ve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3. čtvrtletí 2019 klesla průmyslová produkce meziročně ve více než polovině států EU (v celé Unii o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1,4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%). Mírný růst si udržovaly zejména novější členské státy ze střední a východní Evropy (v prvé řadě Maďarsko).</w:t>
      </w:r>
    </w:p>
  </w:footnote>
  <w:footnote w:id="11">
    <w:p w14:paraId="2A565B88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Dle národního pojetí zahraničního obchodu mířilo v </w:t>
      </w:r>
      <w:r w:rsidRPr="00205ED6">
        <w:rPr>
          <w:rFonts w:cs="Arial"/>
          <w:color w:val="0D0D0D" w:themeColor="text1" w:themeTint="F2"/>
          <w:sz w:val="16"/>
          <w:szCs w:val="16"/>
        </w:rPr>
        <w:t>1</w:t>
      </w:r>
      <w:r>
        <w:rPr>
          <w:rFonts w:cs="Arial"/>
          <w:color w:val="0D0D0D" w:themeColor="text1" w:themeTint="F2"/>
          <w:sz w:val="16"/>
          <w:szCs w:val="16"/>
        </w:rPr>
        <w:t>. </w:t>
      </w:r>
      <w:r w:rsidRPr="00205ED6">
        <w:rPr>
          <w:rFonts w:cs="Arial"/>
          <w:color w:val="0D0D0D" w:themeColor="text1" w:themeTint="F2"/>
          <w:sz w:val="16"/>
          <w:szCs w:val="16"/>
        </w:rPr>
        <w:t>až 3</w:t>
      </w:r>
      <w:r>
        <w:rPr>
          <w:rFonts w:cs="Arial"/>
          <w:color w:val="0D0D0D" w:themeColor="text1" w:themeTint="F2"/>
          <w:sz w:val="16"/>
          <w:szCs w:val="16"/>
        </w:rPr>
        <w:t>. čtvrtlet</w:t>
      </w:r>
      <w:r w:rsidRPr="00205ED6">
        <w:rPr>
          <w:rFonts w:cs="Arial"/>
          <w:color w:val="0D0D0D" w:themeColor="text1" w:themeTint="F2"/>
          <w:sz w:val="16"/>
          <w:szCs w:val="16"/>
        </w:rPr>
        <w:t xml:space="preserve">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do Německa 31,3 % celého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 xml:space="preserve"> zbožového exportu (v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>němž v drtivé většině figurují výrobky průmyslo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vé povahy), do zemí eurozóny v úhrnu dokonce 65,3 %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>.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Oba podíly zůstávají v současné dekádě poměrně stabilní.</w:t>
      </w:r>
    </w:p>
  </w:footnote>
  <w:footnote w:id="12">
    <w:p w14:paraId="4E0226F4" w14:textId="77777777" w:rsidR="005810E1" w:rsidRPr="00A608B0" w:rsidRDefault="005810E1" w:rsidP="006E761A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Dle </w:t>
      </w:r>
      <w:r w:rsidRPr="009479CD">
        <w:rPr>
          <w:rFonts w:cs="Arial"/>
          <w:color w:val="0D0D0D" w:themeColor="text1" w:themeTint="F2"/>
          <w:sz w:val="16"/>
          <w:szCs w:val="16"/>
        </w:rPr>
        <w:t xml:space="preserve">údajů Sdružení automobilového průmyslu </w:t>
      </w:r>
      <w:r w:rsidRPr="00205ED6">
        <w:rPr>
          <w:rFonts w:cs="Arial"/>
          <w:color w:val="0D0D0D" w:themeColor="text1" w:themeTint="F2"/>
          <w:sz w:val="16"/>
          <w:szCs w:val="16"/>
        </w:rPr>
        <w:t>bylo v 1</w:t>
      </w:r>
      <w:r>
        <w:rPr>
          <w:rFonts w:cs="Arial"/>
          <w:color w:val="0D0D0D" w:themeColor="text1" w:themeTint="F2"/>
          <w:sz w:val="16"/>
          <w:szCs w:val="16"/>
        </w:rPr>
        <w:t>. </w:t>
      </w:r>
      <w:r w:rsidRPr="00205ED6">
        <w:rPr>
          <w:rFonts w:cs="Arial"/>
          <w:color w:val="0D0D0D" w:themeColor="text1" w:themeTint="F2"/>
          <w:sz w:val="16"/>
          <w:szCs w:val="16"/>
        </w:rPr>
        <w:t>až 3</w:t>
      </w:r>
      <w:r>
        <w:rPr>
          <w:rFonts w:cs="Arial"/>
          <w:color w:val="0D0D0D" w:themeColor="text1" w:themeTint="F2"/>
          <w:sz w:val="16"/>
          <w:szCs w:val="16"/>
        </w:rPr>
        <w:t>. čtvrtlet</w:t>
      </w:r>
      <w:r w:rsidRPr="00205ED6">
        <w:rPr>
          <w:rFonts w:cs="Arial"/>
          <w:color w:val="0D0D0D" w:themeColor="text1" w:themeTint="F2"/>
          <w:sz w:val="16"/>
          <w:szCs w:val="16"/>
        </w:rPr>
        <w:t>í 2019 v ČR vyrobeno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1,072 mil. motorových vozidel, a loňský rekordní počet se tak navýšil o 0,7 % (podobné růstové tempo bylo dosaženo i loni). Mírný pokles počtu prodaných vozů v tuzemsku byl kompenzován vyšším exportem.</w:t>
      </w:r>
    </w:p>
  </w:footnote>
  <w:footnote w:id="13">
    <w:p w14:paraId="439D4179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Ve srovnání s 1. až 3. čtvrtletím 2018 zde produkce vzrostla o bezmála pětinu, za posledních sedm let téměř o dvě třetiny.</w:t>
      </w:r>
    </w:p>
  </w:footnote>
  <w:footnote w:id="14">
    <w:p w14:paraId="02E588D7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zakázek probíhá pouze ve vybraných oddílech CZ</w:t>
      </w:r>
      <w:r w:rsidRPr="007A20EB">
        <w:rPr>
          <w:rFonts w:cs="Arial"/>
          <w:color w:val="0D0D0D" w:themeColor="text1" w:themeTint="F2"/>
          <w:sz w:val="16"/>
          <w:szCs w:val="16"/>
        </w:rPr>
        <w:noBreakHyphen/>
        <w:t>NACE (13, 14, 17, 20, 21, 24, 25, 26, 27, 28, 29, 30), které vyrábějí převážně na zakázku, s dlouhodobějším výrobním cyklem a s většími zásobami zakázek.</w:t>
      </w:r>
    </w:p>
  </w:footnote>
  <w:footnote w:id="15">
    <w:p w14:paraId="3ABF5754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A431AE">
        <w:rPr>
          <w:spacing w:val="-2"/>
          <w:sz w:val="16"/>
          <w:szCs w:val="16"/>
        </w:rPr>
        <w:t>Horší vyhlídky naznačoval říjen 2019, kdy nové zakázky meziročně klesly o</w:t>
      </w:r>
      <w:r>
        <w:rPr>
          <w:spacing w:val="-2"/>
          <w:sz w:val="16"/>
          <w:szCs w:val="16"/>
        </w:rPr>
        <w:t> </w:t>
      </w:r>
      <w:r w:rsidRPr="00A431AE">
        <w:rPr>
          <w:spacing w:val="-2"/>
          <w:sz w:val="16"/>
          <w:szCs w:val="16"/>
        </w:rPr>
        <w:t>5</w:t>
      </w:r>
      <w:r>
        <w:rPr>
          <w:spacing w:val="-2"/>
          <w:sz w:val="16"/>
          <w:szCs w:val="16"/>
        </w:rPr>
        <w:t> %</w:t>
      </w:r>
      <w:r w:rsidRPr="00A431AE">
        <w:rPr>
          <w:spacing w:val="-2"/>
          <w:sz w:val="16"/>
          <w:szCs w:val="16"/>
        </w:rPr>
        <w:t>, výhradně vlive</w:t>
      </w:r>
      <w:r>
        <w:rPr>
          <w:spacing w:val="-2"/>
          <w:sz w:val="16"/>
          <w:szCs w:val="16"/>
        </w:rPr>
        <w:t xml:space="preserve">m snížení poptávky ze zahraničí </w:t>
      </w:r>
      <w:r w:rsidRPr="00A431AE">
        <w:rPr>
          <w:spacing w:val="-2"/>
          <w:sz w:val="16"/>
          <w:szCs w:val="16"/>
        </w:rPr>
        <w:t>(</w:t>
      </w:r>
      <w:r w:rsidRPr="00A431AE"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 w:rsidRPr="00A431AE">
        <w:rPr>
          <w:spacing w:val="-2"/>
          <w:sz w:val="16"/>
          <w:szCs w:val="16"/>
        </w:rPr>
        <w:t>7</w:t>
      </w:r>
      <w:r>
        <w:rPr>
          <w:spacing w:val="-2"/>
          <w:sz w:val="16"/>
          <w:szCs w:val="16"/>
        </w:rPr>
        <w:t> %).</w:t>
      </w:r>
    </w:p>
  </w:footnote>
  <w:footnote w:id="16">
    <w:p w14:paraId="59860656" w14:textId="77777777" w:rsidR="005810E1" w:rsidRPr="00FB58F4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 pravidelných konjunkturálních šetření vyplynulo, že v listopadu 2019 očekávaly podniky ve zpracovatelském průmyslu nepatrný meziroční pokles investic pro rok 2020 (</w:t>
      </w:r>
      <w:r w:rsidRPr="00A431AE"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1 %). V </w:t>
      </w:r>
      <w:r w:rsidRPr="00692A1D">
        <w:rPr>
          <w:rFonts w:cs="Arial"/>
          <w:color w:val="0D0D0D" w:themeColor="text1" w:themeTint="F2"/>
          <w:spacing w:val="-2"/>
          <w:sz w:val="16"/>
          <w:szCs w:val="16"/>
        </w:rPr>
        <w:t>obdobném šetření z listopadu 2018 byl růst investic v roce 2019 očekáván ve výši 5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692A1D">
        <w:rPr>
          <w:rFonts w:cs="Arial"/>
          <w:color w:val="0D0D0D" w:themeColor="text1" w:themeTint="F2"/>
          <w:spacing w:val="-2"/>
          <w:sz w:val="16"/>
          <w:szCs w:val="16"/>
        </w:rPr>
        <w:t xml:space="preserve"> (následně byl korigován v dubnu 2019 na 12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692A1D">
        <w:rPr>
          <w:rFonts w:cs="Arial"/>
          <w:color w:val="0D0D0D" w:themeColor="text1" w:themeTint="F2"/>
          <w:spacing w:val="-2"/>
          <w:sz w:val="16"/>
          <w:szCs w:val="16"/>
        </w:rPr>
        <w:t>)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.</w:t>
      </w:r>
    </w:p>
  </w:footnote>
  <w:footnote w:id="17">
    <w:p w14:paraId="05ADF367" w14:textId="77777777" w:rsidR="005810E1" w:rsidRPr="00D85B50" w:rsidRDefault="005810E1" w:rsidP="006E761A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stavební produkci jsou očištěny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kalendářní vlivy, mezičtvrtletní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18">
    <w:p w14:paraId="7D5F67F1" w14:textId="77777777" w:rsidR="005810E1" w:rsidRPr="00D85B50" w:rsidRDefault="005810E1" w:rsidP="006E761A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 celé EU posilovala stavební produkce v 1. až 3. čtvrtletí meziročně o 3,0 % (o rok dříve o 2,0 %). Nejdynamičtěji rostlo letos stavebnictví v Maďarsku a Rumunsku (shodně o 28 %), mírnějšími tempy posilovalo i ve většině novějších členských států (vyjma Slovenska). V některých státech pomohl svižný růst stavebnictví zčásti kompenzovat pokles produkce v průmyslu (Německo, Itálie, Nizozemsko, Portugalsko).</w:t>
      </w:r>
    </w:p>
  </w:footnote>
  <w:footnote w:id="19">
    <w:p w14:paraId="50238B3A" w14:textId="77777777" w:rsidR="005810E1" w:rsidRPr="00D85B50" w:rsidRDefault="005810E1" w:rsidP="006E761A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Projevila se vysoká základna loňského roku i krátkodobý meziroční pokles zakázek (ve 2. čtvrtletí 2019). Samotné 3. čtvrtletí bylo také specifické vyšším počtem pracovních dní (meziročně o tři), bez zohlednění tohoto vlivu by mírný růst stavební produkce pokračoval (+1,3 %).</w:t>
      </w:r>
    </w:p>
  </w:footnote>
  <w:footnote w:id="20">
    <w:p w14:paraId="7EA10184" w14:textId="687D41EE" w:rsidR="005810E1" w:rsidRPr="00DE063B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Počet zahájených bytů v Praze činil za tři čtvrtletí 4,9 tis. Podobné četnosti zde bylo za srovnatelné období dosaženo naposledy v roce 2009. Dosavadní letošní počet těchto bytů v metropoli se nacházel již jen desetinu pod úrovní konjunkturního období 2006 až 2008. Navzdory pozitivnímu posunu v nabíd</w:t>
      </w:r>
      <w:r w:rsidR="008B3AEC">
        <w:rPr>
          <w:rFonts w:cs="Arial"/>
          <w:color w:val="0D0D0D" w:themeColor="text1" w:themeTint="F2"/>
          <w:spacing w:val="-3"/>
          <w:sz w:val="16"/>
          <w:szCs w:val="16"/>
        </w:rPr>
        <w:t>ce bytů jejich četnost za přírůstkem</w:t>
      </w:r>
      <w:r w:rsidRPr="000E298B">
        <w:rPr>
          <w:color w:val="0D0D0D" w:themeColor="text1" w:themeTint="F2"/>
          <w:spacing w:val="-7"/>
        </w:rPr>
        <w:t xml:space="preserve"> </w:t>
      </w:r>
      <w:r w:rsidRPr="00330FD6">
        <w:rPr>
          <w:rFonts w:cs="Arial"/>
          <w:color w:val="0D0D0D" w:themeColor="text1" w:themeTint="F2"/>
          <w:spacing w:val="-3"/>
          <w:sz w:val="16"/>
          <w:szCs w:val="16"/>
        </w:rPr>
        <w:t>počtu obyvatel i pracovních příležitostí v Praze nadále zaostával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a</w:t>
      </w:r>
      <w:r w:rsidRPr="00330FD6">
        <w:rPr>
          <w:rFonts w:cs="Arial"/>
          <w:color w:val="0D0D0D" w:themeColor="text1" w:themeTint="F2"/>
          <w:spacing w:val="-3"/>
          <w:sz w:val="16"/>
          <w:szCs w:val="16"/>
        </w:rPr>
        <w:t>.</w:t>
      </w:r>
    </w:p>
  </w:footnote>
  <w:footnote w:id="21">
    <w:p w14:paraId="01C40FCE" w14:textId="77777777" w:rsidR="005810E1" w:rsidRPr="00DE063B" w:rsidRDefault="005810E1" w:rsidP="006E761A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Vzrostla i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průměrná orientační hodnota připadající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na jedno stavební povolení (v 1. až 3. čtvrtletí 2019 činila 4,6 mil.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korun,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rok dříve 4,3 mil.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). Nejrychleji meziročně rostla u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nové výstavby (bytových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nebytových budov). Celková hodnota stavebních povolení posílila meziročně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16 %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.</w:t>
      </w:r>
    </w:p>
  </w:footnote>
  <w:footnote w:id="22">
    <w:p w14:paraId="599F0636" w14:textId="77777777" w:rsidR="005810E1" w:rsidRPr="00DE38E6" w:rsidRDefault="005810E1" w:rsidP="006E761A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3">
    <w:p w14:paraId="44BE1E2F" w14:textId="4F300A13" w:rsidR="005810E1" w:rsidRPr="00D85B50" w:rsidRDefault="005810E1" w:rsidP="006E761A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Dařilo se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i samotnému </w:t>
      </w:r>
      <w:r>
        <w:rPr>
          <w:sz w:val="16"/>
          <w:szCs w:val="16"/>
        </w:rPr>
        <w:t>segmentu filmové distribuce. Dle údajů Unie filmových distributorů vzrostly v 1. až 3. čtvrtletí 2019 tržby ze vstupného v kinech v ČR meziročně o 22 % a počet návštěvníků dosáhl 13,1</w:t>
      </w:r>
      <w:r w:rsidRPr="00E577B6">
        <w:rPr>
          <w:sz w:val="16"/>
          <w:szCs w:val="16"/>
        </w:rPr>
        <w:t xml:space="preserve"> mil. </w:t>
      </w:r>
      <w:r>
        <w:rPr>
          <w:color w:val="0D0D0D" w:themeColor="text1" w:themeTint="F2"/>
          <w:spacing w:val="-4"/>
          <w:sz w:val="16"/>
          <w:szCs w:val="16"/>
        </w:rPr>
        <w:t>– </w:t>
      </w:r>
      <w:r w:rsidRPr="00E577B6">
        <w:rPr>
          <w:sz w:val="16"/>
          <w:szCs w:val="16"/>
        </w:rPr>
        <w:t>nejvyšší</w:t>
      </w:r>
      <w:r>
        <w:rPr>
          <w:sz w:val="16"/>
          <w:szCs w:val="16"/>
        </w:rPr>
        <w:t xml:space="preserve"> hodnoty v rámci srovnatelného období po roce 1993.</w:t>
      </w:r>
    </w:p>
  </w:footnote>
  <w:footnote w:id="24">
    <w:p w14:paraId="4C98D660" w14:textId="77777777" w:rsidR="005810E1" w:rsidRPr="005C04EC" w:rsidRDefault="005810E1" w:rsidP="006E761A">
      <w:pPr>
        <w:spacing w:after="0" w:line="240" w:lineRule="auto"/>
        <w:rPr>
          <w:spacing w:val="-3"/>
        </w:rPr>
      </w:pPr>
      <w:r w:rsidRPr="005C04EC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>
        <w:rPr>
          <w:color w:val="0D0D0D" w:themeColor="text1" w:themeTint="F2"/>
          <w:spacing w:val="-3"/>
          <w:sz w:val="16"/>
          <w:szCs w:val="16"/>
        </w:rPr>
        <w:t xml:space="preserve"> </w:t>
      </w:r>
      <w:r w:rsidRPr="005C04EC">
        <w:rPr>
          <w:color w:val="0D0D0D" w:themeColor="text1" w:themeTint="F2"/>
          <w:spacing w:val="-3"/>
          <w:sz w:val="16"/>
          <w:szCs w:val="16"/>
        </w:rPr>
        <w:t>Ten vzrostl v 1</w:t>
      </w:r>
      <w:r>
        <w:rPr>
          <w:color w:val="0D0D0D" w:themeColor="text1" w:themeTint="F2"/>
          <w:spacing w:val="-3"/>
          <w:sz w:val="16"/>
          <w:szCs w:val="16"/>
        </w:rPr>
        <w:t>. až 3. čtvrtletí</w:t>
      </w:r>
      <w:r w:rsidRPr="005C04EC">
        <w:rPr>
          <w:color w:val="0D0D0D" w:themeColor="text1" w:themeTint="F2"/>
          <w:spacing w:val="-3"/>
          <w:sz w:val="16"/>
          <w:szCs w:val="16"/>
        </w:rPr>
        <w:t xml:space="preserve"> 2019 meziročně o</w:t>
      </w:r>
      <w:r>
        <w:rPr>
          <w:color w:val="0D0D0D" w:themeColor="text1" w:themeTint="F2"/>
          <w:spacing w:val="-3"/>
          <w:sz w:val="16"/>
          <w:szCs w:val="16"/>
        </w:rPr>
        <w:t> 2,2 %, z větší</w:t>
      </w:r>
      <w:r w:rsidRPr="005C04EC">
        <w:rPr>
          <w:color w:val="0D0D0D" w:themeColor="text1" w:themeTint="F2"/>
          <w:spacing w:val="-3"/>
          <w:sz w:val="16"/>
          <w:szCs w:val="16"/>
        </w:rPr>
        <w:t xml:space="preserve"> čás</w:t>
      </w:r>
      <w:r>
        <w:rPr>
          <w:color w:val="0D0D0D" w:themeColor="text1" w:themeTint="F2"/>
          <w:spacing w:val="-3"/>
          <w:sz w:val="16"/>
          <w:szCs w:val="16"/>
        </w:rPr>
        <w:t>ti zásluhou hostů z tuzemska (+3</w:t>
      </w:r>
      <w:r w:rsidRPr="005C04EC">
        <w:rPr>
          <w:color w:val="0D0D0D" w:themeColor="text1" w:themeTint="F2"/>
          <w:spacing w:val="-3"/>
          <w:sz w:val="16"/>
          <w:szCs w:val="16"/>
        </w:rPr>
        <w:t>,0</w:t>
      </w:r>
      <w:r>
        <w:rPr>
          <w:color w:val="0D0D0D" w:themeColor="text1" w:themeTint="F2"/>
          <w:spacing w:val="-3"/>
          <w:sz w:val="16"/>
          <w:szCs w:val="16"/>
        </w:rPr>
        <w:t> %</w:t>
      </w:r>
      <w:r w:rsidRPr="005C04EC">
        <w:rPr>
          <w:color w:val="0D0D0D" w:themeColor="text1" w:themeTint="F2"/>
          <w:spacing w:val="-3"/>
          <w:sz w:val="16"/>
          <w:szCs w:val="16"/>
        </w:rPr>
        <w:t xml:space="preserve">). K mírnému růstu </w:t>
      </w:r>
      <w:r>
        <w:rPr>
          <w:color w:val="0D0D0D" w:themeColor="text1" w:themeTint="F2"/>
          <w:spacing w:val="-3"/>
          <w:sz w:val="16"/>
          <w:szCs w:val="16"/>
        </w:rPr>
        <w:t xml:space="preserve">počtu </w:t>
      </w:r>
      <w:r w:rsidRPr="005C04EC">
        <w:rPr>
          <w:color w:val="0D0D0D" w:themeColor="text1" w:themeTint="F2"/>
          <w:spacing w:val="-3"/>
          <w:sz w:val="16"/>
          <w:szCs w:val="16"/>
        </w:rPr>
        <w:t>přenocování nerezidentů přispěli nejvíce hosté z</w:t>
      </w:r>
      <w:r>
        <w:rPr>
          <w:color w:val="0D0D0D" w:themeColor="text1" w:themeTint="F2"/>
          <w:spacing w:val="-3"/>
          <w:sz w:val="16"/>
          <w:szCs w:val="16"/>
        </w:rPr>
        <w:t> Německa, Polska, Ukrajiny, Francie, Slovenska a USA. Opačně působila zejména slabší poptávka klientely z Ruska (hosté: +1,7 %, přenocování: –4,9 %</w:t>
      </w:r>
      <w:r w:rsidRPr="005C04EC">
        <w:rPr>
          <w:color w:val="0D0D0D" w:themeColor="text1" w:themeTint="F2"/>
          <w:spacing w:val="-3"/>
          <w:sz w:val="16"/>
          <w:szCs w:val="16"/>
        </w:rPr>
        <w:t>)</w:t>
      </w:r>
      <w:r>
        <w:rPr>
          <w:color w:val="0D0D0D" w:themeColor="text1" w:themeTint="F2"/>
          <w:spacing w:val="-3"/>
          <w:sz w:val="16"/>
          <w:szCs w:val="16"/>
        </w:rPr>
        <w:t xml:space="preserve"> a Jižní Korey (–7,1 %, resp. –7,4 %).</w:t>
      </w:r>
    </w:p>
  </w:footnote>
  <w:footnote w:id="25">
    <w:p w14:paraId="1E6510E5" w14:textId="77777777" w:rsidR="005810E1" w:rsidRDefault="005810E1" w:rsidP="006E761A">
      <w:pPr>
        <w:spacing w:after="0" w:line="240" w:lineRule="auto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Všechna</w:t>
      </w:r>
      <w:r w:rsidRPr="00A85D8E">
        <w:rPr>
          <w:sz w:val="16"/>
          <w:szCs w:val="16"/>
        </w:rPr>
        <w:t xml:space="preserve"> </w:t>
      </w:r>
      <w:r>
        <w:rPr>
          <w:sz w:val="16"/>
          <w:szCs w:val="16"/>
        </w:rPr>
        <w:t>meziroční tempa</w:t>
      </w:r>
      <w:r>
        <w:rPr>
          <w:color w:val="0D0D0D" w:themeColor="text1" w:themeTint="F2"/>
          <w:sz w:val="16"/>
          <w:szCs w:val="16"/>
        </w:rPr>
        <w:t xml:space="preserve"> tržeb</w:t>
      </w:r>
      <w:r w:rsidRPr="00A85D8E">
        <w:rPr>
          <w:color w:val="0D0D0D" w:themeColor="text1" w:themeTint="F2"/>
          <w:sz w:val="16"/>
          <w:szCs w:val="16"/>
        </w:rPr>
        <w:t xml:space="preserve"> za maloobchod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uvedena ve stálých cenách a očištěna</w:t>
      </w:r>
      <w:r w:rsidRPr="004A26AF">
        <w:rPr>
          <w:color w:val="0D0D0D" w:themeColor="text1" w:themeTint="F2"/>
          <w:sz w:val="16"/>
          <w:szCs w:val="16"/>
        </w:rPr>
        <w:t xml:space="preserve">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tempa jsou očištěna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6">
    <w:p w14:paraId="2645E9E0" w14:textId="5D6A0C46" w:rsidR="005810E1" w:rsidRPr="005B26B0" w:rsidRDefault="005810E1" w:rsidP="006E761A">
      <w:pPr>
        <w:spacing w:after="0" w:line="240" w:lineRule="auto"/>
        <w:rPr>
          <w:spacing w:val="-4"/>
        </w:rPr>
      </w:pPr>
      <w:r w:rsidRPr="005B26B0">
        <w:rPr>
          <w:rStyle w:val="Znakapoznpodarou"/>
          <w:spacing w:val="-4"/>
          <w:sz w:val="16"/>
          <w:szCs w:val="16"/>
        </w:rPr>
        <w:footnoteRef/>
      </w:r>
      <w:r w:rsidRPr="005B26B0">
        <w:rPr>
          <w:spacing w:val="-4"/>
          <w:sz w:val="16"/>
          <w:szCs w:val="16"/>
        </w:rPr>
        <w:t xml:space="preserve"> </w:t>
      </w:r>
      <w:r w:rsidRPr="005B26B0">
        <w:rPr>
          <w:color w:val="0D0D0D" w:themeColor="text1" w:themeTint="F2"/>
          <w:spacing w:val="-4"/>
          <w:sz w:val="16"/>
          <w:szCs w:val="16"/>
        </w:rPr>
        <w:t>Jeho růst téměř dvojnásobně převyšoval tempo v EU. Mezi státy EU měly vyšší růst jen Litva (9,4 %), Rumunsko a Maďarsko (shodně 8,7 %).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810E1" w:rsidRDefault="005810E1" w:rsidP="00937AE2">
    <w:pPr>
      <w:pStyle w:val="Zhlav"/>
    </w:pPr>
    <w:r>
      <w:t>Vývoj ekonomiky České republiky</w:t>
    </w:r>
  </w:p>
  <w:p w14:paraId="675E4C41" w14:textId="77777777" w:rsidR="005810E1" w:rsidRPr="006F5416" w:rsidRDefault="005810E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810E1" w:rsidRDefault="005810E1" w:rsidP="00937AE2">
    <w:pPr>
      <w:pStyle w:val="Zhlav"/>
    </w:pPr>
    <w:r>
      <w:t>Vývoj ekonomiky České republiky</w:t>
    </w:r>
  </w:p>
  <w:p w14:paraId="0CDCFD48" w14:textId="77777777" w:rsidR="005810E1" w:rsidRPr="006F5416" w:rsidRDefault="005810E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6D94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72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B161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3F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A58"/>
    <w:rsid w:val="004331C3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3E8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42E2"/>
    <w:rsid w:val="00705242"/>
    <w:rsid w:val="007055E0"/>
    <w:rsid w:val="007056ED"/>
    <w:rsid w:val="00705F4E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1E9"/>
    <w:rsid w:val="00766460"/>
    <w:rsid w:val="00767062"/>
    <w:rsid w:val="00767777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4155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040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4068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3E0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201A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70C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321D"/>
    <w:rsid w:val="00DB459B"/>
    <w:rsid w:val="00DB47FD"/>
    <w:rsid w:val="00DB5E9A"/>
    <w:rsid w:val="00DB657E"/>
    <w:rsid w:val="00DB7342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0D7D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.-3.%20&#269;tvrtlet&#237;\Odv&#283;tv&#237;\Odv&#283;tv&#237;%20grafy-1-3q-2019-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.-3.%20&#269;tvrtlet&#237;\Odv&#283;tv&#237;\Odv&#283;tv&#237;%20grafy-1-3q-2019-fina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9\QMakro\1.-3.%20&#269;tvrtlet&#237;\Odv&#283;tv&#237;\Odv&#283;tv&#237;%20grafy-1-3q-2019-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.-3.%20&#269;tvrtlet&#237;\Odv&#283;tv&#237;\Odv&#283;tv&#237;%20grafy-1-3q-2019-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68470688525411E-2"/>
          <c:y val="1.6203558522131581E-2"/>
          <c:w val="0.94015567663973465"/>
          <c:h val="0.71950593410789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IPP'!$B$27:$AJ$27</c:f>
              <c:numCache>
                <c:formatCode>0.0</c:formatCode>
                <c:ptCount val="35"/>
                <c:pt idx="0">
                  <c:v>5.1826567835041883</c:v>
                </c:pt>
                <c:pt idx="1">
                  <c:v>4.1388621566743531</c:v>
                </c:pt>
                <c:pt idx="2">
                  <c:v>3.66096886153335</c:v>
                </c:pt>
                <c:pt idx="3">
                  <c:v>3.2133321520109059</c:v>
                </c:pt>
                <c:pt idx="4">
                  <c:v>2.2354222453018546</c:v>
                </c:pt>
                <c:pt idx="5">
                  <c:v>1.0231087154858276</c:v>
                </c:pt>
                <c:pt idx="6">
                  <c:v>-0.451101844135188</c:v>
                </c:pt>
                <c:pt idx="7">
                  <c:v>-1.6929043388850369</c:v>
                </c:pt>
                <c:pt idx="8">
                  <c:v>-2.8414439289814464</c:v>
                </c:pt>
                <c:pt idx="9">
                  <c:v>-1.1037033400298391</c:v>
                </c:pt>
                <c:pt idx="10">
                  <c:v>0.65561921804615453</c:v>
                </c:pt>
                <c:pt idx="11">
                  <c:v>1.8828182694641358</c:v>
                </c:pt>
                <c:pt idx="12">
                  <c:v>3.5759262633273021</c:v>
                </c:pt>
                <c:pt idx="13">
                  <c:v>2.2387100258789236</c:v>
                </c:pt>
                <c:pt idx="14">
                  <c:v>1.7719699895287304</c:v>
                </c:pt>
                <c:pt idx="15">
                  <c:v>1.5189883620689975</c:v>
                </c:pt>
                <c:pt idx="16">
                  <c:v>1.5349338595230806</c:v>
                </c:pt>
                <c:pt idx="17">
                  <c:v>2.1941006685518607</c:v>
                </c:pt>
                <c:pt idx="18">
                  <c:v>2.3415413147137585</c:v>
                </c:pt>
                <c:pt idx="19">
                  <c:v>2.8930236159837905</c:v>
                </c:pt>
                <c:pt idx="20">
                  <c:v>3.2926965523764138</c:v>
                </c:pt>
                <c:pt idx="21">
                  <c:v>2.7635032677542575</c:v>
                </c:pt>
                <c:pt idx="22">
                  <c:v>1.4750591136369875</c:v>
                </c:pt>
                <c:pt idx="23">
                  <c:v>1.02695332712745</c:v>
                </c:pt>
                <c:pt idx="24">
                  <c:v>1.8306689908816125</c:v>
                </c:pt>
                <c:pt idx="25">
                  <c:v>2.068398562814969</c:v>
                </c:pt>
                <c:pt idx="26">
                  <c:v>1.5408162380207475</c:v>
                </c:pt>
                <c:pt idx="27">
                  <c:v>1.6794015454983153</c:v>
                </c:pt>
                <c:pt idx="28">
                  <c:v>0.70392294222784246</c:v>
                </c:pt>
                <c:pt idx="29">
                  <c:v>0.54165398674947518</c:v>
                </c:pt>
                <c:pt idx="30">
                  <c:v>0.23361070194845018</c:v>
                </c:pt>
                <c:pt idx="31">
                  <c:v>1.0006331933175363</c:v>
                </c:pt>
                <c:pt idx="32">
                  <c:v>-8.3486122448018243E-2</c:v>
                </c:pt>
                <c:pt idx="33">
                  <c:v>0.57108014605728652</c:v>
                </c:pt>
                <c:pt idx="34">
                  <c:v>1.1313152450113333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3-45FC-9480-66AFCB28C169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IPP'!$B$28:$AJ$28</c:f>
              <c:numCache>
                <c:formatCode>0.0</c:formatCode>
                <c:ptCount val="35"/>
                <c:pt idx="0">
                  <c:v>1.8226503967804817</c:v>
                </c:pt>
                <c:pt idx="1">
                  <c:v>1.4308107388261828</c:v>
                </c:pt>
                <c:pt idx="2">
                  <c:v>0.48746198826577214</c:v>
                </c:pt>
                <c:pt idx="3">
                  <c:v>0.58901128435335481</c:v>
                </c:pt>
                <c:pt idx="4">
                  <c:v>0.8499224953159652</c:v>
                </c:pt>
                <c:pt idx="5">
                  <c:v>0.67909419809764782</c:v>
                </c:pt>
                <c:pt idx="6">
                  <c:v>1.0716764887904229</c:v>
                </c:pt>
                <c:pt idx="7">
                  <c:v>-0.46502811090535007</c:v>
                </c:pt>
                <c:pt idx="8">
                  <c:v>-0.34838129757408365</c:v>
                </c:pt>
                <c:pt idx="9">
                  <c:v>-0.29702711628118111</c:v>
                </c:pt>
                <c:pt idx="10">
                  <c:v>0.37983146763629139</c:v>
                </c:pt>
                <c:pt idx="11">
                  <c:v>0.67444684530708243</c:v>
                </c:pt>
                <c:pt idx="12">
                  <c:v>1.1965754118683707</c:v>
                </c:pt>
                <c:pt idx="13">
                  <c:v>1.3110490341587351</c:v>
                </c:pt>
                <c:pt idx="14">
                  <c:v>0.16431106389180708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1.2474010464389864</c:v>
                </c:pt>
                <c:pt idx="18">
                  <c:v>1.4188923779020084</c:v>
                </c:pt>
                <c:pt idx="19">
                  <c:v>0.62907027961344431</c:v>
                </c:pt>
                <c:pt idx="20">
                  <c:v>0.70002238690210272</c:v>
                </c:pt>
                <c:pt idx="21">
                  <c:v>0.15473181772475597</c:v>
                </c:pt>
                <c:pt idx="22">
                  <c:v>0.28439313569749469</c:v>
                </c:pt>
                <c:pt idx="23">
                  <c:v>0.43251342156214512</c:v>
                </c:pt>
                <c:pt idx="24">
                  <c:v>0.91486926491740084</c:v>
                </c:pt>
                <c:pt idx="25">
                  <c:v>1.4491903433443376</c:v>
                </c:pt>
                <c:pt idx="26">
                  <c:v>0.86660777787350374</c:v>
                </c:pt>
                <c:pt idx="27">
                  <c:v>1.6549188645784936</c:v>
                </c:pt>
                <c:pt idx="28">
                  <c:v>0.99946153502300794</c:v>
                </c:pt>
                <c:pt idx="29">
                  <c:v>0.3296201700753274</c:v>
                </c:pt>
                <c:pt idx="30">
                  <c:v>0.4428318555922115</c:v>
                </c:pt>
                <c:pt idx="31">
                  <c:v>-6.1976686793045174E-2</c:v>
                </c:pt>
                <c:pt idx="32">
                  <c:v>-3.8919346442841618E-2</c:v>
                </c:pt>
                <c:pt idx="33">
                  <c:v>0.60474530050158704</c:v>
                </c:pt>
                <c:pt idx="34">
                  <c:v>0.50757453408795394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3-45FC-9480-66AFCB28C169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IPP'!$B$29:$AJ$29</c:f>
              <c:numCache>
                <c:formatCode>0.0</c:formatCode>
                <c:ptCount val="35"/>
                <c:pt idx="0">
                  <c:v>1.2706011457621917</c:v>
                </c:pt>
                <c:pt idx="1">
                  <c:v>1.2888664807252919</c:v>
                </c:pt>
                <c:pt idx="2">
                  <c:v>0.32307846092656811</c:v>
                </c:pt>
                <c:pt idx="3">
                  <c:v>0.70071844497242763</c:v>
                </c:pt>
                <c:pt idx="4">
                  <c:v>0.5085259739532223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-0.13339713383761653</c:v>
                </c:pt>
                <c:pt idx="8">
                  <c:v>7.970787180892118E-2</c:v>
                </c:pt>
                <c:pt idx="9">
                  <c:v>0.20406264489060252</c:v>
                </c:pt>
                <c:pt idx="10">
                  <c:v>-1.7001944235035402E-2</c:v>
                </c:pt>
                <c:pt idx="11">
                  <c:v>0.64362374734259087</c:v>
                </c:pt>
                <c:pt idx="12">
                  <c:v>0.21470457876175333</c:v>
                </c:pt>
                <c:pt idx="13">
                  <c:v>0.40293012989484661</c:v>
                </c:pt>
                <c:pt idx="14">
                  <c:v>0.21152856009329646</c:v>
                </c:pt>
                <c:pt idx="15">
                  <c:v>0.3301204419286361</c:v>
                </c:pt>
                <c:pt idx="16">
                  <c:v>0.27832699102768171</c:v>
                </c:pt>
                <c:pt idx="17">
                  <c:v>0.29159295435772503</c:v>
                </c:pt>
                <c:pt idx="18">
                  <c:v>0.37916922656306401</c:v>
                </c:pt>
                <c:pt idx="19">
                  <c:v>1.781989990773131E-2</c:v>
                </c:pt>
                <c:pt idx="20">
                  <c:v>0.36450086052988051</c:v>
                </c:pt>
                <c:pt idx="21">
                  <c:v>-6.9051390149412681E-2</c:v>
                </c:pt>
                <c:pt idx="22">
                  <c:v>0.19850927828339104</c:v>
                </c:pt>
                <c:pt idx="23">
                  <c:v>0.32150601856840716</c:v>
                </c:pt>
                <c:pt idx="24">
                  <c:v>0.35626268364085967</c:v>
                </c:pt>
                <c:pt idx="25">
                  <c:v>1.0647927179276142</c:v>
                </c:pt>
                <c:pt idx="26">
                  <c:v>0.84846050084183755</c:v>
                </c:pt>
                <c:pt idx="27">
                  <c:v>0.80860359811504845</c:v>
                </c:pt>
                <c:pt idx="28">
                  <c:v>0.46939757956954559</c:v>
                </c:pt>
                <c:pt idx="29">
                  <c:v>0.14777758056392631</c:v>
                </c:pt>
                <c:pt idx="30">
                  <c:v>0.18930771692011972</c:v>
                </c:pt>
                <c:pt idx="31">
                  <c:v>-0.1941665716444419</c:v>
                </c:pt>
                <c:pt idx="32">
                  <c:v>4.8815004307175877E-2</c:v>
                </c:pt>
                <c:pt idx="33">
                  <c:v>-0.15561859996012836</c:v>
                </c:pt>
                <c:pt idx="34">
                  <c:v>-0.39881111718108114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93-45FC-9480-66AFCB28C169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IPP'!$B$30:$AJ$30</c:f>
              <c:numCache>
                <c:formatCode>0.0</c:formatCode>
                <c:ptCount val="35"/>
                <c:pt idx="0">
                  <c:v>1.3607915256879437</c:v>
                </c:pt>
                <c:pt idx="1">
                  <c:v>0.6122314163161513</c:v>
                </c:pt>
                <c:pt idx="2">
                  <c:v>6.1889465402554439E-2</c:v>
                </c:pt>
                <c:pt idx="3">
                  <c:v>-5.8766596093049045E-2</c:v>
                </c:pt>
                <c:pt idx="4">
                  <c:v>-6.6514476486077501E-2</c:v>
                </c:pt>
                <c:pt idx="5">
                  <c:v>-7.3342687149672695E-2</c:v>
                </c:pt>
                <c:pt idx="6">
                  <c:v>0.10363464102827508</c:v>
                </c:pt>
                <c:pt idx="7">
                  <c:v>-0.16145263797014556</c:v>
                </c:pt>
                <c:pt idx="8">
                  <c:v>-8.2159524291812738E-2</c:v>
                </c:pt>
                <c:pt idx="9">
                  <c:v>9.286896218709495E-2</c:v>
                </c:pt>
                <c:pt idx="10">
                  <c:v>0.38311516609077362</c:v>
                </c:pt>
                <c:pt idx="11">
                  <c:v>0.56967075654605959</c:v>
                </c:pt>
                <c:pt idx="12">
                  <c:v>0.73131867751878388</c:v>
                </c:pt>
                <c:pt idx="13">
                  <c:v>0.63955710701683133</c:v>
                </c:pt>
                <c:pt idx="14">
                  <c:v>0.13796392398444496</c:v>
                </c:pt>
                <c:pt idx="15">
                  <c:v>0.35044871686260598</c:v>
                </c:pt>
                <c:pt idx="16">
                  <c:v>0.69752018574312757</c:v>
                </c:pt>
                <c:pt idx="17">
                  <c:v>0.78069864008168055</c:v>
                </c:pt>
                <c:pt idx="18">
                  <c:v>0.92145489387273505</c:v>
                </c:pt>
                <c:pt idx="19">
                  <c:v>0.62569777143327532</c:v>
                </c:pt>
                <c:pt idx="20">
                  <c:v>0.75848604717513379</c:v>
                </c:pt>
                <c:pt idx="21">
                  <c:v>0.39407337586741892</c:v>
                </c:pt>
                <c:pt idx="22">
                  <c:v>0.20786247012396855</c:v>
                </c:pt>
                <c:pt idx="23">
                  <c:v>0.25885378383640428</c:v>
                </c:pt>
                <c:pt idx="24">
                  <c:v>0.51937603959814027</c:v>
                </c:pt>
                <c:pt idx="25">
                  <c:v>0.90938443427805682</c:v>
                </c:pt>
                <c:pt idx="26">
                  <c:v>0.81941846333328994</c:v>
                </c:pt>
                <c:pt idx="27">
                  <c:v>0.96985539906457718</c:v>
                </c:pt>
                <c:pt idx="28">
                  <c:v>0.6579137504716065</c:v>
                </c:pt>
                <c:pt idx="29">
                  <c:v>0.4468183516639388</c:v>
                </c:pt>
                <c:pt idx="30">
                  <c:v>0.43700633012132578</c:v>
                </c:pt>
                <c:pt idx="31">
                  <c:v>0.16124456587075234</c:v>
                </c:pt>
                <c:pt idx="32">
                  <c:v>0.15554535239498551</c:v>
                </c:pt>
                <c:pt idx="33">
                  <c:v>-0.11697385611853835</c:v>
                </c:pt>
                <c:pt idx="34">
                  <c:v>-0.24554141610902078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93-45FC-9480-66AFCB28C169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IPP'!$B$31:$AJ$31</c:f>
              <c:numCache>
                <c:formatCode>0.0</c:formatCode>
                <c:ptCount val="35"/>
                <c:pt idx="0">
                  <c:v>0.46607738102630258</c:v>
                </c:pt>
                <c:pt idx="1">
                  <c:v>0.2289737073350934</c:v>
                </c:pt>
                <c:pt idx="2">
                  <c:v>-0.24362549730013716</c:v>
                </c:pt>
                <c:pt idx="3">
                  <c:v>-0.78232564519731673</c:v>
                </c:pt>
                <c:pt idx="4">
                  <c:v>-0.63245776036395984</c:v>
                </c:pt>
                <c:pt idx="5">
                  <c:v>-0.77404145043570627</c:v>
                </c:pt>
                <c:pt idx="6">
                  <c:v>-0.66225050698900134</c:v>
                </c:pt>
                <c:pt idx="7">
                  <c:v>-0.4416747399469686</c:v>
                </c:pt>
                <c:pt idx="8">
                  <c:v>0.17467389713018558</c:v>
                </c:pt>
                <c:pt idx="9">
                  <c:v>0.21019414413841453</c:v>
                </c:pt>
                <c:pt idx="10">
                  <c:v>0.2864313771080319</c:v>
                </c:pt>
                <c:pt idx="11">
                  <c:v>0.37118882448330998</c:v>
                </c:pt>
                <c:pt idx="12">
                  <c:v>0.25436485129926611</c:v>
                </c:pt>
                <c:pt idx="13">
                  <c:v>0.35812460138361812</c:v>
                </c:pt>
                <c:pt idx="14">
                  <c:v>0.24882306773154061</c:v>
                </c:pt>
                <c:pt idx="15">
                  <c:v>0.43276478248186534</c:v>
                </c:pt>
                <c:pt idx="16">
                  <c:v>0.1016909527808563</c:v>
                </c:pt>
                <c:pt idx="17">
                  <c:v>1.4154514873228306E-2</c:v>
                </c:pt>
                <c:pt idx="18">
                  <c:v>4.8795542794375368E-2</c:v>
                </c:pt>
                <c:pt idx="19">
                  <c:v>-7.6486878800618135E-2</c:v>
                </c:pt>
                <c:pt idx="20">
                  <c:v>0</c:v>
                </c:pt>
                <c:pt idx="21">
                  <c:v>4.9500595864093791E-2</c:v>
                </c:pt>
                <c:pt idx="22">
                  <c:v>5.3821883781074741E-2</c:v>
                </c:pt>
                <c:pt idx="23">
                  <c:v>0.16393002768986806</c:v>
                </c:pt>
                <c:pt idx="24">
                  <c:v>0.12720409542401243</c:v>
                </c:pt>
                <c:pt idx="25">
                  <c:v>0.37722657172069585</c:v>
                </c:pt>
                <c:pt idx="26">
                  <c:v>0.23589929598354478</c:v>
                </c:pt>
                <c:pt idx="27">
                  <c:v>0.23405074111066751</c:v>
                </c:pt>
                <c:pt idx="28">
                  <c:v>0.40824658086879206</c:v>
                </c:pt>
                <c:pt idx="29">
                  <c:v>0.14897562339484019</c:v>
                </c:pt>
                <c:pt idx="30">
                  <c:v>0.63653387238876669</c:v>
                </c:pt>
                <c:pt idx="31">
                  <c:v>0.30326911141698432</c:v>
                </c:pt>
                <c:pt idx="32">
                  <c:v>0.16926047068065594</c:v>
                </c:pt>
                <c:pt idx="33">
                  <c:v>0.23803994500382339</c:v>
                </c:pt>
                <c:pt idx="34">
                  <c:v>-0.27982198810131559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93-45FC-9480-66AFCB28C169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IPP'!$B$32:$AJ$32</c:f>
              <c:numCache>
                <c:formatCode>0.0</c:formatCode>
                <c:ptCount val="35"/>
                <c:pt idx="0">
                  <c:v>0.11219929673001736</c:v>
                </c:pt>
                <c:pt idx="1">
                  <c:v>-0.10853916938887039</c:v>
                </c:pt>
                <c:pt idx="2">
                  <c:v>-0.3536895050634965</c:v>
                </c:pt>
                <c:pt idx="3">
                  <c:v>-0.27950219010381694</c:v>
                </c:pt>
                <c:pt idx="4">
                  <c:v>8.0797212942745181E-2</c:v>
                </c:pt>
                <c:pt idx="5">
                  <c:v>-9.8083333850390669E-2</c:v>
                </c:pt>
                <c:pt idx="6">
                  <c:v>0.2931368710398069</c:v>
                </c:pt>
                <c:pt idx="7">
                  <c:v>8.1304750180385743E-2</c:v>
                </c:pt>
                <c:pt idx="8">
                  <c:v>-0.16133731408121707</c:v>
                </c:pt>
                <c:pt idx="9">
                  <c:v>2.5011128929958708E-2</c:v>
                </c:pt>
                <c:pt idx="10">
                  <c:v>-0.19584426798635859</c:v>
                </c:pt>
                <c:pt idx="11">
                  <c:v>0.22028075022638577</c:v>
                </c:pt>
                <c:pt idx="12">
                  <c:v>0.41605736757706308</c:v>
                </c:pt>
                <c:pt idx="13">
                  <c:v>0.30259515004571136</c:v>
                </c:pt>
                <c:pt idx="14">
                  <c:v>0.37231498218051085</c:v>
                </c:pt>
                <c:pt idx="15">
                  <c:v>0.12425244912027755</c:v>
                </c:pt>
                <c:pt idx="16">
                  <c:v>7.5536144712547285E-2</c:v>
                </c:pt>
                <c:pt idx="17">
                  <c:v>0.23897170690908801</c:v>
                </c:pt>
                <c:pt idx="18">
                  <c:v>-0.16868273111371118</c:v>
                </c:pt>
                <c:pt idx="19">
                  <c:v>-0.33155900660842996</c:v>
                </c:pt>
                <c:pt idx="20">
                  <c:v>-0.42141366234773647</c:v>
                </c:pt>
                <c:pt idx="21">
                  <c:v>-0.41865631031483336</c:v>
                </c:pt>
                <c:pt idx="22">
                  <c:v>-0.112184127274519</c:v>
                </c:pt>
                <c:pt idx="23">
                  <c:v>0.23370867984991769</c:v>
                </c:pt>
                <c:pt idx="24">
                  <c:v>0.53306418431628844</c:v>
                </c:pt>
                <c:pt idx="25">
                  <c:v>0.81421630557623526</c:v>
                </c:pt>
                <c:pt idx="26">
                  <c:v>0.65133086792843509</c:v>
                </c:pt>
                <c:pt idx="27">
                  <c:v>0.50748040986382348</c:v>
                </c:pt>
                <c:pt idx="28">
                  <c:v>0.39973006488017387</c:v>
                </c:pt>
                <c:pt idx="29">
                  <c:v>8.0792803264247925E-2</c:v>
                </c:pt>
                <c:pt idx="30">
                  <c:v>-4.9077145085486995E-2</c:v>
                </c:pt>
                <c:pt idx="31">
                  <c:v>-6.7427709432766617E-2</c:v>
                </c:pt>
                <c:pt idx="32">
                  <c:v>0.13326590448280812</c:v>
                </c:pt>
                <c:pt idx="33">
                  <c:v>5.9627836170654813E-2</c:v>
                </c:pt>
                <c:pt idx="34">
                  <c:v>0.21634891812602039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93-45FC-9480-66AFCB28C169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IPP'!$B$33:$AJ$33</c:f>
              <c:numCache>
                <c:formatCode>0.0</c:formatCode>
                <c:ptCount val="35"/>
                <c:pt idx="0">
                  <c:v>0.31472665827737134</c:v>
                </c:pt>
                <c:pt idx="1">
                  <c:v>-0.27026221817768525</c:v>
                </c:pt>
                <c:pt idx="2">
                  <c:v>-1.5394198534098553</c:v>
                </c:pt>
                <c:pt idx="3">
                  <c:v>-0.32358391292063782</c:v>
                </c:pt>
                <c:pt idx="4">
                  <c:v>-1.1176151117108502</c:v>
                </c:pt>
                <c:pt idx="5">
                  <c:v>-0.95620463023923641</c:v>
                </c:pt>
                <c:pt idx="6">
                  <c:v>-0.63862999967945955</c:v>
                </c:pt>
                <c:pt idx="7">
                  <c:v>-1.4041755799902578</c:v>
                </c:pt>
                <c:pt idx="8">
                  <c:v>-0.12873307072581258</c:v>
                </c:pt>
                <c:pt idx="9">
                  <c:v>-3.7358387860870368E-2</c:v>
                </c:pt>
                <c:pt idx="10">
                  <c:v>0.67372820804565303</c:v>
                </c:pt>
                <c:pt idx="11">
                  <c:v>1.4195178283514827</c:v>
                </c:pt>
                <c:pt idx="12">
                  <c:v>1.1062169641993815</c:v>
                </c:pt>
                <c:pt idx="13">
                  <c:v>1.2118999929439416</c:v>
                </c:pt>
                <c:pt idx="14">
                  <c:v>0.47232149181081806</c:v>
                </c:pt>
                <c:pt idx="15">
                  <c:v>1.3246456842379457</c:v>
                </c:pt>
                <c:pt idx="16">
                  <c:v>1.0354669734013817</c:v>
                </c:pt>
                <c:pt idx="17">
                  <c:v>0.87411858973676348</c:v>
                </c:pt>
                <c:pt idx="18">
                  <c:v>1.0398417628408112</c:v>
                </c:pt>
                <c:pt idx="19">
                  <c:v>-0.23385945543911907</c:v>
                </c:pt>
                <c:pt idx="20">
                  <c:v>7.8780624629944285E-2</c:v>
                </c:pt>
                <c:pt idx="21">
                  <c:v>-0.27265528249529364</c:v>
                </c:pt>
                <c:pt idx="22">
                  <c:v>5.9675695447830135E-2</c:v>
                </c:pt>
                <c:pt idx="23">
                  <c:v>0.55700237533071895</c:v>
                </c:pt>
                <c:pt idx="24">
                  <c:v>0.252975115007679</c:v>
                </c:pt>
                <c:pt idx="25">
                  <c:v>1.3966693669108228</c:v>
                </c:pt>
                <c:pt idx="26">
                  <c:v>0.76480988742038325</c:v>
                </c:pt>
                <c:pt idx="27">
                  <c:v>1.0099344525375158</c:v>
                </c:pt>
                <c:pt idx="28">
                  <c:v>1.0992498537435469</c:v>
                </c:pt>
                <c:pt idx="29">
                  <c:v>0.68495902665930175</c:v>
                </c:pt>
                <c:pt idx="30">
                  <c:v>1.028489175128029</c:v>
                </c:pt>
                <c:pt idx="31">
                  <c:v>0.54116220773947088</c:v>
                </c:pt>
                <c:pt idx="32">
                  <c:v>-0.29909631063182629</c:v>
                </c:pt>
                <c:pt idx="33">
                  <c:v>-0.23838966516980126</c:v>
                </c:pt>
                <c:pt idx="34">
                  <c:v>-0.89835345312498904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93-45FC-9480-66AFCB28C169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(B+D)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IPP'!$B$34:$AJ$34</c:f>
              <c:numCache>
                <c:formatCode>0.0</c:formatCode>
                <c:ptCount val="35"/>
                <c:pt idx="0">
                  <c:v>-0.42970318776849603</c:v>
                </c:pt>
                <c:pt idx="1">
                  <c:v>0.37905688768949047</c:v>
                </c:pt>
                <c:pt idx="2">
                  <c:v>-0.29666392035474731</c:v>
                </c:pt>
                <c:pt idx="3">
                  <c:v>-5.8883537021856641E-2</c:v>
                </c:pt>
                <c:pt idx="4">
                  <c:v>4.1919421047110217E-2</c:v>
                </c:pt>
                <c:pt idx="5">
                  <c:v>0.33634606020701019</c:v>
                </c:pt>
                <c:pt idx="6">
                  <c:v>-0.14948549571793562</c:v>
                </c:pt>
                <c:pt idx="7">
                  <c:v>-1.0826618161280459</c:v>
                </c:pt>
                <c:pt idx="8">
                  <c:v>-0.89076450159691012</c:v>
                </c:pt>
                <c:pt idx="9">
                  <c:v>-1.3940480359741478</c:v>
                </c:pt>
                <c:pt idx="10">
                  <c:v>-0.86587922470550971</c:v>
                </c:pt>
                <c:pt idx="11">
                  <c:v>0.51845297827894687</c:v>
                </c:pt>
                <c:pt idx="12">
                  <c:v>-0.4951641145519059</c:v>
                </c:pt>
                <c:pt idx="13">
                  <c:v>-0.36486604132261174</c:v>
                </c:pt>
                <c:pt idx="14">
                  <c:v>-0.47923307922114755</c:v>
                </c:pt>
                <c:pt idx="15">
                  <c:v>-0.67369041908719907</c:v>
                </c:pt>
                <c:pt idx="16">
                  <c:v>0.14380907492111705</c:v>
                </c:pt>
                <c:pt idx="17">
                  <c:v>-0.34103812094933217</c:v>
                </c:pt>
                <c:pt idx="18">
                  <c:v>-0.38101238757299938</c:v>
                </c:pt>
                <c:pt idx="19">
                  <c:v>-1.1237062260900912</c:v>
                </c:pt>
                <c:pt idx="20">
                  <c:v>-0.67307280926577207</c:v>
                </c:pt>
                <c:pt idx="21">
                  <c:v>9.8553925749019666E-2</c:v>
                </c:pt>
                <c:pt idx="22">
                  <c:v>-0.46713744969622628</c:v>
                </c:pt>
                <c:pt idx="23">
                  <c:v>0.50553236603507523</c:v>
                </c:pt>
                <c:pt idx="24">
                  <c:v>0.66557962621400024</c:v>
                </c:pt>
                <c:pt idx="25">
                  <c:v>-0.17987830257272874</c:v>
                </c:pt>
                <c:pt idx="26">
                  <c:v>0.77265696859826016</c:v>
                </c:pt>
                <c:pt idx="27">
                  <c:v>0.73575498923155713</c:v>
                </c:pt>
                <c:pt idx="28">
                  <c:v>-0.53792230678451969</c:v>
                </c:pt>
                <c:pt idx="29">
                  <c:v>1.9402457628940606E-2</c:v>
                </c:pt>
                <c:pt idx="30">
                  <c:v>0.78129749298659323</c:v>
                </c:pt>
                <c:pt idx="31">
                  <c:v>0.31726188952550788</c:v>
                </c:pt>
                <c:pt idx="32">
                  <c:v>0.21461504765704126</c:v>
                </c:pt>
                <c:pt idx="33">
                  <c:v>3.748889351511786E-2</c:v>
                </c:pt>
                <c:pt idx="34">
                  <c:v>-0.63271072270891837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A93-45FC-9480-66AFCB28C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B+C+D)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IPP'!$B$25:$AJ$26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IPP'!$B$35:$AJ$35</c:f>
              <c:numCache>
                <c:formatCode>0.0</c:formatCode>
                <c:ptCount val="35"/>
                <c:pt idx="0">
                  <c:v>10.100000000000001</c:v>
                </c:pt>
                <c:pt idx="1">
                  <c:v>7.7000000000000073</c:v>
                </c:pt>
                <c:pt idx="2">
                  <c:v>2.1000000000000085</c:v>
                </c:pt>
                <c:pt idx="3">
                  <c:v>3.0000000000000115</c:v>
                </c:pt>
                <c:pt idx="4">
                  <c:v>1.9000000000000088</c:v>
                </c:pt>
                <c:pt idx="5">
                  <c:v>0.4000000000000008</c:v>
                </c:pt>
                <c:pt idx="6">
                  <c:v>-0.20000000000000023</c:v>
                </c:pt>
                <c:pt idx="7">
                  <c:v>-5.2999896074830355</c:v>
                </c:pt>
                <c:pt idx="8">
                  <c:v>-4.1984378683121761</c:v>
                </c:pt>
                <c:pt idx="9">
                  <c:v>-2.2999999999999678</c:v>
                </c:pt>
                <c:pt idx="10">
                  <c:v>1.3000000000000009</c:v>
                </c:pt>
                <c:pt idx="11">
                  <c:v>6.2999999999999945</c:v>
                </c:pt>
                <c:pt idx="12">
                  <c:v>7.000000000000016</c:v>
                </c:pt>
                <c:pt idx="13">
                  <c:v>6.0999999999999943</c:v>
                </c:pt>
                <c:pt idx="14">
                  <c:v>2.9000000000000004</c:v>
                </c:pt>
                <c:pt idx="15">
                  <c:v>4.1999999999999353</c:v>
                </c:pt>
                <c:pt idx="16">
                  <c:v>4.9000000000000012</c:v>
                </c:pt>
                <c:pt idx="17">
                  <c:v>5.3000000000000007</c:v>
                </c:pt>
                <c:pt idx="18">
                  <c:v>5.6000000000000405</c:v>
                </c:pt>
                <c:pt idx="19">
                  <c:v>2.3999999999999839</c:v>
                </c:pt>
                <c:pt idx="20">
                  <c:v>4.0999999999999659</c:v>
                </c:pt>
                <c:pt idx="21">
                  <c:v>2.7000000000000055</c:v>
                </c:pt>
                <c:pt idx="22">
                  <c:v>1.7000000000000011</c:v>
                </c:pt>
                <c:pt idx="23">
                  <c:v>3.4999999999999862</c:v>
                </c:pt>
                <c:pt idx="24">
                  <c:v>5.1999999999999931</c:v>
                </c:pt>
                <c:pt idx="25">
                  <c:v>7.9</c:v>
                </c:pt>
                <c:pt idx="26">
                  <c:v>6.5000000000000027</c:v>
                </c:pt>
                <c:pt idx="27">
                  <c:v>7.6</c:v>
                </c:pt>
                <c:pt idx="28">
                  <c:v>4.1999999999999966</c:v>
                </c:pt>
                <c:pt idx="29">
                  <c:v>2.3999999999999981</c:v>
                </c:pt>
                <c:pt idx="30">
                  <c:v>3.7000000000000091</c:v>
                </c:pt>
                <c:pt idx="31">
                  <c:v>1.9999999999999976</c:v>
                </c:pt>
                <c:pt idx="32">
                  <c:v>0.29999999999998056</c:v>
                </c:pt>
                <c:pt idx="33">
                  <c:v>1.0000000000000018</c:v>
                </c:pt>
                <c:pt idx="34">
                  <c:v>-0.60000000000001741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A93-45FC-9480-66AFCB28C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11"/>
          <c:min val="-6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34979005766119E-2"/>
          <c:y val="0.8280241779429045"/>
          <c:w val="0.94474742609667883"/>
          <c:h val="0.1618891920953375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15582501720615E-2"/>
          <c:y val="1.643251153889452E-2"/>
          <c:w val="0.86254083709606399"/>
          <c:h val="0.77409039738827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2'!$B$31:$AJ$31</c:f>
              <c:numCache>
                <c:formatCode>#,##0.0__</c:formatCode>
                <c:ptCount val="35"/>
                <c:pt idx="0">
                  <c:v>12.043107093421796</c:v>
                </c:pt>
                <c:pt idx="1">
                  <c:v>5.329290402096305</c:v>
                </c:pt>
                <c:pt idx="2">
                  <c:v>-1.5038236293274423</c:v>
                </c:pt>
                <c:pt idx="3">
                  <c:v>0.49985199872995167</c:v>
                </c:pt>
                <c:pt idx="4">
                  <c:v>7.8919882289544319</c:v>
                </c:pt>
                <c:pt idx="5">
                  <c:v>0.24363263911027389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-0.77743908810788298</c:v>
                </c:pt>
                <c:pt idx="10">
                  <c:v>12.110592029586002</c:v>
                </c:pt>
                <c:pt idx="11">
                  <c:v>12.611542535334834</c:v>
                </c:pt>
                <c:pt idx="12">
                  <c:v>18.454576257258609</c:v>
                </c:pt>
                <c:pt idx="13">
                  <c:v>13.812603337719324</c:v>
                </c:pt>
                <c:pt idx="14">
                  <c:v>11.164927309703884</c:v>
                </c:pt>
                <c:pt idx="15">
                  <c:v>7.3250322249586759</c:v>
                </c:pt>
                <c:pt idx="16">
                  <c:v>8.5397251010390391</c:v>
                </c:pt>
                <c:pt idx="17">
                  <c:v>6.4894834031568251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10.856046878525433</c:v>
                </c:pt>
                <c:pt idx="22">
                  <c:v>1.6431282237439291</c:v>
                </c:pt>
                <c:pt idx="23">
                  <c:v>6.7220844736941103</c:v>
                </c:pt>
                <c:pt idx="24">
                  <c:v>10.841479121555906</c:v>
                </c:pt>
                <c:pt idx="25">
                  <c:v>4.5315942367003714</c:v>
                </c:pt>
                <c:pt idx="26">
                  <c:v>6.9082617878945598</c:v>
                </c:pt>
                <c:pt idx="27">
                  <c:v>7.5112613571588724</c:v>
                </c:pt>
                <c:pt idx="28">
                  <c:v>1.6339188767607453</c:v>
                </c:pt>
                <c:pt idx="29">
                  <c:v>4.6301209797549205</c:v>
                </c:pt>
                <c:pt idx="30">
                  <c:v>3.6945404784506337</c:v>
                </c:pt>
                <c:pt idx="31">
                  <c:v>4.2467023509658759</c:v>
                </c:pt>
                <c:pt idx="32">
                  <c:v>3.3476432191151559</c:v>
                </c:pt>
                <c:pt idx="33">
                  <c:v>1.6929588558610646</c:v>
                </c:pt>
                <c:pt idx="34">
                  <c:v>3.7919815259205478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F-4F83-870B-30F3E0061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2'!$B$32:$AJ$32</c:f>
              <c:numCache>
                <c:formatCode>#,##0.0__</c:formatCode>
                <c:ptCount val="35"/>
                <c:pt idx="0">
                  <c:v>2.8145814762462464</c:v>
                </c:pt>
                <c:pt idx="1">
                  <c:v>-0.65160361804250044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-9.2467743432498821</c:v>
                </c:pt>
                <c:pt idx="6">
                  <c:v>-2.8571545096936291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14.18383964594139</c:v>
                </c:pt>
                <c:pt idx="13">
                  <c:v>7.7929541685002164</c:v>
                </c:pt>
                <c:pt idx="14">
                  <c:v>16.845115352064937</c:v>
                </c:pt>
                <c:pt idx="15">
                  <c:v>9.6787104542652713</c:v>
                </c:pt>
                <c:pt idx="16">
                  <c:v>4.341961301010727</c:v>
                </c:pt>
                <c:pt idx="17">
                  <c:v>10.024449168168019</c:v>
                </c:pt>
                <c:pt idx="18">
                  <c:v>-4.7604240586837108</c:v>
                </c:pt>
                <c:pt idx="19">
                  <c:v>0.56107209694786775</c:v>
                </c:pt>
                <c:pt idx="20">
                  <c:v>0.20304376106223287</c:v>
                </c:pt>
                <c:pt idx="21">
                  <c:v>4.9376200007964286</c:v>
                </c:pt>
                <c:pt idx="22">
                  <c:v>-0.65834656713856532</c:v>
                </c:pt>
                <c:pt idx="23">
                  <c:v>2.873089889380708</c:v>
                </c:pt>
                <c:pt idx="24">
                  <c:v>16.722989365311648</c:v>
                </c:pt>
                <c:pt idx="25">
                  <c:v>11.567742610098009</c:v>
                </c:pt>
                <c:pt idx="26">
                  <c:v>14.702871802754672</c:v>
                </c:pt>
                <c:pt idx="27">
                  <c:v>15.641374658030259</c:v>
                </c:pt>
                <c:pt idx="28">
                  <c:v>-0.54655499165191657</c:v>
                </c:pt>
                <c:pt idx="29">
                  <c:v>3.3862320433243838</c:v>
                </c:pt>
                <c:pt idx="30">
                  <c:v>4.5707977831681177</c:v>
                </c:pt>
                <c:pt idx="31">
                  <c:v>4.8009732818449038</c:v>
                </c:pt>
                <c:pt idx="32">
                  <c:v>6.3141947655327044</c:v>
                </c:pt>
                <c:pt idx="33">
                  <c:v>4.9946009901120618</c:v>
                </c:pt>
                <c:pt idx="34">
                  <c:v>3.2460620445448285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CF-4F83-870B-30F3E00617F9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2'!$B$33:$AJ$33</c:f>
              <c:numCache>
                <c:formatCode>#,##0.0__</c:formatCode>
                <c:ptCount val="35"/>
                <c:pt idx="0">
                  <c:v>11.429400379513879</c:v>
                </c:pt>
                <c:pt idx="1">
                  <c:v>9.2048286805521258</c:v>
                </c:pt>
                <c:pt idx="2">
                  <c:v>4.4139955552265207</c:v>
                </c:pt>
                <c:pt idx="3">
                  <c:v>5.3718735076924133</c:v>
                </c:pt>
                <c:pt idx="4">
                  <c:v>19.54636851917148</c:v>
                </c:pt>
                <c:pt idx="5">
                  <c:v>4.6887564118292033</c:v>
                </c:pt>
                <c:pt idx="6">
                  <c:v>1.3322326875189248</c:v>
                </c:pt>
                <c:pt idx="7">
                  <c:v>-2.0219087809167178</c:v>
                </c:pt>
                <c:pt idx="8">
                  <c:v>-15.423726227988496</c:v>
                </c:pt>
                <c:pt idx="9">
                  <c:v>-3.0233686336023169</c:v>
                </c:pt>
                <c:pt idx="10">
                  <c:v>24.654149056071944</c:v>
                </c:pt>
                <c:pt idx="11">
                  <c:v>18.470996489023392</c:v>
                </c:pt>
                <c:pt idx="12">
                  <c:v>33.791068906341536</c:v>
                </c:pt>
                <c:pt idx="13">
                  <c:v>22.39294364855138</c:v>
                </c:pt>
                <c:pt idx="14">
                  <c:v>16.969041222835131</c:v>
                </c:pt>
                <c:pt idx="15">
                  <c:v>12.211301534151133</c:v>
                </c:pt>
                <c:pt idx="16">
                  <c:v>15.316352438277931</c:v>
                </c:pt>
                <c:pt idx="17">
                  <c:v>5.584343456517459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11.460497347422447</c:v>
                </c:pt>
                <c:pt idx="21">
                  <c:v>33.085131031292235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7.9804719471503205</c:v>
                </c:pt>
                <c:pt idx="25">
                  <c:v>-1.7592612473364966</c:v>
                </c:pt>
                <c:pt idx="26">
                  <c:v>3.8626497182263222</c:v>
                </c:pt>
                <c:pt idx="27">
                  <c:v>0.37376710568412364</c:v>
                </c:pt>
                <c:pt idx="28">
                  <c:v>0.60861960894675349</c:v>
                </c:pt>
                <c:pt idx="29">
                  <c:v>3.6675371997157811</c:v>
                </c:pt>
                <c:pt idx="30">
                  <c:v>0.69699979014031044</c:v>
                </c:pt>
                <c:pt idx="31">
                  <c:v>1.0371076901644045</c:v>
                </c:pt>
                <c:pt idx="32">
                  <c:v>3.1937048433042747</c:v>
                </c:pt>
                <c:pt idx="33">
                  <c:v>3.5625333267092998</c:v>
                </c:pt>
                <c:pt idx="34">
                  <c:v>8.9321636002719771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CF-4F83-870B-30F3E00617F9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2'!$B$34:$AJ$34</c:f>
              <c:numCache>
                <c:formatCode>0.0</c:formatCode>
                <c:ptCount val="35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-6.2333333333333334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3.6333333333333329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5.333333333333333</c:v>
                </c:pt>
                <c:pt idx="24">
                  <c:v>3.3333333333333335</c:v>
                </c:pt>
                <c:pt idx="25">
                  <c:v>0.83333333333333337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  <c:pt idx="30">
                  <c:v>1.9666666666666666</c:v>
                </c:pt>
                <c:pt idx="31">
                  <c:v>1.8666666666666665</c:v>
                </c:pt>
                <c:pt idx="32">
                  <c:v>-0.33333333333333331</c:v>
                </c:pt>
                <c:pt idx="33">
                  <c:v>-1.5666666666666667</c:v>
                </c:pt>
                <c:pt idx="34">
                  <c:v>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2CF-4F83-870B-30F3E0061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2'!$B$35:$AJ$35</c:f>
              <c:numCache>
                <c:formatCode>#,##0.0</c:formatCode>
                <c:ptCount val="35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85.8</c:v>
                </c:pt>
                <c:pt idx="32">
                  <c:v>85.8</c:v>
                </c:pt>
                <c:pt idx="33">
                  <c:v>85.9</c:v>
                </c:pt>
                <c:pt idx="34">
                  <c:v>84.8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2CF-4F83-870B-30F3E00617F9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2'!$B$29:$AJ$30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2'!$B$36:$AJ$36</c:f>
              <c:numCache>
                <c:formatCode>0.0</c:formatCode>
                <c:ptCount val="35"/>
                <c:pt idx="0">
                  <c:v>92.5</c:v>
                </c:pt>
                <c:pt idx="1">
                  <c:v>92.3</c:v>
                </c:pt>
                <c:pt idx="2">
                  <c:v>92.4</c:v>
                </c:pt>
                <c:pt idx="3">
                  <c:v>91.8</c:v>
                </c:pt>
                <c:pt idx="4">
                  <c:v>92.3</c:v>
                </c:pt>
                <c:pt idx="5">
                  <c:v>89.5</c:v>
                </c:pt>
                <c:pt idx="6">
                  <c:v>85.9</c:v>
                </c:pt>
                <c:pt idx="7">
                  <c:v>86.1</c:v>
                </c:pt>
                <c:pt idx="8">
                  <c:v>86.4</c:v>
                </c:pt>
                <c:pt idx="9">
                  <c:v>89.9</c:v>
                </c:pt>
                <c:pt idx="10">
                  <c:v>80.2</c:v>
                </c:pt>
                <c:pt idx="11">
                  <c:v>84.8</c:v>
                </c:pt>
                <c:pt idx="12">
                  <c:v>78.900000000000006</c:v>
                </c:pt>
                <c:pt idx="13">
                  <c:v>85</c:v>
                </c:pt>
                <c:pt idx="14">
                  <c:v>87.1</c:v>
                </c:pt>
                <c:pt idx="15">
                  <c:v>89.2</c:v>
                </c:pt>
                <c:pt idx="16">
                  <c:v>92.8</c:v>
                </c:pt>
                <c:pt idx="17">
                  <c:v>91.1</c:v>
                </c:pt>
                <c:pt idx="18">
                  <c:v>93.1</c:v>
                </c:pt>
                <c:pt idx="19">
                  <c:v>88.7</c:v>
                </c:pt>
                <c:pt idx="20">
                  <c:v>91.6</c:v>
                </c:pt>
                <c:pt idx="21">
                  <c:v>90.3</c:v>
                </c:pt>
                <c:pt idx="22">
                  <c:v>93.1</c:v>
                </c:pt>
                <c:pt idx="23">
                  <c:v>90.9</c:v>
                </c:pt>
                <c:pt idx="24">
                  <c:v>93.2</c:v>
                </c:pt>
                <c:pt idx="25">
                  <c:v>87.3</c:v>
                </c:pt>
                <c:pt idx="26">
                  <c:v>90.7</c:v>
                </c:pt>
                <c:pt idx="27">
                  <c:v>90.5</c:v>
                </c:pt>
                <c:pt idx="28">
                  <c:v>91.1</c:v>
                </c:pt>
                <c:pt idx="29">
                  <c:v>91.6</c:v>
                </c:pt>
                <c:pt idx="30">
                  <c:v>92.1</c:v>
                </c:pt>
                <c:pt idx="31">
                  <c:v>93</c:v>
                </c:pt>
                <c:pt idx="32">
                  <c:v>92.8</c:v>
                </c:pt>
                <c:pt idx="33">
                  <c:v>93.6</c:v>
                </c:pt>
                <c:pt idx="34">
                  <c:v>92.3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2CF-4F83-870B-30F3E0061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36"/>
          <c:min val="-1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Zakázky,</a:t>
                </a:r>
                <a:r>
                  <a:rPr lang="cs-CZ" sz="700" i="1" baseline="0"/>
                  <a:t> saldo důvěry</a:t>
                </a:r>
                <a:endParaRPr lang="cs-CZ" sz="70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4"/>
      </c:valAx>
      <c:valAx>
        <c:axId val="139177344"/>
        <c:scaling>
          <c:orientation val="minMax"/>
          <c:max val="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2213918312822103E-2"/>
          <c:y val="0.87896093662051111"/>
          <c:w val="0.93380990509815121"/>
          <c:h val="0.10687971406056511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28655934435024E-2"/>
          <c:y val="1.6563187842952781E-2"/>
          <c:w val="0.85309492009152854"/>
          <c:h val="0.76133625371490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3'!$Y$15:$Y$49</c:f>
              <c:numCache>
                <c:formatCode>0.0</c:formatCode>
                <c:ptCount val="35"/>
                <c:pt idx="0">
                  <c:v>6.2253471794327551</c:v>
                </c:pt>
                <c:pt idx="1">
                  <c:v>-1.1597331222501712</c:v>
                </c:pt>
                <c:pt idx="2">
                  <c:v>-4.2621030613208717</c:v>
                </c:pt>
                <c:pt idx="3">
                  <c:v>1.4298809490954008</c:v>
                </c:pt>
                <c:pt idx="4">
                  <c:v>-5.3023237552943012</c:v>
                </c:pt>
                <c:pt idx="5">
                  <c:v>-1.6015070985845303</c:v>
                </c:pt>
                <c:pt idx="6">
                  <c:v>-3.513940190700036</c:v>
                </c:pt>
                <c:pt idx="7">
                  <c:v>-6.7547773118798933</c:v>
                </c:pt>
                <c:pt idx="8">
                  <c:v>-7.4505405993252012</c:v>
                </c:pt>
                <c:pt idx="9">
                  <c:v>-7.6447037851662101</c:v>
                </c:pt>
                <c:pt idx="10">
                  <c:v>-1.0659022928518138</c:v>
                </c:pt>
                <c:pt idx="11">
                  <c:v>-1.9501565735716926</c:v>
                </c:pt>
                <c:pt idx="12">
                  <c:v>12.56681679281154</c:v>
                </c:pt>
                <c:pt idx="13">
                  <c:v>3.6352209593086169</c:v>
                </c:pt>
                <c:pt idx="14">
                  <c:v>-0.45250277847858089</c:v>
                </c:pt>
                <c:pt idx="15">
                  <c:v>-0.36686423022789266</c:v>
                </c:pt>
                <c:pt idx="16">
                  <c:v>6.127543917347853</c:v>
                </c:pt>
                <c:pt idx="17">
                  <c:v>5.164404138620128</c:v>
                </c:pt>
                <c:pt idx="18">
                  <c:v>0.83141650988233495</c:v>
                </c:pt>
                <c:pt idx="19">
                  <c:v>-1.797566845400477</c:v>
                </c:pt>
                <c:pt idx="20">
                  <c:v>-4.9826565284471647</c:v>
                </c:pt>
                <c:pt idx="21">
                  <c:v>-5.0877138737219081</c:v>
                </c:pt>
                <c:pt idx="22">
                  <c:v>0.80057303879562347</c:v>
                </c:pt>
                <c:pt idx="23">
                  <c:v>4.0255408231775744</c:v>
                </c:pt>
                <c:pt idx="24">
                  <c:v>2.3335637307590056</c:v>
                </c:pt>
                <c:pt idx="25">
                  <c:v>10.157712951949884</c:v>
                </c:pt>
                <c:pt idx="26">
                  <c:v>3.5060258659943981</c:v>
                </c:pt>
                <c:pt idx="27">
                  <c:v>2.6826840473015374</c:v>
                </c:pt>
                <c:pt idx="28">
                  <c:v>13.618953451457829</c:v>
                </c:pt>
                <c:pt idx="29">
                  <c:v>6.2883068767468737</c:v>
                </c:pt>
                <c:pt idx="30">
                  <c:v>7.6971216374109597</c:v>
                </c:pt>
                <c:pt idx="31">
                  <c:v>2.4737809593809268</c:v>
                </c:pt>
                <c:pt idx="32">
                  <c:v>1.6006047414653761</c:v>
                </c:pt>
                <c:pt idx="33">
                  <c:v>2.208399715189771</c:v>
                </c:pt>
                <c:pt idx="34">
                  <c:v>-0.60820741180860904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4-4A07-BC8E-C0CD692E68EF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3'!$Z$15:$Z$49</c:f>
              <c:numCache>
                <c:formatCode>0.0</c:formatCode>
                <c:ptCount val="35"/>
                <c:pt idx="0">
                  <c:v>-0.78188106773263832</c:v>
                </c:pt>
                <c:pt idx="1">
                  <c:v>-4.0315428216413887</c:v>
                </c:pt>
                <c:pt idx="2">
                  <c:v>-4.8160517766484885</c:v>
                </c:pt>
                <c:pt idx="3">
                  <c:v>-1.9030520226553096</c:v>
                </c:pt>
                <c:pt idx="4">
                  <c:v>-4.5309950993656098</c:v>
                </c:pt>
                <c:pt idx="5">
                  <c:v>-3.3697664637722933</c:v>
                </c:pt>
                <c:pt idx="6">
                  <c:v>-2.1469085914124069</c:v>
                </c:pt>
                <c:pt idx="7">
                  <c:v>-2.7470685083037565</c:v>
                </c:pt>
                <c:pt idx="8">
                  <c:v>-3.1398706332841959</c:v>
                </c:pt>
                <c:pt idx="9">
                  <c:v>-4.0056430294225027</c:v>
                </c:pt>
                <c:pt idx="10">
                  <c:v>-3.8787162548316361</c:v>
                </c:pt>
                <c:pt idx="11">
                  <c:v>-0.65841186002818719</c:v>
                </c:pt>
                <c:pt idx="12">
                  <c:v>0.47786890208341798</c:v>
                </c:pt>
                <c:pt idx="13">
                  <c:v>1.9373005816972999</c:v>
                </c:pt>
                <c:pt idx="14">
                  <c:v>2.904796622048623</c:v>
                </c:pt>
                <c:pt idx="15">
                  <c:v>1.4962921293093394</c:v>
                </c:pt>
                <c:pt idx="16">
                  <c:v>3.0736722117337725</c:v>
                </c:pt>
                <c:pt idx="17">
                  <c:v>6.8071777084313689</c:v>
                </c:pt>
                <c:pt idx="18">
                  <c:v>7.0167829844998799</c:v>
                </c:pt>
                <c:pt idx="19">
                  <c:v>2.7188479808082135</c:v>
                </c:pt>
                <c:pt idx="20">
                  <c:v>-1.2745226201404676</c:v>
                </c:pt>
                <c:pt idx="21">
                  <c:v>-5.1422429279786392</c:v>
                </c:pt>
                <c:pt idx="22">
                  <c:v>-6.7342170705917956</c:v>
                </c:pt>
                <c:pt idx="23">
                  <c:v>-5.6651468564900309</c:v>
                </c:pt>
                <c:pt idx="24">
                  <c:v>-3.1969407577424542</c:v>
                </c:pt>
                <c:pt idx="25">
                  <c:v>-1.1398666132932971</c:v>
                </c:pt>
                <c:pt idx="26">
                  <c:v>-1.4464934107146989</c:v>
                </c:pt>
                <c:pt idx="27">
                  <c:v>0.24048735059909712</c:v>
                </c:pt>
                <c:pt idx="28">
                  <c:v>1.755150826921277</c:v>
                </c:pt>
                <c:pt idx="29">
                  <c:v>1.2037623377142288</c:v>
                </c:pt>
                <c:pt idx="30">
                  <c:v>4.7158433216264379</c:v>
                </c:pt>
                <c:pt idx="31">
                  <c:v>1.896339068254201</c:v>
                </c:pt>
                <c:pt idx="32">
                  <c:v>0.85222088816528319</c:v>
                </c:pt>
                <c:pt idx="33">
                  <c:v>1.7672393138364433</c:v>
                </c:pt>
                <c:pt idx="34">
                  <c:v>0.54640822409636403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14-4A07-BC8E-C0CD692E6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3'!$X$15:$X$49</c:f>
              <c:numCache>
                <c:formatCode>0.0</c:formatCode>
                <c:ptCount val="35"/>
                <c:pt idx="0">
                  <c:v>5.4557821324321623</c:v>
                </c:pt>
                <c:pt idx="1">
                  <c:v>-5.1731765784549708</c:v>
                </c:pt>
                <c:pt idx="2">
                  <c:v>-9.0565785023449337</c:v>
                </c:pt>
                <c:pt idx="3">
                  <c:v>-0.49376283937078824</c:v>
                </c:pt>
                <c:pt idx="4">
                  <c:v>-9.8157930981707153</c:v>
                </c:pt>
                <c:pt idx="5">
                  <c:v>-4.9423595765509987</c:v>
                </c:pt>
                <c:pt idx="6">
                  <c:v>-5.6526218343779533</c:v>
                </c:pt>
                <c:pt idx="7">
                  <c:v>-9.4988263446711017</c:v>
                </c:pt>
                <c:pt idx="8">
                  <c:v>-10.574598901416195</c:v>
                </c:pt>
                <c:pt idx="9">
                  <c:v>-11.627981895654287</c:v>
                </c:pt>
                <c:pt idx="10">
                  <c:v>-4.9359698629361333</c:v>
                </c:pt>
                <c:pt idx="11">
                  <c:v>-2.622028528480115</c:v>
                </c:pt>
                <c:pt idx="12">
                  <c:v>13.064880633808968</c:v>
                </c:pt>
                <c:pt idx="13">
                  <c:v>5.5567149112452796</c:v>
                </c:pt>
                <c:pt idx="14">
                  <c:v>2.4476299290684125</c:v>
                </c:pt>
                <c:pt idx="15">
                  <c:v>1.1192070418559581</c:v>
                </c:pt>
                <c:pt idx="16">
                  <c:v>9.1967253231964463</c:v>
                </c:pt>
                <c:pt idx="17">
                  <c:v>11.978904772286668</c:v>
                </c:pt>
                <c:pt idx="18">
                  <c:v>7.8499700759570885</c:v>
                </c:pt>
                <c:pt idx="19">
                  <c:v>0.93639063161241154</c:v>
                </c:pt>
                <c:pt idx="20">
                  <c:v>-6.2678973340206454</c:v>
                </c:pt>
                <c:pt idx="21">
                  <c:v>-10.227830277521477</c:v>
                </c:pt>
                <c:pt idx="22">
                  <c:v>-5.9107342052114831</c:v>
                </c:pt>
                <c:pt idx="23">
                  <c:v>-1.649208802201926</c:v>
                </c:pt>
                <c:pt idx="24">
                  <c:v>-0.84275819971591659</c:v>
                </c:pt>
                <c:pt idx="25">
                  <c:v>8.9951369278572741</c:v>
                </c:pt>
                <c:pt idx="26">
                  <c:v>2.0562867293753015</c:v>
                </c:pt>
                <c:pt idx="27">
                  <c:v>2.9379733268088302</c:v>
                </c:pt>
                <c:pt idx="28">
                  <c:v>15.349768758938438</c:v>
                </c:pt>
                <c:pt idx="29">
                  <c:v>7.4981477706511441</c:v>
                </c:pt>
                <c:pt idx="30">
                  <c:v>12.407397843296962</c:v>
                </c:pt>
                <c:pt idx="31">
                  <c:v>4.3053975524044716</c:v>
                </c:pt>
                <c:pt idx="32">
                  <c:v>2.4510944975047835</c:v>
                </c:pt>
                <c:pt idx="33">
                  <c:v>3.9770706476853519</c:v>
                </c:pt>
                <c:pt idx="34">
                  <c:v>-6.1055261803943495E-2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14-4A07-BC8E-C0CD692E6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(pravá 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3'!$AA$15:$AA$49</c:f>
              <c:numCache>
                <c:formatCode>0.0</c:formatCode>
                <c:ptCount val="35"/>
                <c:pt idx="0">
                  <c:v>37.795405718063137</c:v>
                </c:pt>
                <c:pt idx="1">
                  <c:v>-23.565672566981206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-46.3220596465979</c:v>
                </c:pt>
                <c:pt idx="5">
                  <c:v>-13.7148006307727</c:v>
                </c:pt>
                <c:pt idx="6">
                  <c:v>-7.6729748888363787</c:v>
                </c:pt>
                <c:pt idx="7">
                  <c:v>7.5624082232011745</c:v>
                </c:pt>
                <c:pt idx="8">
                  <c:v>-17.695687793252404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67.509727626459153</c:v>
                </c:pt>
                <c:pt idx="13">
                  <c:v>18.978644382544104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9.7504961091663205</c:v>
                </c:pt>
                <c:pt idx="18">
                  <c:v>-1.097606022761255</c:v>
                </c:pt>
                <c:pt idx="19">
                  <c:v>-2.3987783410040464</c:v>
                </c:pt>
                <c:pt idx="20">
                  <c:v>-6.6406358945753823</c:v>
                </c:pt>
                <c:pt idx="21">
                  <c:v>-0.49977652269311079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16.177217458847437</c:v>
                </c:pt>
                <c:pt idx="25">
                  <c:v>9.5350878984013008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30.10697387368856</c:v>
                </c:pt>
                <c:pt idx="29">
                  <c:v>32.836878110611963</c:v>
                </c:pt>
                <c:pt idx="30">
                  <c:v>5.2768249907951201</c:v>
                </c:pt>
                <c:pt idx="31">
                  <c:v>1.8944565811032277</c:v>
                </c:pt>
                <c:pt idx="32">
                  <c:v>15.580283026326185</c:v>
                </c:pt>
                <c:pt idx="33">
                  <c:v>-9.9448521673238588</c:v>
                </c:pt>
                <c:pt idx="34">
                  <c:v>17.050767588263454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414-4A07-BC8E-C0CD692E68EF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Bariéry růstu podniků: žádné (pravá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3'!$AB$15:$AB$49</c:f>
              <c:numCache>
                <c:formatCode>#\ ##0.0</c:formatCode>
                <c:ptCount val="35"/>
                <c:pt idx="0">
                  <c:v>17.099999999999998</c:v>
                </c:pt>
                <c:pt idx="1">
                  <c:v>8.0666666666666664</c:v>
                </c:pt>
                <c:pt idx="2">
                  <c:v>6.6333333333333329</c:v>
                </c:pt>
                <c:pt idx="3">
                  <c:v>6.333333333333333</c:v>
                </c:pt>
                <c:pt idx="4">
                  <c:v>4.7</c:v>
                </c:pt>
                <c:pt idx="5">
                  <c:v>9.0666666666666682</c:v>
                </c:pt>
                <c:pt idx="6">
                  <c:v>6.5666666666666664</c:v>
                </c:pt>
                <c:pt idx="7">
                  <c:v>6.0666666666666664</c:v>
                </c:pt>
                <c:pt idx="8">
                  <c:v>5.7666666666666666</c:v>
                </c:pt>
                <c:pt idx="9">
                  <c:v>5.3666666666666671</c:v>
                </c:pt>
                <c:pt idx="10">
                  <c:v>4.833333333333333</c:v>
                </c:pt>
                <c:pt idx="11">
                  <c:v>4.6333333333333329</c:v>
                </c:pt>
                <c:pt idx="12">
                  <c:v>4.8</c:v>
                </c:pt>
                <c:pt idx="13">
                  <c:v>6.1000000000000005</c:v>
                </c:pt>
                <c:pt idx="14">
                  <c:v>10.899999999999999</c:v>
                </c:pt>
                <c:pt idx="15">
                  <c:v>11.433333333333332</c:v>
                </c:pt>
                <c:pt idx="16">
                  <c:v>8.6999999999999993</c:v>
                </c:pt>
                <c:pt idx="17">
                  <c:v>9.0666666666666682</c:v>
                </c:pt>
                <c:pt idx="18">
                  <c:v>8.5666666666666664</c:v>
                </c:pt>
                <c:pt idx="19">
                  <c:v>10.4</c:v>
                </c:pt>
                <c:pt idx="20">
                  <c:v>12.166666666666666</c:v>
                </c:pt>
                <c:pt idx="21">
                  <c:v>10.866666666666665</c:v>
                </c:pt>
                <c:pt idx="22">
                  <c:v>10.5</c:v>
                </c:pt>
                <c:pt idx="23">
                  <c:v>10.533333333333333</c:v>
                </c:pt>
                <c:pt idx="24">
                  <c:v>10.966666666666669</c:v>
                </c:pt>
                <c:pt idx="25">
                  <c:v>11.733333333333334</c:v>
                </c:pt>
                <c:pt idx="26">
                  <c:v>12.433333333333335</c:v>
                </c:pt>
                <c:pt idx="27">
                  <c:v>11.066666666666668</c:v>
                </c:pt>
                <c:pt idx="28">
                  <c:v>14.066666666666668</c:v>
                </c:pt>
                <c:pt idx="29">
                  <c:v>17</c:v>
                </c:pt>
                <c:pt idx="30">
                  <c:v>16.733333333333334</c:v>
                </c:pt>
                <c:pt idx="31">
                  <c:v>16.366666666666667</c:v>
                </c:pt>
                <c:pt idx="32">
                  <c:v>17.733333333333334</c:v>
                </c:pt>
                <c:pt idx="33">
                  <c:v>17.666666666666668</c:v>
                </c:pt>
                <c:pt idx="34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414-4A07-BC8E-C0CD692E68EF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3'!$AC$15:$AC$49</c:f>
              <c:numCache>
                <c:formatCode>#\ ##0.0</c:formatCode>
                <c:ptCount val="35"/>
                <c:pt idx="0">
                  <c:v>1</c:v>
                </c:pt>
                <c:pt idx="1">
                  <c:v>0.96666666666666679</c:v>
                </c:pt>
                <c:pt idx="2">
                  <c:v>1.4333333333333333</c:v>
                </c:pt>
                <c:pt idx="3">
                  <c:v>1.3</c:v>
                </c:pt>
                <c:pt idx="4">
                  <c:v>1.6333333333333335</c:v>
                </c:pt>
                <c:pt idx="5">
                  <c:v>1.9666666666666666</c:v>
                </c:pt>
                <c:pt idx="6">
                  <c:v>1.3333333333333333</c:v>
                </c:pt>
                <c:pt idx="7">
                  <c:v>1.0333333333333334</c:v>
                </c:pt>
                <c:pt idx="8">
                  <c:v>1.3333333333333333</c:v>
                </c:pt>
                <c:pt idx="9">
                  <c:v>0.76666666666666661</c:v>
                </c:pt>
                <c:pt idx="10">
                  <c:v>0.79999999999999993</c:v>
                </c:pt>
                <c:pt idx="11">
                  <c:v>1.3</c:v>
                </c:pt>
                <c:pt idx="12">
                  <c:v>1.7</c:v>
                </c:pt>
                <c:pt idx="13">
                  <c:v>2.1</c:v>
                </c:pt>
                <c:pt idx="14">
                  <c:v>2.6666666666666665</c:v>
                </c:pt>
                <c:pt idx="15">
                  <c:v>3.1666666666666665</c:v>
                </c:pt>
                <c:pt idx="16">
                  <c:v>6.5999999999999988</c:v>
                </c:pt>
                <c:pt idx="17">
                  <c:v>7.9333333333333336</c:v>
                </c:pt>
                <c:pt idx="18">
                  <c:v>7.333333333333333</c:v>
                </c:pt>
                <c:pt idx="19">
                  <c:v>7.5</c:v>
                </c:pt>
                <c:pt idx="20">
                  <c:v>5.8666666666666671</c:v>
                </c:pt>
                <c:pt idx="21">
                  <c:v>6.5666666666666673</c:v>
                </c:pt>
                <c:pt idx="22">
                  <c:v>7.666666666666667</c:v>
                </c:pt>
                <c:pt idx="23">
                  <c:v>10.066666666666668</c:v>
                </c:pt>
                <c:pt idx="24">
                  <c:v>11.966666666666667</c:v>
                </c:pt>
                <c:pt idx="25">
                  <c:v>14.766666666666666</c:v>
                </c:pt>
                <c:pt idx="26">
                  <c:v>20.633333333333329</c:v>
                </c:pt>
                <c:pt idx="27">
                  <c:v>22.133333333333336</c:v>
                </c:pt>
                <c:pt idx="28">
                  <c:v>24.433333333333334</c:v>
                </c:pt>
                <c:pt idx="29">
                  <c:v>28.333333333333332</c:v>
                </c:pt>
                <c:pt idx="30">
                  <c:v>32.966666666666661</c:v>
                </c:pt>
                <c:pt idx="31">
                  <c:v>40.699999999999996</c:v>
                </c:pt>
                <c:pt idx="32">
                  <c:v>41.733333333333327</c:v>
                </c:pt>
                <c:pt idx="33">
                  <c:v>46.199999999999996</c:v>
                </c:pt>
                <c:pt idx="34">
                  <c:v>50.2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414-4A07-BC8E-C0CD692E68EF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3'!$V$15:$W$49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3'!$AD$15:$AD$49</c:f>
              <c:numCache>
                <c:formatCode>0.0</c:formatCode>
                <c:ptCount val="35"/>
                <c:pt idx="0">
                  <c:v>-40</c:v>
                </c:pt>
                <c:pt idx="1">
                  <c:v>-40.333333333333336</c:v>
                </c:pt>
                <c:pt idx="2">
                  <c:v>-39.166666666666664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-44.666666666666664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-45.166666666666664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-20.833333333333332</c:v>
                </c:pt>
                <c:pt idx="17">
                  <c:v>-16.333333333333332</c:v>
                </c:pt>
                <c:pt idx="18">
                  <c:v>-18.666666666666668</c:v>
                </c:pt>
                <c:pt idx="19">
                  <c:v>-15.666666666666666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-25.833333333333332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-19.833333333333332</c:v>
                </c:pt>
                <c:pt idx="27">
                  <c:v>-15.166666666666666</c:v>
                </c:pt>
                <c:pt idx="28">
                  <c:v>-9.6666666666666661</c:v>
                </c:pt>
                <c:pt idx="29">
                  <c:v>-5.666666666666667</c:v>
                </c:pt>
                <c:pt idx="30">
                  <c:v>-3.1666666666666665</c:v>
                </c:pt>
                <c:pt idx="31">
                  <c:v>0.83333333333333337</c:v>
                </c:pt>
                <c:pt idx="32">
                  <c:v>4.666666666666667</c:v>
                </c:pt>
                <c:pt idx="33">
                  <c:v>3.8333333333333335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414-4A07-BC8E-C0CD692E6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25"/>
          <c:min val="-3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Stavební produkce, zakázky</a:t>
                </a:r>
              </a:p>
            </c:rich>
          </c:tx>
          <c:layout>
            <c:manualLayout>
              <c:xMode val="edge"/>
              <c:yMode val="edge"/>
              <c:x val="2.6741790744013471E-3"/>
              <c:y val="0.1541811204797364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5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Saldo indikátoru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0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0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0289395857067181E-3"/>
          <c:y val="0.86714554937397748"/>
          <c:w val="0.98289481343746343"/>
          <c:h val="0.1233574576253902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018110435663631E-2"/>
          <c:y val="1.6432335801879864E-2"/>
          <c:w val="0.84448940391759542"/>
          <c:h val="0.75458469148421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4'!$B$52</c:f>
              <c:strCache>
                <c:ptCount val="1"/>
                <c:pt idx="0">
                  <c:v>Služby celkem</c:v>
                </c:pt>
              </c:strCache>
            </c:strRef>
          </c:tx>
          <c:spPr>
            <a:solidFill>
              <a:srgbClr val="BEBEBE"/>
            </a:solidFill>
          </c:spPr>
          <c:invertIfNegative val="0"/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4'!$G$52:$AO$52</c:f>
              <c:numCache>
                <c:formatCode>##0.0</c:formatCode>
                <c:ptCount val="35"/>
                <c:pt idx="0">
                  <c:v>97.408341476700002</c:v>
                </c:pt>
                <c:pt idx="1">
                  <c:v>97.673223460000003</c:v>
                </c:pt>
                <c:pt idx="2">
                  <c:v>95.615114413300006</c:v>
                </c:pt>
                <c:pt idx="3">
                  <c:v>96.523836689999996</c:v>
                </c:pt>
                <c:pt idx="4">
                  <c:v>97.055498293300005</c:v>
                </c:pt>
                <c:pt idx="5">
                  <c:v>96.470807876699993</c:v>
                </c:pt>
                <c:pt idx="6">
                  <c:v>96.767490219999999</c:v>
                </c:pt>
                <c:pt idx="7">
                  <c:v>95.497615596700001</c:v>
                </c:pt>
                <c:pt idx="8">
                  <c:v>96.612751270000004</c:v>
                </c:pt>
                <c:pt idx="9">
                  <c:v>95.725248463300005</c:v>
                </c:pt>
                <c:pt idx="10">
                  <c:v>95.402295673300003</c:v>
                </c:pt>
                <c:pt idx="11">
                  <c:v>97.041291946699999</c:v>
                </c:pt>
                <c:pt idx="12">
                  <c:v>95.941201626700007</c:v>
                </c:pt>
                <c:pt idx="13">
                  <c:v>97.145665609999995</c:v>
                </c:pt>
                <c:pt idx="14">
                  <c:v>97.712548416700002</c:v>
                </c:pt>
                <c:pt idx="15">
                  <c:v>98.138023976699998</c:v>
                </c:pt>
                <c:pt idx="16">
                  <c:v>98.971396589999998</c:v>
                </c:pt>
                <c:pt idx="17">
                  <c:v>99.880066310000004</c:v>
                </c:pt>
                <c:pt idx="18">
                  <c:v>100.4636147633</c:v>
                </c:pt>
                <c:pt idx="19">
                  <c:v>100.68492234</c:v>
                </c:pt>
                <c:pt idx="20">
                  <c:v>99.67624653</c:v>
                </c:pt>
                <c:pt idx="21">
                  <c:v>99.824075149999999</c:v>
                </c:pt>
                <c:pt idx="22">
                  <c:v>101.6277266833</c:v>
                </c:pt>
                <c:pt idx="23">
                  <c:v>103.0943828967</c:v>
                </c:pt>
                <c:pt idx="24">
                  <c:v>103.8295094333</c:v>
                </c:pt>
                <c:pt idx="25">
                  <c:v>105.0216821067</c:v>
                </c:pt>
                <c:pt idx="26">
                  <c:v>105.22416738</c:v>
                </c:pt>
                <c:pt idx="27">
                  <c:v>106.6191803767</c:v>
                </c:pt>
                <c:pt idx="28">
                  <c:v>108.3697590133</c:v>
                </c:pt>
                <c:pt idx="29">
                  <c:v>108.4247178967</c:v>
                </c:pt>
                <c:pt idx="30">
                  <c:v>109.25605159</c:v>
                </c:pt>
                <c:pt idx="31">
                  <c:v>108.47627926</c:v>
                </c:pt>
                <c:pt idx="32">
                  <c:v>110.0719555933</c:v>
                </c:pt>
                <c:pt idx="33">
                  <c:v>109.78234931670001</c:v>
                </c:pt>
                <c:pt idx="34">
                  <c:v>108.92261643000001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D-4F27-9A9B-25B1B995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155616768"/>
        <c:axId val="155618304"/>
      </c:barChart>
      <c:lineChart>
        <c:grouping val="standard"/>
        <c:varyColors val="0"/>
        <c:ser>
          <c:idx val="1"/>
          <c:order val="1"/>
          <c:tx>
            <c:strRef>
              <c:f>'výkonnost odvětví 4'!$B$53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4'!$G$53:$AO$53</c:f>
              <c:numCache>
                <c:formatCode>##0.0</c:formatCode>
                <c:ptCount val="35"/>
                <c:pt idx="0">
                  <c:v>92.210011063300001</c:v>
                </c:pt>
                <c:pt idx="1">
                  <c:v>92.474497493300007</c:v>
                </c:pt>
                <c:pt idx="2">
                  <c:v>91.734237136700003</c:v>
                </c:pt>
                <c:pt idx="3">
                  <c:v>93.153898639999994</c:v>
                </c:pt>
                <c:pt idx="4">
                  <c:v>93.059891160000006</c:v>
                </c:pt>
                <c:pt idx="5">
                  <c:v>94.331590070000004</c:v>
                </c:pt>
                <c:pt idx="6">
                  <c:v>95.441342079999998</c:v>
                </c:pt>
                <c:pt idx="7">
                  <c:v>91.637415166699995</c:v>
                </c:pt>
                <c:pt idx="8">
                  <c:v>95.377032940000007</c:v>
                </c:pt>
                <c:pt idx="9">
                  <c:v>96.793121366700007</c:v>
                </c:pt>
                <c:pt idx="10">
                  <c:v>96.932984579999996</c:v>
                </c:pt>
                <c:pt idx="11">
                  <c:v>100.9396146967</c:v>
                </c:pt>
                <c:pt idx="12">
                  <c:v>98.534688753300003</c:v>
                </c:pt>
                <c:pt idx="13">
                  <c:v>99.283679430000007</c:v>
                </c:pt>
                <c:pt idx="14">
                  <c:v>100.26162911670001</c:v>
                </c:pt>
                <c:pt idx="15">
                  <c:v>100.3678235733</c:v>
                </c:pt>
                <c:pt idx="16">
                  <c:v>98.917278916699999</c:v>
                </c:pt>
                <c:pt idx="17">
                  <c:v>99.292593073299997</c:v>
                </c:pt>
                <c:pt idx="18">
                  <c:v>100.89777098</c:v>
                </c:pt>
                <c:pt idx="19">
                  <c:v>100.89235703</c:v>
                </c:pt>
                <c:pt idx="20">
                  <c:v>99.603183426699999</c:v>
                </c:pt>
                <c:pt idx="21">
                  <c:v>100.40261469329999</c:v>
                </c:pt>
                <c:pt idx="22">
                  <c:v>101.26453315000001</c:v>
                </c:pt>
                <c:pt idx="23">
                  <c:v>103.9548502967</c:v>
                </c:pt>
                <c:pt idx="24">
                  <c:v>104.40231455999999</c:v>
                </c:pt>
                <c:pt idx="25">
                  <c:v>104.1461293067</c:v>
                </c:pt>
                <c:pt idx="26">
                  <c:v>105.0382679933</c:v>
                </c:pt>
                <c:pt idx="27">
                  <c:v>106.5770284167</c:v>
                </c:pt>
                <c:pt idx="28">
                  <c:v>110.15857635330001</c:v>
                </c:pt>
                <c:pt idx="29">
                  <c:v>110.6760278933</c:v>
                </c:pt>
                <c:pt idx="30">
                  <c:v>110.47380604999999</c:v>
                </c:pt>
                <c:pt idx="31">
                  <c:v>108.8995676933</c:v>
                </c:pt>
                <c:pt idx="32">
                  <c:v>111.36636688999999</c:v>
                </c:pt>
                <c:pt idx="33">
                  <c:v>110.1207952733</c:v>
                </c:pt>
                <c:pt idx="34">
                  <c:v>108.3842170133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BD-4F27-9A9B-25B1B99596FC}"/>
            </c:ext>
          </c:extLst>
        </c:ser>
        <c:ser>
          <c:idx val="2"/>
          <c:order val="2"/>
          <c:tx>
            <c:strRef>
              <c:f>'výkonnost odvětví 4'!$B$54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4'!$G$54:$AO$54</c:f>
              <c:numCache>
                <c:formatCode>##0.0</c:formatCode>
                <c:ptCount val="35"/>
                <c:pt idx="0">
                  <c:v>95.718670136699998</c:v>
                </c:pt>
                <c:pt idx="1">
                  <c:v>96.548342236699995</c:v>
                </c:pt>
                <c:pt idx="2">
                  <c:v>94.814050850000001</c:v>
                </c:pt>
                <c:pt idx="3">
                  <c:v>94.660125796700001</c:v>
                </c:pt>
                <c:pt idx="4">
                  <c:v>93.776267693299999</c:v>
                </c:pt>
                <c:pt idx="5">
                  <c:v>93.242880263299995</c:v>
                </c:pt>
                <c:pt idx="6">
                  <c:v>92.942876706700005</c:v>
                </c:pt>
                <c:pt idx="7">
                  <c:v>92.760785166700003</c:v>
                </c:pt>
                <c:pt idx="8">
                  <c:v>93.421747873300006</c:v>
                </c:pt>
                <c:pt idx="9">
                  <c:v>92.951178133300004</c:v>
                </c:pt>
                <c:pt idx="10">
                  <c:v>93.656029356700003</c:v>
                </c:pt>
                <c:pt idx="11">
                  <c:v>92.960213803299993</c:v>
                </c:pt>
                <c:pt idx="12">
                  <c:v>93.364144249999995</c:v>
                </c:pt>
                <c:pt idx="13">
                  <c:v>93.485621039999998</c:v>
                </c:pt>
                <c:pt idx="14">
                  <c:v>94.020559879999993</c:v>
                </c:pt>
                <c:pt idx="15">
                  <c:v>96.910029949999995</c:v>
                </c:pt>
                <c:pt idx="16">
                  <c:v>97.350410176699995</c:v>
                </c:pt>
                <c:pt idx="17">
                  <c:v>100.0926208967</c:v>
                </c:pt>
                <c:pt idx="18">
                  <c:v>100.9442236933</c:v>
                </c:pt>
                <c:pt idx="19">
                  <c:v>101.61274523669999</c:v>
                </c:pt>
                <c:pt idx="20">
                  <c:v>102.5644864233</c:v>
                </c:pt>
                <c:pt idx="21">
                  <c:v>103.55460004</c:v>
                </c:pt>
                <c:pt idx="22">
                  <c:v>108.0853410333</c:v>
                </c:pt>
                <c:pt idx="23">
                  <c:v>110.33791934</c:v>
                </c:pt>
                <c:pt idx="24">
                  <c:v>113.63843531329999</c:v>
                </c:pt>
                <c:pt idx="25">
                  <c:v>116.4049086867</c:v>
                </c:pt>
                <c:pt idx="26">
                  <c:v>116.2571430567</c:v>
                </c:pt>
                <c:pt idx="27">
                  <c:v>117.15596084329999</c:v>
                </c:pt>
                <c:pt idx="28">
                  <c:v>116.9576648967</c:v>
                </c:pt>
                <c:pt idx="29">
                  <c:v>117.0077267567</c:v>
                </c:pt>
                <c:pt idx="30">
                  <c:v>117.5849120367</c:v>
                </c:pt>
                <c:pt idx="31">
                  <c:v>117.6184245967</c:v>
                </c:pt>
                <c:pt idx="32">
                  <c:v>118.6517077667</c:v>
                </c:pt>
                <c:pt idx="33">
                  <c:v>118.63145227</c:v>
                </c:pt>
                <c:pt idx="34">
                  <c:v>117.8868625333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BD-4F27-9A9B-25B1B99596FC}"/>
            </c:ext>
          </c:extLst>
        </c:ser>
        <c:ser>
          <c:idx val="3"/>
          <c:order val="3"/>
          <c:tx>
            <c:strRef>
              <c:f>'výkonnost odvětví 4'!$B$55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4'!$G$55:$AO$55</c:f>
              <c:numCache>
                <c:formatCode>##0.0</c:formatCode>
                <c:ptCount val="35"/>
                <c:pt idx="0">
                  <c:v>94.331796929999996</c:v>
                </c:pt>
                <c:pt idx="1">
                  <c:v>93.926248043300006</c:v>
                </c:pt>
                <c:pt idx="2">
                  <c:v>93.410856240000001</c:v>
                </c:pt>
                <c:pt idx="3">
                  <c:v>93.127078573299997</c:v>
                </c:pt>
                <c:pt idx="4">
                  <c:v>94.589829010000003</c:v>
                </c:pt>
                <c:pt idx="5">
                  <c:v>93.935713879999994</c:v>
                </c:pt>
                <c:pt idx="6">
                  <c:v>94.961086193300005</c:v>
                </c:pt>
                <c:pt idx="7">
                  <c:v>92.964281736700002</c:v>
                </c:pt>
                <c:pt idx="8">
                  <c:v>92.784363040000002</c:v>
                </c:pt>
                <c:pt idx="9">
                  <c:v>93.858123226700002</c:v>
                </c:pt>
                <c:pt idx="10">
                  <c:v>92.935331973299995</c:v>
                </c:pt>
                <c:pt idx="11">
                  <c:v>93.07724374</c:v>
                </c:pt>
                <c:pt idx="12">
                  <c:v>92.812725093300003</c:v>
                </c:pt>
                <c:pt idx="13">
                  <c:v>94.719704980000003</c:v>
                </c:pt>
                <c:pt idx="14">
                  <c:v>95.671175149999996</c:v>
                </c:pt>
                <c:pt idx="15">
                  <c:v>95.9042947067</c:v>
                </c:pt>
                <c:pt idx="16">
                  <c:v>98.619002113299999</c:v>
                </c:pt>
                <c:pt idx="17">
                  <c:v>99.336667526699998</c:v>
                </c:pt>
                <c:pt idx="18">
                  <c:v>99.878350310000002</c:v>
                </c:pt>
                <c:pt idx="19">
                  <c:v>102.1659800433</c:v>
                </c:pt>
                <c:pt idx="20">
                  <c:v>100.1542872667</c:v>
                </c:pt>
                <c:pt idx="21">
                  <c:v>100.1541973067</c:v>
                </c:pt>
                <c:pt idx="22">
                  <c:v>101.5419151</c:v>
                </c:pt>
                <c:pt idx="23">
                  <c:v>103.61662317</c:v>
                </c:pt>
                <c:pt idx="24">
                  <c:v>103.24120451</c:v>
                </c:pt>
                <c:pt idx="25">
                  <c:v>105.8681786233</c:v>
                </c:pt>
                <c:pt idx="26">
                  <c:v>105.70023114</c:v>
                </c:pt>
                <c:pt idx="27">
                  <c:v>107.5343500267</c:v>
                </c:pt>
                <c:pt idx="28">
                  <c:v>110.5575188633</c:v>
                </c:pt>
                <c:pt idx="29">
                  <c:v>110.0678378967</c:v>
                </c:pt>
                <c:pt idx="30">
                  <c:v>113.2026607567</c:v>
                </c:pt>
                <c:pt idx="31">
                  <c:v>113.2978503967</c:v>
                </c:pt>
                <c:pt idx="32">
                  <c:v>115.9113990667</c:v>
                </c:pt>
                <c:pt idx="33">
                  <c:v>117.33337962669999</c:v>
                </c:pt>
                <c:pt idx="34">
                  <c:v>118.5698091467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BD-4F27-9A9B-25B1B99596FC}"/>
            </c:ext>
          </c:extLst>
        </c:ser>
        <c:ser>
          <c:idx val="4"/>
          <c:order val="4"/>
          <c:tx>
            <c:strRef>
              <c:f>'výkonnost odvětví 4'!$B$56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4'!$G$56:$AO$56</c:f>
              <c:numCache>
                <c:formatCode>##0.0</c:formatCode>
                <c:ptCount val="35"/>
                <c:pt idx="0">
                  <c:v>109.75940683330001</c:v>
                </c:pt>
                <c:pt idx="1">
                  <c:v>108.1235870033</c:v>
                </c:pt>
                <c:pt idx="2">
                  <c:v>106.9661465133</c:v>
                </c:pt>
                <c:pt idx="3">
                  <c:v>105.50815548999999</c:v>
                </c:pt>
                <c:pt idx="4">
                  <c:v>103.75922661</c:v>
                </c:pt>
                <c:pt idx="5">
                  <c:v>102.94533345000001</c:v>
                </c:pt>
                <c:pt idx="6">
                  <c:v>101.2251304033</c:v>
                </c:pt>
                <c:pt idx="7">
                  <c:v>102.0329600667</c:v>
                </c:pt>
                <c:pt idx="8">
                  <c:v>101.7413418167</c:v>
                </c:pt>
                <c:pt idx="9">
                  <c:v>99.857792506699994</c:v>
                </c:pt>
                <c:pt idx="10">
                  <c:v>100.16564681</c:v>
                </c:pt>
                <c:pt idx="11">
                  <c:v>99.115132873299999</c:v>
                </c:pt>
                <c:pt idx="12">
                  <c:v>98.881896746699994</c:v>
                </c:pt>
                <c:pt idx="13">
                  <c:v>99.888891349999994</c:v>
                </c:pt>
                <c:pt idx="14">
                  <c:v>99.787170353299999</c:v>
                </c:pt>
                <c:pt idx="15">
                  <c:v>99.2056797133</c:v>
                </c:pt>
                <c:pt idx="16">
                  <c:v>99.247011976699994</c:v>
                </c:pt>
                <c:pt idx="17">
                  <c:v>99.815255413299994</c:v>
                </c:pt>
                <c:pt idx="18">
                  <c:v>100.2707147333</c:v>
                </c:pt>
                <c:pt idx="19">
                  <c:v>100.66701788</c:v>
                </c:pt>
                <c:pt idx="20">
                  <c:v>100.45642703</c:v>
                </c:pt>
                <c:pt idx="21">
                  <c:v>100.3814015167</c:v>
                </c:pt>
                <c:pt idx="22">
                  <c:v>101.7128348967</c:v>
                </c:pt>
                <c:pt idx="23">
                  <c:v>101.20694154669999</c:v>
                </c:pt>
                <c:pt idx="24">
                  <c:v>102.6310566033</c:v>
                </c:pt>
                <c:pt idx="25">
                  <c:v>103.4044068467</c:v>
                </c:pt>
                <c:pt idx="26">
                  <c:v>102.3258486033</c:v>
                </c:pt>
                <c:pt idx="27">
                  <c:v>102.68216545</c:v>
                </c:pt>
                <c:pt idx="28">
                  <c:v>101.8807956567</c:v>
                </c:pt>
                <c:pt idx="29">
                  <c:v>101.61611092</c:v>
                </c:pt>
                <c:pt idx="30">
                  <c:v>101.52961589</c:v>
                </c:pt>
                <c:pt idx="31">
                  <c:v>101.2220719267</c:v>
                </c:pt>
                <c:pt idx="32">
                  <c:v>101.3874087233</c:v>
                </c:pt>
                <c:pt idx="33">
                  <c:v>100.81025081999999</c:v>
                </c:pt>
                <c:pt idx="34">
                  <c:v>100.09232883999999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BD-4F27-9A9B-25B1B99596FC}"/>
            </c:ext>
          </c:extLst>
        </c:ser>
        <c:ser>
          <c:idx val="5"/>
          <c:order val="5"/>
          <c:tx>
            <c:strRef>
              <c:f>'výkonnost odvětví 4'!$B$57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4'!$G$57:$AO$57</c:f>
              <c:numCache>
                <c:formatCode>##0.0</c:formatCode>
                <c:ptCount val="35"/>
                <c:pt idx="0">
                  <c:v>110.3599323233</c:v>
                </c:pt>
                <c:pt idx="1">
                  <c:v>110.9959443833</c:v>
                </c:pt>
                <c:pt idx="2">
                  <c:v>105.1258649067</c:v>
                </c:pt>
                <c:pt idx="3">
                  <c:v>104.91580485</c:v>
                </c:pt>
                <c:pt idx="4">
                  <c:v>107.5432417433</c:v>
                </c:pt>
                <c:pt idx="5">
                  <c:v>104.6911563467</c:v>
                </c:pt>
                <c:pt idx="6">
                  <c:v>105.1031939267</c:v>
                </c:pt>
                <c:pt idx="7">
                  <c:v>103.9203424233</c:v>
                </c:pt>
                <c:pt idx="8">
                  <c:v>102.27832457</c:v>
                </c:pt>
                <c:pt idx="9">
                  <c:v>96.831860270000007</c:v>
                </c:pt>
                <c:pt idx="10">
                  <c:v>95.386709839999995</c:v>
                </c:pt>
                <c:pt idx="11">
                  <c:v>98.122475890000004</c:v>
                </c:pt>
                <c:pt idx="12">
                  <c:v>95.471230079999998</c:v>
                </c:pt>
                <c:pt idx="13">
                  <c:v>97.15151444</c:v>
                </c:pt>
                <c:pt idx="14">
                  <c:v>97.239541669999994</c:v>
                </c:pt>
                <c:pt idx="15">
                  <c:v>97.369149546700001</c:v>
                </c:pt>
                <c:pt idx="16">
                  <c:v>100.22249622</c:v>
                </c:pt>
                <c:pt idx="17">
                  <c:v>101.0636779667</c:v>
                </c:pt>
                <c:pt idx="18">
                  <c:v>100.12507582000001</c:v>
                </c:pt>
                <c:pt idx="19">
                  <c:v>98.588749989999997</c:v>
                </c:pt>
                <c:pt idx="20">
                  <c:v>97.316872116699997</c:v>
                </c:pt>
                <c:pt idx="21">
                  <c:v>96.183428083300001</c:v>
                </c:pt>
                <c:pt idx="22">
                  <c:v>98.710106699999997</c:v>
                </c:pt>
                <c:pt idx="23">
                  <c:v>98.210333550000001</c:v>
                </c:pt>
                <c:pt idx="24">
                  <c:v>98.773410503299999</c:v>
                </c:pt>
                <c:pt idx="25">
                  <c:v>99.792214959999995</c:v>
                </c:pt>
                <c:pt idx="26">
                  <c:v>100.2527886367</c:v>
                </c:pt>
                <c:pt idx="27">
                  <c:v>101.43994791670001</c:v>
                </c:pt>
                <c:pt idx="28">
                  <c:v>102.02185652999999</c:v>
                </c:pt>
                <c:pt idx="29">
                  <c:v>101.80292043670001</c:v>
                </c:pt>
                <c:pt idx="30">
                  <c:v>102.5323225567</c:v>
                </c:pt>
                <c:pt idx="31">
                  <c:v>101.61743296669999</c:v>
                </c:pt>
                <c:pt idx="32">
                  <c:v>102.59894288</c:v>
                </c:pt>
                <c:pt idx="33">
                  <c:v>102.28614743</c:v>
                </c:pt>
                <c:pt idx="34">
                  <c:v>100.67648490000001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CBD-4F27-9A9B-25B1B99596FC}"/>
            </c:ext>
          </c:extLst>
        </c:ser>
        <c:ser>
          <c:idx val="6"/>
          <c:order val="6"/>
          <c:tx>
            <c:strRef>
              <c:f>'výkonnost odvětví 4'!$B$58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E6E100"/>
              </a:solidFill>
            </a:ln>
          </c:spPr>
          <c:marker>
            <c:symbol val="none"/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4'!$G$58:$AO$58</c:f>
              <c:numCache>
                <c:formatCode>##0.0</c:formatCode>
                <c:ptCount val="35"/>
                <c:pt idx="0">
                  <c:v>88.544117630000002</c:v>
                </c:pt>
                <c:pt idx="1">
                  <c:v>89.908680899999993</c:v>
                </c:pt>
                <c:pt idx="2">
                  <c:v>90.222559869999998</c:v>
                </c:pt>
                <c:pt idx="3">
                  <c:v>91.598159106699995</c:v>
                </c:pt>
                <c:pt idx="4">
                  <c:v>92.38608893</c:v>
                </c:pt>
                <c:pt idx="5">
                  <c:v>91.842137219999998</c:v>
                </c:pt>
                <c:pt idx="6">
                  <c:v>92.732469313300001</c:v>
                </c:pt>
                <c:pt idx="7">
                  <c:v>91.119310633300003</c:v>
                </c:pt>
                <c:pt idx="8">
                  <c:v>92.957828620000001</c:v>
                </c:pt>
                <c:pt idx="9">
                  <c:v>92.226183166699997</c:v>
                </c:pt>
                <c:pt idx="10">
                  <c:v>92.988140283299998</c:v>
                </c:pt>
                <c:pt idx="11">
                  <c:v>93.720316330000003</c:v>
                </c:pt>
                <c:pt idx="12">
                  <c:v>93.829048929999999</c:v>
                </c:pt>
                <c:pt idx="13">
                  <c:v>95.858928270000007</c:v>
                </c:pt>
                <c:pt idx="14">
                  <c:v>96.239180056699993</c:v>
                </c:pt>
                <c:pt idx="15">
                  <c:v>97.672813213300003</c:v>
                </c:pt>
                <c:pt idx="16">
                  <c:v>98.020516613300003</c:v>
                </c:pt>
                <c:pt idx="17">
                  <c:v>99.877625893300007</c:v>
                </c:pt>
                <c:pt idx="18">
                  <c:v>100.8795175967</c:v>
                </c:pt>
                <c:pt idx="19">
                  <c:v>101.2223399033</c:v>
                </c:pt>
                <c:pt idx="20">
                  <c:v>101.2763999567</c:v>
                </c:pt>
                <c:pt idx="21">
                  <c:v>102.2068470533</c:v>
                </c:pt>
                <c:pt idx="22">
                  <c:v>104.3674129167</c:v>
                </c:pt>
                <c:pt idx="23">
                  <c:v>106.69489278</c:v>
                </c:pt>
                <c:pt idx="24">
                  <c:v>108.22513141330001</c:v>
                </c:pt>
                <c:pt idx="25">
                  <c:v>110.3681802967</c:v>
                </c:pt>
                <c:pt idx="26">
                  <c:v>110.19853381670001</c:v>
                </c:pt>
                <c:pt idx="27">
                  <c:v>112.0499243167</c:v>
                </c:pt>
                <c:pt idx="28">
                  <c:v>112.58998151670001</c:v>
                </c:pt>
                <c:pt idx="29">
                  <c:v>113.19813678</c:v>
                </c:pt>
                <c:pt idx="30">
                  <c:v>113.85682773329999</c:v>
                </c:pt>
                <c:pt idx="31">
                  <c:v>112.9873510167</c:v>
                </c:pt>
                <c:pt idx="32">
                  <c:v>113.3709114733</c:v>
                </c:pt>
                <c:pt idx="33">
                  <c:v>112.71992681</c:v>
                </c:pt>
                <c:pt idx="34">
                  <c:v>111.8270766867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CBD-4F27-9A9B-25B1B995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616768"/>
        <c:axId val="155618304"/>
      </c:lineChart>
      <c:lineChart>
        <c:grouping val="standard"/>
        <c:varyColors val="0"/>
        <c:ser>
          <c:idx val="7"/>
          <c:order val="7"/>
          <c:tx>
            <c:strRef>
              <c:f>'výkonnost odvětví 4'!$B$59</c:f>
              <c:strCache>
                <c:ptCount val="1"/>
                <c:pt idx="0">
                  <c:v>Saldo indik.důvěry ve službách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4'!$G$50:$AO$51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4'!$G$59:$AO$59</c:f>
              <c:numCache>
                <c:formatCode>0.0</c:formatCode>
                <c:ptCount val="35"/>
                <c:pt idx="0">
                  <c:v>26.766666666666666</c:v>
                </c:pt>
                <c:pt idx="1">
                  <c:v>28.566666666666666</c:v>
                </c:pt>
                <c:pt idx="2">
                  <c:v>26.766666666666666</c:v>
                </c:pt>
                <c:pt idx="3">
                  <c:v>23.2</c:v>
                </c:pt>
                <c:pt idx="4">
                  <c:v>26.333333333333332</c:v>
                </c:pt>
                <c:pt idx="5">
                  <c:v>25.666666666666668</c:v>
                </c:pt>
                <c:pt idx="6">
                  <c:v>23.866666666666664</c:v>
                </c:pt>
                <c:pt idx="7">
                  <c:v>23.3</c:v>
                </c:pt>
                <c:pt idx="8">
                  <c:v>23.666666666666668</c:v>
                </c:pt>
                <c:pt idx="9">
                  <c:v>22.233333333333334</c:v>
                </c:pt>
                <c:pt idx="10">
                  <c:v>22.366666666666664</c:v>
                </c:pt>
                <c:pt idx="11">
                  <c:v>26.333333333333332</c:v>
                </c:pt>
                <c:pt idx="12">
                  <c:v>26.900000000000002</c:v>
                </c:pt>
                <c:pt idx="13">
                  <c:v>26.666666666666668</c:v>
                </c:pt>
                <c:pt idx="14">
                  <c:v>29.233333333333334</c:v>
                </c:pt>
                <c:pt idx="15">
                  <c:v>31.666666666666668</c:v>
                </c:pt>
                <c:pt idx="16">
                  <c:v>29.466666666666669</c:v>
                </c:pt>
                <c:pt idx="17">
                  <c:v>29.133333333333336</c:v>
                </c:pt>
                <c:pt idx="18">
                  <c:v>30.633333333333336</c:v>
                </c:pt>
                <c:pt idx="19">
                  <c:v>32.466666666666669</c:v>
                </c:pt>
                <c:pt idx="20">
                  <c:v>33.56666666666667</c:v>
                </c:pt>
                <c:pt idx="21">
                  <c:v>32.43333333333333</c:v>
                </c:pt>
                <c:pt idx="22">
                  <c:v>33.666666666666664</c:v>
                </c:pt>
                <c:pt idx="23">
                  <c:v>36.700000000000003</c:v>
                </c:pt>
                <c:pt idx="24">
                  <c:v>35.299999999999997</c:v>
                </c:pt>
                <c:pt idx="25">
                  <c:v>37.366666666666667</c:v>
                </c:pt>
                <c:pt idx="26">
                  <c:v>37.533333333333331</c:v>
                </c:pt>
                <c:pt idx="27">
                  <c:v>35.9</c:v>
                </c:pt>
                <c:pt idx="28">
                  <c:v>37.199999999999996</c:v>
                </c:pt>
                <c:pt idx="29">
                  <c:v>37.56666666666667</c:v>
                </c:pt>
                <c:pt idx="30">
                  <c:v>38.1</c:v>
                </c:pt>
                <c:pt idx="31">
                  <c:v>39</c:v>
                </c:pt>
                <c:pt idx="32">
                  <c:v>38</c:v>
                </c:pt>
                <c:pt idx="33">
                  <c:v>34.700000000000003</c:v>
                </c:pt>
                <c:pt idx="34">
                  <c:v>33.233333333333334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CBD-4F27-9A9B-25B1B995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625728"/>
        <c:axId val="155624192"/>
      </c:lineChart>
      <c:catAx>
        <c:axId val="15561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5618304"/>
        <c:crossesAt val="100"/>
        <c:auto val="0"/>
        <c:lblAlgn val="ctr"/>
        <c:lblOffset val="0"/>
        <c:tickLblSkip val="1"/>
        <c:tickMarkSkip val="4"/>
        <c:noMultiLvlLbl val="0"/>
      </c:catAx>
      <c:valAx>
        <c:axId val="155618304"/>
        <c:scaling>
          <c:orientation val="minMax"/>
          <c:max val="12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Index</a:t>
                </a:r>
                <a:r>
                  <a:rPr lang="cs-CZ" sz="700" i="1" baseline="0"/>
                  <a:t> tržeb</a:t>
                </a:r>
                <a:endParaRPr lang="cs-CZ" sz="70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5616768"/>
        <c:crosses val="autoZero"/>
        <c:crossBetween val="between"/>
        <c:majorUnit val="5"/>
      </c:valAx>
      <c:valAx>
        <c:axId val="155624192"/>
        <c:scaling>
          <c:orientation val="minMax"/>
          <c:max val="4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Saldo</a:t>
                </a:r>
                <a:r>
                  <a:rPr lang="cs-CZ" sz="700" i="1" baseline="0"/>
                  <a:t> indikátoru důvěry</a:t>
                </a:r>
                <a:endParaRPr lang="cs-CZ" sz="700" i="1"/>
              </a:p>
            </c:rich>
          </c:tx>
          <c:layout>
            <c:manualLayout>
              <c:xMode val="edge"/>
              <c:yMode val="edge"/>
              <c:x val="0.96730897500844304"/>
              <c:y val="0.3162537944263796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5625728"/>
        <c:crosses val="max"/>
        <c:crossBetween val="between"/>
      </c:valAx>
      <c:catAx>
        <c:axId val="155625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5624192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5780986153326569E-2"/>
          <c:y val="0.85874771124253424"/>
          <c:w val="0.90116936845660234"/>
          <c:h val="0.13393680940894773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0.41072</cdr:x>
      <cdr:y>0.0237</cdr:y>
    </cdr:from>
    <cdr:to>
      <cdr:x>0.4599</cdr:x>
      <cdr:y>0.04988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1947326" y="86007"/>
          <a:ext cx="233167" cy="9496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984807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0.47234</cdr:x>
      <cdr:y>0.03333</cdr:y>
    </cdr:from>
    <cdr:to>
      <cdr:x>0.52292</cdr:x>
      <cdr:y>0.06113</cdr:y>
    </cdr:to>
    <cdr:sp macro="" textlink="">
      <cdr:nvSpPr>
        <cdr:cNvPr id="3" name="TextovéPole 2"/>
        <cdr:cNvSpPr txBox="1"/>
      </cdr:nvSpPr>
      <cdr:spPr>
        <a:xfrm xmlns:a="http://schemas.openxmlformats.org/drawingml/2006/main" flipH="1">
          <a:off x="2239488" y="120931"/>
          <a:ext cx="239812" cy="10086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984807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F47-8A21-4794-AFC9-95B5C3BE1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B2483-7FC3-4AEA-8EDD-E238A44B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48</TotalTime>
  <Pages>1</Pages>
  <Words>2747</Words>
  <Characters>16209</Characters>
  <Application>Microsoft Office Word</Application>
  <DocSecurity>0</DocSecurity>
  <Lines>135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18919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14</cp:revision>
  <cp:lastPrinted>2019-04-08T10:52:00Z</cp:lastPrinted>
  <dcterms:created xsi:type="dcterms:W3CDTF">2019-12-13T09:19:00Z</dcterms:created>
  <dcterms:modified xsi:type="dcterms:W3CDTF">2019-12-13T10:21:00Z</dcterms:modified>
</cp:coreProperties>
</file>