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EECF4" w14:textId="3927D8E4" w:rsidR="00965797" w:rsidRDefault="004A5D4E" w:rsidP="00965797">
      <w:pPr>
        <w:pStyle w:val="Nadpis11"/>
      </w:pPr>
      <w:bookmarkStart w:id="0" w:name="_Toc26865023"/>
      <w:bookmarkStart w:id="1" w:name="_GoBack"/>
      <w:bookmarkEnd w:id="1"/>
      <w:r w:rsidRPr="009110F7">
        <w:t>8</w:t>
      </w:r>
      <w:r>
        <w:t>. </w:t>
      </w:r>
      <w:r w:rsidR="00965797" w:rsidRPr="009110F7">
        <w:t>Státní rozpočet</w:t>
      </w:r>
      <w:bookmarkEnd w:id="0"/>
    </w:p>
    <w:tbl>
      <w:tblPr>
        <w:tblW w:w="9669" w:type="dxa"/>
        <w:tblInd w:w="-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32"/>
        <w:gridCol w:w="217"/>
        <w:gridCol w:w="7720"/>
      </w:tblGrid>
      <w:tr w:rsidR="009B78A4" w:rsidRPr="003C07E6" w14:paraId="4B2BFBB5" w14:textId="77777777" w:rsidTr="009B78A4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17A52954" w14:textId="3FC5165B" w:rsidR="009B78A4" w:rsidRDefault="009B78A4" w:rsidP="009B78A4">
            <w:pPr>
              <w:pStyle w:val="Marginlie"/>
            </w:pPr>
            <w:r>
              <w:t>Hospodaření státního rozpočtu se za tři čtvrtletí ocitlo v deficitu a docílilo nejslabšího výsledku za posledních pět let.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362F4971" w14:textId="77777777" w:rsidR="009B78A4" w:rsidRDefault="009B78A4" w:rsidP="009B78A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4F214A4B" w14:textId="46B243D6" w:rsidR="009B78A4" w:rsidRPr="003C07E6" w:rsidRDefault="009B78A4" w:rsidP="009B78A4">
            <w:pPr>
              <w:spacing w:after="220"/>
              <w:rPr>
                <w:spacing w:val="-4"/>
              </w:rPr>
            </w:pPr>
            <w:r>
              <w:rPr>
                <w:spacing w:val="-2"/>
              </w:rPr>
              <w:t>Státní rozpočet</w:t>
            </w:r>
            <w:r w:rsidRPr="00EB2D68">
              <w:rPr>
                <w:spacing w:val="-2"/>
              </w:rPr>
              <w:t xml:space="preserve"> (SR)</w:t>
            </w:r>
            <w:r w:rsidRPr="00EB2D68">
              <w:rPr>
                <w:rStyle w:val="Znakapoznpodarou"/>
                <w:spacing w:val="-2"/>
              </w:rPr>
              <w:footnoteReference w:id="1"/>
            </w:r>
            <w:r>
              <w:rPr>
                <w:spacing w:val="-2"/>
              </w:rPr>
              <w:t xml:space="preserve"> vykázal za </w:t>
            </w:r>
            <w:r w:rsidR="00283F7B" w:rsidRPr="00EB2D68">
              <w:rPr>
                <w:spacing w:val="-2"/>
              </w:rPr>
              <w:t>1</w:t>
            </w:r>
            <w:r w:rsidR="00283F7B">
              <w:rPr>
                <w:spacing w:val="-2"/>
              </w:rPr>
              <w:t>. </w:t>
            </w:r>
            <w:r>
              <w:rPr>
                <w:spacing w:val="-2"/>
              </w:rPr>
              <w:t>až 3</w:t>
            </w:r>
            <w:r w:rsidR="00EE2EB4">
              <w:rPr>
                <w:spacing w:val="-2"/>
              </w:rPr>
              <w:t>. čtvrtlet</w:t>
            </w:r>
            <w:r>
              <w:rPr>
                <w:spacing w:val="-2"/>
              </w:rPr>
              <w:t>í</w:t>
            </w:r>
            <w:r w:rsidRPr="00EB2D68">
              <w:rPr>
                <w:spacing w:val="-2"/>
              </w:rPr>
              <w:t xml:space="preserve"> 2019 </w:t>
            </w:r>
            <w:r>
              <w:rPr>
                <w:spacing w:val="-2"/>
              </w:rPr>
              <w:t>deficit 21,0</w:t>
            </w:r>
            <w:r w:rsidRPr="00EB2D68">
              <w:rPr>
                <w:spacing w:val="-2"/>
              </w:rPr>
              <w:t> mld. korun</w:t>
            </w:r>
            <w:r>
              <w:rPr>
                <w:spacing w:val="-2"/>
              </w:rPr>
              <w:t>. Ve stejném období předchozích tří let přitom stát hospodařil s přebytkem. Letošní výsledek byl zároveň nejslabší za posledních pět let. Za meziročním snížením salda</w:t>
            </w:r>
            <w:r w:rsidR="008C5A37">
              <w:rPr>
                <w:spacing w:val="-2"/>
              </w:rPr>
              <w:t> </w:t>
            </w:r>
            <w:r>
              <w:rPr>
                <w:spacing w:val="-2"/>
              </w:rPr>
              <w:t>SR (</w:t>
            </w:r>
            <w:r w:rsidR="00283F7B">
              <w:rPr>
                <w:spacing w:val="-2"/>
              </w:rPr>
              <w:t>o </w:t>
            </w:r>
            <w:r>
              <w:rPr>
                <w:spacing w:val="-2"/>
              </w:rPr>
              <w:t>37,8</w:t>
            </w:r>
            <w:r w:rsidR="00C5197D">
              <w:rPr>
                <w:spacing w:val="-2"/>
              </w:rPr>
              <w:t> mld.</w:t>
            </w:r>
            <w:r>
              <w:rPr>
                <w:spacing w:val="-2"/>
              </w:rPr>
              <w:t xml:space="preserve"> korun) stály především svižný růst běžných </w:t>
            </w:r>
            <w:r w:rsidR="00283F7B">
              <w:rPr>
                <w:spacing w:val="-2"/>
              </w:rPr>
              <w:t>i </w:t>
            </w:r>
            <w:r>
              <w:rPr>
                <w:spacing w:val="-2"/>
              </w:rPr>
              <w:t xml:space="preserve">investičních výdajů, mírné zpomalení dynamiky výběru některých váhově významných daní </w:t>
            </w:r>
            <w:r w:rsidR="00283F7B">
              <w:rPr>
                <w:spacing w:val="-2"/>
              </w:rPr>
              <w:t>a </w:t>
            </w:r>
            <w:r>
              <w:rPr>
                <w:spacing w:val="-2"/>
              </w:rPr>
              <w:t>dále také bilance toků ve vztahu k rozpočtu EU</w:t>
            </w:r>
            <w:r w:rsidRPr="00EB2D68">
              <w:rPr>
                <w:rStyle w:val="Znakapoznpodarou"/>
                <w:spacing w:val="-2"/>
              </w:rPr>
              <w:footnoteReference w:id="2"/>
            </w:r>
            <w:r>
              <w:rPr>
                <w:spacing w:val="-2"/>
              </w:rPr>
              <w:t xml:space="preserve">. K letošnímu deficitu rovnoměrně přispělo hospodaření v 1. </w:t>
            </w:r>
            <w:r w:rsidR="00283F7B">
              <w:rPr>
                <w:spacing w:val="-2"/>
              </w:rPr>
              <w:t>i </w:t>
            </w:r>
            <w:r>
              <w:rPr>
                <w:spacing w:val="-2"/>
              </w:rPr>
              <w:t>2</w:t>
            </w:r>
            <w:r w:rsidR="00EE2EB4">
              <w:rPr>
                <w:spacing w:val="-2"/>
              </w:rPr>
              <w:t>. čtvrtlet</w:t>
            </w:r>
            <w:r>
              <w:rPr>
                <w:spacing w:val="-2"/>
              </w:rPr>
              <w:t xml:space="preserve">í, následující kvartál již další podstatné prohloubení schodku nepřinesl. </w:t>
            </w:r>
            <w:r w:rsidRPr="00EB2D68">
              <w:rPr>
                <w:rFonts w:cs="Arial"/>
                <w:color w:val="0D0D0D" w:themeColor="text1" w:themeTint="F2"/>
                <w:spacing w:val="-2"/>
              </w:rPr>
              <w:t>Saldo</w:t>
            </w:r>
            <w:r w:rsidR="008C5A37">
              <w:rPr>
                <w:rFonts w:cs="Arial"/>
                <w:color w:val="0D0D0D" w:themeColor="text1" w:themeTint="F2"/>
                <w:spacing w:val="-2"/>
              </w:rPr>
              <w:t> </w:t>
            </w:r>
            <w:r w:rsidRPr="00EB2D68">
              <w:rPr>
                <w:rFonts w:cs="Arial"/>
                <w:color w:val="0D0D0D" w:themeColor="text1" w:themeTint="F2"/>
                <w:spacing w:val="-2"/>
              </w:rPr>
              <w:t>SR, jež představuje dominantní položku deficitu či přebytku hospodaření s</w:t>
            </w:r>
            <w:r>
              <w:rPr>
                <w:rFonts w:cs="Arial"/>
                <w:color w:val="0D0D0D" w:themeColor="text1" w:themeTint="F2"/>
                <w:spacing w:val="-2"/>
              </w:rPr>
              <w:t>ektoru vládních institucí, čini</w:t>
            </w:r>
            <w:r w:rsidRPr="00EB2D68">
              <w:rPr>
                <w:rFonts w:cs="Arial"/>
                <w:color w:val="0D0D0D" w:themeColor="text1" w:themeTint="F2"/>
                <w:spacing w:val="-2"/>
              </w:rPr>
              <w:t>l</w:t>
            </w:r>
            <w:r>
              <w:rPr>
                <w:rFonts w:cs="Arial"/>
                <w:color w:val="0D0D0D" w:themeColor="text1" w:themeTint="F2"/>
                <w:spacing w:val="-2"/>
              </w:rPr>
              <w:t>o za tři letošní čtvrtletí</w:t>
            </w:r>
            <w:r w:rsidRPr="00EB2D68">
              <w:rPr>
                <w:rFonts w:cs="Arial"/>
                <w:color w:val="0D0D0D" w:themeColor="text1" w:themeTint="F2"/>
                <w:spacing w:val="-2"/>
              </w:rPr>
              <w:t xml:space="preserve"> v</w:t>
            </w:r>
            <w:r w:rsidRPr="00EB2D68">
              <w:rPr>
                <w:color w:val="0D0D0D" w:themeColor="text1" w:themeTint="F2"/>
                <w:spacing w:val="-2"/>
              </w:rPr>
              <w:t>e vztahu</w:t>
            </w:r>
            <w:r w:rsidRPr="00EB2D68">
              <w:rPr>
                <w:rFonts w:cs="Arial"/>
                <w:color w:val="0D0D0D" w:themeColor="text1" w:themeTint="F2"/>
                <w:spacing w:val="-2"/>
              </w:rPr>
              <w:t xml:space="preserve"> k</w:t>
            </w:r>
            <w:r w:rsidRPr="00EB2D68">
              <w:rPr>
                <w:color w:val="0D0D0D" w:themeColor="text1" w:themeTint="F2"/>
                <w:spacing w:val="-2"/>
              </w:rPr>
              <w:t> </w:t>
            </w:r>
            <w:r w:rsidRPr="00EB2D68">
              <w:rPr>
                <w:rFonts w:cs="Arial"/>
                <w:color w:val="000000" w:themeColor="text1"/>
                <w:spacing w:val="-2"/>
              </w:rPr>
              <w:t xml:space="preserve">nominálnímu </w:t>
            </w:r>
            <w:r w:rsidRPr="0063257D">
              <w:rPr>
                <w:rFonts w:cs="Arial"/>
                <w:color w:val="000000" w:themeColor="text1"/>
                <w:spacing w:val="-2"/>
              </w:rPr>
              <w:t xml:space="preserve">HDP </w:t>
            </w:r>
            <w:r w:rsidRPr="0063257D">
              <w:rPr>
                <w:rFonts w:cs="Arial"/>
                <w:color w:val="0D0D0D" w:themeColor="text1" w:themeTint="F2"/>
                <w:spacing w:val="-2"/>
              </w:rPr>
              <w:t>–</w:t>
            </w:r>
            <w:r w:rsidRPr="0063257D">
              <w:rPr>
                <w:rFonts w:cs="Arial"/>
                <w:color w:val="000000" w:themeColor="text1"/>
                <w:spacing w:val="-2"/>
              </w:rPr>
              <w:t>0,5 % (o</w:t>
            </w:r>
            <w:r w:rsidRPr="00EB2D68">
              <w:rPr>
                <w:spacing w:val="-2"/>
              </w:rPr>
              <w:t> </w:t>
            </w:r>
            <w:r w:rsidRPr="00EB2D68">
              <w:rPr>
                <w:rFonts w:cs="Arial"/>
                <w:color w:val="000000" w:themeColor="text1"/>
                <w:spacing w:val="-2"/>
              </w:rPr>
              <w:t xml:space="preserve">rok dříve </w:t>
            </w:r>
            <w:r>
              <w:rPr>
                <w:rFonts w:cs="Arial"/>
                <w:color w:val="0D0D0D" w:themeColor="text1" w:themeTint="F2"/>
                <w:spacing w:val="-2"/>
              </w:rPr>
              <w:t>+</w:t>
            </w:r>
            <w:r>
              <w:rPr>
                <w:rFonts w:cs="Arial"/>
                <w:color w:val="000000" w:themeColor="text1"/>
                <w:spacing w:val="-2"/>
              </w:rPr>
              <w:t>0,4</w:t>
            </w:r>
            <w:r w:rsidR="00C5197D">
              <w:rPr>
                <w:rFonts w:cs="Arial"/>
                <w:color w:val="000000" w:themeColor="text1"/>
                <w:spacing w:val="-2"/>
              </w:rPr>
              <w:t> %</w:t>
            </w:r>
            <w:r w:rsidRPr="00EB2D68">
              <w:rPr>
                <w:rFonts w:cs="Arial"/>
                <w:color w:val="000000" w:themeColor="text1"/>
                <w:spacing w:val="-2"/>
              </w:rPr>
              <w:t>)</w:t>
            </w:r>
            <w:r>
              <w:rPr>
                <w:rFonts w:cs="Arial"/>
                <w:color w:val="000000" w:themeColor="text1"/>
                <w:spacing w:val="-2"/>
              </w:rPr>
              <w:t>.</w:t>
            </w:r>
          </w:p>
        </w:tc>
      </w:tr>
      <w:tr w:rsidR="009B78A4" w:rsidRPr="000B394E" w14:paraId="562FF593" w14:textId="77777777" w:rsidTr="009B78A4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71642E23" w14:textId="75C3FED7" w:rsidR="009B78A4" w:rsidRDefault="00283F7B" w:rsidP="009B78A4">
            <w:pPr>
              <w:pStyle w:val="Marginlie"/>
            </w:pPr>
            <w:r>
              <w:t>K </w:t>
            </w:r>
            <w:r w:rsidR="009B78A4">
              <w:t>růstu příjmů</w:t>
            </w:r>
            <w:r w:rsidR="00BD3C09">
              <w:t> </w:t>
            </w:r>
            <w:r w:rsidR="009B78A4">
              <w:t xml:space="preserve">SR přispěly podobnou vahou vyšší inkaso pojistného </w:t>
            </w:r>
            <w:r>
              <w:t>i </w:t>
            </w:r>
            <w:r w:rsidR="009B78A4">
              <w:t>posílení daňových příjmů.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2B4AD752" w14:textId="77777777" w:rsidR="009B78A4" w:rsidRDefault="009B78A4" w:rsidP="009B78A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71334020" w14:textId="53A2790B" w:rsidR="009B78A4" w:rsidRPr="000B394E" w:rsidRDefault="009B78A4" w:rsidP="009B78A4">
            <w:pPr>
              <w:spacing w:after="220"/>
              <w:rPr>
                <w:spacing w:val="-4"/>
              </w:rPr>
            </w:pPr>
            <w:r>
              <w:rPr>
                <w:spacing w:val="-4"/>
              </w:rPr>
              <w:t>Meziroční růst příjmů</w:t>
            </w:r>
            <w:r w:rsidR="00BD3C09">
              <w:rPr>
                <w:spacing w:val="-4"/>
              </w:rPr>
              <w:t> </w:t>
            </w:r>
            <w:r>
              <w:rPr>
                <w:spacing w:val="-4"/>
              </w:rPr>
              <w:t>SR (</w:t>
            </w:r>
            <w:r w:rsidR="00283F7B">
              <w:rPr>
                <w:spacing w:val="-4"/>
              </w:rPr>
              <w:t>o </w:t>
            </w:r>
            <w:r>
              <w:rPr>
                <w:spacing w:val="-4"/>
              </w:rPr>
              <w:t>79,1</w:t>
            </w:r>
            <w:r w:rsidR="00C5197D">
              <w:rPr>
                <w:spacing w:val="-4"/>
              </w:rPr>
              <w:t> mld.</w:t>
            </w:r>
            <w:r>
              <w:rPr>
                <w:spacing w:val="-4"/>
              </w:rPr>
              <w:t xml:space="preserve"> korun) byl z více než třetiny tažen vyšším výběrem </w:t>
            </w:r>
            <w:r>
              <w:rPr>
                <w:rFonts w:cs="Arial"/>
                <w:color w:val="000000" w:themeColor="text1"/>
                <w:spacing w:val="-2"/>
              </w:rPr>
              <w:t>pojistného na sociální zabezpečení (</w:t>
            </w:r>
            <w:r w:rsidR="00283F7B">
              <w:rPr>
                <w:rFonts w:cs="Arial"/>
                <w:color w:val="000000" w:themeColor="text1"/>
                <w:spacing w:val="-2"/>
              </w:rPr>
              <w:t>s </w:t>
            </w:r>
            <w:r>
              <w:rPr>
                <w:rFonts w:cs="Arial"/>
                <w:color w:val="000000" w:themeColor="text1"/>
                <w:spacing w:val="-2"/>
              </w:rPr>
              <w:t xml:space="preserve">růstem </w:t>
            </w:r>
            <w:r w:rsidR="00283F7B">
              <w:rPr>
                <w:rFonts w:cs="Arial"/>
                <w:color w:val="000000" w:themeColor="text1"/>
                <w:spacing w:val="-2"/>
              </w:rPr>
              <w:t>o </w:t>
            </w:r>
            <w:r>
              <w:rPr>
                <w:rFonts w:cs="Arial"/>
                <w:color w:val="000000" w:themeColor="text1"/>
                <w:spacing w:val="-2"/>
              </w:rPr>
              <w:t>7,5</w:t>
            </w:r>
            <w:r w:rsidR="00C5197D">
              <w:rPr>
                <w:rFonts w:cs="Arial"/>
                <w:color w:val="000000" w:themeColor="text1"/>
                <w:spacing w:val="-2"/>
              </w:rPr>
              <w:t> %</w:t>
            </w:r>
            <w:r>
              <w:rPr>
                <w:rFonts w:cs="Arial"/>
                <w:color w:val="000000" w:themeColor="text1"/>
                <w:spacing w:val="-2"/>
              </w:rPr>
              <w:t>).</w:t>
            </w:r>
            <w:r>
              <w:rPr>
                <w:spacing w:val="-4"/>
              </w:rPr>
              <w:t xml:space="preserve"> Podobnou vahou přispěly </w:t>
            </w:r>
            <w:r w:rsidR="00283F7B">
              <w:rPr>
                <w:spacing w:val="-4"/>
              </w:rPr>
              <w:t>i </w:t>
            </w:r>
            <w:r>
              <w:rPr>
                <w:spacing w:val="-4"/>
              </w:rPr>
              <w:t>zbývající daňové příjmy (+5,9</w:t>
            </w:r>
            <w:r w:rsidR="00C5197D">
              <w:rPr>
                <w:spacing w:val="-4"/>
              </w:rPr>
              <w:t> %</w:t>
            </w:r>
            <w:r>
              <w:rPr>
                <w:spacing w:val="-4"/>
              </w:rPr>
              <w:t xml:space="preserve">). Pozitivně ale </w:t>
            </w:r>
            <w:r w:rsidRPr="009A2FD7">
              <w:rPr>
                <w:spacing w:val="-4"/>
              </w:rPr>
              <w:t xml:space="preserve">působily </w:t>
            </w:r>
            <w:r w:rsidR="00283F7B" w:rsidRPr="009A2FD7">
              <w:rPr>
                <w:spacing w:val="-4"/>
              </w:rPr>
              <w:t>i</w:t>
            </w:r>
            <w:r w:rsidR="00283F7B">
              <w:rPr>
                <w:spacing w:val="-4"/>
              </w:rPr>
              <w:t> </w:t>
            </w:r>
            <w:r w:rsidRPr="009A2FD7">
              <w:rPr>
                <w:bCs/>
              </w:rPr>
              <w:t xml:space="preserve">nedaňové </w:t>
            </w:r>
            <w:r w:rsidR="00283F7B" w:rsidRPr="009A2FD7">
              <w:rPr>
                <w:bCs/>
              </w:rPr>
              <w:t>a</w:t>
            </w:r>
            <w:r w:rsidR="00283F7B">
              <w:rPr>
                <w:bCs/>
              </w:rPr>
              <w:t> </w:t>
            </w:r>
            <w:r w:rsidRPr="009A2FD7">
              <w:rPr>
                <w:bCs/>
              </w:rPr>
              <w:t xml:space="preserve">kapitálové příjmy </w:t>
            </w:r>
            <w:r w:rsidR="00283F7B" w:rsidRPr="009A2FD7">
              <w:rPr>
                <w:bCs/>
              </w:rPr>
              <w:t>a</w:t>
            </w:r>
            <w:r w:rsidR="00283F7B">
              <w:rPr>
                <w:bCs/>
              </w:rPr>
              <w:t> </w:t>
            </w:r>
            <w:r w:rsidRPr="009A2FD7">
              <w:rPr>
                <w:bCs/>
              </w:rPr>
              <w:t>přijaté transfery</w:t>
            </w:r>
            <w:r>
              <w:rPr>
                <w:bCs/>
              </w:rPr>
              <w:t xml:space="preserve"> (+15,2</w:t>
            </w:r>
            <w:r w:rsidR="00C5197D">
              <w:rPr>
                <w:bCs/>
              </w:rPr>
              <w:t> %</w:t>
            </w:r>
            <w:r>
              <w:rPr>
                <w:bCs/>
              </w:rPr>
              <w:t xml:space="preserve">), jejichž inkaso na rozdíl od předchozích příjmových položek výrazněji převyšovalo rozpočtové očekávání. </w:t>
            </w:r>
            <w:r>
              <w:rPr>
                <w:spacing w:val="-4"/>
              </w:rPr>
              <w:t>Mírný pokles příjmů z</w:t>
            </w:r>
            <w:r w:rsidR="00BD3C09">
              <w:rPr>
                <w:spacing w:val="-4"/>
              </w:rPr>
              <w:t> </w:t>
            </w:r>
            <w:r>
              <w:rPr>
                <w:spacing w:val="-4"/>
              </w:rPr>
              <w:t>rozpočtu</w:t>
            </w:r>
            <w:r w:rsidR="00BD3C09">
              <w:rPr>
                <w:spacing w:val="-4"/>
              </w:rPr>
              <w:t> </w:t>
            </w:r>
            <w:r>
              <w:rPr>
                <w:spacing w:val="-4"/>
              </w:rPr>
              <w:t>EU (</w:t>
            </w:r>
            <w:r w:rsidR="00283F7B">
              <w:rPr>
                <w:spacing w:val="-4"/>
              </w:rPr>
              <w:t>o </w:t>
            </w:r>
            <w:r>
              <w:rPr>
                <w:spacing w:val="-4"/>
              </w:rPr>
              <w:t>6,1</w:t>
            </w:r>
            <w:r w:rsidR="00C5197D">
              <w:rPr>
                <w:spacing w:val="-4"/>
              </w:rPr>
              <w:t> %</w:t>
            </w:r>
            <w:r>
              <w:rPr>
                <w:spacing w:val="-4"/>
              </w:rPr>
              <w:t>, 5,3 mld. korun)</w:t>
            </w:r>
            <w:r>
              <w:rPr>
                <w:rStyle w:val="Znakapoznpodarou"/>
                <w:bCs/>
              </w:rPr>
              <w:footnoteReference w:id="3"/>
            </w:r>
            <w:r>
              <w:rPr>
                <w:spacing w:val="-4"/>
              </w:rPr>
              <w:t xml:space="preserve"> byl kompenzován jednorázovým převodem 18,0 mld. korun z privatizačního účtu.</w:t>
            </w:r>
          </w:p>
        </w:tc>
      </w:tr>
      <w:tr w:rsidR="009B78A4" w:rsidRPr="000B394E" w14:paraId="50C19D1B" w14:textId="77777777" w:rsidTr="009B78A4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28AF3DD8" w14:textId="34E47883" w:rsidR="009B78A4" w:rsidRDefault="009B78A4" w:rsidP="009B78A4">
            <w:pPr>
              <w:pStyle w:val="Marginlie"/>
            </w:pPr>
            <w:r>
              <w:t>Tempo meziročního růstu inkasa DPH během roku 2019 sílilo, přesto v úhrnu stále za rozpočtovým očekáváním zaostávalo.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65E44462" w14:textId="77777777" w:rsidR="009B78A4" w:rsidRDefault="009B78A4" w:rsidP="009B78A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0120574C" w14:textId="00C73F11" w:rsidR="009B78A4" w:rsidRDefault="009B78A4" w:rsidP="009B78A4">
            <w:pPr>
              <w:spacing w:after="220"/>
              <w:rPr>
                <w:spacing w:val="-4"/>
              </w:rPr>
            </w:pPr>
            <w:r>
              <w:rPr>
                <w:spacing w:val="-4"/>
              </w:rPr>
              <w:t xml:space="preserve">Na váhově dominantní dani – DPH – získal SR za tři čtvrtletí meziročně </w:t>
            </w:r>
            <w:r w:rsidR="00283F7B">
              <w:rPr>
                <w:spacing w:val="-4"/>
              </w:rPr>
              <w:t>o </w:t>
            </w:r>
            <w:r>
              <w:rPr>
                <w:spacing w:val="-4"/>
              </w:rPr>
              <w:t>4,7</w:t>
            </w:r>
            <w:r w:rsidR="00C5197D">
              <w:rPr>
                <w:spacing w:val="-4"/>
              </w:rPr>
              <w:t> %</w:t>
            </w:r>
            <w:r>
              <w:rPr>
                <w:spacing w:val="-4"/>
              </w:rPr>
              <w:t xml:space="preserve"> více. Přestože její růstové tempo v průběhu roku sílilo</w:t>
            </w:r>
            <w:r w:rsidRPr="00EB2D68">
              <w:rPr>
                <w:rStyle w:val="Znakapoznpodarou"/>
                <w:spacing w:val="-2"/>
              </w:rPr>
              <w:footnoteReference w:id="4"/>
            </w:r>
            <w:r>
              <w:rPr>
                <w:spacing w:val="-4"/>
              </w:rPr>
              <w:t>, v úhrnu od počátku roku nadále za rozpočtovým očekáváním zaostávalo (</w:t>
            </w:r>
            <w:r w:rsidR="00283F7B">
              <w:rPr>
                <w:spacing w:val="-4"/>
              </w:rPr>
              <w:t>o </w:t>
            </w:r>
            <w:r>
              <w:rPr>
                <w:spacing w:val="-4"/>
              </w:rPr>
              <w:t>více než 2</w:t>
            </w:r>
            <w:r w:rsidR="00C5197D">
              <w:rPr>
                <w:spacing w:val="-4"/>
              </w:rPr>
              <w:t> p. b.</w:t>
            </w:r>
            <w:r>
              <w:rPr>
                <w:spacing w:val="-4"/>
              </w:rPr>
              <w:t>). Z celostátního inkasa, ve kterém je eliminován vliv změn v rozpočtovém určení daně, plyne, že růstové tempo výběru</w:t>
            </w:r>
            <w:r w:rsidR="007377BD">
              <w:rPr>
                <w:spacing w:val="-4"/>
              </w:rPr>
              <w:t> </w:t>
            </w:r>
            <w:r>
              <w:rPr>
                <w:spacing w:val="-4"/>
              </w:rPr>
              <w:t xml:space="preserve">DPH klesalo již druhým rokem v řadě </w:t>
            </w:r>
            <w:r w:rsidR="00283F7B">
              <w:rPr>
                <w:spacing w:val="-4"/>
              </w:rPr>
              <w:t>a </w:t>
            </w:r>
            <w:r>
              <w:rPr>
                <w:spacing w:val="-4"/>
              </w:rPr>
              <w:t xml:space="preserve">letos zatím zaostávalo </w:t>
            </w:r>
            <w:r w:rsidR="00283F7B">
              <w:rPr>
                <w:spacing w:val="-4"/>
              </w:rPr>
              <w:t>i </w:t>
            </w:r>
            <w:r>
              <w:rPr>
                <w:spacing w:val="-4"/>
              </w:rPr>
              <w:t>za dynamikou růstu nominálních výdajů na konečnou spotřebu domácností (5,8</w:t>
            </w:r>
            <w:r w:rsidR="00C5197D">
              <w:rPr>
                <w:spacing w:val="-4"/>
              </w:rPr>
              <w:t> %</w:t>
            </w:r>
            <w:r>
              <w:rPr>
                <w:spacing w:val="-4"/>
              </w:rPr>
              <w:t>) či vládních institucí (8,5</w:t>
            </w:r>
            <w:r w:rsidR="00C5197D">
              <w:rPr>
                <w:spacing w:val="-4"/>
              </w:rPr>
              <w:t> %</w:t>
            </w:r>
            <w:r>
              <w:rPr>
                <w:spacing w:val="-4"/>
              </w:rPr>
              <w:t>).</w:t>
            </w:r>
          </w:p>
        </w:tc>
      </w:tr>
      <w:tr w:rsidR="009B78A4" w:rsidRPr="000B394E" w14:paraId="030746B1" w14:textId="77777777" w:rsidTr="009B78A4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2EB4EBE1" w14:textId="0CE7376A" w:rsidR="009B78A4" w:rsidRDefault="009B78A4" w:rsidP="009B78A4">
            <w:pPr>
              <w:pStyle w:val="Marginlie"/>
            </w:pPr>
            <w:r>
              <w:t>Nižší inkaso spotřební daně z tabákových výrobků bylo kompenzováno vyšším výběrem daně z minerálních olejů.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6DC9D839" w14:textId="77777777" w:rsidR="009B78A4" w:rsidRDefault="009B78A4" w:rsidP="009B78A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7378F977" w14:textId="25427C37" w:rsidR="009B78A4" w:rsidRDefault="009B78A4" w:rsidP="00223185">
            <w:pPr>
              <w:spacing w:after="220"/>
              <w:rPr>
                <w:spacing w:val="-4"/>
              </w:rPr>
            </w:pPr>
            <w:r>
              <w:rPr>
                <w:spacing w:val="-2"/>
              </w:rPr>
              <w:t>Výběr všech spotřebních daní se v souladu s rozpočtovým očekáváním letos meziročně mírně snížil (</w:t>
            </w:r>
            <w:r w:rsidR="00283F7B">
              <w:rPr>
                <w:spacing w:val="-2"/>
              </w:rPr>
              <w:t>o </w:t>
            </w:r>
            <w:r>
              <w:rPr>
                <w:spacing w:val="-2"/>
              </w:rPr>
              <w:t>0,4</w:t>
            </w:r>
            <w:r w:rsidR="00C5197D">
              <w:rPr>
                <w:spacing w:val="-2"/>
              </w:rPr>
              <w:t> %</w:t>
            </w:r>
            <w:r>
              <w:rPr>
                <w:spacing w:val="-2"/>
              </w:rPr>
              <w:t>). Tento pokles byl téměř výhradně ovlivněn slabším inkasem daně z tabákových výrobků (–4,9</w:t>
            </w:r>
            <w:r w:rsidR="00C5197D">
              <w:rPr>
                <w:spacing w:val="-2"/>
              </w:rPr>
              <w:t> %</w:t>
            </w:r>
            <w:r>
              <w:rPr>
                <w:spacing w:val="-2"/>
              </w:rPr>
              <w:t xml:space="preserve">). Zčásti se jednalo jen </w:t>
            </w:r>
            <w:r w:rsidR="00283F7B">
              <w:rPr>
                <w:spacing w:val="-2"/>
              </w:rPr>
              <w:t>o </w:t>
            </w:r>
            <w:r>
              <w:rPr>
                <w:spacing w:val="-2"/>
              </w:rPr>
              <w:t>krátkodobý efekt související s předzásobením plátců daně staršími tabákovými nálepkami. Naopak po celý rok na výběr této daně negativně působí fakt, že</w:t>
            </w:r>
            <w:r>
              <w:rPr>
                <w:iCs/>
                <w:spacing w:val="-4"/>
              </w:rPr>
              <w:t xml:space="preserve"> letos poprvé od roku 2011 nedošlo ke </w:t>
            </w:r>
            <w:r>
              <w:t>zvyšování její sazby. Výběr objemově nejvýznamnější spotřební daně –</w:t>
            </w:r>
            <w:r w:rsidR="007377BD">
              <w:t> </w:t>
            </w:r>
            <w:r>
              <w:t>z minerálních olejů –</w:t>
            </w:r>
            <w:r w:rsidR="007377BD">
              <w:t> </w:t>
            </w:r>
            <w:r>
              <w:t>posílil v 1.</w:t>
            </w:r>
            <w:r w:rsidR="007377BD">
              <w:t> </w:t>
            </w:r>
            <w:r>
              <w:t>až 3</w:t>
            </w:r>
            <w:r w:rsidR="00EE2EB4">
              <w:t>. čtvrtlet</w:t>
            </w:r>
            <w:r>
              <w:t xml:space="preserve">í </w:t>
            </w:r>
            <w:r w:rsidR="00283F7B">
              <w:t>o </w:t>
            </w:r>
            <w:r>
              <w:t>2,6</w:t>
            </w:r>
            <w:r w:rsidR="00C5197D">
              <w:t> %</w:t>
            </w:r>
            <w:r>
              <w:t xml:space="preserve">. Rostoucí přepravní výkony (primárně v osobní dopravě) se promítly ve vyšší spotřebě jak motorové nafty, tak </w:t>
            </w:r>
            <w:r w:rsidR="00283F7B">
              <w:t>i </w:t>
            </w:r>
            <w:r>
              <w:t>benzínu či leteckého petroleje.</w:t>
            </w:r>
          </w:p>
        </w:tc>
      </w:tr>
      <w:tr w:rsidR="009B78A4" w:rsidRPr="000B394E" w14:paraId="29F04A37" w14:textId="77777777" w:rsidTr="009B78A4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21EEBA63" w14:textId="63392680" w:rsidR="009B78A4" w:rsidRDefault="004E186A" w:rsidP="009B78A4">
            <w:pPr>
              <w:pStyle w:val="Marginlie"/>
            </w:pPr>
            <w:r>
              <w:t xml:space="preserve">Dynamika </w:t>
            </w:r>
            <w:r w:rsidR="009B78A4">
              <w:t>výběru daně z </w:t>
            </w:r>
            <w:r w:rsidR="007377BD">
              <w:t xml:space="preserve">příjmů </w:t>
            </w:r>
            <w:r w:rsidR="009B78A4">
              <w:t xml:space="preserve">fyzických osob ze závislé činnosti </w:t>
            </w:r>
            <w:r w:rsidR="00283F7B">
              <w:t>i </w:t>
            </w:r>
            <w:r w:rsidR="009B78A4">
              <w:t xml:space="preserve">přes mírné zvolnění dále </w:t>
            </w:r>
            <w:r w:rsidR="00C75510">
              <w:t xml:space="preserve">rostla </w:t>
            </w:r>
            <w:r w:rsidR="009B78A4">
              <w:t>dvojciferným tempem. Růstové tempo inkasa korporátní daně naopak zrychlilo.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5E71275A" w14:textId="77777777" w:rsidR="009B78A4" w:rsidRDefault="009B78A4" w:rsidP="009B78A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35FF9B29" w14:textId="623939A2" w:rsidR="009B78A4" w:rsidRDefault="009B78A4" w:rsidP="009B78A4">
            <w:pPr>
              <w:spacing w:after="220"/>
              <w:rPr>
                <w:spacing w:val="-4"/>
              </w:rPr>
            </w:pPr>
            <w:r>
              <w:rPr>
                <w:spacing w:val="-2"/>
              </w:rPr>
              <w:t xml:space="preserve">Růst inkasa přímých daní byl již třetím rokem v řadě nejvíce tažen </w:t>
            </w:r>
            <w:r>
              <w:rPr>
                <w:rFonts w:cs="Arial"/>
                <w:color w:val="000000" w:themeColor="text1"/>
                <w:spacing w:val="-4"/>
              </w:rPr>
              <w:t xml:space="preserve">daní z příjmů fyzických osob ze závislé činnosti. Její výběr (na úrovni všech veřejných rozpočtů) vzrostl za tři letošní čtvrtletí meziročně </w:t>
            </w:r>
            <w:r w:rsidR="00283F7B">
              <w:rPr>
                <w:rFonts w:cs="Arial"/>
                <w:color w:val="000000" w:themeColor="text1"/>
                <w:spacing w:val="-4"/>
              </w:rPr>
              <w:t>o </w:t>
            </w:r>
            <w:r>
              <w:rPr>
                <w:rFonts w:cs="Arial"/>
                <w:color w:val="000000" w:themeColor="text1"/>
                <w:spacing w:val="-4"/>
              </w:rPr>
              <w:t>12,5</w:t>
            </w:r>
            <w:r w:rsidR="00C5197D">
              <w:rPr>
                <w:rFonts w:cs="Arial"/>
                <w:color w:val="000000" w:themeColor="text1"/>
                <w:spacing w:val="-4"/>
              </w:rPr>
              <w:t> %</w:t>
            </w:r>
            <w:r>
              <w:rPr>
                <w:rFonts w:cs="Arial"/>
                <w:color w:val="000000" w:themeColor="text1"/>
                <w:spacing w:val="-4"/>
              </w:rPr>
              <w:t>. Ve stejném období roku 2018 vyšplhal na rekordních 15,1</w:t>
            </w:r>
            <w:r w:rsidR="00C5197D">
              <w:rPr>
                <w:rFonts w:cs="Arial"/>
                <w:color w:val="000000" w:themeColor="text1"/>
                <w:spacing w:val="-4"/>
              </w:rPr>
              <w:t> %</w:t>
            </w:r>
            <w:r>
              <w:rPr>
                <w:rFonts w:cs="Arial"/>
                <w:color w:val="000000" w:themeColor="text1"/>
                <w:spacing w:val="-4"/>
              </w:rPr>
              <w:t xml:space="preserve">. Toto zpomalení souvisí se slabší letošní dynamikou zaměstnanosti </w:t>
            </w:r>
            <w:r w:rsidR="00283F7B">
              <w:rPr>
                <w:rFonts w:cs="Arial"/>
                <w:color w:val="000000" w:themeColor="text1"/>
                <w:spacing w:val="-4"/>
              </w:rPr>
              <w:t>i </w:t>
            </w:r>
            <w:r>
              <w:rPr>
                <w:rFonts w:cs="Arial"/>
                <w:color w:val="000000" w:themeColor="text1"/>
                <w:spacing w:val="-4"/>
              </w:rPr>
              <w:t xml:space="preserve">mírným zvolněním růstu průměrných mezd. Svižný dvojciferný růst vykázaly </w:t>
            </w:r>
            <w:r w:rsidR="00283F7B">
              <w:rPr>
                <w:rFonts w:cs="Arial"/>
                <w:color w:val="000000" w:themeColor="text1"/>
                <w:spacing w:val="-4"/>
              </w:rPr>
              <w:t>i </w:t>
            </w:r>
            <w:r>
              <w:rPr>
                <w:rFonts w:cs="Arial"/>
                <w:color w:val="000000" w:themeColor="text1"/>
                <w:spacing w:val="-4"/>
              </w:rPr>
              <w:t>další přímé daně –</w:t>
            </w:r>
            <w:r w:rsidR="007377BD">
              <w:rPr>
                <w:rFonts w:cs="Arial"/>
                <w:color w:val="000000" w:themeColor="text1"/>
                <w:spacing w:val="-4"/>
              </w:rPr>
              <w:t> </w:t>
            </w:r>
            <w:r w:rsidR="00283F7B">
              <w:rPr>
                <w:rFonts w:cs="Arial"/>
                <w:color w:val="000000" w:themeColor="text1"/>
                <w:spacing w:val="-4"/>
              </w:rPr>
              <w:t>u </w:t>
            </w:r>
            <w:r>
              <w:rPr>
                <w:rFonts w:cs="Arial"/>
                <w:color w:val="000000" w:themeColor="text1"/>
                <w:spacing w:val="-4"/>
              </w:rPr>
              <w:t>fyzických osob z přiznání či z kapitálových výnosů. Projevovala se zde nadále silná domácí poptávka související především s vyšší kupní s</w:t>
            </w:r>
            <w:r w:rsidR="007377BD">
              <w:rPr>
                <w:rFonts w:cs="Arial"/>
                <w:color w:val="000000" w:themeColor="text1"/>
                <w:spacing w:val="-4"/>
              </w:rPr>
              <w:t>i</w:t>
            </w:r>
            <w:r>
              <w:rPr>
                <w:rFonts w:cs="Arial"/>
                <w:color w:val="000000" w:themeColor="text1"/>
                <w:spacing w:val="-4"/>
              </w:rPr>
              <w:t xml:space="preserve">lou domácností. </w:t>
            </w:r>
            <w:r>
              <w:rPr>
                <w:rFonts w:cs="Arial"/>
                <w:spacing w:val="-4"/>
              </w:rPr>
              <w:t xml:space="preserve">Celostátní inkaso korporátní daně po slabší dynamice v letech 2017 </w:t>
            </w:r>
            <w:r w:rsidR="00283F7B">
              <w:rPr>
                <w:rFonts w:cs="Arial"/>
                <w:spacing w:val="-4"/>
              </w:rPr>
              <w:t>i </w:t>
            </w:r>
            <w:r>
              <w:rPr>
                <w:rFonts w:cs="Arial"/>
                <w:spacing w:val="-4"/>
              </w:rPr>
              <w:t>2018, ovlivněné především sílícími mzdovými náklady, v 1. až 3</w:t>
            </w:r>
            <w:r w:rsidR="00EE2EB4">
              <w:rPr>
                <w:rFonts w:cs="Arial"/>
                <w:spacing w:val="-4"/>
              </w:rPr>
              <w:t>. čtvrtlet</w:t>
            </w:r>
            <w:r>
              <w:rPr>
                <w:rFonts w:cs="Arial"/>
                <w:spacing w:val="-4"/>
              </w:rPr>
              <w:t xml:space="preserve">í 2019 vzrostlo meziročně </w:t>
            </w:r>
            <w:r w:rsidR="00283F7B">
              <w:rPr>
                <w:rFonts w:cs="Arial"/>
                <w:spacing w:val="-4"/>
              </w:rPr>
              <w:t>o </w:t>
            </w:r>
            <w:r>
              <w:rPr>
                <w:rFonts w:cs="Arial"/>
                <w:spacing w:val="-4"/>
              </w:rPr>
              <w:t>8,8</w:t>
            </w:r>
            <w:r w:rsidR="00C5197D">
              <w:rPr>
                <w:rFonts w:cs="Arial"/>
                <w:spacing w:val="-4"/>
              </w:rPr>
              <w:t> %</w:t>
            </w:r>
            <w:r>
              <w:rPr>
                <w:rFonts w:cs="Arial"/>
                <w:spacing w:val="-4"/>
              </w:rPr>
              <w:t xml:space="preserve">. Podobně jako </w:t>
            </w:r>
            <w:r w:rsidR="00283F7B">
              <w:rPr>
                <w:rFonts w:cs="Arial"/>
                <w:spacing w:val="-4"/>
              </w:rPr>
              <w:t>u </w:t>
            </w:r>
            <w:r>
              <w:rPr>
                <w:rFonts w:cs="Arial"/>
                <w:spacing w:val="-4"/>
              </w:rPr>
              <w:t xml:space="preserve">většiny významných </w:t>
            </w:r>
            <w:r>
              <w:rPr>
                <w:rFonts w:cs="Arial"/>
                <w:spacing w:val="-4"/>
              </w:rPr>
              <w:lastRenderedPageBreak/>
              <w:t xml:space="preserve">přímých daní tak </w:t>
            </w:r>
            <w:r w:rsidR="00C75510">
              <w:rPr>
                <w:rFonts w:cs="Arial"/>
                <w:spacing w:val="-4"/>
              </w:rPr>
              <w:t xml:space="preserve">korporátní daň </w:t>
            </w:r>
            <w:r>
              <w:rPr>
                <w:rFonts w:cs="Arial"/>
                <w:spacing w:val="-4"/>
              </w:rPr>
              <w:t>zatím svým tempem mírně překračovala letošní rozpočtová očekávání.</w:t>
            </w:r>
          </w:p>
        </w:tc>
      </w:tr>
      <w:tr w:rsidR="009B78A4" w:rsidRPr="00F704D2" w14:paraId="5D3CBECC" w14:textId="77777777" w:rsidTr="009B78A4">
        <w:trPr>
          <w:trHeight w:val="170"/>
        </w:trPr>
        <w:tc>
          <w:tcPr>
            <w:tcW w:w="1732" w:type="dxa"/>
            <w:vMerge w:val="restart"/>
            <w:shd w:val="clear" w:color="auto" w:fill="auto"/>
            <w:tcMar>
              <w:left w:w="0" w:type="dxa"/>
            </w:tcMar>
          </w:tcPr>
          <w:p w14:paraId="08ECDC40" w14:textId="77777777" w:rsidR="009B78A4" w:rsidRDefault="009B78A4" w:rsidP="009B78A4">
            <w:pPr>
              <w:pStyle w:val="Marginlie"/>
            </w:pPr>
          </w:p>
        </w:tc>
        <w:tc>
          <w:tcPr>
            <w:tcW w:w="217" w:type="dxa"/>
            <w:vMerge w:val="restart"/>
            <w:shd w:val="clear" w:color="auto" w:fill="auto"/>
            <w:tcMar>
              <w:left w:w="0" w:type="dxa"/>
            </w:tcMar>
          </w:tcPr>
          <w:p w14:paraId="01CA408C" w14:textId="77777777" w:rsidR="009B78A4" w:rsidRDefault="009B78A4" w:rsidP="009B78A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0F8F192A" w14:textId="3470D1FD" w:rsidR="009B78A4" w:rsidRDefault="009B78A4" w:rsidP="009B78A4">
            <w:pPr>
              <w:spacing w:after="0" w:line="240" w:lineRule="auto"/>
              <w:rPr>
                <w:rFonts w:cs="Arial"/>
                <w:bCs/>
              </w:rPr>
            </w:pPr>
            <w:r w:rsidRPr="00C06323">
              <w:rPr>
                <w:rFonts w:cs="Arial"/>
                <w:b/>
                <w:bCs/>
                <w:color w:val="000000"/>
                <w:szCs w:val="20"/>
              </w:rPr>
              <w:t xml:space="preserve">Graf </w:t>
            </w:r>
            <w:r w:rsidR="00EE2EB4">
              <w:rPr>
                <w:rFonts w:cs="Arial"/>
                <w:b/>
                <w:bCs/>
                <w:color w:val="000000"/>
                <w:szCs w:val="20"/>
              </w:rPr>
              <w:t>č. </w:t>
            </w:r>
            <w:r>
              <w:rPr>
                <w:rFonts w:cs="Arial"/>
                <w:b/>
                <w:bCs/>
                <w:color w:val="000000"/>
                <w:szCs w:val="20"/>
              </w:rPr>
              <w:t>17</w:t>
            </w:r>
            <w:r w:rsidRPr="00631BC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</w:rPr>
              <w:t xml:space="preserve">Celostátní inkasa vybraných daňových příjmů </w:t>
            </w:r>
            <w:r>
              <w:rPr>
                <w:rFonts w:cs="Arial"/>
                <w:bCs/>
              </w:rPr>
              <w:t>(</w:t>
            </w:r>
            <w:r w:rsidRPr="00E62A33">
              <w:rPr>
                <w:spacing w:val="-2"/>
              </w:rPr>
              <w:t>meziročně</w:t>
            </w:r>
            <w:r w:rsidRPr="00E62A33">
              <w:rPr>
                <w:bCs/>
                <w:spacing w:val="-2"/>
              </w:rPr>
              <w:t xml:space="preserve"> v</w:t>
            </w:r>
            <w:r>
              <w:rPr>
                <w:bCs/>
                <w:spacing w:val="-2"/>
              </w:rPr>
              <w:t> %</w:t>
            </w:r>
            <w:r w:rsidRPr="00E62A33">
              <w:rPr>
                <w:bCs/>
                <w:spacing w:val="-2"/>
              </w:rPr>
              <w:t>)</w:t>
            </w:r>
          </w:p>
          <w:p w14:paraId="6CCF0697" w14:textId="5829A4E2" w:rsidR="009B78A4" w:rsidRPr="00F704D2" w:rsidRDefault="00283F7B" w:rsidP="009B78A4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a </w:t>
            </w:r>
            <w:r w:rsidR="009B78A4">
              <w:rPr>
                <w:rFonts w:cs="Arial"/>
                <w:b/>
                <w:bCs/>
              </w:rPr>
              <w:t>saldo státního rozpočtu</w:t>
            </w:r>
            <w:r w:rsidR="009B78A4">
              <w:t xml:space="preserve"> </w:t>
            </w:r>
            <w:r w:rsidR="009B78A4">
              <w:rPr>
                <w:rFonts w:cs="Arial"/>
                <w:bCs/>
              </w:rPr>
              <w:t xml:space="preserve">(v mld. korun) </w:t>
            </w:r>
            <w:r w:rsidR="009B78A4">
              <w:rPr>
                <w:rFonts w:cs="Arial"/>
                <w:b/>
                <w:bCs/>
              </w:rPr>
              <w:t>v </w:t>
            </w:r>
            <w:r>
              <w:rPr>
                <w:rFonts w:cs="Arial"/>
                <w:b/>
                <w:bCs/>
              </w:rPr>
              <w:t>1. </w:t>
            </w:r>
            <w:r w:rsidR="009B78A4">
              <w:rPr>
                <w:rFonts w:cs="Arial"/>
                <w:b/>
                <w:bCs/>
              </w:rPr>
              <w:t>až 3</w:t>
            </w:r>
            <w:r w:rsidR="00EE2EB4">
              <w:rPr>
                <w:rFonts w:cs="Arial"/>
                <w:b/>
                <w:bCs/>
              </w:rPr>
              <w:t>. čtvrtlet</w:t>
            </w:r>
            <w:r w:rsidR="009B78A4" w:rsidRPr="00D679F9">
              <w:rPr>
                <w:rFonts w:cs="Arial"/>
                <w:b/>
                <w:bCs/>
              </w:rPr>
              <w:t>í</w:t>
            </w:r>
          </w:p>
        </w:tc>
      </w:tr>
      <w:tr w:rsidR="009B78A4" w14:paraId="6FF03404" w14:textId="77777777" w:rsidTr="005E3F66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732" w:type="dxa"/>
            <w:vMerge/>
            <w:shd w:val="clear" w:color="auto" w:fill="auto"/>
          </w:tcPr>
          <w:p w14:paraId="7E708055" w14:textId="77777777" w:rsidR="009B78A4" w:rsidRDefault="009B78A4" w:rsidP="009B78A4">
            <w:pPr>
              <w:pStyle w:val="Marginlie"/>
            </w:pPr>
          </w:p>
        </w:tc>
        <w:tc>
          <w:tcPr>
            <w:tcW w:w="217" w:type="dxa"/>
            <w:vMerge/>
            <w:shd w:val="clear" w:color="auto" w:fill="auto"/>
          </w:tcPr>
          <w:p w14:paraId="3CF8301F" w14:textId="77777777" w:rsidR="009B78A4" w:rsidRDefault="009B78A4" w:rsidP="009B78A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</w:tcPr>
          <w:p w14:paraId="185AD6D4" w14:textId="1D71ED3F" w:rsidR="009B78A4" w:rsidRDefault="005E3F66" w:rsidP="009B78A4">
            <w:pPr>
              <w:spacing w:after="0"/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7C3C49F" wp14:editId="126E7554">
                  <wp:extent cx="4770051" cy="3572454"/>
                  <wp:effectExtent l="0" t="0" r="0" b="0"/>
                  <wp:docPr id="7" name="Graf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9B78A4" w:rsidRPr="007B3A78" w14:paraId="1BAB043A" w14:textId="77777777" w:rsidTr="009B78A4">
        <w:trPr>
          <w:trHeight w:val="170"/>
        </w:trPr>
        <w:tc>
          <w:tcPr>
            <w:tcW w:w="1732" w:type="dxa"/>
            <w:vMerge/>
            <w:shd w:val="clear" w:color="auto" w:fill="auto"/>
            <w:tcMar>
              <w:left w:w="0" w:type="dxa"/>
            </w:tcMar>
          </w:tcPr>
          <w:p w14:paraId="6D0875B6" w14:textId="77777777" w:rsidR="009B78A4" w:rsidRDefault="009B78A4" w:rsidP="009B78A4">
            <w:pPr>
              <w:pStyle w:val="Marginlie"/>
            </w:pPr>
          </w:p>
        </w:tc>
        <w:tc>
          <w:tcPr>
            <w:tcW w:w="217" w:type="dxa"/>
            <w:vMerge/>
            <w:shd w:val="clear" w:color="auto" w:fill="auto"/>
            <w:tcMar>
              <w:left w:w="0" w:type="dxa"/>
            </w:tcMar>
          </w:tcPr>
          <w:p w14:paraId="7898B57C" w14:textId="77777777" w:rsidR="009B78A4" w:rsidRDefault="009B78A4" w:rsidP="009B78A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15774551" w14:textId="7CC4326C" w:rsidR="009B78A4" w:rsidRPr="007B3A78" w:rsidRDefault="009B78A4" w:rsidP="009B78A4">
            <w:pPr>
              <w:spacing w:after="200" w:line="240" w:lineRule="auto"/>
              <w:jc w:val="left"/>
              <w:rPr>
                <w:rFonts w:cs="Arial"/>
                <w:sz w:val="14"/>
                <w:szCs w:val="14"/>
              </w:rPr>
            </w:pPr>
            <w:r>
              <w:rPr>
                <w:sz w:val="14"/>
                <w:szCs w:val="14"/>
              </w:rPr>
              <w:t>Zdroj: MF</w:t>
            </w:r>
            <w:r w:rsidR="00930251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ČR</w:t>
            </w:r>
          </w:p>
        </w:tc>
      </w:tr>
      <w:tr w:rsidR="009B78A4" w:rsidRPr="008266F0" w14:paraId="5C0794C4" w14:textId="77777777" w:rsidTr="009B78A4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310B283A" w14:textId="6197C664" w:rsidR="009B78A4" w:rsidRDefault="009B78A4" w:rsidP="009B78A4">
            <w:pPr>
              <w:pStyle w:val="Marginlie"/>
            </w:pPr>
            <w:r>
              <w:t>Tempo růstu výdajů</w:t>
            </w:r>
            <w:r w:rsidR="00AD0B22">
              <w:t> </w:t>
            </w:r>
            <w:r>
              <w:t>SR bylo nejvyšší za posledních sedmnáct let.</w:t>
            </w:r>
          </w:p>
          <w:p w14:paraId="14130EB7" w14:textId="77777777" w:rsidR="009B78A4" w:rsidRDefault="009B78A4" w:rsidP="009B78A4">
            <w:pPr>
              <w:pStyle w:val="Marginlie"/>
            </w:pPr>
          </w:p>
          <w:p w14:paraId="3A284D8F" w14:textId="77777777" w:rsidR="009B78A4" w:rsidRDefault="009B78A4" w:rsidP="009B78A4">
            <w:pPr>
              <w:pStyle w:val="Marginlie"/>
            </w:pPr>
          </w:p>
          <w:p w14:paraId="373440F0" w14:textId="77777777" w:rsidR="009B78A4" w:rsidRDefault="009B78A4" w:rsidP="009B78A4">
            <w:pPr>
              <w:pStyle w:val="Marginlie"/>
            </w:pPr>
          </w:p>
          <w:p w14:paraId="0ACDE9B5" w14:textId="6AAC16CB" w:rsidR="009B78A4" w:rsidRDefault="009B78A4" w:rsidP="009B78A4">
            <w:pPr>
              <w:pStyle w:val="Marginlie"/>
            </w:pPr>
            <w:r>
              <w:t>Růst investic byl z poloviny tažen vyššími výdaji na dopravní stavby.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188B86EB" w14:textId="77777777" w:rsidR="009B78A4" w:rsidRDefault="009B78A4" w:rsidP="009B78A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3BC3A7C2" w14:textId="0FDD1B38" w:rsidR="009B78A4" w:rsidRPr="008266F0" w:rsidRDefault="009B78A4" w:rsidP="009B78A4">
            <w:pPr>
              <w:spacing w:after="220"/>
            </w:pPr>
            <w:r>
              <w:rPr>
                <w:spacing w:val="-4"/>
              </w:rPr>
              <w:t>Růst celkových výdajů</w:t>
            </w:r>
            <w:r w:rsidR="00AD0B22">
              <w:rPr>
                <w:spacing w:val="-4"/>
              </w:rPr>
              <w:t> </w:t>
            </w:r>
            <w:r>
              <w:rPr>
                <w:spacing w:val="-4"/>
              </w:rPr>
              <w:t>SR v 1.</w:t>
            </w:r>
            <w:r w:rsidR="00AD0B22">
              <w:rPr>
                <w:spacing w:val="-4"/>
              </w:rPr>
              <w:t> </w:t>
            </w:r>
            <w:r w:rsidR="00283F7B">
              <w:rPr>
                <w:spacing w:val="-4"/>
              </w:rPr>
              <w:t>a</w:t>
            </w:r>
            <w:r w:rsidR="005E3F66">
              <w:rPr>
                <w:spacing w:val="-4"/>
              </w:rPr>
              <w:t>ž</w:t>
            </w:r>
            <w:r w:rsidR="00283F7B">
              <w:rPr>
                <w:spacing w:val="-4"/>
              </w:rPr>
              <w:t> </w:t>
            </w:r>
            <w:r>
              <w:rPr>
                <w:spacing w:val="-4"/>
              </w:rPr>
              <w:t>3</w:t>
            </w:r>
            <w:r w:rsidR="00EE2EB4">
              <w:rPr>
                <w:spacing w:val="-4"/>
              </w:rPr>
              <w:t>. čtvrtlet</w:t>
            </w:r>
            <w:r>
              <w:rPr>
                <w:spacing w:val="-4"/>
              </w:rPr>
              <w:t>í 2019 činil 11,6</w:t>
            </w:r>
            <w:r w:rsidR="00C5197D">
              <w:rPr>
                <w:spacing w:val="-4"/>
              </w:rPr>
              <w:t> %</w:t>
            </w:r>
            <w:r>
              <w:rPr>
                <w:spacing w:val="-4"/>
              </w:rPr>
              <w:t>. Silnějším meziročním tempem se výdaje státu ve stejném období roku zvyšovaly naposledy v roce 2002. Za vyššími výdaji stály shodně jako loni jak sílící běžné (+93</w:t>
            </w:r>
            <w:r w:rsidR="00C5197D">
              <w:rPr>
                <w:spacing w:val="-4"/>
              </w:rPr>
              <w:t> mld.</w:t>
            </w:r>
            <w:r>
              <w:rPr>
                <w:spacing w:val="-4"/>
              </w:rPr>
              <w:t xml:space="preserve"> korun meziročně), tak </w:t>
            </w:r>
            <w:r w:rsidR="00283F7B">
              <w:rPr>
                <w:spacing w:val="-4"/>
              </w:rPr>
              <w:t>i </w:t>
            </w:r>
            <w:r>
              <w:rPr>
                <w:spacing w:val="-4"/>
              </w:rPr>
              <w:t>kapitálové výdaje (+24</w:t>
            </w:r>
            <w:r w:rsidR="00C5197D">
              <w:rPr>
                <w:spacing w:val="-4"/>
              </w:rPr>
              <w:t> mld.</w:t>
            </w:r>
            <w:r>
              <w:rPr>
                <w:spacing w:val="-4"/>
              </w:rPr>
              <w:t>). Na letošním růstu investic se z více než poloviny podílely vyšší transfery státnímu fondu dopravní infrastruktury, což souviselo zejména s rychlejším čerpáním prostředků z</w:t>
            </w:r>
            <w:r w:rsidR="00AD0B22">
              <w:rPr>
                <w:spacing w:val="-4"/>
              </w:rPr>
              <w:t> </w:t>
            </w:r>
            <w:r>
              <w:rPr>
                <w:spacing w:val="-4"/>
              </w:rPr>
              <w:t>rozpočtu</w:t>
            </w:r>
            <w:r w:rsidR="00AD0B22">
              <w:rPr>
                <w:spacing w:val="-4"/>
              </w:rPr>
              <w:t> </w:t>
            </w:r>
            <w:r>
              <w:rPr>
                <w:spacing w:val="-4"/>
              </w:rPr>
              <w:t xml:space="preserve">EU. Tři pětiny všech investic tak směřovaly na společné projekty ČR </w:t>
            </w:r>
            <w:r w:rsidR="00283F7B">
              <w:rPr>
                <w:spacing w:val="-4"/>
              </w:rPr>
              <w:t>a </w:t>
            </w:r>
            <w:r>
              <w:rPr>
                <w:spacing w:val="-4"/>
              </w:rPr>
              <w:t>EU</w:t>
            </w:r>
            <w:r w:rsidRPr="003C07E6">
              <w:rPr>
                <w:rStyle w:val="Znakapoznpodarou"/>
                <w:spacing w:val="-4"/>
              </w:rPr>
              <w:footnoteReference w:id="5"/>
            </w:r>
            <w:r>
              <w:rPr>
                <w:spacing w:val="-4"/>
              </w:rPr>
              <w:t xml:space="preserve">, jejich objem meziročně vzrostl </w:t>
            </w:r>
            <w:r w:rsidR="00283F7B">
              <w:rPr>
                <w:spacing w:val="-4"/>
              </w:rPr>
              <w:t>o </w:t>
            </w:r>
            <w:r>
              <w:rPr>
                <w:spacing w:val="-4"/>
              </w:rPr>
              <w:t>třetinu (resp.</w:t>
            </w:r>
            <w:r w:rsidR="00AD0B22">
              <w:rPr>
                <w:spacing w:val="-4"/>
              </w:rPr>
              <w:t> </w:t>
            </w:r>
            <w:r>
              <w:rPr>
                <w:spacing w:val="-4"/>
              </w:rPr>
              <w:t xml:space="preserve">téměř </w:t>
            </w:r>
            <w:r w:rsidR="00AD0B22">
              <w:rPr>
                <w:spacing w:val="-4"/>
              </w:rPr>
              <w:t>o </w:t>
            </w:r>
            <w:r>
              <w:rPr>
                <w:spacing w:val="-4"/>
              </w:rPr>
              <w:t>13 mld. korun). Ačkoli investice financované výhradně z národních zdrojů posílily o polovinu, jejich čerpání za tři letošní čtvrtletí odpovídalo jen 43</w:t>
            </w:r>
            <w:r w:rsidR="00C5197D">
              <w:rPr>
                <w:spacing w:val="-4"/>
              </w:rPr>
              <w:t> %</w:t>
            </w:r>
            <w:r>
              <w:rPr>
                <w:spacing w:val="-4"/>
              </w:rPr>
              <w:t xml:space="preserve"> celoroční rozpočtované částky. Podíl investic na všech výdajích</w:t>
            </w:r>
            <w:r w:rsidR="00AD0B22">
              <w:rPr>
                <w:spacing w:val="-4"/>
              </w:rPr>
              <w:t> </w:t>
            </w:r>
            <w:r>
              <w:rPr>
                <w:spacing w:val="-4"/>
              </w:rPr>
              <w:t>SR mírně vzrostl na 7,6</w:t>
            </w:r>
            <w:r w:rsidR="00C5197D">
              <w:rPr>
                <w:spacing w:val="-4"/>
              </w:rPr>
              <w:t> %</w:t>
            </w:r>
            <w:r>
              <w:rPr>
                <w:spacing w:val="-4"/>
              </w:rPr>
              <w:t xml:space="preserve"> </w:t>
            </w:r>
            <w:r w:rsidR="00283F7B">
              <w:rPr>
                <w:spacing w:val="-4"/>
              </w:rPr>
              <w:t>a </w:t>
            </w:r>
            <w:r>
              <w:rPr>
                <w:spacing w:val="-4"/>
              </w:rPr>
              <w:t>blížil se obdobné relaci za posledních deset let.</w:t>
            </w:r>
          </w:p>
        </w:tc>
      </w:tr>
      <w:tr w:rsidR="009B78A4" w:rsidRPr="008E4F8A" w14:paraId="19ABD449" w14:textId="77777777" w:rsidTr="00223185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29E3147F" w14:textId="1BACFC49" w:rsidR="009B78A4" w:rsidRDefault="009B78A4" w:rsidP="009B78A4">
            <w:pPr>
              <w:pStyle w:val="Marginlie"/>
            </w:pPr>
            <w:r>
              <w:t>Za svižným růstem běžných výdajů stály vyšší výdaje na důchody, platy v rozpočtové sféře a také předfinancování některých transferů.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07961831" w14:textId="77777777" w:rsidR="009B78A4" w:rsidRDefault="009B78A4" w:rsidP="009B78A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242AD14A" w14:textId="15E376A2" w:rsidR="009B78A4" w:rsidRPr="008E4F8A" w:rsidRDefault="009B78A4" w:rsidP="009B78A4">
            <w:pPr>
              <w:spacing w:after="200"/>
              <w:rPr>
                <w:spacing w:val="-2"/>
              </w:rPr>
            </w:pPr>
            <w:r>
              <w:rPr>
                <w:spacing w:val="-4"/>
              </w:rPr>
              <w:t>Již třetím rokem v řadě sílilo růstové tempo běžných výdajů –</w:t>
            </w:r>
            <w:r w:rsidR="00A223E0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ty vzrostly za tři letošní čtvrtletí meziročně bezmála </w:t>
            </w:r>
            <w:r w:rsidR="00283F7B">
              <w:rPr>
                <w:spacing w:val="-4"/>
              </w:rPr>
              <w:t>o </w:t>
            </w:r>
            <w:r>
              <w:rPr>
                <w:spacing w:val="-4"/>
              </w:rPr>
              <w:t>desetinu. Stály za tím hlavně vyšší výdaje na sociální dávky (+33</w:t>
            </w:r>
            <w:r w:rsidR="00C5197D">
              <w:rPr>
                <w:spacing w:val="-4"/>
              </w:rPr>
              <w:t> mld.</w:t>
            </w:r>
            <w:r>
              <w:rPr>
                <w:spacing w:val="-4"/>
              </w:rPr>
              <w:t xml:space="preserve"> korun). Koupěschopnost domácností stimulovalo </w:t>
            </w:r>
            <w:r w:rsidR="00283F7B">
              <w:rPr>
                <w:spacing w:val="-4"/>
              </w:rPr>
              <w:t>i </w:t>
            </w:r>
            <w:r>
              <w:rPr>
                <w:spacing w:val="-4"/>
              </w:rPr>
              <w:t>posílení výdajů na platy v regionálním školství (+17</w:t>
            </w:r>
            <w:r w:rsidR="00C5197D">
              <w:rPr>
                <w:spacing w:val="-4"/>
              </w:rPr>
              <w:t> mld.</w:t>
            </w:r>
            <w:r>
              <w:rPr>
                <w:spacing w:val="-4"/>
              </w:rPr>
              <w:t xml:space="preserve">) </w:t>
            </w:r>
            <w:r w:rsidR="00283F7B">
              <w:rPr>
                <w:rFonts w:cs="Arial"/>
                <w:color w:val="0D0D0D" w:themeColor="text1" w:themeTint="F2"/>
                <w:spacing w:val="-4"/>
              </w:rPr>
              <w:t>i </w:t>
            </w:r>
            <w:r>
              <w:rPr>
                <w:rFonts w:cs="Arial"/>
                <w:color w:val="0D0D0D" w:themeColor="text1" w:themeTint="F2"/>
                <w:spacing w:val="-4"/>
              </w:rPr>
              <w:t>na platy v ústředních orgánech státní správy v</w:t>
            </w:r>
            <w:r w:rsidR="00EE2EB4">
              <w:rPr>
                <w:rFonts w:cs="Arial"/>
                <w:color w:val="0D0D0D" w:themeColor="text1" w:themeTint="F2"/>
                <w:spacing w:val="-4"/>
              </w:rPr>
              <w:t>č. </w:t>
            </w:r>
            <w:r>
              <w:rPr>
                <w:rFonts w:cs="Arial"/>
                <w:color w:val="0D0D0D" w:themeColor="text1" w:themeTint="F2"/>
                <w:spacing w:val="-4"/>
              </w:rPr>
              <w:t>ozbrojených složek (+7</w:t>
            </w:r>
            <w:r>
              <w:rPr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mld.). Dvojciferný růst vykázaly vlivem vyššího předfinancování (</w:t>
            </w:r>
            <w:r w:rsidR="00283F7B">
              <w:rPr>
                <w:rFonts w:cs="Arial"/>
                <w:color w:val="0D0D0D" w:themeColor="text1" w:themeTint="F2"/>
                <w:spacing w:val="-4"/>
              </w:rPr>
              <w:t>v 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rámci roku) </w:t>
            </w:r>
            <w:r w:rsidR="00283F7B">
              <w:rPr>
                <w:rFonts w:cs="Arial"/>
                <w:color w:val="0D0D0D" w:themeColor="text1" w:themeTint="F2"/>
                <w:spacing w:val="-4"/>
              </w:rPr>
              <w:t>i 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transfery státním fondům, neziskovým </w:t>
            </w:r>
            <w:r w:rsidR="00283F7B">
              <w:rPr>
                <w:rFonts w:cs="Arial"/>
                <w:color w:val="0D0D0D" w:themeColor="text1" w:themeTint="F2"/>
                <w:spacing w:val="-4"/>
              </w:rPr>
              <w:t>a </w:t>
            </w:r>
            <w:r>
              <w:rPr>
                <w:rFonts w:cs="Arial"/>
                <w:color w:val="0D0D0D" w:themeColor="text1" w:themeTint="F2"/>
                <w:spacing w:val="-4"/>
              </w:rPr>
              <w:t>podobným organizacím či odvody do rozpočtu</w:t>
            </w:r>
            <w:r w:rsidR="00AD0B22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EU. Po pěti letech se zastavil postupný pokles čistých výdajů na státní dluh, když meziročně posílil o</w:t>
            </w:r>
            <w:r>
              <w:rPr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2,2</w:t>
            </w:r>
            <w:r>
              <w:rPr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% (na 33,4</w:t>
            </w:r>
            <w:r w:rsidR="00C5197D">
              <w:rPr>
                <w:rFonts w:cs="Arial"/>
                <w:color w:val="0D0D0D" w:themeColor="text1" w:themeTint="F2"/>
                <w:spacing w:val="-4"/>
              </w:rPr>
              <w:t> mld.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korun).</w:t>
            </w:r>
          </w:p>
        </w:tc>
      </w:tr>
      <w:tr w:rsidR="009B78A4" w14:paraId="6452A11C" w14:textId="77777777" w:rsidTr="00223185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46E84DB3" w14:textId="470C3C50" w:rsidR="009B78A4" w:rsidRDefault="009B78A4" w:rsidP="009B78A4">
            <w:pPr>
              <w:pStyle w:val="Marginlie"/>
            </w:pPr>
            <w:r>
              <w:t xml:space="preserve">Tempo růstu výdajů na důchody se proti roku 2018 téměř zdvojnásobilo </w:t>
            </w:r>
            <w:r w:rsidR="00283F7B">
              <w:t>a </w:t>
            </w:r>
            <w:r>
              <w:t>dosáhlo desetiletého maxima.</w:t>
            </w:r>
          </w:p>
          <w:p w14:paraId="58F9B12E" w14:textId="77777777" w:rsidR="009B78A4" w:rsidRDefault="009B78A4" w:rsidP="009B78A4">
            <w:pPr>
              <w:pStyle w:val="Marginlie"/>
            </w:pPr>
          </w:p>
          <w:p w14:paraId="6FFBA42C" w14:textId="11C160E8" w:rsidR="009B78A4" w:rsidRDefault="009B78A4" w:rsidP="009B78A4">
            <w:pPr>
              <w:pStyle w:val="Marginlie"/>
            </w:pPr>
            <w:r>
              <w:t>Růstové tempo vybraného pojistného na důchody po pěti letech zvolnilo, důchodový účet byl ale stále v mírném přebytku.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23D619E8" w14:textId="77777777" w:rsidR="009B78A4" w:rsidRDefault="009B78A4" w:rsidP="009B78A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67AC9EBD" w14:textId="4200CEC6" w:rsidR="009B78A4" w:rsidRDefault="009B78A4" w:rsidP="009B78A4">
            <w:pPr>
              <w:spacing w:after="220"/>
              <w:rPr>
                <w:spacing w:val="-4"/>
              </w:rPr>
            </w:pPr>
            <w:r>
              <w:rPr>
                <w:spacing w:val="-4"/>
              </w:rPr>
              <w:t xml:space="preserve">Největší část výdajů státu směřovala tradičně na sociální dávky, jejich podíl se ale již třetím rokem v řadě snižoval </w:t>
            </w:r>
            <w:r w:rsidR="00283F7B">
              <w:rPr>
                <w:spacing w:val="-4"/>
              </w:rPr>
              <w:t>a </w:t>
            </w:r>
            <w:r>
              <w:rPr>
                <w:spacing w:val="-4"/>
              </w:rPr>
              <w:t xml:space="preserve">letos poklesl těsně pod 40% </w:t>
            </w:r>
            <w:r w:rsidR="00AD0B22">
              <w:rPr>
                <w:spacing w:val="-4"/>
              </w:rPr>
              <w:t>hranici</w:t>
            </w:r>
            <w:r>
              <w:rPr>
                <w:spacing w:val="-4"/>
              </w:rPr>
              <w:t xml:space="preserve">. Bezmála čtyři pětiny těchto výdajů </w:t>
            </w:r>
            <w:r w:rsidR="00AD0B22">
              <w:rPr>
                <w:spacing w:val="-4"/>
              </w:rPr>
              <w:t xml:space="preserve">byly alokovány </w:t>
            </w:r>
            <w:r>
              <w:rPr>
                <w:spacing w:val="-4"/>
              </w:rPr>
              <w:t xml:space="preserve">na </w:t>
            </w:r>
            <w:r w:rsidR="008B3AEC">
              <w:rPr>
                <w:spacing w:val="-4"/>
              </w:rPr>
              <w:t>dávky důchodového pojištění</w:t>
            </w:r>
            <w:r>
              <w:rPr>
                <w:spacing w:val="-4"/>
              </w:rPr>
              <w:t xml:space="preserve">. </w:t>
            </w:r>
            <w:r>
              <w:rPr>
                <w:rFonts w:cs="Arial"/>
                <w:color w:val="0D0D0D" w:themeColor="text1" w:themeTint="F2"/>
                <w:spacing w:val="-4"/>
              </w:rPr>
              <w:t>Jejich růstové tempo se oproti počátku loňského roku zdvojnásobilo (na 8,7</w:t>
            </w:r>
            <w:r w:rsidR="00C5197D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), vyšší bylo naposledy dosaženo v roce </w:t>
            </w:r>
            <w:r>
              <w:rPr>
                <w:rFonts w:cs="Arial"/>
                <w:color w:val="0D0D0D" w:themeColor="text1" w:themeTint="F2"/>
                <w:spacing w:val="-4"/>
              </w:rPr>
              <w:lastRenderedPageBreak/>
              <w:t>2009. Při stagnaci počtu osob pobírajících důchod se plně projevil vliv zákonných úprav</w:t>
            </w:r>
            <w:r w:rsidRPr="003C07E6">
              <w:rPr>
                <w:rStyle w:val="Znakapoznpodarou"/>
                <w:spacing w:val="-4"/>
              </w:rPr>
              <w:footnoteReference w:id="6"/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. Průměrná výše starobních </w:t>
            </w:r>
            <w:r w:rsidRPr="006B5B53">
              <w:rPr>
                <w:rFonts w:cs="Arial"/>
                <w:color w:val="0D0D0D" w:themeColor="text1" w:themeTint="F2"/>
                <w:spacing w:val="-4"/>
              </w:rPr>
              <w:t>důchodů (bez souběhu s dalšími důchody) v září 2019 čítala 13 43</w:t>
            </w:r>
            <w:r w:rsidR="00EE2EB4" w:rsidRPr="006B5B53">
              <w:rPr>
                <w:rFonts w:cs="Arial"/>
                <w:color w:val="0D0D0D" w:themeColor="text1" w:themeTint="F2"/>
                <w:spacing w:val="-4"/>
              </w:rPr>
              <w:t>6</w:t>
            </w:r>
            <w:r w:rsidR="00EE2EB4"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6B5B53">
              <w:rPr>
                <w:rFonts w:cs="Arial"/>
                <w:color w:val="0D0D0D" w:themeColor="text1" w:themeTint="F2"/>
                <w:spacing w:val="-4"/>
              </w:rPr>
              <w:t>korun, meziročně o 1 04</w:t>
            </w:r>
            <w:r w:rsidR="00EE2EB4" w:rsidRPr="006B5B53">
              <w:rPr>
                <w:rFonts w:cs="Arial"/>
                <w:color w:val="0D0D0D" w:themeColor="text1" w:themeTint="F2"/>
                <w:spacing w:val="-4"/>
              </w:rPr>
              <w:t>1</w:t>
            </w:r>
            <w:r w:rsidR="00EE2EB4"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6B5B53">
              <w:rPr>
                <w:rFonts w:cs="Arial"/>
                <w:color w:val="0D0D0D" w:themeColor="text1" w:themeTint="F2"/>
                <w:spacing w:val="-4"/>
              </w:rPr>
              <w:t>korun více. Mimořádně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příznivá situace na pracovním trhu vedla m</w:t>
            </w:r>
            <w:r w:rsidR="00D36B0A">
              <w:rPr>
                <w:rFonts w:cs="Arial"/>
                <w:color w:val="0D0D0D" w:themeColor="text1" w:themeTint="F2"/>
                <w:spacing w:val="-4"/>
              </w:rPr>
              <w:t xml:space="preserve">imo </w:t>
            </w:r>
            <w:r>
              <w:rPr>
                <w:rFonts w:cs="Arial"/>
                <w:color w:val="0D0D0D" w:themeColor="text1" w:themeTint="F2"/>
                <w:spacing w:val="-4"/>
              </w:rPr>
              <w:t>j</w:t>
            </w:r>
            <w:r w:rsidR="00D36B0A">
              <w:rPr>
                <w:rFonts w:cs="Arial"/>
                <w:color w:val="0D0D0D" w:themeColor="text1" w:themeTint="F2"/>
                <w:spacing w:val="-4"/>
              </w:rPr>
              <w:t>iné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k růstu ekonomické aktivity lidí na sklonku produktivního věku </w:t>
            </w:r>
            <w:r w:rsidR="00283F7B">
              <w:rPr>
                <w:rFonts w:cs="Arial"/>
                <w:color w:val="0D0D0D" w:themeColor="text1" w:themeTint="F2"/>
                <w:spacing w:val="-4"/>
              </w:rPr>
              <w:t>i </w:t>
            </w:r>
            <w:r>
              <w:rPr>
                <w:rFonts w:cs="Arial"/>
                <w:color w:val="0D0D0D" w:themeColor="text1" w:themeTint="F2"/>
                <w:spacing w:val="-4"/>
              </w:rPr>
              <w:t>seniorů. To se pozitivně projevilo také růstem příjmů plynoucích do systému důchodového pojištění či nižším využíváním předčasných odchodů do starobního důchodu</w:t>
            </w:r>
            <w:r>
              <w:rPr>
                <w:rStyle w:val="Znakapoznpodarou"/>
                <w:color w:val="0D0D0D" w:themeColor="text1" w:themeTint="F2"/>
                <w:spacing w:val="-2"/>
              </w:rPr>
              <w:footnoteReference w:id="7"/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. </w:t>
            </w:r>
            <w:r w:rsidRPr="00AE309F">
              <w:rPr>
                <w:rFonts w:cs="Arial"/>
                <w:color w:val="0D0D0D" w:themeColor="text1" w:themeTint="F2"/>
                <w:spacing w:val="-4"/>
              </w:rPr>
              <w:t>Tempo meziročního růstu vybraného pojistného na důchody letos poprvé po pěti před</w:t>
            </w:r>
            <w:r>
              <w:rPr>
                <w:rFonts w:cs="Arial"/>
                <w:color w:val="0D0D0D" w:themeColor="text1" w:themeTint="F2"/>
                <w:spacing w:val="-4"/>
              </w:rPr>
              <w:t>chozích letech zvolnilo (na 7,5</w:t>
            </w:r>
            <w:r w:rsidRPr="00A264F9"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AE309F">
              <w:rPr>
                <w:rFonts w:cs="Arial"/>
                <w:color w:val="0D0D0D" w:themeColor="text1" w:themeTint="F2"/>
                <w:spacing w:val="-4"/>
              </w:rPr>
              <w:t>%</w:t>
            </w:r>
            <w:r>
              <w:rPr>
                <w:rFonts w:cs="Arial"/>
                <w:color w:val="0D0D0D" w:themeColor="text1" w:themeTint="F2"/>
                <w:spacing w:val="-4"/>
              </w:rPr>
              <w:t>)</w:t>
            </w:r>
            <w:r w:rsidRPr="00AE309F">
              <w:rPr>
                <w:rFonts w:cs="Arial"/>
                <w:color w:val="0D0D0D" w:themeColor="text1" w:themeTint="F2"/>
                <w:spacing w:val="-4"/>
              </w:rPr>
              <w:t>.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To odpovídalo </w:t>
            </w:r>
            <w:r w:rsidRPr="00A264F9">
              <w:rPr>
                <w:rFonts w:cs="Arial"/>
                <w:color w:val="0D0D0D" w:themeColor="text1" w:themeTint="F2"/>
                <w:spacing w:val="-4"/>
              </w:rPr>
              <w:t>zpomalení růst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u zaměstnanosti </w:t>
            </w:r>
            <w:r w:rsidR="00283F7B">
              <w:rPr>
                <w:rFonts w:cs="Arial"/>
                <w:color w:val="0D0D0D" w:themeColor="text1" w:themeTint="F2"/>
                <w:spacing w:val="-4"/>
              </w:rPr>
              <w:t>v 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ekonomice </w:t>
            </w:r>
            <w:r w:rsidR="00283F7B">
              <w:rPr>
                <w:rFonts w:cs="Arial"/>
                <w:color w:val="0D0D0D" w:themeColor="text1" w:themeTint="F2"/>
                <w:spacing w:val="-4"/>
              </w:rPr>
              <w:t>i</w:t>
            </w:r>
            <w:r w:rsidR="00805AF3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pravděpodobnému</w:t>
            </w:r>
            <w:r w:rsidRPr="00A264F9">
              <w:rPr>
                <w:rFonts w:cs="Arial"/>
                <w:color w:val="0D0D0D" w:themeColor="text1" w:themeTint="F2"/>
                <w:spacing w:val="-4"/>
              </w:rPr>
              <w:t xml:space="preserve"> dos</w:t>
            </w:r>
            <w:r>
              <w:rPr>
                <w:rFonts w:cs="Arial"/>
                <w:color w:val="0D0D0D" w:themeColor="text1" w:themeTint="F2"/>
                <w:spacing w:val="-4"/>
              </w:rPr>
              <w:t>ažení</w:t>
            </w:r>
            <w:r w:rsidRPr="00A264F9">
              <w:rPr>
                <w:rFonts w:cs="Arial"/>
                <w:color w:val="0D0D0D" w:themeColor="text1" w:themeTint="F2"/>
                <w:spacing w:val="-4"/>
              </w:rPr>
              <w:t xml:space="preserve"> vrcholu dynamiky průměrných mezd v loňském roce.</w:t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 Saldo důchodového účtu</w:t>
            </w:r>
            <w:r>
              <w:rPr>
                <w:rStyle w:val="Znakapoznpodarou"/>
                <w:color w:val="0D0D0D" w:themeColor="text1" w:themeTint="F2"/>
                <w:spacing w:val="-2"/>
              </w:rPr>
              <w:footnoteReference w:id="8"/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 v </w:t>
            </w:r>
            <w:r w:rsidR="00283F7B">
              <w:rPr>
                <w:rFonts w:cs="Arial"/>
                <w:color w:val="0D0D0D" w:themeColor="text1" w:themeTint="F2"/>
                <w:spacing w:val="-2"/>
              </w:rPr>
              <w:t>1. </w:t>
            </w:r>
            <w:r>
              <w:rPr>
                <w:rFonts w:cs="Arial"/>
                <w:color w:val="0D0D0D" w:themeColor="text1" w:themeTint="F2"/>
                <w:spacing w:val="-2"/>
              </w:rPr>
              <w:t>až 3</w:t>
            </w:r>
            <w:r w:rsidR="00EE2EB4">
              <w:rPr>
                <w:rFonts w:cs="Arial"/>
                <w:color w:val="0D0D0D" w:themeColor="text1" w:themeTint="F2"/>
                <w:spacing w:val="-2"/>
              </w:rPr>
              <w:t>. čtvrtlet</w:t>
            </w:r>
            <w:r>
              <w:rPr>
                <w:rFonts w:cs="Arial"/>
                <w:color w:val="0D0D0D" w:themeColor="text1" w:themeTint="F2"/>
                <w:spacing w:val="-2"/>
              </w:rPr>
              <w:t>í se tak oproti loňsku mírně zhoršilo, přesto zůstalo již druhým rokem v řadě kladné (+13</w:t>
            </w:r>
            <w:r w:rsidR="00C5197D">
              <w:rPr>
                <w:rFonts w:cs="Arial"/>
                <w:color w:val="0D0D0D" w:themeColor="text1" w:themeTint="F2"/>
                <w:spacing w:val="-2"/>
              </w:rPr>
              <w:t> mld.</w:t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 korun).</w:t>
            </w:r>
          </w:p>
        </w:tc>
      </w:tr>
      <w:tr w:rsidR="009B78A4" w:rsidRPr="00F704D2" w14:paraId="15D7C4BA" w14:textId="77777777" w:rsidTr="00223185">
        <w:trPr>
          <w:trHeight w:val="170"/>
        </w:trPr>
        <w:tc>
          <w:tcPr>
            <w:tcW w:w="1732" w:type="dxa"/>
            <w:vMerge w:val="restart"/>
            <w:shd w:val="clear" w:color="auto" w:fill="auto"/>
            <w:tcMar>
              <w:left w:w="0" w:type="dxa"/>
            </w:tcMar>
          </w:tcPr>
          <w:p w14:paraId="0279EAD1" w14:textId="77777777" w:rsidR="009B78A4" w:rsidRDefault="009B78A4" w:rsidP="009B78A4">
            <w:pPr>
              <w:pStyle w:val="Marginlie"/>
            </w:pPr>
          </w:p>
        </w:tc>
        <w:tc>
          <w:tcPr>
            <w:tcW w:w="217" w:type="dxa"/>
            <w:vMerge w:val="restart"/>
            <w:shd w:val="clear" w:color="auto" w:fill="auto"/>
            <w:tcMar>
              <w:left w:w="0" w:type="dxa"/>
            </w:tcMar>
          </w:tcPr>
          <w:p w14:paraId="1A31FCFD" w14:textId="77777777" w:rsidR="009B78A4" w:rsidRDefault="009B78A4" w:rsidP="009B78A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7F30FFF1" w14:textId="10F57CEC" w:rsidR="009B78A4" w:rsidRPr="00F704D2" w:rsidRDefault="009B78A4" w:rsidP="009B78A4">
            <w:pPr>
              <w:spacing w:after="40" w:line="240" w:lineRule="auto"/>
              <w:jc w:val="left"/>
              <w:rPr>
                <w:rFonts w:cs="Arial"/>
                <w:bCs/>
              </w:rPr>
            </w:pPr>
            <w:r>
              <w:rPr>
                <w:b/>
                <w:spacing w:val="-2"/>
              </w:rPr>
              <w:t xml:space="preserve">Graf </w:t>
            </w:r>
            <w:r w:rsidR="00EE2EB4">
              <w:rPr>
                <w:b/>
                <w:spacing w:val="-2"/>
              </w:rPr>
              <w:t>č. </w:t>
            </w:r>
            <w:r>
              <w:rPr>
                <w:b/>
                <w:spacing w:val="-2"/>
              </w:rPr>
              <w:t>18</w:t>
            </w:r>
            <w:r w:rsidRPr="00DC43A2">
              <w:rPr>
                <w:b/>
                <w:spacing w:val="-2"/>
              </w:rPr>
              <w:t xml:space="preserve"> </w:t>
            </w:r>
            <w:r w:rsidR="00D36B0A">
              <w:rPr>
                <w:b/>
                <w:spacing w:val="-2"/>
              </w:rPr>
              <w:t xml:space="preserve"> </w:t>
            </w:r>
            <w:r w:rsidRPr="00DC43A2">
              <w:rPr>
                <w:rFonts w:cs="Arial"/>
                <w:b/>
                <w:bCs/>
                <w:spacing w:val="-2"/>
              </w:rPr>
              <w:t>Vybrané výdaje státního rozpočtu</w:t>
            </w:r>
            <w:r w:rsidRPr="00DC43A2">
              <w:rPr>
                <w:rFonts w:cs="Arial"/>
                <w:bCs/>
                <w:spacing w:val="-2"/>
              </w:rPr>
              <w:t xml:space="preserve"> </w:t>
            </w:r>
            <w:r>
              <w:rPr>
                <w:rFonts w:cs="Arial"/>
                <w:b/>
                <w:bCs/>
              </w:rPr>
              <w:t>v </w:t>
            </w:r>
            <w:r w:rsidR="00283F7B">
              <w:rPr>
                <w:rFonts w:cs="Arial"/>
                <w:b/>
                <w:bCs/>
              </w:rPr>
              <w:t>1. </w:t>
            </w:r>
            <w:r>
              <w:rPr>
                <w:rFonts w:cs="Arial"/>
                <w:b/>
                <w:bCs/>
              </w:rPr>
              <w:t>až 3</w:t>
            </w:r>
            <w:r w:rsidR="00EE2EB4">
              <w:rPr>
                <w:rFonts w:cs="Arial"/>
                <w:b/>
                <w:bCs/>
              </w:rPr>
              <w:t>. čtvrtlet</w:t>
            </w:r>
            <w:r w:rsidRPr="00D679F9">
              <w:rPr>
                <w:rFonts w:cs="Arial"/>
                <w:b/>
                <w:bCs/>
              </w:rPr>
              <w:t>í</w:t>
            </w:r>
            <w:r w:rsidRPr="00DC43A2">
              <w:rPr>
                <w:rFonts w:cs="Arial"/>
                <w:bCs/>
                <w:spacing w:val="-2"/>
              </w:rPr>
              <w:t xml:space="preserve"> (v mld. korun)</w:t>
            </w:r>
          </w:p>
        </w:tc>
      </w:tr>
      <w:tr w:rsidR="009B78A4" w14:paraId="33F2E9D2" w14:textId="77777777" w:rsidTr="005E3F66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732" w:type="dxa"/>
            <w:vMerge/>
            <w:shd w:val="clear" w:color="auto" w:fill="auto"/>
          </w:tcPr>
          <w:p w14:paraId="11A2D6EF" w14:textId="77777777" w:rsidR="009B78A4" w:rsidRDefault="009B78A4" w:rsidP="009B78A4">
            <w:pPr>
              <w:pStyle w:val="Marginlie"/>
            </w:pPr>
          </w:p>
        </w:tc>
        <w:tc>
          <w:tcPr>
            <w:tcW w:w="217" w:type="dxa"/>
            <w:vMerge/>
            <w:shd w:val="clear" w:color="auto" w:fill="auto"/>
          </w:tcPr>
          <w:p w14:paraId="2F1C4D9E" w14:textId="77777777" w:rsidR="009B78A4" w:rsidRDefault="009B78A4" w:rsidP="009B78A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</w:tcPr>
          <w:p w14:paraId="6BDA621D" w14:textId="47854463" w:rsidR="009B78A4" w:rsidRDefault="005E3F66" w:rsidP="009B78A4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18285FD1" wp14:editId="162F137C">
                  <wp:extent cx="4803035" cy="3491707"/>
                  <wp:effectExtent l="0" t="0" r="0" b="0"/>
                  <wp:docPr id="8" name="Graf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9B78A4" w:rsidRPr="00343AC1" w14:paraId="2551FA53" w14:textId="77777777" w:rsidTr="009B78A4">
        <w:trPr>
          <w:trHeight w:val="170"/>
        </w:trPr>
        <w:tc>
          <w:tcPr>
            <w:tcW w:w="1732" w:type="dxa"/>
            <w:vMerge/>
            <w:shd w:val="clear" w:color="auto" w:fill="auto"/>
            <w:tcMar>
              <w:left w:w="0" w:type="dxa"/>
            </w:tcMar>
          </w:tcPr>
          <w:p w14:paraId="0900FDBA" w14:textId="77777777" w:rsidR="009B78A4" w:rsidRDefault="009B78A4" w:rsidP="009B78A4">
            <w:pPr>
              <w:pStyle w:val="Marginlie"/>
            </w:pPr>
          </w:p>
        </w:tc>
        <w:tc>
          <w:tcPr>
            <w:tcW w:w="217" w:type="dxa"/>
            <w:vMerge/>
            <w:shd w:val="clear" w:color="auto" w:fill="auto"/>
            <w:tcMar>
              <w:left w:w="0" w:type="dxa"/>
            </w:tcMar>
          </w:tcPr>
          <w:p w14:paraId="06127349" w14:textId="77777777" w:rsidR="009B78A4" w:rsidRDefault="009B78A4" w:rsidP="009B78A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5CFECBDE" w14:textId="65C6E88E" w:rsidR="009B78A4" w:rsidRDefault="009B78A4" w:rsidP="009B78A4">
            <w:pPr>
              <w:pStyle w:val="Textpoznpodarou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*Pokrývá výdaje na platy v ústředních orgánech státní správy. Nezahrnuje např.</w:t>
            </w:r>
            <w:r w:rsidR="00493E85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mzdové výdaje na regionální školství.</w:t>
            </w:r>
          </w:p>
          <w:p w14:paraId="35DFF9F6" w14:textId="361EFB5E" w:rsidR="009B78A4" w:rsidRDefault="009B78A4" w:rsidP="009B78A4">
            <w:pPr>
              <w:pStyle w:val="Textpoznpodarou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**Zahrnuje </w:t>
            </w:r>
            <w:r w:rsidR="00283F7B">
              <w:rPr>
                <w:sz w:val="14"/>
                <w:szCs w:val="14"/>
              </w:rPr>
              <w:t>i </w:t>
            </w:r>
            <w:r>
              <w:rPr>
                <w:sz w:val="14"/>
                <w:szCs w:val="14"/>
              </w:rPr>
              <w:t>dávky pěstounské péče.    ***Zahrnuje d</w:t>
            </w:r>
            <w:r w:rsidRPr="007E5880">
              <w:rPr>
                <w:sz w:val="14"/>
                <w:szCs w:val="14"/>
              </w:rPr>
              <w:t>ávky pomoci</w:t>
            </w:r>
            <w:r>
              <w:rPr>
                <w:sz w:val="14"/>
                <w:szCs w:val="14"/>
              </w:rPr>
              <w:t xml:space="preserve"> v hmotné</w:t>
            </w:r>
            <w:r w:rsidRPr="007E588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</w:t>
            </w:r>
            <w:r w:rsidRPr="007E5880">
              <w:rPr>
                <w:sz w:val="14"/>
                <w:szCs w:val="14"/>
              </w:rPr>
              <w:t>ouzi,</w:t>
            </w:r>
            <w:r>
              <w:rPr>
                <w:sz w:val="14"/>
                <w:szCs w:val="14"/>
              </w:rPr>
              <w:t xml:space="preserve"> dávky osobám se zdravotním</w:t>
            </w:r>
            <w:r w:rsidRPr="007E588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 w:rsidRPr="007E5880">
              <w:rPr>
                <w:sz w:val="14"/>
                <w:szCs w:val="14"/>
              </w:rPr>
              <w:t>ostižením, pří</w:t>
            </w:r>
            <w:r>
              <w:rPr>
                <w:sz w:val="14"/>
                <w:szCs w:val="14"/>
              </w:rPr>
              <w:t xml:space="preserve">spěvek na péči dle zákona o sociálních službách.   </w:t>
            </w:r>
            <w:r w:rsidR="00A223E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****</w:t>
            </w:r>
            <w:r w:rsidR="00493E85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bsahuje zejména </w:t>
            </w:r>
            <w:r w:rsidRPr="00D95656">
              <w:rPr>
                <w:sz w:val="14"/>
                <w:szCs w:val="14"/>
              </w:rPr>
              <w:t>výdaje na nákup služeb</w:t>
            </w:r>
            <w:r>
              <w:rPr>
                <w:sz w:val="14"/>
                <w:szCs w:val="14"/>
              </w:rPr>
              <w:t>, materiálu, energií či ostatních služeb (např.</w:t>
            </w:r>
            <w:r w:rsidR="00493E85">
              <w:rPr>
                <w:sz w:val="14"/>
                <w:szCs w:val="14"/>
              </w:rPr>
              <w:t> </w:t>
            </w:r>
            <w:r w:rsidRPr="00D95656">
              <w:rPr>
                <w:sz w:val="14"/>
                <w:szCs w:val="14"/>
              </w:rPr>
              <w:t xml:space="preserve">výdaje na opravy </w:t>
            </w:r>
            <w:r w:rsidR="00283F7B" w:rsidRPr="00D95656">
              <w:rPr>
                <w:sz w:val="14"/>
                <w:szCs w:val="14"/>
              </w:rPr>
              <w:t>a</w:t>
            </w:r>
            <w:r w:rsidR="00283F7B">
              <w:rPr>
                <w:sz w:val="14"/>
                <w:szCs w:val="14"/>
              </w:rPr>
              <w:t> </w:t>
            </w:r>
            <w:r w:rsidRPr="00D95656">
              <w:rPr>
                <w:sz w:val="14"/>
                <w:szCs w:val="14"/>
              </w:rPr>
              <w:t>udržování)</w:t>
            </w:r>
            <w:r>
              <w:rPr>
                <w:sz w:val="14"/>
                <w:szCs w:val="14"/>
              </w:rPr>
              <w:t xml:space="preserve">.  </w:t>
            </w:r>
            <w:r w:rsidR="00A223E0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*****Odpovídá saldu rozpočtové kapitoly Státní dluh.</w:t>
            </w:r>
          </w:p>
          <w:p w14:paraId="3176601D" w14:textId="6872DABD" w:rsidR="009B78A4" w:rsidRPr="00343AC1" w:rsidRDefault="009B78A4" w:rsidP="009B78A4">
            <w:pPr>
              <w:spacing w:after="220" w:line="240" w:lineRule="auto"/>
              <w:rPr>
                <w:rFonts w:cs="Arial"/>
                <w:color w:val="0D0D0D" w:themeColor="text1" w:themeTint="F2"/>
                <w:sz w:val="14"/>
                <w:szCs w:val="14"/>
              </w:rPr>
            </w:pPr>
            <w:r>
              <w:rPr>
                <w:sz w:val="14"/>
                <w:szCs w:val="14"/>
              </w:rPr>
              <w:t>Zdroj: MF</w:t>
            </w:r>
            <w:r w:rsidR="00930251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ČR, MPSV</w:t>
            </w:r>
          </w:p>
        </w:tc>
      </w:tr>
      <w:tr w:rsidR="005E3F66" w:rsidRPr="004F63A0" w14:paraId="53676DA8" w14:textId="77777777" w:rsidTr="009B78A4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2CBEF3DF" w14:textId="58B902AE" w:rsidR="005E3F66" w:rsidRPr="007D6AF8" w:rsidRDefault="005E3F66" w:rsidP="005E3F66">
            <w:pPr>
              <w:pStyle w:val="Marginlie"/>
            </w:pPr>
            <w:r>
              <w:t>K růstu nedůchodových sociálních dávek přispělo hlavně vyšší čerpání dávek nemocenského pojištění a také posílení výdajů pro občany se zdravotním postižením.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349E8076" w14:textId="77777777" w:rsidR="005E3F66" w:rsidRDefault="005E3F66" w:rsidP="005E3F66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3FB30F86" w14:textId="4CA8B1D7" w:rsidR="005E3F66" w:rsidRPr="007D6AF8" w:rsidRDefault="005E3F66" w:rsidP="005E3F66">
            <w:pPr>
              <w:pStyle w:val="Textpoznpodarou"/>
              <w:spacing w:after="200" w:line="276" w:lineRule="auto"/>
              <w:jc w:val="both"/>
              <w:rPr>
                <w:spacing w:val="-3"/>
              </w:rPr>
            </w:pPr>
            <w:r w:rsidRPr="002874DE">
              <w:rPr>
                <w:spacing w:val="-2"/>
              </w:rPr>
              <w:t xml:space="preserve">Výdaje na ostatní sociální dávky (mimo důchody) činily </w:t>
            </w:r>
            <w:r w:rsidRPr="002874DE">
              <w:rPr>
                <w:rFonts w:cs="Arial"/>
                <w:color w:val="0D0D0D" w:themeColor="text1" w:themeTint="F2"/>
                <w:spacing w:val="-2"/>
              </w:rPr>
              <w:t>v 1</w:t>
            </w:r>
            <w:r>
              <w:rPr>
                <w:rFonts w:cs="Arial"/>
                <w:color w:val="0D0D0D" w:themeColor="text1" w:themeTint="F2"/>
                <w:spacing w:val="-2"/>
              </w:rPr>
              <w:t>. </w:t>
            </w:r>
            <w:r w:rsidRPr="002874DE">
              <w:rPr>
                <w:rFonts w:cs="Arial"/>
                <w:color w:val="0D0D0D" w:themeColor="text1" w:themeTint="F2"/>
                <w:spacing w:val="-2"/>
              </w:rPr>
              <w:t>až 3</w:t>
            </w:r>
            <w:r>
              <w:rPr>
                <w:rFonts w:cs="Arial"/>
                <w:color w:val="0D0D0D" w:themeColor="text1" w:themeTint="F2"/>
                <w:spacing w:val="-2"/>
              </w:rPr>
              <w:t>. čtvrtlet</w:t>
            </w:r>
            <w:r w:rsidRPr="002874DE">
              <w:rPr>
                <w:rFonts w:cs="Arial"/>
                <w:color w:val="0D0D0D" w:themeColor="text1" w:themeTint="F2"/>
                <w:spacing w:val="-2"/>
              </w:rPr>
              <w:t>í</w:t>
            </w:r>
            <w:r w:rsidRPr="002874DE">
              <w:rPr>
                <w:spacing w:val="-2"/>
              </w:rPr>
              <w:t xml:space="preserve"> 97,3</w:t>
            </w:r>
            <w:r>
              <w:rPr>
                <w:spacing w:val="-2"/>
              </w:rPr>
              <w:t> mld.</w:t>
            </w:r>
            <w:r w:rsidRPr="002874DE">
              <w:rPr>
                <w:spacing w:val="-2"/>
              </w:rPr>
              <w:t xml:space="preserve"> korun, meziročně posílily o</w:t>
            </w:r>
            <w:r>
              <w:rPr>
                <w:spacing w:val="-2"/>
              </w:rPr>
              <w:t> </w:t>
            </w:r>
            <w:r w:rsidRPr="002874DE">
              <w:rPr>
                <w:spacing w:val="-2"/>
              </w:rPr>
              <w:t>5,8</w:t>
            </w:r>
            <w:r>
              <w:rPr>
                <w:spacing w:val="-2"/>
              </w:rPr>
              <w:t> %</w:t>
            </w:r>
            <w:r w:rsidRPr="002874DE">
              <w:rPr>
                <w:spacing w:val="-2"/>
              </w:rPr>
              <w:t xml:space="preserve"> –</w:t>
            </w:r>
            <w:r>
              <w:rPr>
                <w:spacing w:val="-2"/>
              </w:rPr>
              <w:t> </w:t>
            </w:r>
            <w:r w:rsidRPr="002874DE">
              <w:rPr>
                <w:spacing w:val="-2"/>
              </w:rPr>
              <w:t xml:space="preserve">nejsilněji za posledních šest let. Na jejich růstu se </w:t>
            </w:r>
            <w:r>
              <w:rPr>
                <w:spacing w:val="-2"/>
              </w:rPr>
              <w:t>z </w:t>
            </w:r>
            <w:r w:rsidRPr="002874DE">
              <w:rPr>
                <w:spacing w:val="-2"/>
              </w:rPr>
              <w:t>více než dvou třetin podílely vyšší dávky nemocenského pojištění, jejichž čerpání strmě rostlo druhým rokem v řadě</w:t>
            </w:r>
            <w:r w:rsidRPr="002874DE">
              <w:rPr>
                <w:rStyle w:val="Znakapoznpodarou"/>
                <w:color w:val="0D0D0D" w:themeColor="text1" w:themeTint="F2"/>
                <w:spacing w:val="-2"/>
              </w:rPr>
              <w:footnoteReference w:id="9"/>
            </w:r>
            <w:r w:rsidRPr="002874DE">
              <w:rPr>
                <w:spacing w:val="-2"/>
              </w:rPr>
              <w:t>. Dlouhodobě rostou také výdaje na dávky pro občany se zdravotním postižením (přís</w:t>
            </w:r>
            <w:r>
              <w:rPr>
                <w:spacing w:val="-2"/>
              </w:rPr>
              <w:t xml:space="preserve">pěvky na péči) </w:t>
            </w:r>
            <w:r w:rsidRPr="006B5B53">
              <w:rPr>
                <w:spacing w:val="-2"/>
              </w:rPr>
              <w:t>– meziročně o</w:t>
            </w:r>
            <w:r>
              <w:rPr>
                <w:spacing w:val="-2"/>
              </w:rPr>
              <w:t> </w:t>
            </w:r>
            <w:r w:rsidRPr="006B5B53">
              <w:rPr>
                <w:spacing w:val="-2"/>
              </w:rPr>
              <w:t>11</w:t>
            </w:r>
            <w:r>
              <w:rPr>
                <w:spacing w:val="-2"/>
              </w:rPr>
              <w:t> %</w:t>
            </w:r>
            <w:r w:rsidRPr="006B5B53">
              <w:rPr>
                <w:spacing w:val="-2"/>
              </w:rPr>
              <w:t xml:space="preserve">, za </w:t>
            </w:r>
            <w:r>
              <w:rPr>
                <w:spacing w:val="-2"/>
              </w:rPr>
              <w:t>posledních pět let</w:t>
            </w:r>
            <w:r w:rsidRPr="006B5B53">
              <w:rPr>
                <w:spacing w:val="-2"/>
              </w:rPr>
              <w:t xml:space="preserve"> o</w:t>
            </w:r>
            <w:r w:rsidRPr="006B5B53">
              <w:rPr>
                <w:rFonts w:cs="Arial"/>
                <w:color w:val="0D0D0D" w:themeColor="text1" w:themeTint="F2"/>
                <w:spacing w:val="-2"/>
              </w:rPr>
              <w:t> </w:t>
            </w:r>
            <w:r w:rsidRPr="006B5B53">
              <w:rPr>
                <w:spacing w:val="-2"/>
              </w:rPr>
              <w:t>42</w:t>
            </w:r>
            <w:r>
              <w:rPr>
                <w:spacing w:val="-2"/>
              </w:rPr>
              <w:t> %</w:t>
            </w:r>
            <w:r w:rsidRPr="006B5B53">
              <w:rPr>
                <w:spacing w:val="-2"/>
              </w:rPr>
              <w:t>. Klesly naopak výdaje na státní sociální podporu (SSP), a</w:t>
            </w:r>
            <w:r>
              <w:rPr>
                <w:spacing w:val="-2"/>
              </w:rPr>
              <w:t> </w:t>
            </w:r>
            <w:r w:rsidRPr="006B5B53">
              <w:rPr>
                <w:spacing w:val="-2"/>
              </w:rPr>
              <w:t>to o</w:t>
            </w:r>
            <w:r>
              <w:rPr>
                <w:spacing w:val="-2"/>
              </w:rPr>
              <w:t> </w:t>
            </w:r>
            <w:r w:rsidRPr="006B5B53">
              <w:rPr>
                <w:spacing w:val="-2"/>
              </w:rPr>
              <w:t>3,5</w:t>
            </w:r>
            <w:r>
              <w:rPr>
                <w:spacing w:val="-2"/>
              </w:rPr>
              <w:t> %</w:t>
            </w:r>
            <w:r w:rsidRPr="006B5B53">
              <w:rPr>
                <w:spacing w:val="-2"/>
              </w:rPr>
              <w:t xml:space="preserve"> –</w:t>
            </w:r>
            <w:r>
              <w:rPr>
                <w:spacing w:val="-2"/>
              </w:rPr>
              <w:t> </w:t>
            </w:r>
            <w:r w:rsidRPr="006B5B53">
              <w:rPr>
                <w:spacing w:val="-2"/>
              </w:rPr>
              <w:t>nejvíce za posledních osm let. Z dílčích dávek SSP posílila jen podpora pěstounské péče. Klesl jak objem veškerých příjmově testovaných dávek, např.</w:t>
            </w:r>
            <w:r>
              <w:rPr>
                <w:spacing w:val="-2"/>
              </w:rPr>
              <w:t> </w:t>
            </w:r>
            <w:r w:rsidRPr="006B5B53">
              <w:rPr>
                <w:spacing w:val="-2"/>
              </w:rPr>
              <w:t>přídavků na děti (</w:t>
            </w:r>
            <w:r w:rsidRPr="006B5B53">
              <w:rPr>
                <w:rFonts w:cs="Arial"/>
                <w:color w:val="0D0D0D" w:themeColor="text1" w:themeTint="F2"/>
                <w:spacing w:val="-2"/>
              </w:rPr>
              <w:t>–</w:t>
            </w:r>
            <w:r w:rsidRPr="006B5B53">
              <w:rPr>
                <w:spacing w:val="-2"/>
              </w:rPr>
              <w:t>8,5</w:t>
            </w:r>
            <w:r>
              <w:rPr>
                <w:spacing w:val="-2"/>
              </w:rPr>
              <w:t> %</w:t>
            </w:r>
            <w:r w:rsidRPr="006B5B53">
              <w:rPr>
                <w:spacing w:val="-2"/>
              </w:rPr>
              <w:t>), tak i</w:t>
            </w:r>
            <w:r>
              <w:rPr>
                <w:spacing w:val="-2"/>
              </w:rPr>
              <w:t> </w:t>
            </w:r>
            <w:r w:rsidRPr="006B5B53">
              <w:rPr>
                <w:spacing w:val="-2"/>
              </w:rPr>
              <w:t xml:space="preserve">váhově dominantních </w:t>
            </w:r>
            <w:r w:rsidRPr="006B5B53">
              <w:rPr>
                <w:spacing w:val="-2"/>
              </w:rPr>
              <w:lastRenderedPageBreak/>
              <w:t>rodičovských příspěvků (</w:t>
            </w:r>
            <w:r w:rsidRPr="006B5B53">
              <w:rPr>
                <w:rFonts w:cs="Arial"/>
                <w:color w:val="0D0D0D" w:themeColor="text1" w:themeTint="F2"/>
                <w:spacing w:val="-2"/>
              </w:rPr>
              <w:t>–</w:t>
            </w:r>
            <w:r w:rsidRPr="006B5B53">
              <w:rPr>
                <w:spacing w:val="-2"/>
              </w:rPr>
              <w:t>2,3</w:t>
            </w:r>
            <w:r>
              <w:rPr>
                <w:spacing w:val="-2"/>
              </w:rPr>
              <w:t> %</w:t>
            </w:r>
            <w:r w:rsidRPr="006B5B53">
              <w:rPr>
                <w:spacing w:val="-2"/>
              </w:rPr>
              <w:t>). Vlivem zlepšené finanční situace domácností se redukoval i</w:t>
            </w:r>
            <w:r>
              <w:rPr>
                <w:spacing w:val="-2"/>
              </w:rPr>
              <w:t> </w:t>
            </w:r>
            <w:r w:rsidRPr="006B5B53">
              <w:rPr>
                <w:spacing w:val="-2"/>
              </w:rPr>
              <w:t>objem dávek v</w:t>
            </w:r>
            <w:r>
              <w:rPr>
                <w:spacing w:val="-2"/>
              </w:rPr>
              <w:t> </w:t>
            </w:r>
            <w:r w:rsidRPr="006B5B53">
              <w:rPr>
                <w:spacing w:val="-2"/>
              </w:rPr>
              <w:t>hmotné nouzi (meziročně o pětinu, za pět let o 61 %).</w:t>
            </w:r>
            <w:r w:rsidRPr="006B5B53">
              <w:rPr>
                <w:spacing w:val="-4"/>
              </w:rPr>
              <w:t xml:space="preserve"> Po pěti letech se naopak zastavil pokles výdajů na podporu v nezaměstnanosti (+7,3</w:t>
            </w:r>
            <w:r>
              <w:rPr>
                <w:spacing w:val="-4"/>
              </w:rPr>
              <w:t> %</w:t>
            </w:r>
            <w:r w:rsidRPr="006B5B53">
              <w:rPr>
                <w:spacing w:val="-4"/>
              </w:rPr>
              <w:t>)</w:t>
            </w:r>
            <w:r>
              <w:rPr>
                <w:spacing w:val="-4"/>
              </w:rPr>
              <w:t>.</w:t>
            </w:r>
          </w:p>
        </w:tc>
      </w:tr>
      <w:tr w:rsidR="005E3F66" w:rsidRPr="004F63A0" w14:paraId="4A0BE1A0" w14:textId="77777777" w:rsidTr="009B78A4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0B7E3C83" w14:textId="77777777" w:rsidR="005E3F66" w:rsidRPr="007D6AF8" w:rsidRDefault="005E3F66" w:rsidP="005E3F66">
            <w:pPr>
              <w:pStyle w:val="Marginlie"/>
            </w:pPr>
            <w:r w:rsidRPr="007D6AF8">
              <w:lastRenderedPageBreak/>
              <w:t>Výše státního dluhu mírně vzrostla. V dlouhodobějším pohledu ale zůstává stabilizovaná.</w:t>
            </w:r>
          </w:p>
          <w:p w14:paraId="04E42617" w14:textId="77777777" w:rsidR="005E3F66" w:rsidRPr="007D6AF8" w:rsidRDefault="005E3F66" w:rsidP="005E3F66">
            <w:pPr>
              <w:pStyle w:val="Marginlie"/>
            </w:pPr>
          </w:p>
          <w:p w14:paraId="3F95F22F" w14:textId="77777777" w:rsidR="005E3F66" w:rsidRPr="007D6AF8" w:rsidRDefault="005E3F66" w:rsidP="005E3F66">
            <w:pPr>
              <w:pStyle w:val="Marginlie"/>
            </w:pPr>
          </w:p>
          <w:p w14:paraId="7678C6E5" w14:textId="77777777" w:rsidR="005E3F66" w:rsidRPr="007D6AF8" w:rsidRDefault="005E3F66" w:rsidP="005E3F66">
            <w:pPr>
              <w:pStyle w:val="Marginlie"/>
            </w:pPr>
          </w:p>
          <w:p w14:paraId="54FD080F" w14:textId="12732685" w:rsidR="005E3F66" w:rsidRDefault="005E3F66" w:rsidP="005E3F66">
            <w:pPr>
              <w:pStyle w:val="Marginlie"/>
            </w:pPr>
            <w:r w:rsidRPr="007D6AF8">
              <w:t>Výpůjční operace státu byly stále omezeny jen na domácí trh.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0A2B1359" w14:textId="77777777" w:rsidR="005E3F66" w:rsidRDefault="005E3F66" w:rsidP="005E3F66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31920663" w14:textId="7D85ECFC" w:rsidR="005E3F66" w:rsidRPr="004F63A0" w:rsidRDefault="005E3F66" w:rsidP="005E3F66">
            <w:pPr>
              <w:pStyle w:val="Textpoznpodarou"/>
              <w:spacing w:after="200" w:line="276" w:lineRule="auto"/>
              <w:jc w:val="both"/>
              <w:rPr>
                <w:rFonts w:cs="Arial"/>
                <w:color w:val="0D0D0D" w:themeColor="text1" w:themeTint="F2"/>
                <w:spacing w:val="-4"/>
              </w:rPr>
            </w:pPr>
            <w:r w:rsidRPr="007D6AF8">
              <w:rPr>
                <w:spacing w:val="-3"/>
              </w:rPr>
              <w:t>Výše státního dluhu byla již sedmým rokem v řadě stabilizov</w:t>
            </w:r>
            <w:r>
              <w:rPr>
                <w:spacing w:val="-3"/>
              </w:rPr>
              <w:t>aná</w:t>
            </w:r>
            <w:r w:rsidRPr="007D6AF8">
              <w:rPr>
                <w:spacing w:val="-3"/>
              </w:rPr>
              <w:t>. Dluh na konci 3. čtvrtletí 2019 dosáhl</w:t>
            </w:r>
            <w:r>
              <w:rPr>
                <w:spacing w:val="-3"/>
              </w:rPr>
              <w:t xml:space="preserve"> </w:t>
            </w:r>
            <w:r w:rsidRPr="007D6AF8">
              <w:rPr>
                <w:spacing w:val="-3"/>
              </w:rPr>
              <w:t>1 685 mld. korun. Meziročně došlo jen k minimálním pohybům (+0,8 %), ve srovnání se stavem na sklonku roku 2</w:t>
            </w:r>
            <w:r>
              <w:rPr>
                <w:spacing w:val="-3"/>
              </w:rPr>
              <w:t>018 jeho úroveň mírně vzrostl</w:t>
            </w:r>
            <w:r w:rsidRPr="007D6AF8">
              <w:rPr>
                <w:spacing w:val="-3"/>
              </w:rPr>
              <w:t>a (+3,9 %). K růstu dluhu přispěly letos téměř výhradně středně</w:t>
            </w:r>
            <w:r>
              <w:rPr>
                <w:spacing w:val="-3"/>
              </w:rPr>
              <w:t>-</w:t>
            </w:r>
            <w:r w:rsidRPr="007D6AF8">
              <w:rPr>
                <w:spacing w:val="-3"/>
              </w:rPr>
              <w:t xml:space="preserve"> a</w:t>
            </w:r>
            <w:r>
              <w:rPr>
                <w:spacing w:val="-3"/>
              </w:rPr>
              <w:t> </w:t>
            </w:r>
            <w:r w:rsidRPr="007D6AF8">
              <w:rPr>
                <w:spacing w:val="-3"/>
              </w:rPr>
              <w:t>dlouhodobé státní dluhopisy, hlavně vlivem vyšší emise během 1</w:t>
            </w:r>
            <w:r>
              <w:rPr>
                <w:spacing w:val="-3"/>
              </w:rPr>
              <w:t>. pololet</w:t>
            </w:r>
            <w:r w:rsidRPr="007D6AF8">
              <w:rPr>
                <w:spacing w:val="-3"/>
              </w:rPr>
              <w:t>í. Podobně jako v předchozích letech redukoval stát své výpůjční aktivity pouze na domácí trh, nově byl letos vydán i</w:t>
            </w:r>
            <w:r>
              <w:rPr>
                <w:spacing w:val="-3"/>
              </w:rPr>
              <w:t> </w:t>
            </w:r>
            <w:r w:rsidRPr="007D6AF8">
              <w:rPr>
                <w:spacing w:val="-3"/>
              </w:rPr>
              <w:t>státní eurodluhopis (za záporný výnos). Naopak nízký objem výpůjček</w:t>
            </w:r>
            <w:r>
              <w:rPr>
                <w:spacing w:val="-3"/>
              </w:rPr>
              <w:t xml:space="preserve"> byl</w:t>
            </w:r>
            <w:r w:rsidRPr="007D6AF8">
              <w:rPr>
                <w:spacing w:val="-3"/>
              </w:rPr>
              <w:t xml:space="preserve"> realizován formou státních pokladničních poukázek a také státních spořicích dluhopisů (navzdory rozšíření nabídky domácnostem). Již pátým rokem v</w:t>
            </w:r>
            <w:r>
              <w:rPr>
                <w:spacing w:val="-3"/>
              </w:rPr>
              <w:t> </w:t>
            </w:r>
            <w:r w:rsidRPr="007D6AF8">
              <w:rPr>
                <w:spacing w:val="-3"/>
              </w:rPr>
              <w:t>řadě se snižovala korunová hodnota vnějšího dluhu. Ten tvořil na konci září jen 12,5 % celkového státního dluhu, nejméně od prosince 2004. Po pěti letech se letos zastavil pokles čistých výdajů na státní dluh, meziročně vzrostl o</w:t>
            </w:r>
            <w:r>
              <w:rPr>
                <w:spacing w:val="-3"/>
              </w:rPr>
              <w:t> </w:t>
            </w:r>
            <w:r w:rsidRPr="007D6AF8">
              <w:rPr>
                <w:spacing w:val="-3"/>
              </w:rPr>
              <w:t>2,3</w:t>
            </w:r>
            <w:r>
              <w:rPr>
                <w:spacing w:val="-3"/>
              </w:rPr>
              <w:t> %</w:t>
            </w:r>
            <w:r w:rsidRPr="007D6AF8">
              <w:rPr>
                <w:spacing w:val="-3"/>
              </w:rPr>
              <w:t xml:space="preserve"> (na 33,4</w:t>
            </w:r>
            <w:r>
              <w:rPr>
                <w:spacing w:val="-3"/>
              </w:rPr>
              <w:t> mld.</w:t>
            </w:r>
            <w:r w:rsidRPr="007D6AF8">
              <w:rPr>
                <w:spacing w:val="-3"/>
              </w:rPr>
              <w:t xml:space="preserve"> korun).</w:t>
            </w:r>
          </w:p>
        </w:tc>
      </w:tr>
      <w:tr w:rsidR="005E3F66" w:rsidRPr="004F63A0" w14:paraId="2714C1B3" w14:textId="77777777" w:rsidTr="009B78A4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1B4835B5" w14:textId="51D07B5C" w:rsidR="005E3F66" w:rsidRDefault="005E3F66" w:rsidP="005E3F66">
            <w:pPr>
              <w:pStyle w:val="Marginlie"/>
            </w:pPr>
            <w:r w:rsidRPr="007D6AF8">
              <w:t>Výše konsolidovaného dluhu klesla jen velmi mírně. Saldo hospodaření zůstalo čtvrtým rokem v řadě kladné, výše přebytku se ale tenčila.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3C4111D5" w14:textId="77777777" w:rsidR="005E3F66" w:rsidRDefault="005E3F66" w:rsidP="005E3F66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2755F13F" w14:textId="1EF7583F" w:rsidR="005E3F66" w:rsidRDefault="005E3F66" w:rsidP="00E70C5F">
            <w:pPr>
              <w:pStyle w:val="Textpoznpodarou"/>
              <w:spacing w:after="200" w:line="276" w:lineRule="auto"/>
              <w:jc w:val="both"/>
              <w:rPr>
                <w:rFonts w:cs="Arial"/>
                <w:color w:val="0D0D0D" w:themeColor="text1" w:themeTint="F2"/>
                <w:spacing w:val="-4"/>
              </w:rPr>
            </w:pPr>
            <w:r w:rsidRPr="007D6AF8">
              <w:rPr>
                <w:rFonts w:cs="Arial"/>
                <w:color w:val="0D0D0D" w:themeColor="text1" w:themeTint="F2"/>
                <w:spacing w:val="-4"/>
              </w:rPr>
              <w:t>Konsolidovaný dluh sektoru vládních institucí</w:t>
            </w:r>
            <w:r w:rsidRPr="007D6AF8">
              <w:rPr>
                <w:rFonts w:cs="Arial"/>
                <w:color w:val="0D0D0D" w:themeColor="text1" w:themeTint="F2"/>
                <w:spacing w:val="-4"/>
                <w:vertAlign w:val="superscript"/>
              </w:rPr>
              <w:footnoteReference w:id="10"/>
            </w:r>
            <w:r w:rsidRPr="007D6AF8">
              <w:rPr>
                <w:rFonts w:cs="Arial"/>
                <w:color w:val="0D0D0D" w:themeColor="text1" w:themeTint="F2"/>
                <w:spacing w:val="-4"/>
              </w:rPr>
              <w:t xml:space="preserve"> činil dle dat ČSÚ na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r w:rsidR="008B3AEC">
              <w:rPr>
                <w:rFonts w:cs="Arial"/>
                <w:color w:val="0D0D0D" w:themeColor="text1" w:themeTint="F2"/>
                <w:spacing w:val="-4"/>
              </w:rPr>
              <w:t>konci 1</w:t>
            </w:r>
            <w:r w:rsidRPr="007D6AF8">
              <w:rPr>
                <w:rFonts w:cs="Arial"/>
                <w:color w:val="0D0D0D" w:themeColor="text1" w:themeTint="F2"/>
                <w:spacing w:val="-4"/>
              </w:rPr>
              <w:t>. pololetí 2019 1 817 mld. korun a</w:t>
            </w:r>
            <w:r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7D6AF8">
              <w:rPr>
                <w:rFonts w:cs="Arial"/>
                <w:color w:val="0D0D0D" w:themeColor="text1" w:themeTint="F2"/>
                <w:spacing w:val="-4"/>
              </w:rPr>
              <w:t>meziročně mírně klesl (o</w:t>
            </w:r>
            <w:r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7D6AF8">
              <w:rPr>
                <w:rFonts w:cs="Arial"/>
                <w:color w:val="0D0D0D" w:themeColor="text1" w:themeTint="F2"/>
                <w:spacing w:val="-4"/>
              </w:rPr>
              <w:t>0,6</w:t>
            </w:r>
            <w:r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Pr="007D6AF8">
              <w:rPr>
                <w:rFonts w:cs="Arial"/>
                <w:color w:val="0D0D0D" w:themeColor="text1" w:themeTint="F2"/>
                <w:spacing w:val="-4"/>
              </w:rPr>
              <w:t>). Míra zadlužení se za stejné období snížila z 35,3</w:t>
            </w:r>
            <w:r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Pr="007D6AF8">
              <w:rPr>
                <w:rFonts w:cs="Arial"/>
                <w:color w:val="0D0D0D" w:themeColor="text1" w:themeTint="F2"/>
                <w:spacing w:val="-4"/>
              </w:rPr>
              <w:t xml:space="preserve"> na 33,1</w:t>
            </w:r>
            <w:r>
              <w:rPr>
                <w:rFonts w:cs="Arial"/>
                <w:color w:val="0D0D0D" w:themeColor="text1" w:themeTint="F2"/>
                <w:spacing w:val="-4"/>
              </w:rPr>
              <w:t> % </w:t>
            </w:r>
            <w:r w:rsidRPr="007D6AF8">
              <w:rPr>
                <w:rFonts w:cs="Arial"/>
                <w:color w:val="0D0D0D" w:themeColor="text1" w:themeTint="F2"/>
                <w:spacing w:val="-4"/>
              </w:rPr>
              <w:t>HDP, a</w:t>
            </w:r>
            <w:r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7D6AF8">
              <w:rPr>
                <w:rFonts w:cs="Arial"/>
                <w:color w:val="0D0D0D" w:themeColor="text1" w:themeTint="F2"/>
                <w:spacing w:val="-4"/>
              </w:rPr>
              <w:t>to primárně vlivem posílení nominálního HDP, samotný meziroční pokles dluhu se podílel jen devítinou</w:t>
            </w:r>
            <w:r w:rsidRPr="007D6AF8">
              <w:rPr>
                <w:rFonts w:cs="Arial"/>
                <w:color w:val="0D0D0D" w:themeColor="text1" w:themeTint="F2"/>
                <w:spacing w:val="-4"/>
                <w:vertAlign w:val="superscript"/>
              </w:rPr>
              <w:footnoteReference w:id="11"/>
            </w:r>
            <w:r w:rsidRPr="007D6AF8">
              <w:rPr>
                <w:rFonts w:cs="Arial"/>
                <w:color w:val="0D0D0D" w:themeColor="text1" w:themeTint="F2"/>
                <w:spacing w:val="-4"/>
              </w:rPr>
              <w:t>.</w:t>
            </w:r>
            <w:r w:rsidRPr="007D6AF8">
              <w:rPr>
                <w:sz w:val="16"/>
                <w:szCs w:val="16"/>
              </w:rPr>
              <w:t xml:space="preserve"> </w:t>
            </w:r>
            <w:r w:rsidRPr="007D6AF8">
              <w:rPr>
                <w:rFonts w:cs="Arial"/>
                <w:color w:val="0D0D0D" w:themeColor="text1" w:themeTint="F2"/>
                <w:spacing w:val="-4"/>
              </w:rPr>
              <w:t>V 1</w:t>
            </w:r>
            <w:r>
              <w:rPr>
                <w:rFonts w:cs="Arial"/>
                <w:color w:val="0D0D0D" w:themeColor="text1" w:themeTint="F2"/>
                <w:spacing w:val="-4"/>
              </w:rPr>
              <w:t>. pololet</w:t>
            </w:r>
            <w:r w:rsidRPr="007D6AF8">
              <w:rPr>
                <w:rFonts w:cs="Arial"/>
                <w:color w:val="0D0D0D" w:themeColor="text1" w:themeTint="F2"/>
                <w:spacing w:val="-4"/>
              </w:rPr>
              <w:t>í 2019 docílil sektor vládních institucí v ČR přebytku hospodaření 25,3 mld. korun, resp.</w:t>
            </w:r>
            <w:r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7D6AF8">
              <w:rPr>
                <w:rFonts w:cs="Arial"/>
                <w:color w:val="0D0D0D" w:themeColor="text1" w:themeTint="F2"/>
                <w:spacing w:val="-4"/>
              </w:rPr>
              <w:t>+</w:t>
            </w:r>
            <w:r>
              <w:rPr>
                <w:rFonts w:cs="Arial"/>
                <w:color w:val="0D0D0D" w:themeColor="text1" w:themeTint="F2"/>
                <w:spacing w:val="-4"/>
              </w:rPr>
              <w:t>0</w:t>
            </w:r>
            <w:r w:rsidRPr="007D6AF8">
              <w:rPr>
                <w:rFonts w:cs="Arial"/>
                <w:color w:val="0D0D0D" w:themeColor="text1" w:themeTint="F2"/>
                <w:spacing w:val="-4"/>
              </w:rPr>
              <w:t>,</w:t>
            </w:r>
            <w:r>
              <w:rPr>
                <w:rFonts w:cs="Arial"/>
                <w:color w:val="0D0D0D" w:themeColor="text1" w:themeTint="F2"/>
                <w:spacing w:val="-4"/>
              </w:rPr>
              <w:t>9 %</w:t>
            </w:r>
            <w:r w:rsidRPr="007D6AF8">
              <w:rPr>
                <w:rFonts w:cs="Arial"/>
                <w:color w:val="0D0D0D" w:themeColor="text1" w:themeTint="F2"/>
                <w:spacing w:val="-4"/>
              </w:rPr>
              <w:t xml:space="preserve"> HDP (po sezónním očištění +0,8</w:t>
            </w:r>
            <w:r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Pr="007D6AF8">
              <w:rPr>
                <w:rFonts w:cs="Arial"/>
                <w:color w:val="0D0D0D" w:themeColor="text1" w:themeTint="F2"/>
                <w:spacing w:val="-4"/>
              </w:rPr>
              <w:t xml:space="preserve">). Přestože v rámci </w:t>
            </w:r>
            <w:r w:rsidR="00E70C5F">
              <w:rPr>
                <w:rFonts w:cs="Arial"/>
                <w:color w:val="0D0D0D" w:themeColor="text1" w:themeTint="F2"/>
                <w:spacing w:val="-4"/>
              </w:rPr>
              <w:t>stejného období roku</w:t>
            </w:r>
            <w:r w:rsidRPr="007D6AF8">
              <w:rPr>
                <w:rFonts w:cs="Arial"/>
                <w:color w:val="0D0D0D" w:themeColor="text1" w:themeTint="F2"/>
                <w:spacing w:val="-4"/>
              </w:rPr>
              <w:t xml:space="preserve"> šlo o</w:t>
            </w:r>
            <w:r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7D6AF8">
              <w:rPr>
                <w:rFonts w:cs="Arial"/>
                <w:color w:val="0D0D0D" w:themeColor="text1" w:themeTint="F2"/>
                <w:spacing w:val="-4"/>
              </w:rPr>
              <w:t xml:space="preserve">čtvrtý přebytek v řadě, </w:t>
            </w:r>
            <w:r w:rsidR="00E70C5F">
              <w:rPr>
                <w:rFonts w:cs="Arial"/>
                <w:color w:val="0D0D0D" w:themeColor="text1" w:themeTint="F2"/>
                <w:spacing w:val="-4"/>
              </w:rPr>
              <w:t>jeho relativní výše oproti loňsku již</w:t>
            </w:r>
            <w:r w:rsidRPr="007D6AF8">
              <w:rPr>
                <w:rFonts w:cs="Arial"/>
                <w:color w:val="0D0D0D" w:themeColor="text1" w:themeTint="F2"/>
                <w:spacing w:val="-4"/>
              </w:rPr>
              <w:t xml:space="preserve"> klesla. Na meziročním snížení přebytku (o</w:t>
            </w:r>
            <w:r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7D6AF8">
              <w:rPr>
                <w:rFonts w:cs="Arial"/>
                <w:color w:val="0D0D0D" w:themeColor="text1" w:themeTint="F2"/>
                <w:spacing w:val="-4"/>
              </w:rPr>
              <w:t>21,7</w:t>
            </w:r>
            <w:r>
              <w:rPr>
                <w:rFonts w:cs="Arial"/>
                <w:color w:val="0D0D0D" w:themeColor="text1" w:themeTint="F2"/>
                <w:spacing w:val="-4"/>
              </w:rPr>
              <w:t> mld.</w:t>
            </w:r>
            <w:r w:rsidRPr="007D6AF8">
              <w:rPr>
                <w:rFonts w:cs="Arial"/>
                <w:color w:val="0D0D0D" w:themeColor="text1" w:themeTint="F2"/>
                <w:spacing w:val="-4"/>
              </w:rPr>
              <w:t xml:space="preserve"> korun) se téměř výhradně podílely ústřední vládní instituce, jejichž deficit hospodaření se prohloubil (na 31,7 mld.), naopak přebytek místních vládních institucí posílil skoro o</w:t>
            </w:r>
            <w:r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7D6AF8">
              <w:rPr>
                <w:rFonts w:cs="Arial"/>
                <w:color w:val="0D0D0D" w:themeColor="text1" w:themeTint="F2"/>
                <w:spacing w:val="-4"/>
              </w:rPr>
              <w:t>čtvrtinu (na 48,9</w:t>
            </w:r>
            <w:r>
              <w:rPr>
                <w:rFonts w:cs="Arial"/>
                <w:color w:val="0D0D0D" w:themeColor="text1" w:themeTint="F2"/>
                <w:spacing w:val="-4"/>
              </w:rPr>
              <w:t> mld.</w:t>
            </w:r>
            <w:r w:rsidRPr="007D6AF8">
              <w:rPr>
                <w:rFonts w:cs="Arial"/>
                <w:color w:val="0D0D0D" w:themeColor="text1" w:themeTint="F2"/>
                <w:spacing w:val="-4"/>
              </w:rPr>
              <w:t>).</w:t>
            </w:r>
          </w:p>
        </w:tc>
      </w:tr>
      <w:tr w:rsidR="005E3F66" w:rsidRPr="004F63A0" w14:paraId="20959130" w14:textId="77777777" w:rsidTr="009B78A4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1B257CA0" w14:textId="0997B46D" w:rsidR="005E3F66" w:rsidRDefault="005E3F66" w:rsidP="005E3F66">
            <w:pPr>
              <w:pStyle w:val="Marginlie"/>
            </w:pPr>
            <w:r w:rsidRPr="007D6AF8">
              <w:t>Trend poklesu deficitu hospodaření sektoru vládních institucí v EU se zastavil. Míra zadlužení se ale dále mírně redukovala, nikoli však zásluhou ne</w:t>
            </w:r>
            <w:r>
              <w:t>j</w:t>
            </w:r>
            <w:r w:rsidRPr="007D6AF8">
              <w:t>více zadlužených ekonomik</w:t>
            </w:r>
            <w:r>
              <w:t>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082AC5AB" w14:textId="77777777" w:rsidR="005E3F66" w:rsidRDefault="005E3F66" w:rsidP="005E3F66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6BEDE5CB" w14:textId="0550CD20" w:rsidR="005E3F66" w:rsidRDefault="005E3F66" w:rsidP="005E3F66">
            <w:pPr>
              <w:pStyle w:val="Textpoznpodarou"/>
              <w:spacing w:after="200" w:line="276" w:lineRule="auto"/>
              <w:jc w:val="both"/>
              <w:rPr>
                <w:rFonts w:cs="Arial"/>
                <w:color w:val="0D0D0D" w:themeColor="text1" w:themeTint="F2"/>
                <w:spacing w:val="-4"/>
              </w:rPr>
            </w:pPr>
            <w:r w:rsidRPr="007D6AF8">
              <w:rPr>
                <w:rFonts w:cs="Arial"/>
                <w:color w:val="0D0D0D" w:themeColor="text1" w:themeTint="F2"/>
                <w:spacing w:val="-4"/>
              </w:rPr>
              <w:t>V</w:t>
            </w:r>
            <w:r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7D6AF8">
              <w:rPr>
                <w:rFonts w:cs="Arial"/>
                <w:color w:val="0D0D0D" w:themeColor="text1" w:themeTint="F2"/>
                <w:spacing w:val="-4"/>
              </w:rPr>
              <w:t>1</w:t>
            </w:r>
            <w:r>
              <w:rPr>
                <w:rFonts w:cs="Arial"/>
                <w:color w:val="0D0D0D" w:themeColor="text1" w:themeTint="F2"/>
                <w:spacing w:val="-4"/>
              </w:rPr>
              <w:t>. pololet</w:t>
            </w:r>
            <w:r w:rsidRPr="007D6AF8">
              <w:rPr>
                <w:rFonts w:cs="Arial"/>
                <w:color w:val="0D0D0D" w:themeColor="text1" w:themeTint="F2"/>
                <w:spacing w:val="-4"/>
              </w:rPr>
              <w:t>í 2019 činilo sezónně očištěné saldo hospodaření sektoru vládních institucí v EU –0</w:t>
            </w:r>
            <w:r>
              <w:rPr>
                <w:rFonts w:cs="Arial"/>
                <w:color w:val="0D0D0D" w:themeColor="text1" w:themeTint="F2"/>
                <w:spacing w:val="-4"/>
              </w:rPr>
              <w:t>,9 % HDP (o rok dříve –0,7 %). Z</w:t>
            </w:r>
            <w:r w:rsidRPr="007D6AF8">
              <w:rPr>
                <w:rFonts w:cs="Arial"/>
                <w:color w:val="0D0D0D" w:themeColor="text1" w:themeTint="F2"/>
                <w:spacing w:val="-4"/>
              </w:rPr>
              <w:t>astavil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se tak t</w:t>
            </w:r>
            <w:r w:rsidRPr="007D6AF8">
              <w:rPr>
                <w:rFonts w:cs="Arial"/>
                <w:color w:val="0D0D0D" w:themeColor="text1" w:themeTint="F2"/>
                <w:spacing w:val="-4"/>
              </w:rPr>
              <w:t>rend postupné</w:t>
            </w:r>
            <w:r>
              <w:rPr>
                <w:rFonts w:cs="Arial"/>
                <w:color w:val="0D0D0D" w:themeColor="text1" w:themeTint="F2"/>
                <w:spacing w:val="-4"/>
              </w:rPr>
              <w:t>ho</w:t>
            </w:r>
            <w:r w:rsidRPr="007D6AF8">
              <w:rPr>
                <w:rFonts w:cs="Arial"/>
                <w:color w:val="0D0D0D" w:themeColor="text1" w:themeTint="F2"/>
                <w:spacing w:val="-4"/>
              </w:rPr>
              <w:t xml:space="preserve"> snižování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deficitu, patrný po roce 2010</w:t>
            </w:r>
            <w:r w:rsidRPr="007D6AF8">
              <w:rPr>
                <w:rFonts w:cs="Arial"/>
                <w:color w:val="0D0D0D" w:themeColor="text1" w:themeTint="F2"/>
                <w:spacing w:val="-4"/>
              </w:rPr>
              <w:t xml:space="preserve">. </w:t>
            </w:r>
            <w:r>
              <w:rPr>
                <w:rFonts w:cs="Arial"/>
                <w:color w:val="0D0D0D" w:themeColor="text1" w:themeTint="F2"/>
                <w:spacing w:val="-4"/>
              </w:rPr>
              <w:t>Přebytku letos dosáhlo</w:t>
            </w:r>
            <w:r w:rsidRPr="007D6AF8">
              <w:rPr>
                <w:rFonts w:cs="Arial"/>
                <w:color w:val="0D0D0D" w:themeColor="text1" w:themeTint="F2"/>
                <w:spacing w:val="-4"/>
              </w:rPr>
              <w:t xml:space="preserve"> jedenáct členů</w:t>
            </w:r>
            <w:r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7D6AF8">
              <w:rPr>
                <w:rFonts w:cs="Arial"/>
                <w:color w:val="0D0D0D" w:themeColor="text1" w:themeTint="F2"/>
                <w:spacing w:val="-4"/>
              </w:rPr>
              <w:t>EU (zejm</w:t>
            </w:r>
            <w:r>
              <w:rPr>
                <w:rFonts w:cs="Arial"/>
                <w:color w:val="0D0D0D" w:themeColor="text1" w:themeTint="F2"/>
                <w:spacing w:val="-4"/>
              </w:rPr>
              <w:t>éna</w:t>
            </w:r>
            <w:r w:rsidRPr="007D6AF8">
              <w:rPr>
                <w:rFonts w:cs="Arial"/>
                <w:color w:val="0D0D0D" w:themeColor="text1" w:themeTint="F2"/>
                <w:spacing w:val="-4"/>
              </w:rPr>
              <w:t xml:space="preserve"> Nizozemsko, Lucembursko, Dánsko a</w:t>
            </w:r>
            <w:r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7D6AF8">
              <w:rPr>
                <w:rFonts w:cs="Arial"/>
                <w:color w:val="0D0D0D" w:themeColor="text1" w:themeTint="F2"/>
                <w:spacing w:val="-4"/>
              </w:rPr>
              <w:t>Německo), naopak schodek přes 3</w:t>
            </w:r>
            <w:r>
              <w:rPr>
                <w:rFonts w:cs="Arial"/>
                <w:color w:val="0D0D0D" w:themeColor="text1" w:themeTint="F2"/>
                <w:spacing w:val="-4"/>
              </w:rPr>
              <w:t> % </w:t>
            </w:r>
            <w:r w:rsidRPr="007D6AF8">
              <w:rPr>
                <w:rFonts w:cs="Arial"/>
                <w:color w:val="0D0D0D" w:themeColor="text1" w:themeTint="F2"/>
                <w:spacing w:val="-4"/>
              </w:rPr>
              <w:t>HDP zaznamenaly Francie a</w:t>
            </w:r>
            <w:r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7D6AF8">
              <w:rPr>
                <w:rFonts w:cs="Arial"/>
                <w:color w:val="0D0D0D" w:themeColor="text1" w:themeTint="F2"/>
                <w:spacing w:val="-4"/>
              </w:rPr>
              <w:t>Rumunsko. Míra zadlužení sektoru vládních institucí činila na konci 2</w:t>
            </w:r>
            <w:r>
              <w:rPr>
                <w:rFonts w:cs="Arial"/>
                <w:color w:val="0D0D0D" w:themeColor="text1" w:themeTint="F2"/>
                <w:spacing w:val="-4"/>
              </w:rPr>
              <w:t>. čtvrtlet</w:t>
            </w:r>
            <w:r w:rsidRPr="007D6AF8">
              <w:rPr>
                <w:rFonts w:cs="Arial"/>
                <w:color w:val="0D0D0D" w:themeColor="text1" w:themeTint="F2"/>
                <w:spacing w:val="-4"/>
              </w:rPr>
              <w:t>í 80,5</w:t>
            </w:r>
            <w:r>
              <w:rPr>
                <w:rFonts w:cs="Arial"/>
                <w:color w:val="0D0D0D" w:themeColor="text1" w:themeTint="F2"/>
                <w:spacing w:val="-4"/>
              </w:rPr>
              <w:t> % </w:t>
            </w:r>
            <w:r w:rsidRPr="007D6AF8">
              <w:rPr>
                <w:rFonts w:cs="Arial"/>
                <w:color w:val="0D0D0D" w:themeColor="text1" w:themeTint="F2"/>
                <w:spacing w:val="-4"/>
              </w:rPr>
              <w:t>HDP a</w:t>
            </w:r>
            <w:r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7D6AF8">
              <w:rPr>
                <w:rFonts w:cs="Arial"/>
                <w:color w:val="0D0D0D" w:themeColor="text1" w:themeTint="F2"/>
                <w:spacing w:val="-4"/>
              </w:rPr>
              <w:t>meziročně se snižovala již čtvrtým rokem (v</w:t>
            </w:r>
            <w:r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7D6AF8">
              <w:rPr>
                <w:rFonts w:cs="Arial"/>
                <w:color w:val="0D0D0D" w:themeColor="text1" w:themeTint="F2"/>
                <w:spacing w:val="-4"/>
              </w:rPr>
              <w:t>úhrnu o</w:t>
            </w:r>
            <w:r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7D6AF8">
              <w:rPr>
                <w:rFonts w:cs="Arial"/>
                <w:color w:val="0D0D0D" w:themeColor="text1" w:themeTint="F2"/>
                <w:spacing w:val="-4"/>
              </w:rPr>
              <w:t>7,2</w:t>
            </w:r>
            <w:r>
              <w:rPr>
                <w:rFonts w:cs="Arial"/>
                <w:color w:val="0D0D0D" w:themeColor="text1" w:themeTint="F2"/>
                <w:spacing w:val="-4"/>
              </w:rPr>
              <w:t> p. b.</w:t>
            </w:r>
            <w:r w:rsidRPr="007D6AF8">
              <w:rPr>
                <w:rFonts w:cs="Arial"/>
                <w:color w:val="0D0D0D" w:themeColor="text1" w:themeTint="F2"/>
                <w:spacing w:val="-4"/>
              </w:rPr>
              <w:t>). Meziroční redukc</w:t>
            </w:r>
            <w:r>
              <w:rPr>
                <w:rFonts w:cs="Arial"/>
                <w:color w:val="0D0D0D" w:themeColor="text1" w:themeTint="F2"/>
                <w:spacing w:val="-4"/>
              </w:rPr>
              <w:t>e</w:t>
            </w:r>
            <w:r w:rsidRPr="007D6AF8">
              <w:rPr>
                <w:rFonts w:cs="Arial"/>
                <w:color w:val="0D0D0D" w:themeColor="text1" w:themeTint="F2"/>
                <w:spacing w:val="-4"/>
              </w:rPr>
              <w:t xml:space="preserve"> dluhu docílilo dvacet členů</w:t>
            </w:r>
            <w:r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7D6AF8">
              <w:rPr>
                <w:rFonts w:cs="Arial"/>
                <w:color w:val="0D0D0D" w:themeColor="text1" w:themeTint="F2"/>
                <w:spacing w:val="-4"/>
              </w:rPr>
              <w:t>EU, ze silně zadlužených ekonomik ale jen Portugalsko. Zadlužení mírně vzrostlo ve Španělsku (na 99</w:t>
            </w:r>
            <w:r>
              <w:rPr>
                <w:rFonts w:cs="Arial"/>
                <w:color w:val="0D0D0D" w:themeColor="text1" w:themeTint="F2"/>
                <w:spacing w:val="-4"/>
              </w:rPr>
              <w:t> % </w:t>
            </w:r>
            <w:r w:rsidRPr="007D6AF8">
              <w:rPr>
                <w:rFonts w:cs="Arial"/>
                <w:color w:val="0D0D0D" w:themeColor="text1" w:themeTint="F2"/>
                <w:spacing w:val="-4"/>
              </w:rPr>
              <w:t>HDP), Francii (100</w:t>
            </w:r>
            <w:r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Pr="007D6AF8">
              <w:rPr>
                <w:rFonts w:cs="Arial"/>
                <w:color w:val="0D0D0D" w:themeColor="text1" w:themeTint="F2"/>
                <w:spacing w:val="-4"/>
              </w:rPr>
              <w:t>), Itálii (138</w:t>
            </w:r>
            <w:r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Pr="007D6AF8">
              <w:rPr>
                <w:rFonts w:cs="Arial"/>
                <w:color w:val="0D0D0D" w:themeColor="text1" w:themeTint="F2"/>
                <w:spacing w:val="-4"/>
              </w:rPr>
              <w:t>), Řecku (180</w:t>
            </w:r>
            <w:r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Pr="007D6AF8">
              <w:rPr>
                <w:rFonts w:cs="Arial"/>
                <w:color w:val="0D0D0D" w:themeColor="text1" w:themeTint="F2"/>
                <w:spacing w:val="-4"/>
              </w:rPr>
              <w:t>), výrazněji pak na Kypru (ze</w:t>
            </w:r>
            <w:r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7D6AF8">
              <w:rPr>
                <w:rFonts w:cs="Arial"/>
                <w:color w:val="0D0D0D" w:themeColor="text1" w:themeTint="F2"/>
                <w:spacing w:val="-4"/>
              </w:rPr>
              <w:t>101 na 107</w:t>
            </w:r>
            <w:r>
              <w:rPr>
                <w:rFonts w:cs="Arial"/>
                <w:color w:val="0D0D0D" w:themeColor="text1" w:themeTint="F2"/>
                <w:spacing w:val="-4"/>
              </w:rPr>
              <w:t> % </w:t>
            </w:r>
            <w:r w:rsidRPr="007D6AF8">
              <w:rPr>
                <w:rFonts w:cs="Arial"/>
                <w:color w:val="0D0D0D" w:themeColor="text1" w:themeTint="F2"/>
                <w:spacing w:val="-4"/>
              </w:rPr>
              <w:t>HDP). ČR držela pozici čtvrtého nejméně zadluženého státu</w:t>
            </w:r>
            <w:r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7D6AF8">
              <w:rPr>
                <w:rFonts w:cs="Arial"/>
                <w:color w:val="0D0D0D" w:themeColor="text1" w:themeTint="F2"/>
                <w:spacing w:val="-4"/>
              </w:rPr>
              <w:t>EU, dalších pět zemí následovalo s malým odstupem (34</w:t>
            </w:r>
            <w:r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7D6AF8">
              <w:rPr>
                <w:rFonts w:cs="Arial"/>
                <w:color w:val="0D0D0D" w:themeColor="text1" w:themeTint="F2"/>
                <w:spacing w:val="-4"/>
              </w:rPr>
              <w:t>až 37</w:t>
            </w:r>
            <w:r>
              <w:rPr>
                <w:rFonts w:cs="Arial"/>
                <w:color w:val="0D0D0D" w:themeColor="text1" w:themeTint="F2"/>
                <w:spacing w:val="-4"/>
              </w:rPr>
              <w:t> % </w:t>
            </w:r>
            <w:r w:rsidRPr="007D6AF8">
              <w:rPr>
                <w:rFonts w:cs="Arial"/>
                <w:color w:val="0D0D0D" w:themeColor="text1" w:themeTint="F2"/>
                <w:spacing w:val="-4"/>
              </w:rPr>
              <w:t>HDP). Snížit míru zadlužení pod úroveň předkrizového roku 2008 se v</w:t>
            </w:r>
            <w:r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7D6AF8">
              <w:rPr>
                <w:rFonts w:cs="Arial"/>
                <w:color w:val="0D0D0D" w:themeColor="text1" w:themeTint="F2"/>
                <w:spacing w:val="-4"/>
              </w:rPr>
              <w:t>rámci</w:t>
            </w:r>
            <w:r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7D6AF8">
              <w:rPr>
                <w:rFonts w:cs="Arial"/>
                <w:color w:val="0D0D0D" w:themeColor="text1" w:themeTint="F2"/>
                <w:spacing w:val="-4"/>
              </w:rPr>
              <w:t>EU dosud povedlo jen Německu a</w:t>
            </w:r>
            <w:r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7D6AF8">
              <w:rPr>
                <w:rFonts w:cs="Arial"/>
                <w:color w:val="0D0D0D" w:themeColor="text1" w:themeTint="F2"/>
                <w:spacing w:val="-4"/>
              </w:rPr>
              <w:t>Maltě, blízko této hranic</w:t>
            </w:r>
            <w:r>
              <w:rPr>
                <w:rFonts w:cs="Arial"/>
                <w:color w:val="0D0D0D" w:themeColor="text1" w:themeTint="F2"/>
                <w:spacing w:val="-4"/>
              </w:rPr>
              <w:t>e</w:t>
            </w:r>
            <w:r w:rsidRPr="007D6AF8">
              <w:rPr>
                <w:rFonts w:cs="Arial"/>
                <w:color w:val="0D0D0D" w:themeColor="text1" w:themeTint="F2"/>
                <w:spacing w:val="-4"/>
              </w:rPr>
              <w:t xml:space="preserve"> se nacházelo Švédsko (ČR byla stále o</w:t>
            </w:r>
            <w:r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7D6AF8">
              <w:rPr>
                <w:rFonts w:cs="Arial"/>
                <w:color w:val="0D0D0D" w:themeColor="text1" w:themeTint="F2"/>
                <w:spacing w:val="-4"/>
              </w:rPr>
              <w:t>téměř čtvrtinu nad touto úrovní).</w:t>
            </w:r>
          </w:p>
        </w:tc>
      </w:tr>
    </w:tbl>
    <w:p w14:paraId="63ECF9C9" w14:textId="0D85A1DD" w:rsidR="00A50D73" w:rsidRPr="009110F7" w:rsidRDefault="00A50D73" w:rsidP="00E1444C">
      <w:pPr>
        <w:rPr>
          <w:sz w:val="2"/>
          <w:szCs w:val="2"/>
        </w:rPr>
      </w:pPr>
    </w:p>
    <w:sectPr w:rsidR="00A50D73" w:rsidRPr="009110F7" w:rsidSect="009540E5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680" w:footer="737" w:gutter="0"/>
      <w:pgNumType w:start="27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7A2D8F" w16cid:durableId="2195E0BF"/>
  <w16cid:commentId w16cid:paraId="3523D2E1" w16cid:durableId="2195E582"/>
  <w16cid:commentId w16cid:paraId="4A463A0C" w16cid:durableId="2195EAA7"/>
  <w16cid:commentId w16cid:paraId="7AE114DF" w16cid:durableId="2197F4F7"/>
  <w16cid:commentId w16cid:paraId="193E8431" w16cid:durableId="2196655C"/>
  <w16cid:commentId w16cid:paraId="5C5C0950" w16cid:durableId="219883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33DDA" w14:textId="77777777" w:rsidR="009315D8" w:rsidRDefault="009315D8" w:rsidP="00E71A58">
      <w:r>
        <w:separator/>
      </w:r>
    </w:p>
  </w:endnote>
  <w:endnote w:type="continuationSeparator" w:id="0">
    <w:p w14:paraId="2651F000" w14:textId="77777777" w:rsidR="009315D8" w:rsidRDefault="009315D8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1A0D" w14:textId="7103C2B2" w:rsidR="005810E1" w:rsidRPr="00932443" w:rsidRDefault="005810E1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71F0B6E3" wp14:editId="3AA519D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4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9540E5">
      <w:rPr>
        <w:szCs w:val="16"/>
      </w:rPr>
      <w:t>30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až 3. čtvrtletí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17E4B" w14:textId="35B2B2FE" w:rsidR="005810E1" w:rsidRPr="00932443" w:rsidRDefault="005810E1" w:rsidP="00FA6CB6">
    <w:pPr>
      <w:pStyle w:val="Zpat"/>
      <w:rPr>
        <w:szCs w:val="16"/>
      </w:rPr>
    </w:pPr>
    <w:r w:rsidRPr="00FA6CB6">
      <w:rPr>
        <w:szCs w:val="16"/>
      </w:rPr>
      <w:tab/>
      <w:t>1</w:t>
    </w:r>
    <w:r>
      <w:rPr>
        <w:szCs w:val="16"/>
      </w:rPr>
      <w:t>. 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6ADC9B20" wp14:editId="2C3814E9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45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až 3. čtvrtletí 2</w:t>
    </w:r>
    <w:r>
      <w:t>019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9540E5">
      <w:rPr>
        <w:rStyle w:val="ZpatChar"/>
        <w:szCs w:val="16"/>
      </w:rPr>
      <w:t>29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FE7CF" w14:textId="77777777" w:rsidR="009315D8" w:rsidRDefault="009315D8" w:rsidP="00A21B4D">
      <w:pPr>
        <w:spacing w:after="0"/>
      </w:pPr>
      <w:r>
        <w:separator/>
      </w:r>
    </w:p>
  </w:footnote>
  <w:footnote w:type="continuationSeparator" w:id="0">
    <w:p w14:paraId="7F704663" w14:textId="77777777" w:rsidR="009315D8" w:rsidRDefault="009315D8" w:rsidP="00E71A58">
      <w:r>
        <w:continuationSeparator/>
      </w:r>
    </w:p>
  </w:footnote>
  <w:footnote w:id="1">
    <w:p w14:paraId="37E3331F" w14:textId="6074A8A2" w:rsidR="005810E1" w:rsidRPr="007F5302" w:rsidRDefault="005810E1" w:rsidP="0028431A">
      <w:pPr>
        <w:pStyle w:val="Textpoznpodarou"/>
        <w:jc w:val="both"/>
        <w:rPr>
          <w:sz w:val="16"/>
          <w:szCs w:val="16"/>
        </w:rPr>
      </w:pPr>
      <w:r w:rsidRPr="007F5302">
        <w:rPr>
          <w:rStyle w:val="Znakapoznpodarou"/>
          <w:sz w:val="16"/>
          <w:szCs w:val="16"/>
        </w:rPr>
        <w:footnoteRef/>
      </w:r>
      <w:r w:rsidRPr="007F5302">
        <w:rPr>
          <w:sz w:val="16"/>
          <w:szCs w:val="16"/>
        </w:rPr>
        <w:t xml:space="preserve"> </w:t>
      </w:r>
      <w:r w:rsidRPr="007F5302">
        <w:rPr>
          <w:color w:val="0D0D0D" w:themeColor="text1" w:themeTint="F2"/>
          <w:sz w:val="16"/>
          <w:szCs w:val="16"/>
        </w:rPr>
        <w:t xml:space="preserve">Pokud není uvedeno jinak, vycházejí všechny údaje týkající se státního rozpočtu </w:t>
      </w:r>
      <w:r w:rsidRPr="007F5302">
        <w:rPr>
          <w:rFonts w:cs="Arial"/>
          <w:color w:val="0D0D0D" w:themeColor="text1" w:themeTint="F2"/>
          <w:sz w:val="16"/>
          <w:szCs w:val="16"/>
        </w:rPr>
        <w:t>z</w:t>
      </w:r>
      <w:r>
        <w:rPr>
          <w:rFonts w:cs="Arial"/>
          <w:color w:val="0D0D0D" w:themeColor="text1" w:themeTint="F2"/>
          <w:sz w:val="16"/>
          <w:szCs w:val="16"/>
        </w:rPr>
        <w:t> </w:t>
      </w:r>
      <w:r w:rsidRPr="007F5302">
        <w:rPr>
          <w:rFonts w:cs="Arial"/>
          <w:color w:val="0D0D0D" w:themeColor="text1" w:themeTint="F2"/>
          <w:sz w:val="16"/>
          <w:szCs w:val="16"/>
        </w:rPr>
        <w:t>dat Ministerstva financí o pokladním plnění.</w:t>
      </w:r>
    </w:p>
  </w:footnote>
  <w:footnote w:id="2">
    <w:p w14:paraId="222D0ECB" w14:textId="0AFA57DF" w:rsidR="005810E1" w:rsidRPr="007F5302" w:rsidRDefault="005810E1" w:rsidP="0028431A">
      <w:pPr>
        <w:pStyle w:val="Textpoznpodarou"/>
        <w:jc w:val="both"/>
        <w:rPr>
          <w:sz w:val="16"/>
          <w:szCs w:val="16"/>
        </w:rPr>
      </w:pPr>
      <w:r w:rsidRPr="003F67A6">
        <w:rPr>
          <w:rStyle w:val="Znakapoznpodarou"/>
          <w:sz w:val="16"/>
          <w:szCs w:val="16"/>
        </w:rPr>
        <w:footnoteRef/>
      </w:r>
      <w:r w:rsidRPr="003F67A6">
        <w:rPr>
          <w:sz w:val="16"/>
          <w:szCs w:val="16"/>
        </w:rPr>
        <w:t xml:space="preserve"> </w:t>
      </w:r>
      <w:r w:rsidRPr="003F67A6">
        <w:rPr>
          <w:color w:val="0D0D0D" w:themeColor="text1" w:themeTint="F2"/>
          <w:sz w:val="16"/>
          <w:szCs w:val="16"/>
        </w:rPr>
        <w:t xml:space="preserve">Dle propočtů MF skončilo </w:t>
      </w:r>
      <w:r w:rsidRPr="003F67A6">
        <w:rPr>
          <w:sz w:val="16"/>
          <w:szCs w:val="16"/>
        </w:rPr>
        <w:t>hospodaření SR</w:t>
      </w:r>
      <w:r w:rsidRPr="003F67A6">
        <w:rPr>
          <w:rStyle w:val="Zdraznn"/>
        </w:rPr>
        <w:t xml:space="preserve"> </w:t>
      </w:r>
      <w:r w:rsidRPr="003F67A6">
        <w:rPr>
          <w:iCs/>
          <w:sz w:val="16"/>
          <w:szCs w:val="16"/>
        </w:rPr>
        <w:t>očištěné o</w:t>
      </w:r>
      <w:r>
        <w:rPr>
          <w:iCs/>
          <w:sz w:val="16"/>
          <w:szCs w:val="16"/>
        </w:rPr>
        <w:t> </w:t>
      </w:r>
      <w:r w:rsidRPr="003F67A6">
        <w:rPr>
          <w:iCs/>
          <w:sz w:val="16"/>
          <w:szCs w:val="16"/>
        </w:rPr>
        <w:t>prostředky na programy a</w:t>
      </w:r>
      <w:r>
        <w:rPr>
          <w:iCs/>
          <w:sz w:val="16"/>
          <w:szCs w:val="16"/>
        </w:rPr>
        <w:t> </w:t>
      </w:r>
      <w:r w:rsidRPr="003F67A6">
        <w:rPr>
          <w:iCs/>
          <w:sz w:val="16"/>
          <w:szCs w:val="16"/>
        </w:rPr>
        <w:t>projekty z</w:t>
      </w:r>
      <w:r>
        <w:rPr>
          <w:iCs/>
          <w:sz w:val="16"/>
          <w:szCs w:val="16"/>
        </w:rPr>
        <w:t> </w:t>
      </w:r>
      <w:r w:rsidRPr="003F67A6">
        <w:rPr>
          <w:iCs/>
          <w:sz w:val="16"/>
          <w:szCs w:val="16"/>
        </w:rPr>
        <w:t>rozpo</w:t>
      </w:r>
      <w:r>
        <w:rPr>
          <w:iCs/>
          <w:sz w:val="16"/>
          <w:szCs w:val="16"/>
        </w:rPr>
        <w:t xml:space="preserve">čtu EU a finančních mechanismů </w:t>
      </w:r>
      <w:r w:rsidRPr="00A1332F">
        <w:rPr>
          <w:rStyle w:val="Zdraznn"/>
          <w:i w:val="0"/>
          <w:color w:val="0D0D0D" w:themeColor="text1" w:themeTint="F2"/>
          <w:sz w:val="16"/>
          <w:szCs w:val="16"/>
        </w:rPr>
        <w:t>(EHP a</w:t>
      </w:r>
      <w:r>
        <w:rPr>
          <w:rStyle w:val="Zdraznn"/>
          <w:i w:val="0"/>
          <w:color w:val="0D0D0D" w:themeColor="text1" w:themeTint="F2"/>
          <w:sz w:val="16"/>
          <w:szCs w:val="16"/>
        </w:rPr>
        <w:t> </w:t>
      </w:r>
      <w:r w:rsidRPr="00A1332F">
        <w:rPr>
          <w:rStyle w:val="Zdraznn"/>
          <w:i w:val="0"/>
          <w:color w:val="0D0D0D" w:themeColor="text1" w:themeTint="F2"/>
          <w:sz w:val="16"/>
          <w:szCs w:val="16"/>
        </w:rPr>
        <w:t>Norské fondy, Program švýcarsko</w:t>
      </w:r>
      <w:r>
        <w:rPr>
          <w:rStyle w:val="Zdraznn"/>
          <w:i w:val="0"/>
          <w:color w:val="0D0D0D" w:themeColor="text1" w:themeTint="F2"/>
          <w:sz w:val="16"/>
          <w:szCs w:val="16"/>
        </w:rPr>
        <w:noBreakHyphen/>
      </w:r>
      <w:r w:rsidRPr="00A1332F">
        <w:rPr>
          <w:rStyle w:val="Zdraznn"/>
          <w:i w:val="0"/>
          <w:color w:val="0D0D0D" w:themeColor="text1" w:themeTint="F2"/>
          <w:sz w:val="16"/>
          <w:szCs w:val="16"/>
        </w:rPr>
        <w:t>české spolupráce)</w:t>
      </w:r>
      <w:r>
        <w:rPr>
          <w:iCs/>
          <w:sz w:val="16"/>
          <w:szCs w:val="16"/>
        </w:rPr>
        <w:t xml:space="preserve">, </w:t>
      </w:r>
      <w:r w:rsidRPr="003F67A6">
        <w:rPr>
          <w:iCs/>
          <w:sz w:val="16"/>
          <w:szCs w:val="16"/>
        </w:rPr>
        <w:t>které byly předfinancovány ze</w:t>
      </w:r>
      <w:r>
        <w:rPr>
          <w:iCs/>
          <w:sz w:val="16"/>
          <w:szCs w:val="16"/>
        </w:rPr>
        <w:t> </w:t>
      </w:r>
      <w:r w:rsidRPr="003F67A6">
        <w:rPr>
          <w:iCs/>
          <w:sz w:val="16"/>
          <w:szCs w:val="16"/>
        </w:rPr>
        <w:t>SR a</w:t>
      </w:r>
      <w:r>
        <w:rPr>
          <w:iCs/>
          <w:sz w:val="16"/>
          <w:szCs w:val="16"/>
        </w:rPr>
        <w:t> </w:t>
      </w:r>
      <w:r w:rsidRPr="003F67A6">
        <w:rPr>
          <w:iCs/>
          <w:sz w:val="16"/>
          <w:szCs w:val="16"/>
        </w:rPr>
        <w:t>následně</w:t>
      </w:r>
      <w:r>
        <w:rPr>
          <w:iCs/>
          <w:sz w:val="16"/>
          <w:szCs w:val="16"/>
        </w:rPr>
        <w:t xml:space="preserve"> propláceny z rozpočtu EU a FM,</w:t>
      </w:r>
      <w:r w:rsidRPr="003F67A6">
        <w:rPr>
          <w:iCs/>
          <w:sz w:val="16"/>
          <w:szCs w:val="16"/>
        </w:rPr>
        <w:t xml:space="preserve"> v 1.</w:t>
      </w:r>
      <w:r>
        <w:rPr>
          <w:iCs/>
          <w:sz w:val="16"/>
          <w:szCs w:val="16"/>
        </w:rPr>
        <w:t> </w:t>
      </w:r>
      <w:r w:rsidRPr="003F67A6">
        <w:rPr>
          <w:iCs/>
          <w:sz w:val="16"/>
          <w:szCs w:val="16"/>
        </w:rPr>
        <w:t>až 3</w:t>
      </w:r>
      <w:r>
        <w:rPr>
          <w:iCs/>
          <w:sz w:val="16"/>
          <w:szCs w:val="16"/>
        </w:rPr>
        <w:t>. čtvrtlet</w:t>
      </w:r>
      <w:r w:rsidRPr="003F67A6">
        <w:rPr>
          <w:iCs/>
          <w:sz w:val="16"/>
          <w:szCs w:val="16"/>
        </w:rPr>
        <w:t>í 2018 schodkem 4,8</w:t>
      </w:r>
      <w:r>
        <w:rPr>
          <w:iCs/>
          <w:sz w:val="16"/>
          <w:szCs w:val="16"/>
        </w:rPr>
        <w:t> mld.</w:t>
      </w:r>
      <w:r w:rsidRPr="003F67A6">
        <w:rPr>
          <w:iCs/>
          <w:sz w:val="16"/>
          <w:szCs w:val="16"/>
        </w:rPr>
        <w:t xml:space="preserve">, jenž se </w:t>
      </w:r>
      <w:r>
        <w:rPr>
          <w:iCs/>
          <w:sz w:val="16"/>
          <w:szCs w:val="16"/>
        </w:rPr>
        <w:t>o rok později</w:t>
      </w:r>
      <w:r w:rsidRPr="003F67A6">
        <w:rPr>
          <w:iCs/>
          <w:sz w:val="16"/>
          <w:szCs w:val="16"/>
        </w:rPr>
        <w:t xml:space="preserve"> prohloubil na 19</w:t>
      </w:r>
      <w:r>
        <w:rPr>
          <w:iCs/>
          <w:sz w:val="16"/>
          <w:szCs w:val="16"/>
        </w:rPr>
        <w:t xml:space="preserve">,0 mld. korun. Na rozdíl od </w:t>
      </w:r>
      <w:r w:rsidRPr="003F67A6">
        <w:rPr>
          <w:iCs/>
          <w:sz w:val="16"/>
          <w:szCs w:val="16"/>
        </w:rPr>
        <w:t xml:space="preserve">roku </w:t>
      </w:r>
      <w:r>
        <w:rPr>
          <w:iCs/>
          <w:sz w:val="16"/>
          <w:szCs w:val="16"/>
        </w:rPr>
        <w:t xml:space="preserve">2018 </w:t>
      </w:r>
      <w:r w:rsidRPr="003F67A6">
        <w:rPr>
          <w:iCs/>
          <w:sz w:val="16"/>
          <w:szCs w:val="16"/>
        </w:rPr>
        <w:t>již ale celkové saldo</w:t>
      </w:r>
      <w:r>
        <w:rPr>
          <w:iCs/>
          <w:sz w:val="16"/>
          <w:szCs w:val="16"/>
        </w:rPr>
        <w:t> </w:t>
      </w:r>
      <w:r w:rsidRPr="003F67A6">
        <w:rPr>
          <w:iCs/>
          <w:sz w:val="16"/>
          <w:szCs w:val="16"/>
        </w:rPr>
        <w:t>SR nebylo</w:t>
      </w:r>
      <w:r w:rsidRPr="003F67A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letos </w:t>
      </w:r>
      <w:r w:rsidRPr="003F67A6">
        <w:rPr>
          <w:sz w:val="16"/>
          <w:szCs w:val="16"/>
        </w:rPr>
        <w:t>výraz</w:t>
      </w:r>
      <w:r>
        <w:rPr>
          <w:sz w:val="16"/>
          <w:szCs w:val="16"/>
        </w:rPr>
        <w:t>ně ovlivněno finančními vztahy s</w:t>
      </w:r>
      <w:r w:rsidRPr="003F67A6">
        <w:rPr>
          <w:iCs/>
          <w:sz w:val="16"/>
          <w:szCs w:val="16"/>
        </w:rPr>
        <w:t> </w:t>
      </w:r>
      <w:r w:rsidRPr="003F67A6">
        <w:rPr>
          <w:sz w:val="16"/>
          <w:szCs w:val="16"/>
        </w:rPr>
        <w:t>EU, neboť významnější vlivy na příjmové i výdajové straně se vzájemně téměř kompenzovaly.</w:t>
      </w:r>
    </w:p>
  </w:footnote>
  <w:footnote w:id="3">
    <w:p w14:paraId="1F88044D" w14:textId="2160F640" w:rsidR="005810E1" w:rsidRPr="007F5302" w:rsidRDefault="005810E1" w:rsidP="0028431A">
      <w:pPr>
        <w:pStyle w:val="Textpoznpodarou"/>
        <w:jc w:val="both"/>
        <w:rPr>
          <w:sz w:val="16"/>
          <w:szCs w:val="16"/>
        </w:rPr>
      </w:pPr>
      <w:r w:rsidRPr="007F5302">
        <w:rPr>
          <w:rStyle w:val="Znakapoznpodarou"/>
          <w:sz w:val="16"/>
          <w:szCs w:val="16"/>
        </w:rPr>
        <w:footnoteRef/>
      </w:r>
      <w:r w:rsidRPr="007F5302">
        <w:rPr>
          <w:sz w:val="16"/>
          <w:szCs w:val="16"/>
        </w:rPr>
        <w:t xml:space="preserve"> Zahrnují i</w:t>
      </w:r>
      <w:r>
        <w:rPr>
          <w:sz w:val="16"/>
          <w:szCs w:val="16"/>
        </w:rPr>
        <w:t> </w:t>
      </w:r>
      <w:r w:rsidRPr="007F5302">
        <w:rPr>
          <w:sz w:val="16"/>
          <w:szCs w:val="16"/>
        </w:rPr>
        <w:t>příj</w:t>
      </w:r>
      <w:r>
        <w:rPr>
          <w:sz w:val="16"/>
          <w:szCs w:val="16"/>
        </w:rPr>
        <w:t>my z tzv. finančních mechanismů</w:t>
      </w:r>
      <w:r w:rsidRPr="00A1332F">
        <w:rPr>
          <w:rStyle w:val="Zdraznn"/>
          <w:i w:val="0"/>
          <w:color w:val="0D0D0D" w:themeColor="text1" w:themeTint="F2"/>
          <w:sz w:val="16"/>
          <w:szCs w:val="16"/>
        </w:rPr>
        <w:t>.</w:t>
      </w:r>
      <w:r w:rsidRPr="007F5302">
        <w:rPr>
          <w:rStyle w:val="Zdraznn"/>
          <w:color w:val="0D0D0D" w:themeColor="text1" w:themeTint="F2"/>
          <w:sz w:val="16"/>
          <w:szCs w:val="16"/>
        </w:rPr>
        <w:t xml:space="preserve"> </w:t>
      </w:r>
      <w:r w:rsidRPr="007F5302">
        <w:rPr>
          <w:sz w:val="16"/>
          <w:szCs w:val="16"/>
        </w:rPr>
        <w:t>Jejich letošní pokles byl ovlivněn nestandardně vysokou l</w:t>
      </w:r>
      <w:r>
        <w:rPr>
          <w:sz w:val="16"/>
          <w:szCs w:val="16"/>
        </w:rPr>
        <w:t>oňskou základnou – v 1. až 3. čtvrtletí</w:t>
      </w:r>
      <w:r w:rsidRPr="007F5302">
        <w:rPr>
          <w:sz w:val="16"/>
          <w:szCs w:val="16"/>
        </w:rPr>
        <w:t xml:space="preserve"> 2018 získal SR část závěrečných plateb vztahujících se k již skončenému programovému období 2007 až 2013 (ve výš</w:t>
      </w:r>
      <w:r>
        <w:rPr>
          <w:sz w:val="16"/>
          <w:szCs w:val="16"/>
        </w:rPr>
        <w:t>i 20,7</w:t>
      </w:r>
      <w:r w:rsidRPr="007F5302">
        <w:rPr>
          <w:sz w:val="16"/>
          <w:szCs w:val="16"/>
        </w:rPr>
        <w:t xml:space="preserve"> mld. korun). </w:t>
      </w:r>
      <w:r>
        <w:rPr>
          <w:sz w:val="16"/>
          <w:szCs w:val="16"/>
        </w:rPr>
        <w:t>Bez započtení tohoto vlivu by byl příliv prostředků z EU letos meziročně vyšší a potvrzoval by tak trend mírného zrychlování čerpání těchto prostředků (patrný již ve druhé polovině loňského roku).</w:t>
      </w:r>
    </w:p>
  </w:footnote>
  <w:footnote w:id="4">
    <w:p w14:paraId="5F00111E" w14:textId="67F4E9BF" w:rsidR="005810E1" w:rsidRPr="00283F7B" w:rsidRDefault="005810E1" w:rsidP="0028431A">
      <w:pPr>
        <w:pStyle w:val="Textpoznpodarou"/>
        <w:jc w:val="both"/>
        <w:rPr>
          <w:color w:val="0D0D0D" w:themeColor="text1" w:themeTint="F2"/>
          <w:sz w:val="16"/>
          <w:szCs w:val="16"/>
        </w:rPr>
      </w:pPr>
      <w:r w:rsidRPr="007F5302">
        <w:rPr>
          <w:rStyle w:val="Znakapoznpodarou"/>
          <w:sz w:val="16"/>
          <w:szCs w:val="16"/>
        </w:rPr>
        <w:footnoteRef/>
      </w:r>
      <w:r w:rsidRPr="007F5302">
        <w:rPr>
          <w:sz w:val="16"/>
          <w:szCs w:val="16"/>
        </w:rPr>
        <w:t xml:space="preserve"> </w:t>
      </w:r>
      <w:r w:rsidRPr="007F5302">
        <w:rPr>
          <w:color w:val="0D0D0D" w:themeColor="text1" w:themeTint="F2"/>
          <w:sz w:val="16"/>
          <w:szCs w:val="16"/>
        </w:rPr>
        <w:t>V 1</w:t>
      </w:r>
      <w:r>
        <w:rPr>
          <w:color w:val="0D0D0D" w:themeColor="text1" w:themeTint="F2"/>
          <w:sz w:val="16"/>
          <w:szCs w:val="16"/>
        </w:rPr>
        <w:t>. čtvrtlet</w:t>
      </w:r>
      <w:r w:rsidRPr="007F5302">
        <w:rPr>
          <w:color w:val="0D0D0D" w:themeColor="text1" w:themeTint="F2"/>
          <w:sz w:val="16"/>
          <w:szCs w:val="16"/>
        </w:rPr>
        <w:t>í 2019 objem inkasa DPH meziročně stagno</w:t>
      </w:r>
      <w:r>
        <w:rPr>
          <w:color w:val="0D0D0D" w:themeColor="text1" w:themeTint="F2"/>
          <w:sz w:val="16"/>
          <w:szCs w:val="16"/>
        </w:rPr>
        <w:t>val, ve 2. čtvrtletí rostl o 5,7 %, ve 3. čtvrtletí již o 8,6 %.</w:t>
      </w:r>
      <w:r w:rsidRPr="007F5302">
        <w:rPr>
          <w:color w:val="0D0D0D" w:themeColor="text1" w:themeTint="F2"/>
          <w:sz w:val="16"/>
          <w:szCs w:val="16"/>
        </w:rPr>
        <w:t xml:space="preserve"> Slabší tempo na počátku roku zčásti souviselo i s meziročně nižším objemem finanční správou zadržovaných nadměrných odpočtů.</w:t>
      </w:r>
    </w:p>
  </w:footnote>
  <w:footnote w:id="5">
    <w:p w14:paraId="3390285A" w14:textId="3B966FE0" w:rsidR="005810E1" w:rsidRPr="006D61C4" w:rsidRDefault="005810E1" w:rsidP="0028431A">
      <w:pPr>
        <w:pStyle w:val="Textpoznpodarou"/>
        <w:jc w:val="both"/>
        <w:rPr>
          <w:sz w:val="16"/>
          <w:szCs w:val="16"/>
        </w:rPr>
      </w:pPr>
      <w:r w:rsidRPr="006D61C4">
        <w:rPr>
          <w:rStyle w:val="Znakapoznpodarou"/>
          <w:sz w:val="16"/>
          <w:szCs w:val="16"/>
        </w:rPr>
        <w:footnoteRef/>
      </w:r>
      <w:r w:rsidRPr="006D61C4">
        <w:rPr>
          <w:sz w:val="16"/>
          <w:szCs w:val="16"/>
        </w:rPr>
        <w:t xml:space="preserve"> </w:t>
      </w:r>
      <w:r>
        <w:rPr>
          <w:color w:val="0D0D0D" w:themeColor="text1" w:themeTint="F2"/>
          <w:spacing w:val="-2"/>
          <w:sz w:val="16"/>
          <w:szCs w:val="16"/>
        </w:rPr>
        <w:t xml:space="preserve">Celkové výdaje </w:t>
      </w:r>
      <w:r w:rsidRPr="003C770C">
        <w:rPr>
          <w:spacing w:val="-2"/>
          <w:sz w:val="16"/>
          <w:szCs w:val="16"/>
        </w:rPr>
        <w:t>na financování společných programů</w:t>
      </w:r>
      <w:r>
        <w:rPr>
          <w:spacing w:val="-2"/>
          <w:sz w:val="16"/>
          <w:szCs w:val="16"/>
        </w:rPr>
        <w:t xml:space="preserve"> EU a ČR činily v 1. až 3. čtvrtletí 94,3 mld. Kč, meziročně posílily o 20,0 mld. Kč. Tato položka zahrnuje i neinvestiční výdaje (např. přímé platby zemědělcům).</w:t>
      </w:r>
    </w:p>
  </w:footnote>
  <w:footnote w:id="6">
    <w:p w14:paraId="198013A9" w14:textId="77FC7779" w:rsidR="005810E1" w:rsidRPr="006D61C4" w:rsidRDefault="005810E1" w:rsidP="0028431A">
      <w:pPr>
        <w:pStyle w:val="Textpoznpodarou"/>
        <w:jc w:val="both"/>
        <w:rPr>
          <w:sz w:val="16"/>
          <w:szCs w:val="16"/>
        </w:rPr>
      </w:pPr>
      <w:r w:rsidRPr="006D61C4">
        <w:rPr>
          <w:rStyle w:val="Znakapoznpodarou"/>
          <w:sz w:val="16"/>
          <w:szCs w:val="16"/>
        </w:rPr>
        <w:footnoteRef/>
      </w:r>
      <w:r w:rsidRPr="006D61C4">
        <w:rPr>
          <w:sz w:val="16"/>
          <w:szCs w:val="16"/>
        </w:rPr>
        <w:t xml:space="preserve"> </w:t>
      </w:r>
      <w:r>
        <w:rPr>
          <w:color w:val="0D0D0D" w:themeColor="text1" w:themeTint="F2"/>
          <w:spacing w:val="-2"/>
          <w:sz w:val="16"/>
          <w:szCs w:val="16"/>
        </w:rPr>
        <w:t>Jednalo se o </w:t>
      </w:r>
      <w:r w:rsidRPr="008274EF">
        <w:rPr>
          <w:color w:val="0D0D0D" w:themeColor="text1" w:themeTint="F2"/>
          <w:spacing w:val="-2"/>
          <w:sz w:val="16"/>
          <w:szCs w:val="16"/>
        </w:rPr>
        <w:t>zvýšení základní výměry důchodu z</w:t>
      </w:r>
      <w:r>
        <w:rPr>
          <w:color w:val="0D0D0D" w:themeColor="text1" w:themeTint="F2"/>
          <w:spacing w:val="-2"/>
          <w:sz w:val="16"/>
          <w:szCs w:val="16"/>
        </w:rPr>
        <w:t> </w:t>
      </w:r>
      <w:r w:rsidRPr="008274EF">
        <w:rPr>
          <w:color w:val="0D0D0D" w:themeColor="text1" w:themeTint="F2"/>
          <w:spacing w:val="-2"/>
          <w:sz w:val="16"/>
          <w:szCs w:val="16"/>
        </w:rPr>
        <w:t>9 % na 10 % průměrné mzdy</w:t>
      </w:r>
      <w:r>
        <w:rPr>
          <w:color w:val="0D0D0D" w:themeColor="text1" w:themeTint="F2"/>
          <w:spacing w:val="-2"/>
          <w:sz w:val="16"/>
          <w:szCs w:val="16"/>
        </w:rPr>
        <w:t xml:space="preserve">, </w:t>
      </w:r>
      <w:r w:rsidRPr="008274EF">
        <w:rPr>
          <w:color w:val="0D0D0D" w:themeColor="text1" w:themeTint="F2"/>
          <w:spacing w:val="-2"/>
          <w:sz w:val="16"/>
          <w:szCs w:val="16"/>
        </w:rPr>
        <w:t>procentní výměry důchodů o</w:t>
      </w:r>
      <w:r>
        <w:rPr>
          <w:color w:val="0D0D0D" w:themeColor="text1" w:themeTint="F2"/>
          <w:spacing w:val="-2"/>
          <w:sz w:val="16"/>
          <w:szCs w:val="16"/>
        </w:rPr>
        <w:t> 3,4 % a dále o zvýšení o 1 000</w:t>
      </w:r>
      <w:r w:rsidRPr="003C770C">
        <w:rPr>
          <w:spacing w:val="-2"/>
          <w:sz w:val="16"/>
          <w:szCs w:val="16"/>
        </w:rPr>
        <w:t> </w:t>
      </w:r>
      <w:r>
        <w:rPr>
          <w:color w:val="0D0D0D" w:themeColor="text1" w:themeTint="F2"/>
          <w:spacing w:val="-2"/>
          <w:sz w:val="16"/>
          <w:szCs w:val="16"/>
        </w:rPr>
        <w:t xml:space="preserve">korun </w:t>
      </w:r>
      <w:r w:rsidRPr="008274EF">
        <w:rPr>
          <w:color w:val="0D0D0D" w:themeColor="text1" w:themeTint="F2"/>
          <w:spacing w:val="-2"/>
          <w:sz w:val="16"/>
          <w:szCs w:val="16"/>
        </w:rPr>
        <w:t>u</w:t>
      </w:r>
      <w:r>
        <w:rPr>
          <w:color w:val="0D0D0D" w:themeColor="text1" w:themeTint="F2"/>
          <w:spacing w:val="-2"/>
          <w:sz w:val="16"/>
          <w:szCs w:val="16"/>
        </w:rPr>
        <w:t> příjemců důchodů, kteří dosáhnou věku</w:t>
      </w:r>
      <w:r w:rsidRPr="008274EF">
        <w:rPr>
          <w:color w:val="0D0D0D" w:themeColor="text1" w:themeTint="F2"/>
          <w:spacing w:val="-2"/>
          <w:sz w:val="16"/>
          <w:szCs w:val="16"/>
        </w:rPr>
        <w:t xml:space="preserve"> 85</w:t>
      </w:r>
      <w:r>
        <w:rPr>
          <w:color w:val="0D0D0D" w:themeColor="text1" w:themeTint="F2"/>
          <w:spacing w:val="-2"/>
          <w:sz w:val="16"/>
          <w:szCs w:val="16"/>
        </w:rPr>
        <w:t> </w:t>
      </w:r>
      <w:r w:rsidRPr="008274EF">
        <w:rPr>
          <w:color w:val="0D0D0D" w:themeColor="text1" w:themeTint="F2"/>
          <w:spacing w:val="-2"/>
          <w:sz w:val="16"/>
          <w:szCs w:val="16"/>
        </w:rPr>
        <w:t>let.</w:t>
      </w:r>
      <w:r>
        <w:rPr>
          <w:color w:val="0D0D0D" w:themeColor="text1" w:themeTint="F2"/>
          <w:spacing w:val="-2"/>
          <w:sz w:val="16"/>
          <w:szCs w:val="16"/>
        </w:rPr>
        <w:t xml:space="preserve"> Dále je v</w:t>
      </w:r>
      <w:r w:rsidRPr="00257340">
        <w:rPr>
          <w:color w:val="0D0D0D" w:themeColor="text1" w:themeTint="F2"/>
          <w:spacing w:val="-2"/>
          <w:sz w:val="16"/>
          <w:szCs w:val="16"/>
        </w:rPr>
        <w:t>e valorizačním mechanismu od roku 2018 plně reflektován vliv růstu spotřebitelských cen (ev.</w:t>
      </w:r>
      <w:r>
        <w:rPr>
          <w:color w:val="0D0D0D" w:themeColor="text1" w:themeTint="F2"/>
          <w:spacing w:val="-2"/>
          <w:sz w:val="16"/>
          <w:szCs w:val="16"/>
        </w:rPr>
        <w:t> </w:t>
      </w:r>
      <w:r w:rsidRPr="00257340">
        <w:rPr>
          <w:color w:val="0D0D0D" w:themeColor="text1" w:themeTint="F2"/>
          <w:spacing w:val="-2"/>
          <w:sz w:val="16"/>
          <w:szCs w:val="16"/>
        </w:rPr>
        <w:t>růstu životních nákladů důchodců) a</w:t>
      </w:r>
      <w:r>
        <w:rPr>
          <w:color w:val="0D0D0D" w:themeColor="text1" w:themeTint="F2"/>
          <w:spacing w:val="-2"/>
          <w:sz w:val="16"/>
          <w:szCs w:val="16"/>
        </w:rPr>
        <w:t> </w:t>
      </w:r>
      <w:r w:rsidRPr="00257340">
        <w:rPr>
          <w:color w:val="0D0D0D" w:themeColor="text1" w:themeTint="F2"/>
          <w:spacing w:val="-2"/>
          <w:sz w:val="16"/>
          <w:szCs w:val="16"/>
        </w:rPr>
        <w:t xml:space="preserve">je zohledněna </w:t>
      </w:r>
      <w:r>
        <w:rPr>
          <w:color w:val="0D0D0D" w:themeColor="text1" w:themeTint="F2"/>
          <w:spacing w:val="-2"/>
          <w:sz w:val="16"/>
          <w:szCs w:val="16"/>
        </w:rPr>
        <w:t>i polovina růstu reálných mezd v ekonomice.</w:t>
      </w:r>
    </w:p>
  </w:footnote>
  <w:footnote w:id="7">
    <w:p w14:paraId="617F0266" w14:textId="2C213E81" w:rsidR="005810E1" w:rsidRDefault="005810E1" w:rsidP="0028431A">
      <w:pPr>
        <w:pStyle w:val="Textpoznpodarou"/>
        <w:jc w:val="both"/>
      </w:pPr>
      <w:r w:rsidRPr="000315DB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Meziroční růst počtu příjemců trvale krácených (předčasných) důchodů ve 3. čtvrtletí 2019 činil 1,9 %, po roce 2014 toto tempo plynule klesá. Podíl předčasných důchodců na všech příjemcích starobních důchodů dosahoval v ČR 26,5 % (s významnými regionálními rozdíly).</w:t>
      </w:r>
    </w:p>
  </w:footnote>
  <w:footnote w:id="8">
    <w:p w14:paraId="608BF23F" w14:textId="153A6CCD" w:rsidR="005810E1" w:rsidRPr="006B5B53" w:rsidRDefault="005810E1" w:rsidP="0028431A">
      <w:pPr>
        <w:pStyle w:val="Textpoznpodarou"/>
        <w:jc w:val="both"/>
      </w:pPr>
      <w:r w:rsidRPr="000315DB">
        <w:rPr>
          <w:rStyle w:val="Znakapoznpodarou"/>
          <w:sz w:val="16"/>
          <w:szCs w:val="16"/>
        </w:rPr>
        <w:footnoteRef/>
      </w:r>
      <w:r w:rsidRPr="000315DB">
        <w:rPr>
          <w:sz w:val="16"/>
          <w:szCs w:val="16"/>
        </w:rPr>
        <w:t xml:space="preserve"> Je vyjádřeno jako </w:t>
      </w:r>
      <w:r w:rsidRPr="000315DB">
        <w:rPr>
          <w:rFonts w:cs="Arial"/>
          <w:color w:val="000000" w:themeColor="text1"/>
          <w:spacing w:val="-4"/>
          <w:sz w:val="16"/>
          <w:szCs w:val="16"/>
        </w:rPr>
        <w:t>rozdíl mezi příjmy a</w:t>
      </w:r>
      <w:r>
        <w:rPr>
          <w:rFonts w:cs="Arial"/>
          <w:color w:val="000000" w:themeColor="text1"/>
          <w:spacing w:val="-4"/>
          <w:sz w:val="16"/>
          <w:szCs w:val="16"/>
        </w:rPr>
        <w:t> </w:t>
      </w:r>
      <w:r w:rsidRPr="000315DB">
        <w:rPr>
          <w:rFonts w:cs="Arial"/>
          <w:color w:val="000000" w:themeColor="text1"/>
          <w:spacing w:val="-4"/>
          <w:sz w:val="16"/>
          <w:szCs w:val="16"/>
        </w:rPr>
        <w:t>výdaji na</w:t>
      </w:r>
      <w:r>
        <w:rPr>
          <w:rFonts w:cs="Arial"/>
          <w:color w:val="000000" w:themeColor="text1"/>
          <w:spacing w:val="-4"/>
          <w:sz w:val="16"/>
          <w:szCs w:val="16"/>
        </w:rPr>
        <w:t xml:space="preserve"> důchody ze SR</w:t>
      </w:r>
      <w:r w:rsidRPr="000315DB">
        <w:rPr>
          <w:rFonts w:cs="Arial"/>
          <w:color w:val="000000" w:themeColor="text1"/>
          <w:spacing w:val="-4"/>
          <w:sz w:val="16"/>
          <w:szCs w:val="16"/>
        </w:rPr>
        <w:t>.</w:t>
      </w:r>
      <w:r>
        <w:rPr>
          <w:rFonts w:cs="Arial"/>
          <w:color w:val="000000" w:themeColor="text1"/>
          <w:spacing w:val="-4"/>
          <w:sz w:val="16"/>
          <w:szCs w:val="16"/>
        </w:rPr>
        <w:t xml:space="preserve"> Nejsou zahrnuty </w:t>
      </w:r>
      <w:r w:rsidRPr="006B5B53">
        <w:rPr>
          <w:rFonts w:cs="Arial"/>
          <w:color w:val="000000" w:themeColor="text1"/>
          <w:spacing w:val="-4"/>
          <w:sz w:val="16"/>
          <w:szCs w:val="16"/>
        </w:rPr>
        <w:t>výdaje na správu systému důchodového pojištění (v</w:t>
      </w:r>
      <w:r>
        <w:rPr>
          <w:rFonts w:cs="Arial"/>
          <w:color w:val="000000" w:themeColor="text1"/>
          <w:spacing w:val="-4"/>
          <w:sz w:val="16"/>
          <w:szCs w:val="16"/>
        </w:rPr>
        <w:t> </w:t>
      </w:r>
      <w:r w:rsidRPr="006B5B53">
        <w:rPr>
          <w:rFonts w:cs="Arial"/>
          <w:color w:val="000000" w:themeColor="text1"/>
          <w:spacing w:val="-4"/>
          <w:sz w:val="16"/>
          <w:szCs w:val="16"/>
        </w:rPr>
        <w:t>1.</w:t>
      </w:r>
      <w:r>
        <w:rPr>
          <w:rFonts w:cs="Arial"/>
          <w:color w:val="000000" w:themeColor="text1"/>
          <w:spacing w:val="-4"/>
          <w:sz w:val="16"/>
          <w:szCs w:val="16"/>
        </w:rPr>
        <w:t> </w:t>
      </w:r>
      <w:r w:rsidRPr="006B5B53">
        <w:rPr>
          <w:rFonts w:cs="Arial"/>
          <w:color w:val="000000" w:themeColor="text1"/>
          <w:spacing w:val="-4"/>
          <w:sz w:val="16"/>
          <w:szCs w:val="16"/>
        </w:rPr>
        <w:t>až 3</w:t>
      </w:r>
      <w:r>
        <w:rPr>
          <w:rFonts w:cs="Arial"/>
          <w:color w:val="000000" w:themeColor="text1"/>
          <w:spacing w:val="-4"/>
          <w:sz w:val="16"/>
          <w:szCs w:val="16"/>
        </w:rPr>
        <w:t>. čtvrtlet</w:t>
      </w:r>
      <w:r w:rsidRPr="006B5B53">
        <w:rPr>
          <w:rFonts w:cs="Arial"/>
          <w:color w:val="000000" w:themeColor="text1"/>
          <w:spacing w:val="-4"/>
          <w:sz w:val="16"/>
          <w:szCs w:val="16"/>
        </w:rPr>
        <w:t>í 2019 dosáhly dle údajů MF 4,7 mld. korun).</w:t>
      </w:r>
    </w:p>
  </w:footnote>
  <w:footnote w:id="9">
    <w:p w14:paraId="7EBB5CC5" w14:textId="77777777" w:rsidR="005810E1" w:rsidRDefault="005810E1" w:rsidP="0028431A">
      <w:pPr>
        <w:pStyle w:val="Textpoznpodarou"/>
        <w:jc w:val="both"/>
      </w:pPr>
      <w:r w:rsidRPr="006B5B53">
        <w:rPr>
          <w:rStyle w:val="Znakapoznpodarou"/>
          <w:sz w:val="16"/>
          <w:szCs w:val="16"/>
        </w:rPr>
        <w:footnoteRef/>
      </w:r>
      <w:r w:rsidRPr="006B5B53">
        <w:rPr>
          <w:sz w:val="16"/>
          <w:szCs w:val="16"/>
        </w:rPr>
        <w:t xml:space="preserve"> V 1.</w:t>
      </w:r>
      <w:r>
        <w:rPr>
          <w:sz w:val="16"/>
          <w:szCs w:val="16"/>
        </w:rPr>
        <w:t> </w:t>
      </w:r>
      <w:r w:rsidRPr="006B5B53">
        <w:rPr>
          <w:sz w:val="16"/>
          <w:szCs w:val="16"/>
        </w:rPr>
        <w:t>až 3</w:t>
      </w:r>
      <w:r>
        <w:rPr>
          <w:sz w:val="16"/>
          <w:szCs w:val="16"/>
        </w:rPr>
        <w:t>. čtvrtlet</w:t>
      </w:r>
      <w:r w:rsidRPr="006B5B53">
        <w:rPr>
          <w:sz w:val="16"/>
          <w:szCs w:val="16"/>
        </w:rPr>
        <w:t>í činil meziroční růst 15</w:t>
      </w:r>
      <w:r>
        <w:rPr>
          <w:sz w:val="16"/>
          <w:szCs w:val="16"/>
        </w:rPr>
        <w:t> %</w:t>
      </w:r>
      <w:r w:rsidRPr="006B5B53">
        <w:rPr>
          <w:sz w:val="16"/>
          <w:szCs w:val="16"/>
        </w:rPr>
        <w:t>, za posledních sedm let se celkové výdaje zdvojnásobily. Stál za tím pokračující růst dočasné pracovní neschopnosti. Zvyšoval se i</w:t>
      </w:r>
      <w:r>
        <w:rPr>
          <w:sz w:val="16"/>
          <w:szCs w:val="16"/>
        </w:rPr>
        <w:t> </w:t>
      </w:r>
      <w:r w:rsidRPr="006B5B53">
        <w:rPr>
          <w:sz w:val="16"/>
          <w:szCs w:val="16"/>
        </w:rPr>
        <w:t>denní vyměřovací základ této dávky (odvozené mj.</w:t>
      </w:r>
      <w:r>
        <w:rPr>
          <w:sz w:val="16"/>
          <w:szCs w:val="16"/>
        </w:rPr>
        <w:t> </w:t>
      </w:r>
      <w:r w:rsidRPr="006B5B53">
        <w:rPr>
          <w:sz w:val="16"/>
          <w:szCs w:val="16"/>
        </w:rPr>
        <w:t>od výše předchozích výdělků). Růst objemu vyplacených nemocenských dávek byl ovlivněn i</w:t>
      </w:r>
      <w:r>
        <w:rPr>
          <w:sz w:val="16"/>
          <w:szCs w:val="16"/>
        </w:rPr>
        <w:t> </w:t>
      </w:r>
      <w:r w:rsidRPr="006B5B53">
        <w:rPr>
          <w:sz w:val="16"/>
          <w:szCs w:val="16"/>
        </w:rPr>
        <w:t>vyšším čerpáním peněžité pomoci v mateřství (+7,6</w:t>
      </w:r>
      <w:r>
        <w:rPr>
          <w:sz w:val="16"/>
          <w:szCs w:val="16"/>
        </w:rPr>
        <w:t> %</w:t>
      </w:r>
      <w:r w:rsidRPr="006B5B53">
        <w:rPr>
          <w:sz w:val="16"/>
          <w:szCs w:val="16"/>
        </w:rPr>
        <w:t>).</w:t>
      </w:r>
    </w:p>
  </w:footnote>
  <w:footnote w:id="10">
    <w:p w14:paraId="70350986" w14:textId="018E9195" w:rsidR="005810E1" w:rsidRPr="007D6AF8" w:rsidRDefault="005810E1" w:rsidP="0028431A">
      <w:pPr>
        <w:pStyle w:val="Textpoznpodarou"/>
        <w:rPr>
          <w:spacing w:val="-4"/>
          <w:sz w:val="16"/>
          <w:szCs w:val="16"/>
        </w:rPr>
      </w:pPr>
      <w:r w:rsidRPr="007D6AF8">
        <w:rPr>
          <w:rStyle w:val="Znakapoznpodarou"/>
          <w:spacing w:val="-4"/>
          <w:sz w:val="16"/>
          <w:szCs w:val="16"/>
        </w:rPr>
        <w:footnoteRef/>
      </w:r>
      <w:r w:rsidRPr="007D6AF8">
        <w:rPr>
          <w:spacing w:val="-4"/>
          <w:sz w:val="16"/>
          <w:szCs w:val="16"/>
        </w:rPr>
        <w:t xml:space="preserve"> Předběžné </w:t>
      </w:r>
      <w:r w:rsidRPr="007D6AF8">
        <w:rPr>
          <w:color w:val="0D0D0D" w:themeColor="text1" w:themeTint="F2"/>
          <w:spacing w:val="-4"/>
          <w:sz w:val="16"/>
          <w:szCs w:val="16"/>
        </w:rPr>
        <w:t>údaje o</w:t>
      </w:r>
      <w:r>
        <w:rPr>
          <w:color w:val="0D0D0D" w:themeColor="text1" w:themeTint="F2"/>
          <w:spacing w:val="-4"/>
          <w:sz w:val="16"/>
          <w:szCs w:val="16"/>
        </w:rPr>
        <w:t> </w:t>
      </w:r>
      <w:r w:rsidRPr="007D6AF8">
        <w:rPr>
          <w:color w:val="0D0D0D" w:themeColor="text1" w:themeTint="F2"/>
          <w:spacing w:val="-4"/>
          <w:sz w:val="16"/>
          <w:szCs w:val="16"/>
        </w:rPr>
        <w:t>dluhu a</w:t>
      </w:r>
      <w:r>
        <w:rPr>
          <w:color w:val="0D0D0D" w:themeColor="text1" w:themeTint="F2"/>
          <w:spacing w:val="-4"/>
          <w:sz w:val="16"/>
          <w:szCs w:val="16"/>
        </w:rPr>
        <w:t> </w:t>
      </w:r>
      <w:r w:rsidRPr="007D6AF8">
        <w:rPr>
          <w:color w:val="0D0D0D" w:themeColor="text1" w:themeTint="F2"/>
          <w:spacing w:val="-4"/>
          <w:sz w:val="16"/>
          <w:szCs w:val="16"/>
        </w:rPr>
        <w:t>deficitu sektoru vládních institucí za 3</w:t>
      </w:r>
      <w:r>
        <w:rPr>
          <w:color w:val="0D0D0D" w:themeColor="text1" w:themeTint="F2"/>
          <w:spacing w:val="-4"/>
          <w:sz w:val="16"/>
          <w:szCs w:val="16"/>
        </w:rPr>
        <w:t>. čtvrtlet</w:t>
      </w:r>
      <w:r w:rsidRPr="007D6AF8">
        <w:rPr>
          <w:color w:val="0D0D0D" w:themeColor="text1" w:themeTint="F2"/>
          <w:spacing w:val="-4"/>
          <w:sz w:val="16"/>
          <w:szCs w:val="16"/>
        </w:rPr>
        <w:t>í 2019 zveřejní ČSÚ 13. ledna 2020, Eurostat 21.</w:t>
      </w:r>
      <w:r w:rsidRPr="007D6AF8">
        <w:rPr>
          <w:spacing w:val="-4"/>
          <w:sz w:val="16"/>
          <w:szCs w:val="16"/>
        </w:rPr>
        <w:t> </w:t>
      </w:r>
      <w:r w:rsidRPr="007D6AF8">
        <w:rPr>
          <w:color w:val="0D0D0D" w:themeColor="text1" w:themeTint="F2"/>
          <w:spacing w:val="-4"/>
          <w:sz w:val="16"/>
          <w:szCs w:val="16"/>
        </w:rPr>
        <w:t>ledna 2020.</w:t>
      </w:r>
    </w:p>
  </w:footnote>
  <w:footnote w:id="11">
    <w:p w14:paraId="3DBB42BB" w14:textId="401F19B8" w:rsidR="005810E1" w:rsidRPr="00117474" w:rsidRDefault="005810E1" w:rsidP="0028431A">
      <w:pPr>
        <w:pStyle w:val="Textpoznpodarou"/>
        <w:rPr>
          <w:spacing w:val="-4"/>
          <w:sz w:val="16"/>
          <w:szCs w:val="16"/>
        </w:rPr>
      </w:pPr>
      <w:r w:rsidRPr="007D6AF8">
        <w:rPr>
          <w:rStyle w:val="Znakapoznpodarou"/>
          <w:spacing w:val="-4"/>
          <w:sz w:val="16"/>
          <w:szCs w:val="16"/>
        </w:rPr>
        <w:footnoteRef/>
      </w:r>
      <w:r w:rsidRPr="007D6AF8">
        <w:rPr>
          <w:spacing w:val="-4"/>
          <w:sz w:val="16"/>
          <w:szCs w:val="16"/>
        </w:rPr>
        <w:t xml:space="preserve"> V dostupné čtvrtletní časové řadě (od roku 2000) klesla meziročně míra zadlužení primárně vlivem redukce absolutní výše dluhu pouze ve 2. čtvrtletí 2017. V</w:t>
      </w:r>
      <w:r>
        <w:rPr>
          <w:spacing w:val="-4"/>
          <w:sz w:val="16"/>
          <w:szCs w:val="16"/>
        </w:rPr>
        <w:t> </w:t>
      </w:r>
      <w:r w:rsidRPr="007D6AF8">
        <w:rPr>
          <w:spacing w:val="-4"/>
          <w:sz w:val="16"/>
          <w:szCs w:val="16"/>
        </w:rPr>
        <w:t>ostatních případech měl na pokles zadlužení dominantní vliv rostoucí</w:t>
      </w:r>
      <w:r>
        <w:rPr>
          <w:spacing w:val="-4"/>
          <w:sz w:val="16"/>
          <w:szCs w:val="16"/>
        </w:rPr>
        <w:t> </w:t>
      </w:r>
      <w:r w:rsidRPr="007D6AF8">
        <w:rPr>
          <w:spacing w:val="-4"/>
          <w:sz w:val="16"/>
          <w:szCs w:val="16"/>
        </w:rPr>
        <w:t>HDP.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985C8" w14:textId="77777777" w:rsidR="005810E1" w:rsidRDefault="005810E1" w:rsidP="00937AE2">
    <w:pPr>
      <w:pStyle w:val="Zhlav"/>
    </w:pPr>
    <w:r>
      <w:t>Vývoj ekonomiky České republiky</w:t>
    </w:r>
  </w:p>
  <w:p w14:paraId="675E4C41" w14:textId="77777777" w:rsidR="005810E1" w:rsidRPr="006F5416" w:rsidRDefault="005810E1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812FB" w14:textId="77777777" w:rsidR="005810E1" w:rsidRDefault="005810E1" w:rsidP="00937AE2">
    <w:pPr>
      <w:pStyle w:val="Zhlav"/>
    </w:pPr>
    <w:r>
      <w:t>Vývoj ekonomiky České republiky</w:t>
    </w:r>
  </w:p>
  <w:p w14:paraId="0CDCFD48" w14:textId="77777777" w:rsidR="005810E1" w:rsidRPr="006F5416" w:rsidRDefault="005810E1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1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24"/>
  </w:num>
  <w:num w:numId="14">
    <w:abstractNumId w:val="12"/>
  </w:num>
  <w:num w:numId="15">
    <w:abstractNumId w:val="18"/>
  </w:num>
  <w:num w:numId="16">
    <w:abstractNumId w:val="14"/>
  </w:num>
  <w:num w:numId="17">
    <w:abstractNumId w:val="25"/>
  </w:num>
  <w:num w:numId="18">
    <w:abstractNumId w:val="19"/>
  </w:num>
  <w:num w:numId="19">
    <w:abstractNumId w:val="26"/>
  </w:num>
  <w:num w:numId="20">
    <w:abstractNumId w:val="27"/>
  </w:num>
  <w:num w:numId="21">
    <w:abstractNumId w:val="23"/>
  </w:num>
  <w:num w:numId="22">
    <w:abstractNumId w:val="17"/>
  </w:num>
  <w:num w:numId="23">
    <w:abstractNumId w:val="15"/>
  </w:num>
  <w:num w:numId="24">
    <w:abstractNumId w:val="16"/>
  </w:num>
  <w:num w:numId="25">
    <w:abstractNumId w:val="11"/>
  </w:num>
  <w:num w:numId="26">
    <w:abstractNumId w:val="21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B55"/>
    <w:rsid w:val="0000209D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387D"/>
    <w:rsid w:val="00016420"/>
    <w:rsid w:val="00017B01"/>
    <w:rsid w:val="00020F22"/>
    <w:rsid w:val="0002195D"/>
    <w:rsid w:val="000228AE"/>
    <w:rsid w:val="000233D1"/>
    <w:rsid w:val="000234D6"/>
    <w:rsid w:val="00023D29"/>
    <w:rsid w:val="00024348"/>
    <w:rsid w:val="00026389"/>
    <w:rsid w:val="00031AE0"/>
    <w:rsid w:val="00031BB2"/>
    <w:rsid w:val="000322EF"/>
    <w:rsid w:val="00033FCD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4183"/>
    <w:rsid w:val="0004431D"/>
    <w:rsid w:val="0004694F"/>
    <w:rsid w:val="00046F2F"/>
    <w:rsid w:val="00047AD4"/>
    <w:rsid w:val="00047D54"/>
    <w:rsid w:val="000522E4"/>
    <w:rsid w:val="00053713"/>
    <w:rsid w:val="0005434E"/>
    <w:rsid w:val="00055CB6"/>
    <w:rsid w:val="000572DD"/>
    <w:rsid w:val="00057B1E"/>
    <w:rsid w:val="000610E1"/>
    <w:rsid w:val="000616AD"/>
    <w:rsid w:val="000622A6"/>
    <w:rsid w:val="00062EC5"/>
    <w:rsid w:val="00062F22"/>
    <w:rsid w:val="00063975"/>
    <w:rsid w:val="00063CEA"/>
    <w:rsid w:val="000645FC"/>
    <w:rsid w:val="0006533F"/>
    <w:rsid w:val="00065348"/>
    <w:rsid w:val="00065A75"/>
    <w:rsid w:val="00066558"/>
    <w:rsid w:val="00070A87"/>
    <w:rsid w:val="000712B3"/>
    <w:rsid w:val="00072FF5"/>
    <w:rsid w:val="0007474E"/>
    <w:rsid w:val="0007512B"/>
    <w:rsid w:val="00075551"/>
    <w:rsid w:val="00076D90"/>
    <w:rsid w:val="00077FF0"/>
    <w:rsid w:val="00081A55"/>
    <w:rsid w:val="0008263E"/>
    <w:rsid w:val="00082C1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13B1"/>
    <w:rsid w:val="00093241"/>
    <w:rsid w:val="00094A84"/>
    <w:rsid w:val="00095025"/>
    <w:rsid w:val="00095135"/>
    <w:rsid w:val="0009626E"/>
    <w:rsid w:val="00097191"/>
    <w:rsid w:val="000974D1"/>
    <w:rsid w:val="0009799E"/>
    <w:rsid w:val="000A07CB"/>
    <w:rsid w:val="000A0BC0"/>
    <w:rsid w:val="000A1183"/>
    <w:rsid w:val="000A212B"/>
    <w:rsid w:val="000A242D"/>
    <w:rsid w:val="000A256D"/>
    <w:rsid w:val="000A3A2C"/>
    <w:rsid w:val="000A3D9E"/>
    <w:rsid w:val="000A4A54"/>
    <w:rsid w:val="000A4ED9"/>
    <w:rsid w:val="000A6D94"/>
    <w:rsid w:val="000A7377"/>
    <w:rsid w:val="000B03CC"/>
    <w:rsid w:val="000B4212"/>
    <w:rsid w:val="000C0EA8"/>
    <w:rsid w:val="000C13A2"/>
    <w:rsid w:val="000C23EC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D0A26"/>
    <w:rsid w:val="000D3058"/>
    <w:rsid w:val="000D310A"/>
    <w:rsid w:val="000D3EF4"/>
    <w:rsid w:val="000D5637"/>
    <w:rsid w:val="000D6F4E"/>
    <w:rsid w:val="000E0E96"/>
    <w:rsid w:val="000E298B"/>
    <w:rsid w:val="000E2C7D"/>
    <w:rsid w:val="000E440D"/>
    <w:rsid w:val="000E4AC5"/>
    <w:rsid w:val="000E6253"/>
    <w:rsid w:val="000E6E4D"/>
    <w:rsid w:val="000E6FBD"/>
    <w:rsid w:val="000E6FCB"/>
    <w:rsid w:val="000F090B"/>
    <w:rsid w:val="000F3F3B"/>
    <w:rsid w:val="000F47E8"/>
    <w:rsid w:val="000F70E4"/>
    <w:rsid w:val="000F76EA"/>
    <w:rsid w:val="00100F5C"/>
    <w:rsid w:val="00101CDA"/>
    <w:rsid w:val="00102037"/>
    <w:rsid w:val="00103DCB"/>
    <w:rsid w:val="00104C4C"/>
    <w:rsid w:val="00105015"/>
    <w:rsid w:val="001057C2"/>
    <w:rsid w:val="0011038E"/>
    <w:rsid w:val="001125EF"/>
    <w:rsid w:val="00112CAB"/>
    <w:rsid w:val="00116D3F"/>
    <w:rsid w:val="00117474"/>
    <w:rsid w:val="00117623"/>
    <w:rsid w:val="00117FEA"/>
    <w:rsid w:val="001200CF"/>
    <w:rsid w:val="001208E3"/>
    <w:rsid w:val="0012192F"/>
    <w:rsid w:val="00122994"/>
    <w:rsid w:val="00124B46"/>
    <w:rsid w:val="001257E0"/>
    <w:rsid w:val="00125D69"/>
    <w:rsid w:val="0012799C"/>
    <w:rsid w:val="00127E15"/>
    <w:rsid w:val="00130ADC"/>
    <w:rsid w:val="00130D9F"/>
    <w:rsid w:val="00132C4D"/>
    <w:rsid w:val="00133FC1"/>
    <w:rsid w:val="00134659"/>
    <w:rsid w:val="001405FA"/>
    <w:rsid w:val="00140D1A"/>
    <w:rsid w:val="00141184"/>
    <w:rsid w:val="00141315"/>
    <w:rsid w:val="00141AA0"/>
    <w:rsid w:val="001425C3"/>
    <w:rsid w:val="0014262D"/>
    <w:rsid w:val="00144588"/>
    <w:rsid w:val="001447DD"/>
    <w:rsid w:val="001459BC"/>
    <w:rsid w:val="00152F4F"/>
    <w:rsid w:val="001544A1"/>
    <w:rsid w:val="001553B8"/>
    <w:rsid w:val="001554C2"/>
    <w:rsid w:val="001571C0"/>
    <w:rsid w:val="0015753D"/>
    <w:rsid w:val="00157CC9"/>
    <w:rsid w:val="00160C21"/>
    <w:rsid w:val="001612F4"/>
    <w:rsid w:val="00161553"/>
    <w:rsid w:val="0016256B"/>
    <w:rsid w:val="00162F81"/>
    <w:rsid w:val="00163793"/>
    <w:rsid w:val="00167485"/>
    <w:rsid w:val="00167CB9"/>
    <w:rsid w:val="00167DD8"/>
    <w:rsid w:val="001705AD"/>
    <w:rsid w:val="001706D6"/>
    <w:rsid w:val="001714F2"/>
    <w:rsid w:val="00171FEA"/>
    <w:rsid w:val="00175B9F"/>
    <w:rsid w:val="001762F4"/>
    <w:rsid w:val="00181BBC"/>
    <w:rsid w:val="0018385F"/>
    <w:rsid w:val="00184017"/>
    <w:rsid w:val="00184B08"/>
    <w:rsid w:val="00185010"/>
    <w:rsid w:val="00185C22"/>
    <w:rsid w:val="00186BA9"/>
    <w:rsid w:val="0019196C"/>
    <w:rsid w:val="00192F05"/>
    <w:rsid w:val="00194729"/>
    <w:rsid w:val="00194850"/>
    <w:rsid w:val="00195234"/>
    <w:rsid w:val="00196016"/>
    <w:rsid w:val="00197A70"/>
    <w:rsid w:val="00197C0F"/>
    <w:rsid w:val="001A0487"/>
    <w:rsid w:val="001A1F68"/>
    <w:rsid w:val="001A21FA"/>
    <w:rsid w:val="001A4EF0"/>
    <w:rsid w:val="001A552F"/>
    <w:rsid w:val="001B2CA9"/>
    <w:rsid w:val="001B3110"/>
    <w:rsid w:val="001B3E38"/>
    <w:rsid w:val="001B40F5"/>
    <w:rsid w:val="001B4729"/>
    <w:rsid w:val="001B4F0E"/>
    <w:rsid w:val="001B6310"/>
    <w:rsid w:val="001B6C09"/>
    <w:rsid w:val="001B6E12"/>
    <w:rsid w:val="001C05CD"/>
    <w:rsid w:val="001C0F17"/>
    <w:rsid w:val="001C1B66"/>
    <w:rsid w:val="001C31A2"/>
    <w:rsid w:val="001C4BB8"/>
    <w:rsid w:val="001C4FD0"/>
    <w:rsid w:val="001C5E46"/>
    <w:rsid w:val="001C6B3B"/>
    <w:rsid w:val="001C7E3F"/>
    <w:rsid w:val="001D0EF1"/>
    <w:rsid w:val="001D22C2"/>
    <w:rsid w:val="001D2C99"/>
    <w:rsid w:val="001D452E"/>
    <w:rsid w:val="001D54C1"/>
    <w:rsid w:val="001D556E"/>
    <w:rsid w:val="001D5DF2"/>
    <w:rsid w:val="001D68B2"/>
    <w:rsid w:val="001D7EFD"/>
    <w:rsid w:val="001D7F60"/>
    <w:rsid w:val="001E3306"/>
    <w:rsid w:val="001E504C"/>
    <w:rsid w:val="001E5A17"/>
    <w:rsid w:val="001E74C5"/>
    <w:rsid w:val="001F1236"/>
    <w:rsid w:val="001F2F90"/>
    <w:rsid w:val="001F4597"/>
    <w:rsid w:val="001F4826"/>
    <w:rsid w:val="001F7CE0"/>
    <w:rsid w:val="00200085"/>
    <w:rsid w:val="00203332"/>
    <w:rsid w:val="00203CD5"/>
    <w:rsid w:val="00203D8F"/>
    <w:rsid w:val="00203DA4"/>
    <w:rsid w:val="00205186"/>
    <w:rsid w:val="00206516"/>
    <w:rsid w:val="002071D5"/>
    <w:rsid w:val="002111E5"/>
    <w:rsid w:val="002118B9"/>
    <w:rsid w:val="002142C0"/>
    <w:rsid w:val="00217C5B"/>
    <w:rsid w:val="00220A43"/>
    <w:rsid w:val="0022139E"/>
    <w:rsid w:val="00222729"/>
    <w:rsid w:val="00223185"/>
    <w:rsid w:val="002233D6"/>
    <w:rsid w:val="0022441D"/>
    <w:rsid w:val="00224574"/>
    <w:rsid w:val="00224E3F"/>
    <w:rsid w:val="002252E0"/>
    <w:rsid w:val="002255F6"/>
    <w:rsid w:val="00226032"/>
    <w:rsid w:val="0022738D"/>
    <w:rsid w:val="00227605"/>
    <w:rsid w:val="00227850"/>
    <w:rsid w:val="00227A53"/>
    <w:rsid w:val="00227E2E"/>
    <w:rsid w:val="00227F53"/>
    <w:rsid w:val="00230C6E"/>
    <w:rsid w:val="00230E21"/>
    <w:rsid w:val="002316A8"/>
    <w:rsid w:val="0023288F"/>
    <w:rsid w:val="00233603"/>
    <w:rsid w:val="002340EF"/>
    <w:rsid w:val="00234B82"/>
    <w:rsid w:val="00236443"/>
    <w:rsid w:val="00236700"/>
    <w:rsid w:val="00240AF3"/>
    <w:rsid w:val="002418D5"/>
    <w:rsid w:val="00241B06"/>
    <w:rsid w:val="002436BA"/>
    <w:rsid w:val="00244652"/>
    <w:rsid w:val="00244A15"/>
    <w:rsid w:val="002452D9"/>
    <w:rsid w:val="00247319"/>
    <w:rsid w:val="0024799E"/>
    <w:rsid w:val="00247E60"/>
    <w:rsid w:val="00251C53"/>
    <w:rsid w:val="00252AB9"/>
    <w:rsid w:val="00253C0F"/>
    <w:rsid w:val="002558C1"/>
    <w:rsid w:val="00256207"/>
    <w:rsid w:val="002575F3"/>
    <w:rsid w:val="002603E1"/>
    <w:rsid w:val="0026120E"/>
    <w:rsid w:val="00262582"/>
    <w:rsid w:val="0026291D"/>
    <w:rsid w:val="00264309"/>
    <w:rsid w:val="0026564B"/>
    <w:rsid w:val="00265E85"/>
    <w:rsid w:val="00267B49"/>
    <w:rsid w:val="002700D9"/>
    <w:rsid w:val="0027025F"/>
    <w:rsid w:val="002709CC"/>
    <w:rsid w:val="00271022"/>
    <w:rsid w:val="00271465"/>
    <w:rsid w:val="002721F5"/>
    <w:rsid w:val="00272DF4"/>
    <w:rsid w:val="0027583D"/>
    <w:rsid w:val="00275DEF"/>
    <w:rsid w:val="002763A2"/>
    <w:rsid w:val="00276B33"/>
    <w:rsid w:val="002812E3"/>
    <w:rsid w:val="0028341F"/>
    <w:rsid w:val="002837AE"/>
    <w:rsid w:val="00283C13"/>
    <w:rsid w:val="00283F7B"/>
    <w:rsid w:val="0028431A"/>
    <w:rsid w:val="002853FA"/>
    <w:rsid w:val="00285412"/>
    <w:rsid w:val="00286220"/>
    <w:rsid w:val="00291640"/>
    <w:rsid w:val="0029237E"/>
    <w:rsid w:val="00292997"/>
    <w:rsid w:val="00293D24"/>
    <w:rsid w:val="0029509B"/>
    <w:rsid w:val="0029588F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EA2"/>
    <w:rsid w:val="002A51AC"/>
    <w:rsid w:val="002A532A"/>
    <w:rsid w:val="002A5846"/>
    <w:rsid w:val="002A5D97"/>
    <w:rsid w:val="002A603E"/>
    <w:rsid w:val="002A63B9"/>
    <w:rsid w:val="002B1619"/>
    <w:rsid w:val="002B3EF4"/>
    <w:rsid w:val="002B4845"/>
    <w:rsid w:val="002B5567"/>
    <w:rsid w:val="002B72AA"/>
    <w:rsid w:val="002C1F09"/>
    <w:rsid w:val="002C22A4"/>
    <w:rsid w:val="002C260B"/>
    <w:rsid w:val="002C27A6"/>
    <w:rsid w:val="002C398D"/>
    <w:rsid w:val="002C40D2"/>
    <w:rsid w:val="002C43BD"/>
    <w:rsid w:val="002C5245"/>
    <w:rsid w:val="002C59D8"/>
    <w:rsid w:val="002D05CB"/>
    <w:rsid w:val="002D0E59"/>
    <w:rsid w:val="002D2C4F"/>
    <w:rsid w:val="002D455C"/>
    <w:rsid w:val="002E02A1"/>
    <w:rsid w:val="002E196A"/>
    <w:rsid w:val="002E20C7"/>
    <w:rsid w:val="002E20CD"/>
    <w:rsid w:val="002E222E"/>
    <w:rsid w:val="002E28D8"/>
    <w:rsid w:val="002E37D1"/>
    <w:rsid w:val="002E3BEE"/>
    <w:rsid w:val="002E4E4C"/>
    <w:rsid w:val="002E4EA7"/>
    <w:rsid w:val="002E5846"/>
    <w:rsid w:val="002E792B"/>
    <w:rsid w:val="002F1B09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300C31"/>
    <w:rsid w:val="00304771"/>
    <w:rsid w:val="003052D4"/>
    <w:rsid w:val="00306C5B"/>
    <w:rsid w:val="00307529"/>
    <w:rsid w:val="00307DB3"/>
    <w:rsid w:val="00307ED2"/>
    <w:rsid w:val="0031076D"/>
    <w:rsid w:val="00311AA6"/>
    <w:rsid w:val="00311C4D"/>
    <w:rsid w:val="003121AB"/>
    <w:rsid w:val="003153C8"/>
    <w:rsid w:val="00315524"/>
    <w:rsid w:val="0032058C"/>
    <w:rsid w:val="003208D0"/>
    <w:rsid w:val="003209D6"/>
    <w:rsid w:val="003217B9"/>
    <w:rsid w:val="00321924"/>
    <w:rsid w:val="00321EB6"/>
    <w:rsid w:val="003220A5"/>
    <w:rsid w:val="00323A1C"/>
    <w:rsid w:val="00324B59"/>
    <w:rsid w:val="0032656E"/>
    <w:rsid w:val="0032788F"/>
    <w:rsid w:val="00332190"/>
    <w:rsid w:val="00333CD0"/>
    <w:rsid w:val="0033448D"/>
    <w:rsid w:val="00334AD2"/>
    <w:rsid w:val="0033709C"/>
    <w:rsid w:val="003370C5"/>
    <w:rsid w:val="00340BF3"/>
    <w:rsid w:val="00341D26"/>
    <w:rsid w:val="00341F05"/>
    <w:rsid w:val="0034335E"/>
    <w:rsid w:val="00344668"/>
    <w:rsid w:val="003462D9"/>
    <w:rsid w:val="0034723F"/>
    <w:rsid w:val="00347247"/>
    <w:rsid w:val="00347DD4"/>
    <w:rsid w:val="00352B43"/>
    <w:rsid w:val="00352C28"/>
    <w:rsid w:val="0036077F"/>
    <w:rsid w:val="00360C86"/>
    <w:rsid w:val="00360F7A"/>
    <w:rsid w:val="00360FBC"/>
    <w:rsid w:val="00361537"/>
    <w:rsid w:val="0036242A"/>
    <w:rsid w:val="00362C23"/>
    <w:rsid w:val="00362E90"/>
    <w:rsid w:val="00364FA0"/>
    <w:rsid w:val="003657F3"/>
    <w:rsid w:val="00365844"/>
    <w:rsid w:val="00367F84"/>
    <w:rsid w:val="003712BC"/>
    <w:rsid w:val="00372164"/>
    <w:rsid w:val="003738BD"/>
    <w:rsid w:val="00374263"/>
    <w:rsid w:val="003746F0"/>
    <w:rsid w:val="00374A20"/>
    <w:rsid w:val="00374E21"/>
    <w:rsid w:val="00377B2E"/>
    <w:rsid w:val="003810F0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6739"/>
    <w:rsid w:val="003A04F6"/>
    <w:rsid w:val="003A0837"/>
    <w:rsid w:val="003A2B4D"/>
    <w:rsid w:val="003A2D12"/>
    <w:rsid w:val="003A2EBA"/>
    <w:rsid w:val="003A45E3"/>
    <w:rsid w:val="003A478C"/>
    <w:rsid w:val="003A5525"/>
    <w:rsid w:val="003A5889"/>
    <w:rsid w:val="003A6B38"/>
    <w:rsid w:val="003A6B83"/>
    <w:rsid w:val="003A6C97"/>
    <w:rsid w:val="003A722F"/>
    <w:rsid w:val="003A7373"/>
    <w:rsid w:val="003B039F"/>
    <w:rsid w:val="003B0DF4"/>
    <w:rsid w:val="003B1F9D"/>
    <w:rsid w:val="003B2AD1"/>
    <w:rsid w:val="003B2D2E"/>
    <w:rsid w:val="003B461F"/>
    <w:rsid w:val="003B483F"/>
    <w:rsid w:val="003B4998"/>
    <w:rsid w:val="003B5A32"/>
    <w:rsid w:val="003B7B50"/>
    <w:rsid w:val="003C0B07"/>
    <w:rsid w:val="003C2CE7"/>
    <w:rsid w:val="003C3490"/>
    <w:rsid w:val="003C3608"/>
    <w:rsid w:val="003C3D2C"/>
    <w:rsid w:val="003C4E13"/>
    <w:rsid w:val="003C6221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1EF8"/>
    <w:rsid w:val="003E2DFB"/>
    <w:rsid w:val="003E4C91"/>
    <w:rsid w:val="003E52D8"/>
    <w:rsid w:val="003E62F1"/>
    <w:rsid w:val="003F313C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5318"/>
    <w:rsid w:val="004059D2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20880"/>
    <w:rsid w:val="00421179"/>
    <w:rsid w:val="00430C96"/>
    <w:rsid w:val="00431BFF"/>
    <w:rsid w:val="00432A58"/>
    <w:rsid w:val="004331C3"/>
    <w:rsid w:val="00434617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41A0"/>
    <w:rsid w:val="00445861"/>
    <w:rsid w:val="00445A8E"/>
    <w:rsid w:val="00446D44"/>
    <w:rsid w:val="0045078A"/>
    <w:rsid w:val="0045086D"/>
    <w:rsid w:val="00450DAB"/>
    <w:rsid w:val="00451EF1"/>
    <w:rsid w:val="00452E60"/>
    <w:rsid w:val="0045321B"/>
    <w:rsid w:val="00456FE5"/>
    <w:rsid w:val="00457490"/>
    <w:rsid w:val="00457953"/>
    <w:rsid w:val="00460656"/>
    <w:rsid w:val="00460FB3"/>
    <w:rsid w:val="00464851"/>
    <w:rsid w:val="0046746A"/>
    <w:rsid w:val="00467B14"/>
    <w:rsid w:val="004707FE"/>
    <w:rsid w:val="0047276D"/>
    <w:rsid w:val="00472AF6"/>
    <w:rsid w:val="00473482"/>
    <w:rsid w:val="00474A04"/>
    <w:rsid w:val="00476240"/>
    <w:rsid w:val="00476439"/>
    <w:rsid w:val="004769E1"/>
    <w:rsid w:val="0047735C"/>
    <w:rsid w:val="004776BC"/>
    <w:rsid w:val="00477820"/>
    <w:rsid w:val="00477B96"/>
    <w:rsid w:val="00480BAE"/>
    <w:rsid w:val="0048139F"/>
    <w:rsid w:val="00481E40"/>
    <w:rsid w:val="00482405"/>
    <w:rsid w:val="004826A7"/>
    <w:rsid w:val="0048368C"/>
    <w:rsid w:val="00484ECE"/>
    <w:rsid w:val="00486132"/>
    <w:rsid w:val="0048686D"/>
    <w:rsid w:val="00486A4D"/>
    <w:rsid w:val="004915CB"/>
    <w:rsid w:val="004924DC"/>
    <w:rsid w:val="00492879"/>
    <w:rsid w:val="00493E85"/>
    <w:rsid w:val="004979A5"/>
    <w:rsid w:val="004A0144"/>
    <w:rsid w:val="004A036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494"/>
    <w:rsid w:val="004A5D4E"/>
    <w:rsid w:val="004A61C5"/>
    <w:rsid w:val="004A62A0"/>
    <w:rsid w:val="004A77DF"/>
    <w:rsid w:val="004B1417"/>
    <w:rsid w:val="004B305C"/>
    <w:rsid w:val="004B339A"/>
    <w:rsid w:val="004B4C83"/>
    <w:rsid w:val="004B55B7"/>
    <w:rsid w:val="004B6468"/>
    <w:rsid w:val="004B6EF8"/>
    <w:rsid w:val="004B7125"/>
    <w:rsid w:val="004B756A"/>
    <w:rsid w:val="004B7FB1"/>
    <w:rsid w:val="004C0B3F"/>
    <w:rsid w:val="004C2794"/>
    <w:rsid w:val="004C2BB6"/>
    <w:rsid w:val="004C2C2D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3296"/>
    <w:rsid w:val="004D4CB0"/>
    <w:rsid w:val="004D5B0F"/>
    <w:rsid w:val="004D7626"/>
    <w:rsid w:val="004E186A"/>
    <w:rsid w:val="004E1A40"/>
    <w:rsid w:val="004E200A"/>
    <w:rsid w:val="004E23FC"/>
    <w:rsid w:val="004E2409"/>
    <w:rsid w:val="004E261D"/>
    <w:rsid w:val="004E57BF"/>
    <w:rsid w:val="004E5F41"/>
    <w:rsid w:val="004E6DE6"/>
    <w:rsid w:val="004E765E"/>
    <w:rsid w:val="004E7815"/>
    <w:rsid w:val="004F06F5"/>
    <w:rsid w:val="004F12A4"/>
    <w:rsid w:val="004F253F"/>
    <w:rsid w:val="004F33A0"/>
    <w:rsid w:val="004F3BD2"/>
    <w:rsid w:val="004F46ED"/>
    <w:rsid w:val="004F4C99"/>
    <w:rsid w:val="00503D54"/>
    <w:rsid w:val="005048E2"/>
    <w:rsid w:val="00505FC8"/>
    <w:rsid w:val="00506603"/>
    <w:rsid w:val="0050689D"/>
    <w:rsid w:val="005077F5"/>
    <w:rsid w:val="005108C0"/>
    <w:rsid w:val="0051094F"/>
    <w:rsid w:val="00511873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E01"/>
    <w:rsid w:val="0052337A"/>
    <w:rsid w:val="00524385"/>
    <w:rsid w:val="005246BE"/>
    <w:rsid w:val="00525137"/>
    <w:rsid w:val="005251DD"/>
    <w:rsid w:val="0053012B"/>
    <w:rsid w:val="005301A6"/>
    <w:rsid w:val="00530A68"/>
    <w:rsid w:val="00530AD4"/>
    <w:rsid w:val="00531C5A"/>
    <w:rsid w:val="00532CE7"/>
    <w:rsid w:val="00532D8B"/>
    <w:rsid w:val="0053324C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5F6"/>
    <w:rsid w:val="0054582F"/>
    <w:rsid w:val="005500F9"/>
    <w:rsid w:val="00550160"/>
    <w:rsid w:val="005523A8"/>
    <w:rsid w:val="00552F2C"/>
    <w:rsid w:val="00553A25"/>
    <w:rsid w:val="005547EB"/>
    <w:rsid w:val="005555E0"/>
    <w:rsid w:val="0055599F"/>
    <w:rsid w:val="00556D68"/>
    <w:rsid w:val="005570D6"/>
    <w:rsid w:val="00557E45"/>
    <w:rsid w:val="00561F44"/>
    <w:rsid w:val="00562B4D"/>
    <w:rsid w:val="00563EB8"/>
    <w:rsid w:val="005647BF"/>
    <w:rsid w:val="00564AF1"/>
    <w:rsid w:val="005655DB"/>
    <w:rsid w:val="00565E88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3E52"/>
    <w:rsid w:val="00583FFD"/>
    <w:rsid w:val="0058519A"/>
    <w:rsid w:val="005856BD"/>
    <w:rsid w:val="00586BCA"/>
    <w:rsid w:val="00590B28"/>
    <w:rsid w:val="005911BE"/>
    <w:rsid w:val="00591273"/>
    <w:rsid w:val="00591E9E"/>
    <w:rsid w:val="005927A4"/>
    <w:rsid w:val="00593152"/>
    <w:rsid w:val="005956A3"/>
    <w:rsid w:val="00595958"/>
    <w:rsid w:val="00595CAB"/>
    <w:rsid w:val="0059622E"/>
    <w:rsid w:val="00597BBF"/>
    <w:rsid w:val="005A0948"/>
    <w:rsid w:val="005A10F2"/>
    <w:rsid w:val="005A21E0"/>
    <w:rsid w:val="005A28FF"/>
    <w:rsid w:val="005A2C09"/>
    <w:rsid w:val="005A3778"/>
    <w:rsid w:val="005A3DF8"/>
    <w:rsid w:val="005A5549"/>
    <w:rsid w:val="005A7CF8"/>
    <w:rsid w:val="005B0EDA"/>
    <w:rsid w:val="005B121D"/>
    <w:rsid w:val="005B26B0"/>
    <w:rsid w:val="005B41C9"/>
    <w:rsid w:val="005B4853"/>
    <w:rsid w:val="005B6CA1"/>
    <w:rsid w:val="005B770C"/>
    <w:rsid w:val="005C06ED"/>
    <w:rsid w:val="005C11B8"/>
    <w:rsid w:val="005C2609"/>
    <w:rsid w:val="005C2B30"/>
    <w:rsid w:val="005C412B"/>
    <w:rsid w:val="005C43EC"/>
    <w:rsid w:val="005C45DD"/>
    <w:rsid w:val="005D3F06"/>
    <w:rsid w:val="005D4B73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D7F"/>
    <w:rsid w:val="005F7174"/>
    <w:rsid w:val="00601ADE"/>
    <w:rsid w:val="00601EEF"/>
    <w:rsid w:val="0060255A"/>
    <w:rsid w:val="00604307"/>
    <w:rsid w:val="0060487F"/>
    <w:rsid w:val="00604EAD"/>
    <w:rsid w:val="0060513F"/>
    <w:rsid w:val="0060694B"/>
    <w:rsid w:val="006104FB"/>
    <w:rsid w:val="0061176D"/>
    <w:rsid w:val="0061200F"/>
    <w:rsid w:val="00612756"/>
    <w:rsid w:val="00612A2F"/>
    <w:rsid w:val="00612AAE"/>
    <w:rsid w:val="00612FD9"/>
    <w:rsid w:val="006139E0"/>
    <w:rsid w:val="00614D35"/>
    <w:rsid w:val="006156B4"/>
    <w:rsid w:val="00615DAF"/>
    <w:rsid w:val="00616E05"/>
    <w:rsid w:val="00617985"/>
    <w:rsid w:val="00620B77"/>
    <w:rsid w:val="0062131B"/>
    <w:rsid w:val="00621E26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1787"/>
    <w:rsid w:val="0064179B"/>
    <w:rsid w:val="00642489"/>
    <w:rsid w:val="00644055"/>
    <w:rsid w:val="00644137"/>
    <w:rsid w:val="0064478C"/>
    <w:rsid w:val="00645160"/>
    <w:rsid w:val="006451E4"/>
    <w:rsid w:val="00645B33"/>
    <w:rsid w:val="006516CB"/>
    <w:rsid w:val="00653BD0"/>
    <w:rsid w:val="00654110"/>
    <w:rsid w:val="00656C5D"/>
    <w:rsid w:val="00656CFB"/>
    <w:rsid w:val="00657E87"/>
    <w:rsid w:val="00660D2D"/>
    <w:rsid w:val="00661EC9"/>
    <w:rsid w:val="00662469"/>
    <w:rsid w:val="00664205"/>
    <w:rsid w:val="00664647"/>
    <w:rsid w:val="00664803"/>
    <w:rsid w:val="006653CC"/>
    <w:rsid w:val="00665982"/>
    <w:rsid w:val="00665BA4"/>
    <w:rsid w:val="00666BF3"/>
    <w:rsid w:val="00667856"/>
    <w:rsid w:val="00667AF2"/>
    <w:rsid w:val="00670489"/>
    <w:rsid w:val="006710C9"/>
    <w:rsid w:val="006741CD"/>
    <w:rsid w:val="00674D89"/>
    <w:rsid w:val="00675E37"/>
    <w:rsid w:val="00676736"/>
    <w:rsid w:val="006769A4"/>
    <w:rsid w:val="00676D76"/>
    <w:rsid w:val="00676F9F"/>
    <w:rsid w:val="00677591"/>
    <w:rsid w:val="00677594"/>
    <w:rsid w:val="0068032F"/>
    <w:rsid w:val="00680D37"/>
    <w:rsid w:val="0068174E"/>
    <w:rsid w:val="00681DCE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D27"/>
    <w:rsid w:val="00691943"/>
    <w:rsid w:val="00693550"/>
    <w:rsid w:val="00695065"/>
    <w:rsid w:val="00695BEF"/>
    <w:rsid w:val="00696251"/>
    <w:rsid w:val="006966C7"/>
    <w:rsid w:val="006968C1"/>
    <w:rsid w:val="006977F6"/>
    <w:rsid w:val="00697A13"/>
    <w:rsid w:val="006A109C"/>
    <w:rsid w:val="006A6565"/>
    <w:rsid w:val="006A7691"/>
    <w:rsid w:val="006A7EE2"/>
    <w:rsid w:val="006B0514"/>
    <w:rsid w:val="006B0F92"/>
    <w:rsid w:val="006B2785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28CA"/>
    <w:rsid w:val="006C2BBF"/>
    <w:rsid w:val="006C2FBD"/>
    <w:rsid w:val="006C4355"/>
    <w:rsid w:val="006C469D"/>
    <w:rsid w:val="006C46B5"/>
    <w:rsid w:val="006C484F"/>
    <w:rsid w:val="006C52EC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317E"/>
    <w:rsid w:val="006D3E8A"/>
    <w:rsid w:val="006D61F6"/>
    <w:rsid w:val="006E1332"/>
    <w:rsid w:val="006E279A"/>
    <w:rsid w:val="006E313B"/>
    <w:rsid w:val="006E3A45"/>
    <w:rsid w:val="006E4078"/>
    <w:rsid w:val="006E53AD"/>
    <w:rsid w:val="006E58CB"/>
    <w:rsid w:val="006E7227"/>
    <w:rsid w:val="006E761A"/>
    <w:rsid w:val="006F0741"/>
    <w:rsid w:val="006F1C27"/>
    <w:rsid w:val="006F2A65"/>
    <w:rsid w:val="006F40DF"/>
    <w:rsid w:val="006F42BB"/>
    <w:rsid w:val="006F438E"/>
    <w:rsid w:val="006F440B"/>
    <w:rsid w:val="006F48A3"/>
    <w:rsid w:val="006F5416"/>
    <w:rsid w:val="006F624B"/>
    <w:rsid w:val="006F6D87"/>
    <w:rsid w:val="0070398A"/>
    <w:rsid w:val="00705242"/>
    <w:rsid w:val="007055E0"/>
    <w:rsid w:val="007056ED"/>
    <w:rsid w:val="00705F4E"/>
    <w:rsid w:val="007065C5"/>
    <w:rsid w:val="00706AA0"/>
    <w:rsid w:val="00706AD4"/>
    <w:rsid w:val="00707150"/>
    <w:rsid w:val="007124D7"/>
    <w:rsid w:val="00712C20"/>
    <w:rsid w:val="00713549"/>
    <w:rsid w:val="007140BE"/>
    <w:rsid w:val="00715502"/>
    <w:rsid w:val="00715E4D"/>
    <w:rsid w:val="0071677A"/>
    <w:rsid w:val="00716F48"/>
    <w:rsid w:val="00717114"/>
    <w:rsid w:val="0071779F"/>
    <w:rsid w:val="007211F5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E8"/>
    <w:rsid w:val="00730F1B"/>
    <w:rsid w:val="0073186D"/>
    <w:rsid w:val="0073333D"/>
    <w:rsid w:val="007343D9"/>
    <w:rsid w:val="00734F71"/>
    <w:rsid w:val="00735448"/>
    <w:rsid w:val="007377BD"/>
    <w:rsid w:val="00737DEC"/>
    <w:rsid w:val="0074004D"/>
    <w:rsid w:val="00741493"/>
    <w:rsid w:val="007434E5"/>
    <w:rsid w:val="0074499B"/>
    <w:rsid w:val="007450BF"/>
    <w:rsid w:val="007471A1"/>
    <w:rsid w:val="007477BD"/>
    <w:rsid w:val="00747EE9"/>
    <w:rsid w:val="00752180"/>
    <w:rsid w:val="00752323"/>
    <w:rsid w:val="007532B7"/>
    <w:rsid w:val="00753CAB"/>
    <w:rsid w:val="00754A70"/>
    <w:rsid w:val="00754BC9"/>
    <w:rsid w:val="00755202"/>
    <w:rsid w:val="00755D3A"/>
    <w:rsid w:val="0075751D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5BCC"/>
    <w:rsid w:val="007661E9"/>
    <w:rsid w:val="00766460"/>
    <w:rsid w:val="00767062"/>
    <w:rsid w:val="00767777"/>
    <w:rsid w:val="00771972"/>
    <w:rsid w:val="00772279"/>
    <w:rsid w:val="00772DAB"/>
    <w:rsid w:val="00772FF9"/>
    <w:rsid w:val="00774D2C"/>
    <w:rsid w:val="0077605B"/>
    <w:rsid w:val="00776169"/>
    <w:rsid w:val="00776527"/>
    <w:rsid w:val="00777040"/>
    <w:rsid w:val="00777CE6"/>
    <w:rsid w:val="00780EF1"/>
    <w:rsid w:val="00781A91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53C"/>
    <w:rsid w:val="00794677"/>
    <w:rsid w:val="007A170B"/>
    <w:rsid w:val="007A20EB"/>
    <w:rsid w:val="007A282C"/>
    <w:rsid w:val="007A2A3A"/>
    <w:rsid w:val="007A33E2"/>
    <w:rsid w:val="007A3CAF"/>
    <w:rsid w:val="007A4782"/>
    <w:rsid w:val="007A516D"/>
    <w:rsid w:val="007A5E65"/>
    <w:rsid w:val="007A65E1"/>
    <w:rsid w:val="007A775D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C10BD"/>
    <w:rsid w:val="007C1F0C"/>
    <w:rsid w:val="007C1FFB"/>
    <w:rsid w:val="007C2D94"/>
    <w:rsid w:val="007C5F92"/>
    <w:rsid w:val="007C6227"/>
    <w:rsid w:val="007C6BBD"/>
    <w:rsid w:val="007C6D89"/>
    <w:rsid w:val="007C6F5E"/>
    <w:rsid w:val="007D0382"/>
    <w:rsid w:val="007D1A1F"/>
    <w:rsid w:val="007D2E18"/>
    <w:rsid w:val="007D40DF"/>
    <w:rsid w:val="007D42E5"/>
    <w:rsid w:val="007D4458"/>
    <w:rsid w:val="007D6AF9"/>
    <w:rsid w:val="007E0535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78B6"/>
    <w:rsid w:val="007E7E61"/>
    <w:rsid w:val="007F0845"/>
    <w:rsid w:val="007F20F3"/>
    <w:rsid w:val="007F2353"/>
    <w:rsid w:val="007F2390"/>
    <w:rsid w:val="007F2CAC"/>
    <w:rsid w:val="007F4740"/>
    <w:rsid w:val="007F595A"/>
    <w:rsid w:val="007F708D"/>
    <w:rsid w:val="008006B3"/>
    <w:rsid w:val="0080158A"/>
    <w:rsid w:val="00801E13"/>
    <w:rsid w:val="00803008"/>
    <w:rsid w:val="00803069"/>
    <w:rsid w:val="00804155"/>
    <w:rsid w:val="00805AF3"/>
    <w:rsid w:val="0080734C"/>
    <w:rsid w:val="00807C82"/>
    <w:rsid w:val="008117CC"/>
    <w:rsid w:val="00813D58"/>
    <w:rsid w:val="00813DCA"/>
    <w:rsid w:val="008161A6"/>
    <w:rsid w:val="008165B8"/>
    <w:rsid w:val="00816905"/>
    <w:rsid w:val="00816D98"/>
    <w:rsid w:val="00817040"/>
    <w:rsid w:val="00817A17"/>
    <w:rsid w:val="00817EC1"/>
    <w:rsid w:val="0082112D"/>
    <w:rsid w:val="00821FF6"/>
    <w:rsid w:val="00822574"/>
    <w:rsid w:val="00822F08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2F77"/>
    <w:rsid w:val="00834304"/>
    <w:rsid w:val="00834FAA"/>
    <w:rsid w:val="008354FB"/>
    <w:rsid w:val="00836086"/>
    <w:rsid w:val="0083630F"/>
    <w:rsid w:val="00836A06"/>
    <w:rsid w:val="008374BC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6C6"/>
    <w:rsid w:val="0084708F"/>
    <w:rsid w:val="008477C8"/>
    <w:rsid w:val="008478A6"/>
    <w:rsid w:val="008502F6"/>
    <w:rsid w:val="0085114D"/>
    <w:rsid w:val="008520A8"/>
    <w:rsid w:val="00852217"/>
    <w:rsid w:val="00853282"/>
    <w:rsid w:val="00855408"/>
    <w:rsid w:val="00856D65"/>
    <w:rsid w:val="00861B41"/>
    <w:rsid w:val="00861B9F"/>
    <w:rsid w:val="00861BE3"/>
    <w:rsid w:val="008625D3"/>
    <w:rsid w:val="00863434"/>
    <w:rsid w:val="0086344F"/>
    <w:rsid w:val="008641AC"/>
    <w:rsid w:val="00865E4C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FE8"/>
    <w:rsid w:val="00875A32"/>
    <w:rsid w:val="00876086"/>
    <w:rsid w:val="00876E83"/>
    <w:rsid w:val="008772BC"/>
    <w:rsid w:val="00880A0E"/>
    <w:rsid w:val="00881CD7"/>
    <w:rsid w:val="00882911"/>
    <w:rsid w:val="00885D40"/>
    <w:rsid w:val="008873D4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7127"/>
    <w:rsid w:val="008B3A80"/>
    <w:rsid w:val="008B3AEC"/>
    <w:rsid w:val="008B3C07"/>
    <w:rsid w:val="008B3F7B"/>
    <w:rsid w:val="008B5324"/>
    <w:rsid w:val="008B6106"/>
    <w:rsid w:val="008B7C02"/>
    <w:rsid w:val="008B7D2B"/>
    <w:rsid w:val="008B7EF9"/>
    <w:rsid w:val="008C0049"/>
    <w:rsid w:val="008C0E88"/>
    <w:rsid w:val="008C1717"/>
    <w:rsid w:val="008C4B50"/>
    <w:rsid w:val="008C5A37"/>
    <w:rsid w:val="008C7569"/>
    <w:rsid w:val="008D033D"/>
    <w:rsid w:val="008D0DBD"/>
    <w:rsid w:val="008D117E"/>
    <w:rsid w:val="008D127E"/>
    <w:rsid w:val="008D1CA8"/>
    <w:rsid w:val="008D1E6A"/>
    <w:rsid w:val="008D2A16"/>
    <w:rsid w:val="008D33F5"/>
    <w:rsid w:val="008D35E4"/>
    <w:rsid w:val="008D6C3A"/>
    <w:rsid w:val="008E0001"/>
    <w:rsid w:val="008E292B"/>
    <w:rsid w:val="008E2C57"/>
    <w:rsid w:val="008E31FF"/>
    <w:rsid w:val="008E3287"/>
    <w:rsid w:val="008E6DCB"/>
    <w:rsid w:val="008E6F06"/>
    <w:rsid w:val="008E7B8E"/>
    <w:rsid w:val="008E7FC9"/>
    <w:rsid w:val="008F0107"/>
    <w:rsid w:val="008F029B"/>
    <w:rsid w:val="008F2A5D"/>
    <w:rsid w:val="008F3636"/>
    <w:rsid w:val="008F3FC9"/>
    <w:rsid w:val="008F5383"/>
    <w:rsid w:val="008F585B"/>
    <w:rsid w:val="009003A8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55E"/>
    <w:rsid w:val="00912437"/>
    <w:rsid w:val="00912A92"/>
    <w:rsid w:val="00915D07"/>
    <w:rsid w:val="009162AE"/>
    <w:rsid w:val="00917251"/>
    <w:rsid w:val="0091728D"/>
    <w:rsid w:val="009203CC"/>
    <w:rsid w:val="00920EC4"/>
    <w:rsid w:val="0092180B"/>
    <w:rsid w:val="00921F14"/>
    <w:rsid w:val="00923CB0"/>
    <w:rsid w:val="00923D8C"/>
    <w:rsid w:val="00924871"/>
    <w:rsid w:val="00924AC8"/>
    <w:rsid w:val="00925429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15D8"/>
    <w:rsid w:val="00932443"/>
    <w:rsid w:val="00932B32"/>
    <w:rsid w:val="00933F4A"/>
    <w:rsid w:val="009341F1"/>
    <w:rsid w:val="00934FF2"/>
    <w:rsid w:val="009358D7"/>
    <w:rsid w:val="00935BD4"/>
    <w:rsid w:val="00935DFE"/>
    <w:rsid w:val="00935F70"/>
    <w:rsid w:val="009373B2"/>
    <w:rsid w:val="00937AE2"/>
    <w:rsid w:val="0094061F"/>
    <w:rsid w:val="00940F0F"/>
    <w:rsid w:val="0094416B"/>
    <w:rsid w:val="0094427A"/>
    <w:rsid w:val="00944C7C"/>
    <w:rsid w:val="00945245"/>
    <w:rsid w:val="00945523"/>
    <w:rsid w:val="00950921"/>
    <w:rsid w:val="00951D68"/>
    <w:rsid w:val="00951E5B"/>
    <w:rsid w:val="00952B7B"/>
    <w:rsid w:val="009540E5"/>
    <w:rsid w:val="00954F39"/>
    <w:rsid w:val="009555FD"/>
    <w:rsid w:val="0095664B"/>
    <w:rsid w:val="009568DC"/>
    <w:rsid w:val="00957445"/>
    <w:rsid w:val="0095759C"/>
    <w:rsid w:val="009618EE"/>
    <w:rsid w:val="009624D2"/>
    <w:rsid w:val="009628D9"/>
    <w:rsid w:val="009637AE"/>
    <w:rsid w:val="00964068"/>
    <w:rsid w:val="009640F6"/>
    <w:rsid w:val="00964776"/>
    <w:rsid w:val="00964A4E"/>
    <w:rsid w:val="00964B35"/>
    <w:rsid w:val="009651C7"/>
    <w:rsid w:val="00965797"/>
    <w:rsid w:val="00965A10"/>
    <w:rsid w:val="009670A3"/>
    <w:rsid w:val="009674BE"/>
    <w:rsid w:val="00970FB5"/>
    <w:rsid w:val="00971710"/>
    <w:rsid w:val="00971B87"/>
    <w:rsid w:val="00971C77"/>
    <w:rsid w:val="00972FCD"/>
    <w:rsid w:val="00973324"/>
    <w:rsid w:val="009741AE"/>
    <w:rsid w:val="009741FC"/>
    <w:rsid w:val="00974923"/>
    <w:rsid w:val="00975909"/>
    <w:rsid w:val="00977C3D"/>
    <w:rsid w:val="00980D3D"/>
    <w:rsid w:val="0098103E"/>
    <w:rsid w:val="00983101"/>
    <w:rsid w:val="00983E41"/>
    <w:rsid w:val="00986246"/>
    <w:rsid w:val="00987A30"/>
    <w:rsid w:val="00990312"/>
    <w:rsid w:val="0099182E"/>
    <w:rsid w:val="00992CF3"/>
    <w:rsid w:val="00993194"/>
    <w:rsid w:val="0099321E"/>
    <w:rsid w:val="00994868"/>
    <w:rsid w:val="00994D28"/>
    <w:rsid w:val="00994F2C"/>
    <w:rsid w:val="009957CC"/>
    <w:rsid w:val="009968D6"/>
    <w:rsid w:val="00997953"/>
    <w:rsid w:val="009A0BFF"/>
    <w:rsid w:val="009A10A0"/>
    <w:rsid w:val="009A1CAB"/>
    <w:rsid w:val="009A2359"/>
    <w:rsid w:val="009A24F1"/>
    <w:rsid w:val="009A4D57"/>
    <w:rsid w:val="009A51A5"/>
    <w:rsid w:val="009A60D1"/>
    <w:rsid w:val="009A6225"/>
    <w:rsid w:val="009A64F5"/>
    <w:rsid w:val="009B00D2"/>
    <w:rsid w:val="009B05B3"/>
    <w:rsid w:val="009B284F"/>
    <w:rsid w:val="009B3764"/>
    <w:rsid w:val="009B52AC"/>
    <w:rsid w:val="009B59EA"/>
    <w:rsid w:val="009B66CE"/>
    <w:rsid w:val="009B6FD3"/>
    <w:rsid w:val="009B72BE"/>
    <w:rsid w:val="009B78A4"/>
    <w:rsid w:val="009B7DB2"/>
    <w:rsid w:val="009C03DB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EBB"/>
    <w:rsid w:val="009D3ACD"/>
    <w:rsid w:val="009D4F21"/>
    <w:rsid w:val="009D587D"/>
    <w:rsid w:val="009D7731"/>
    <w:rsid w:val="009E1120"/>
    <w:rsid w:val="009E1393"/>
    <w:rsid w:val="009E1922"/>
    <w:rsid w:val="009E1A3D"/>
    <w:rsid w:val="009E4715"/>
    <w:rsid w:val="009E5273"/>
    <w:rsid w:val="009E57A8"/>
    <w:rsid w:val="009E5B85"/>
    <w:rsid w:val="009E5DDB"/>
    <w:rsid w:val="009F2921"/>
    <w:rsid w:val="009F4982"/>
    <w:rsid w:val="009F4CA7"/>
    <w:rsid w:val="009F55BA"/>
    <w:rsid w:val="009F7D36"/>
    <w:rsid w:val="00A00E71"/>
    <w:rsid w:val="00A0306F"/>
    <w:rsid w:val="00A03B10"/>
    <w:rsid w:val="00A03E2E"/>
    <w:rsid w:val="00A04616"/>
    <w:rsid w:val="00A04717"/>
    <w:rsid w:val="00A05EE4"/>
    <w:rsid w:val="00A06F99"/>
    <w:rsid w:val="00A10D66"/>
    <w:rsid w:val="00A113A4"/>
    <w:rsid w:val="00A14114"/>
    <w:rsid w:val="00A16413"/>
    <w:rsid w:val="00A16545"/>
    <w:rsid w:val="00A16AED"/>
    <w:rsid w:val="00A16C37"/>
    <w:rsid w:val="00A16E1D"/>
    <w:rsid w:val="00A171D5"/>
    <w:rsid w:val="00A17A15"/>
    <w:rsid w:val="00A17D5B"/>
    <w:rsid w:val="00A201E1"/>
    <w:rsid w:val="00A20FE1"/>
    <w:rsid w:val="00A21B4D"/>
    <w:rsid w:val="00A223E0"/>
    <w:rsid w:val="00A23E43"/>
    <w:rsid w:val="00A24ED9"/>
    <w:rsid w:val="00A25216"/>
    <w:rsid w:val="00A2597D"/>
    <w:rsid w:val="00A2628E"/>
    <w:rsid w:val="00A266BF"/>
    <w:rsid w:val="00A2731E"/>
    <w:rsid w:val="00A309AC"/>
    <w:rsid w:val="00A30F65"/>
    <w:rsid w:val="00A3279E"/>
    <w:rsid w:val="00A35900"/>
    <w:rsid w:val="00A40EAC"/>
    <w:rsid w:val="00A418BC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CED"/>
    <w:rsid w:val="00A465E9"/>
    <w:rsid w:val="00A468E7"/>
    <w:rsid w:val="00A46DE0"/>
    <w:rsid w:val="00A478BA"/>
    <w:rsid w:val="00A50D73"/>
    <w:rsid w:val="00A52A88"/>
    <w:rsid w:val="00A52CAD"/>
    <w:rsid w:val="00A53FC7"/>
    <w:rsid w:val="00A55569"/>
    <w:rsid w:val="00A60AC1"/>
    <w:rsid w:val="00A626FF"/>
    <w:rsid w:val="00A62CE1"/>
    <w:rsid w:val="00A65469"/>
    <w:rsid w:val="00A65528"/>
    <w:rsid w:val="00A655D3"/>
    <w:rsid w:val="00A662D9"/>
    <w:rsid w:val="00A6741E"/>
    <w:rsid w:val="00A7016A"/>
    <w:rsid w:val="00A7018D"/>
    <w:rsid w:val="00A7191D"/>
    <w:rsid w:val="00A722F9"/>
    <w:rsid w:val="00A72D42"/>
    <w:rsid w:val="00A74C2A"/>
    <w:rsid w:val="00A75E40"/>
    <w:rsid w:val="00A77D1D"/>
    <w:rsid w:val="00A81652"/>
    <w:rsid w:val="00A83150"/>
    <w:rsid w:val="00A83398"/>
    <w:rsid w:val="00A83D6E"/>
    <w:rsid w:val="00A8521A"/>
    <w:rsid w:val="00A857C0"/>
    <w:rsid w:val="00A85ACB"/>
    <w:rsid w:val="00A90F2C"/>
    <w:rsid w:val="00A90FED"/>
    <w:rsid w:val="00A91482"/>
    <w:rsid w:val="00A9189D"/>
    <w:rsid w:val="00A91E71"/>
    <w:rsid w:val="00A925B1"/>
    <w:rsid w:val="00A934F9"/>
    <w:rsid w:val="00A940E3"/>
    <w:rsid w:val="00A95F1A"/>
    <w:rsid w:val="00A96116"/>
    <w:rsid w:val="00A9614E"/>
    <w:rsid w:val="00A96C0F"/>
    <w:rsid w:val="00AA0E80"/>
    <w:rsid w:val="00AA17CD"/>
    <w:rsid w:val="00AA212F"/>
    <w:rsid w:val="00AA2996"/>
    <w:rsid w:val="00AA2AF4"/>
    <w:rsid w:val="00AA4282"/>
    <w:rsid w:val="00AA4790"/>
    <w:rsid w:val="00AA52BF"/>
    <w:rsid w:val="00AA559A"/>
    <w:rsid w:val="00AA6C31"/>
    <w:rsid w:val="00AA7752"/>
    <w:rsid w:val="00AA7CE8"/>
    <w:rsid w:val="00AB1457"/>
    <w:rsid w:val="00AB2AF1"/>
    <w:rsid w:val="00AB3EC7"/>
    <w:rsid w:val="00AB5A64"/>
    <w:rsid w:val="00AB5CA1"/>
    <w:rsid w:val="00AB6456"/>
    <w:rsid w:val="00AC044E"/>
    <w:rsid w:val="00AC2118"/>
    <w:rsid w:val="00AC2395"/>
    <w:rsid w:val="00AC2960"/>
    <w:rsid w:val="00AC2AC4"/>
    <w:rsid w:val="00AC4284"/>
    <w:rsid w:val="00AC45BD"/>
    <w:rsid w:val="00AC50BB"/>
    <w:rsid w:val="00AD0B22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6414"/>
    <w:rsid w:val="00AE7269"/>
    <w:rsid w:val="00AE797C"/>
    <w:rsid w:val="00AE7CE7"/>
    <w:rsid w:val="00AE7FAB"/>
    <w:rsid w:val="00AF0DE4"/>
    <w:rsid w:val="00AF1E87"/>
    <w:rsid w:val="00AF436B"/>
    <w:rsid w:val="00AF5179"/>
    <w:rsid w:val="00AF5CC2"/>
    <w:rsid w:val="00AF6776"/>
    <w:rsid w:val="00AF6F98"/>
    <w:rsid w:val="00B00913"/>
    <w:rsid w:val="00B01593"/>
    <w:rsid w:val="00B01FF9"/>
    <w:rsid w:val="00B023F2"/>
    <w:rsid w:val="00B038CA"/>
    <w:rsid w:val="00B06DB4"/>
    <w:rsid w:val="00B0799C"/>
    <w:rsid w:val="00B102CE"/>
    <w:rsid w:val="00B10A4D"/>
    <w:rsid w:val="00B10C90"/>
    <w:rsid w:val="00B11002"/>
    <w:rsid w:val="00B121B2"/>
    <w:rsid w:val="00B141B6"/>
    <w:rsid w:val="00B14BC1"/>
    <w:rsid w:val="00B16DD1"/>
    <w:rsid w:val="00B16EB8"/>
    <w:rsid w:val="00B17E71"/>
    <w:rsid w:val="00B17FDE"/>
    <w:rsid w:val="00B20632"/>
    <w:rsid w:val="00B2379C"/>
    <w:rsid w:val="00B23D5D"/>
    <w:rsid w:val="00B2687D"/>
    <w:rsid w:val="00B3108D"/>
    <w:rsid w:val="00B32DDB"/>
    <w:rsid w:val="00B32F57"/>
    <w:rsid w:val="00B3345C"/>
    <w:rsid w:val="00B34528"/>
    <w:rsid w:val="00B34CC9"/>
    <w:rsid w:val="00B3563B"/>
    <w:rsid w:val="00B36BDC"/>
    <w:rsid w:val="00B37D3A"/>
    <w:rsid w:val="00B402FC"/>
    <w:rsid w:val="00B422E2"/>
    <w:rsid w:val="00B42D5F"/>
    <w:rsid w:val="00B43216"/>
    <w:rsid w:val="00B439DA"/>
    <w:rsid w:val="00B4411A"/>
    <w:rsid w:val="00B46604"/>
    <w:rsid w:val="00B47089"/>
    <w:rsid w:val="00B47587"/>
    <w:rsid w:val="00B52151"/>
    <w:rsid w:val="00B530CD"/>
    <w:rsid w:val="00B53C7D"/>
    <w:rsid w:val="00B53E56"/>
    <w:rsid w:val="00B55A97"/>
    <w:rsid w:val="00B55F5E"/>
    <w:rsid w:val="00B5642C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9FB"/>
    <w:rsid w:val="00B71FBF"/>
    <w:rsid w:val="00B734A0"/>
    <w:rsid w:val="00B73A14"/>
    <w:rsid w:val="00B748BD"/>
    <w:rsid w:val="00B7680F"/>
    <w:rsid w:val="00B76B48"/>
    <w:rsid w:val="00B76D1E"/>
    <w:rsid w:val="00B77543"/>
    <w:rsid w:val="00B77584"/>
    <w:rsid w:val="00B80EC6"/>
    <w:rsid w:val="00B81288"/>
    <w:rsid w:val="00B81D70"/>
    <w:rsid w:val="00B833B9"/>
    <w:rsid w:val="00B83E07"/>
    <w:rsid w:val="00B84CF6"/>
    <w:rsid w:val="00B85016"/>
    <w:rsid w:val="00B8561A"/>
    <w:rsid w:val="00B86643"/>
    <w:rsid w:val="00B868F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7ACC"/>
    <w:rsid w:val="00B97FE2"/>
    <w:rsid w:val="00BA201A"/>
    <w:rsid w:val="00BA3787"/>
    <w:rsid w:val="00BA46E8"/>
    <w:rsid w:val="00BA4E19"/>
    <w:rsid w:val="00BA6436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AB2"/>
    <w:rsid w:val="00BB5ABF"/>
    <w:rsid w:val="00BB6EA2"/>
    <w:rsid w:val="00BB7B5B"/>
    <w:rsid w:val="00BB7EB1"/>
    <w:rsid w:val="00BC003F"/>
    <w:rsid w:val="00BC327F"/>
    <w:rsid w:val="00BC3512"/>
    <w:rsid w:val="00BC50BE"/>
    <w:rsid w:val="00BC5332"/>
    <w:rsid w:val="00BC5715"/>
    <w:rsid w:val="00BC5C12"/>
    <w:rsid w:val="00BC7154"/>
    <w:rsid w:val="00BC731E"/>
    <w:rsid w:val="00BC7614"/>
    <w:rsid w:val="00BD25BB"/>
    <w:rsid w:val="00BD2AF8"/>
    <w:rsid w:val="00BD366B"/>
    <w:rsid w:val="00BD3C09"/>
    <w:rsid w:val="00BD410B"/>
    <w:rsid w:val="00BD4A73"/>
    <w:rsid w:val="00BD6C75"/>
    <w:rsid w:val="00BD6D50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4329"/>
    <w:rsid w:val="00BF4E43"/>
    <w:rsid w:val="00BF5C4C"/>
    <w:rsid w:val="00BF77FC"/>
    <w:rsid w:val="00C006D6"/>
    <w:rsid w:val="00C00BD7"/>
    <w:rsid w:val="00C01410"/>
    <w:rsid w:val="00C04B78"/>
    <w:rsid w:val="00C052AA"/>
    <w:rsid w:val="00C06EE3"/>
    <w:rsid w:val="00C07749"/>
    <w:rsid w:val="00C11244"/>
    <w:rsid w:val="00C11D48"/>
    <w:rsid w:val="00C1493E"/>
    <w:rsid w:val="00C15DBD"/>
    <w:rsid w:val="00C2010D"/>
    <w:rsid w:val="00C20CB5"/>
    <w:rsid w:val="00C21430"/>
    <w:rsid w:val="00C21E61"/>
    <w:rsid w:val="00C21F94"/>
    <w:rsid w:val="00C234DB"/>
    <w:rsid w:val="00C2479A"/>
    <w:rsid w:val="00C24903"/>
    <w:rsid w:val="00C2590D"/>
    <w:rsid w:val="00C25D9C"/>
    <w:rsid w:val="00C27913"/>
    <w:rsid w:val="00C300E2"/>
    <w:rsid w:val="00C31F21"/>
    <w:rsid w:val="00C32631"/>
    <w:rsid w:val="00C33301"/>
    <w:rsid w:val="00C33311"/>
    <w:rsid w:val="00C33B68"/>
    <w:rsid w:val="00C35570"/>
    <w:rsid w:val="00C35A2A"/>
    <w:rsid w:val="00C36A79"/>
    <w:rsid w:val="00C401A9"/>
    <w:rsid w:val="00C401D2"/>
    <w:rsid w:val="00C4031A"/>
    <w:rsid w:val="00C405D4"/>
    <w:rsid w:val="00C419D5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1F47"/>
    <w:rsid w:val="00C62828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70C9"/>
    <w:rsid w:val="00C8174E"/>
    <w:rsid w:val="00C82191"/>
    <w:rsid w:val="00C83134"/>
    <w:rsid w:val="00C832F3"/>
    <w:rsid w:val="00C845A4"/>
    <w:rsid w:val="00C85545"/>
    <w:rsid w:val="00C855B5"/>
    <w:rsid w:val="00C85F0E"/>
    <w:rsid w:val="00C90CF4"/>
    <w:rsid w:val="00C91C20"/>
    <w:rsid w:val="00C922DE"/>
    <w:rsid w:val="00C92843"/>
    <w:rsid w:val="00C92EB6"/>
    <w:rsid w:val="00C93389"/>
    <w:rsid w:val="00C948E6"/>
    <w:rsid w:val="00C94CDD"/>
    <w:rsid w:val="00CA0346"/>
    <w:rsid w:val="00CA1BD6"/>
    <w:rsid w:val="00CA37FF"/>
    <w:rsid w:val="00CA423A"/>
    <w:rsid w:val="00CA47BC"/>
    <w:rsid w:val="00CA6AB4"/>
    <w:rsid w:val="00CA7255"/>
    <w:rsid w:val="00CB2351"/>
    <w:rsid w:val="00CB4930"/>
    <w:rsid w:val="00CB4BA9"/>
    <w:rsid w:val="00CB4C63"/>
    <w:rsid w:val="00CB5A48"/>
    <w:rsid w:val="00CB5E10"/>
    <w:rsid w:val="00CB613B"/>
    <w:rsid w:val="00CB6152"/>
    <w:rsid w:val="00CB64E1"/>
    <w:rsid w:val="00CB6E4D"/>
    <w:rsid w:val="00CC0834"/>
    <w:rsid w:val="00CC20FE"/>
    <w:rsid w:val="00CC2E7D"/>
    <w:rsid w:val="00CC612B"/>
    <w:rsid w:val="00CC655F"/>
    <w:rsid w:val="00CC6FE5"/>
    <w:rsid w:val="00CC7458"/>
    <w:rsid w:val="00CC76BD"/>
    <w:rsid w:val="00CC7A87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6331"/>
    <w:rsid w:val="00CE14BE"/>
    <w:rsid w:val="00CE17A4"/>
    <w:rsid w:val="00CE1BA9"/>
    <w:rsid w:val="00CE2D8F"/>
    <w:rsid w:val="00CE3E48"/>
    <w:rsid w:val="00CE47B8"/>
    <w:rsid w:val="00CE62FA"/>
    <w:rsid w:val="00CE670B"/>
    <w:rsid w:val="00CE6833"/>
    <w:rsid w:val="00CF2E4D"/>
    <w:rsid w:val="00CF4205"/>
    <w:rsid w:val="00CF4908"/>
    <w:rsid w:val="00CF51EC"/>
    <w:rsid w:val="00CF545D"/>
    <w:rsid w:val="00CF5873"/>
    <w:rsid w:val="00CF73AE"/>
    <w:rsid w:val="00D0085A"/>
    <w:rsid w:val="00D0197F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10C15"/>
    <w:rsid w:val="00D11476"/>
    <w:rsid w:val="00D12C25"/>
    <w:rsid w:val="00D133B4"/>
    <w:rsid w:val="00D13986"/>
    <w:rsid w:val="00D14C5B"/>
    <w:rsid w:val="00D15FED"/>
    <w:rsid w:val="00D16712"/>
    <w:rsid w:val="00D214EF"/>
    <w:rsid w:val="00D215B0"/>
    <w:rsid w:val="00D21D6D"/>
    <w:rsid w:val="00D21D83"/>
    <w:rsid w:val="00D235B7"/>
    <w:rsid w:val="00D23FAE"/>
    <w:rsid w:val="00D25F28"/>
    <w:rsid w:val="00D26071"/>
    <w:rsid w:val="00D269B9"/>
    <w:rsid w:val="00D27973"/>
    <w:rsid w:val="00D31537"/>
    <w:rsid w:val="00D31E1E"/>
    <w:rsid w:val="00D322A0"/>
    <w:rsid w:val="00D32824"/>
    <w:rsid w:val="00D334E2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3ED2"/>
    <w:rsid w:val="00D50F46"/>
    <w:rsid w:val="00D5384E"/>
    <w:rsid w:val="00D544E7"/>
    <w:rsid w:val="00D5499F"/>
    <w:rsid w:val="00D5560A"/>
    <w:rsid w:val="00D56FBF"/>
    <w:rsid w:val="00D57677"/>
    <w:rsid w:val="00D60415"/>
    <w:rsid w:val="00D60E3C"/>
    <w:rsid w:val="00D63BE5"/>
    <w:rsid w:val="00D6475F"/>
    <w:rsid w:val="00D66223"/>
    <w:rsid w:val="00D667B8"/>
    <w:rsid w:val="00D70289"/>
    <w:rsid w:val="00D70822"/>
    <w:rsid w:val="00D72076"/>
    <w:rsid w:val="00D726A9"/>
    <w:rsid w:val="00D743E0"/>
    <w:rsid w:val="00D75AC1"/>
    <w:rsid w:val="00D77252"/>
    <w:rsid w:val="00D8084C"/>
    <w:rsid w:val="00D81809"/>
    <w:rsid w:val="00D82EF1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5302"/>
    <w:rsid w:val="00D95C5D"/>
    <w:rsid w:val="00D97D00"/>
    <w:rsid w:val="00DA096C"/>
    <w:rsid w:val="00DA1AB6"/>
    <w:rsid w:val="00DA544C"/>
    <w:rsid w:val="00DA5F8E"/>
    <w:rsid w:val="00DA6364"/>
    <w:rsid w:val="00DA7114"/>
    <w:rsid w:val="00DA7C0C"/>
    <w:rsid w:val="00DB08A9"/>
    <w:rsid w:val="00DB2DFA"/>
    <w:rsid w:val="00DB2EC8"/>
    <w:rsid w:val="00DB321D"/>
    <w:rsid w:val="00DB459B"/>
    <w:rsid w:val="00DB47FD"/>
    <w:rsid w:val="00DB5E9A"/>
    <w:rsid w:val="00DB657E"/>
    <w:rsid w:val="00DB7342"/>
    <w:rsid w:val="00DC17D0"/>
    <w:rsid w:val="00DC2B41"/>
    <w:rsid w:val="00DC3128"/>
    <w:rsid w:val="00DC435B"/>
    <w:rsid w:val="00DC53D8"/>
    <w:rsid w:val="00DC56FE"/>
    <w:rsid w:val="00DC5B3B"/>
    <w:rsid w:val="00DC6C2D"/>
    <w:rsid w:val="00DC7B1A"/>
    <w:rsid w:val="00DD04B0"/>
    <w:rsid w:val="00DD129F"/>
    <w:rsid w:val="00DD1A3F"/>
    <w:rsid w:val="00DD29B5"/>
    <w:rsid w:val="00DD32DD"/>
    <w:rsid w:val="00DD5287"/>
    <w:rsid w:val="00DE0D8B"/>
    <w:rsid w:val="00DE1237"/>
    <w:rsid w:val="00DE140F"/>
    <w:rsid w:val="00DE2491"/>
    <w:rsid w:val="00DE5CA6"/>
    <w:rsid w:val="00DE7AC8"/>
    <w:rsid w:val="00DF2C5D"/>
    <w:rsid w:val="00DF3643"/>
    <w:rsid w:val="00DF42FF"/>
    <w:rsid w:val="00DF4369"/>
    <w:rsid w:val="00DF4423"/>
    <w:rsid w:val="00DF4ADF"/>
    <w:rsid w:val="00DF5D1E"/>
    <w:rsid w:val="00DF77E4"/>
    <w:rsid w:val="00DF7F88"/>
    <w:rsid w:val="00E01C0E"/>
    <w:rsid w:val="00E0368F"/>
    <w:rsid w:val="00E03D73"/>
    <w:rsid w:val="00E03F9A"/>
    <w:rsid w:val="00E04694"/>
    <w:rsid w:val="00E12191"/>
    <w:rsid w:val="00E129E7"/>
    <w:rsid w:val="00E12ABE"/>
    <w:rsid w:val="00E12B1E"/>
    <w:rsid w:val="00E1444C"/>
    <w:rsid w:val="00E17262"/>
    <w:rsid w:val="00E20016"/>
    <w:rsid w:val="00E2009B"/>
    <w:rsid w:val="00E20BB9"/>
    <w:rsid w:val="00E20BCC"/>
    <w:rsid w:val="00E2251C"/>
    <w:rsid w:val="00E2363D"/>
    <w:rsid w:val="00E23C6A"/>
    <w:rsid w:val="00E253A2"/>
    <w:rsid w:val="00E260F6"/>
    <w:rsid w:val="00E27127"/>
    <w:rsid w:val="00E27233"/>
    <w:rsid w:val="00E30F15"/>
    <w:rsid w:val="00E31771"/>
    <w:rsid w:val="00E3186D"/>
    <w:rsid w:val="00E31A3E"/>
    <w:rsid w:val="00E32080"/>
    <w:rsid w:val="00E3309D"/>
    <w:rsid w:val="00E35A53"/>
    <w:rsid w:val="00E3724A"/>
    <w:rsid w:val="00E378B1"/>
    <w:rsid w:val="00E417BE"/>
    <w:rsid w:val="00E41CD5"/>
    <w:rsid w:val="00E4372D"/>
    <w:rsid w:val="00E43A9E"/>
    <w:rsid w:val="00E453F9"/>
    <w:rsid w:val="00E45D7D"/>
    <w:rsid w:val="00E4623F"/>
    <w:rsid w:val="00E4665D"/>
    <w:rsid w:val="00E47854"/>
    <w:rsid w:val="00E47EBA"/>
    <w:rsid w:val="00E50156"/>
    <w:rsid w:val="00E5076C"/>
    <w:rsid w:val="00E50D2E"/>
    <w:rsid w:val="00E50D7D"/>
    <w:rsid w:val="00E53470"/>
    <w:rsid w:val="00E539F6"/>
    <w:rsid w:val="00E54698"/>
    <w:rsid w:val="00E54FB4"/>
    <w:rsid w:val="00E55791"/>
    <w:rsid w:val="00E55E1A"/>
    <w:rsid w:val="00E578A2"/>
    <w:rsid w:val="00E60043"/>
    <w:rsid w:val="00E61740"/>
    <w:rsid w:val="00E61EB5"/>
    <w:rsid w:val="00E6324D"/>
    <w:rsid w:val="00E65084"/>
    <w:rsid w:val="00E6519D"/>
    <w:rsid w:val="00E66062"/>
    <w:rsid w:val="00E6660E"/>
    <w:rsid w:val="00E67305"/>
    <w:rsid w:val="00E67696"/>
    <w:rsid w:val="00E70C5F"/>
    <w:rsid w:val="00E71A58"/>
    <w:rsid w:val="00E72A26"/>
    <w:rsid w:val="00E72A7A"/>
    <w:rsid w:val="00E7335A"/>
    <w:rsid w:val="00E747DC"/>
    <w:rsid w:val="00E74A2D"/>
    <w:rsid w:val="00E75C94"/>
    <w:rsid w:val="00E76B9B"/>
    <w:rsid w:val="00E76E61"/>
    <w:rsid w:val="00E80CA3"/>
    <w:rsid w:val="00E82618"/>
    <w:rsid w:val="00E84E09"/>
    <w:rsid w:val="00E90CA8"/>
    <w:rsid w:val="00E930A1"/>
    <w:rsid w:val="00E93820"/>
    <w:rsid w:val="00E94A86"/>
    <w:rsid w:val="00E953F6"/>
    <w:rsid w:val="00E96143"/>
    <w:rsid w:val="00E96833"/>
    <w:rsid w:val="00E97506"/>
    <w:rsid w:val="00EA0C68"/>
    <w:rsid w:val="00EA1D0E"/>
    <w:rsid w:val="00EA2841"/>
    <w:rsid w:val="00EA32BC"/>
    <w:rsid w:val="00EA35A7"/>
    <w:rsid w:val="00EA3B32"/>
    <w:rsid w:val="00EA3D05"/>
    <w:rsid w:val="00EA4402"/>
    <w:rsid w:val="00EA4B8D"/>
    <w:rsid w:val="00EA513E"/>
    <w:rsid w:val="00EA7419"/>
    <w:rsid w:val="00EB0E32"/>
    <w:rsid w:val="00EB3E60"/>
    <w:rsid w:val="00EB4511"/>
    <w:rsid w:val="00EB48D7"/>
    <w:rsid w:val="00EB4A8E"/>
    <w:rsid w:val="00EB4BC5"/>
    <w:rsid w:val="00EB5BF7"/>
    <w:rsid w:val="00EB5E79"/>
    <w:rsid w:val="00EB6FAC"/>
    <w:rsid w:val="00EB7BAC"/>
    <w:rsid w:val="00EC03D7"/>
    <w:rsid w:val="00EC13A7"/>
    <w:rsid w:val="00EC2EB6"/>
    <w:rsid w:val="00ED0EF0"/>
    <w:rsid w:val="00ED12B9"/>
    <w:rsid w:val="00ED16B8"/>
    <w:rsid w:val="00ED1DF0"/>
    <w:rsid w:val="00ED2386"/>
    <w:rsid w:val="00ED2EA1"/>
    <w:rsid w:val="00ED3F10"/>
    <w:rsid w:val="00ED4D04"/>
    <w:rsid w:val="00ED5907"/>
    <w:rsid w:val="00ED5F5B"/>
    <w:rsid w:val="00ED62C6"/>
    <w:rsid w:val="00ED64C1"/>
    <w:rsid w:val="00EE2EB4"/>
    <w:rsid w:val="00EE3446"/>
    <w:rsid w:val="00EE3E78"/>
    <w:rsid w:val="00EE41FD"/>
    <w:rsid w:val="00EE460E"/>
    <w:rsid w:val="00EE4B1B"/>
    <w:rsid w:val="00EE5FBA"/>
    <w:rsid w:val="00EE6E06"/>
    <w:rsid w:val="00EE7179"/>
    <w:rsid w:val="00EF150D"/>
    <w:rsid w:val="00EF1F5A"/>
    <w:rsid w:val="00EF47BF"/>
    <w:rsid w:val="00EF59B1"/>
    <w:rsid w:val="00EF5A13"/>
    <w:rsid w:val="00EF5FF9"/>
    <w:rsid w:val="00EF7CC7"/>
    <w:rsid w:val="00F00866"/>
    <w:rsid w:val="00F0160B"/>
    <w:rsid w:val="00F0193E"/>
    <w:rsid w:val="00F03F8D"/>
    <w:rsid w:val="00F04811"/>
    <w:rsid w:val="00F0488C"/>
    <w:rsid w:val="00F073ED"/>
    <w:rsid w:val="00F07C4C"/>
    <w:rsid w:val="00F10F11"/>
    <w:rsid w:val="00F11159"/>
    <w:rsid w:val="00F115E4"/>
    <w:rsid w:val="00F12CFB"/>
    <w:rsid w:val="00F13FDB"/>
    <w:rsid w:val="00F15AAA"/>
    <w:rsid w:val="00F15BEF"/>
    <w:rsid w:val="00F17898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EE5"/>
    <w:rsid w:val="00F27FD6"/>
    <w:rsid w:val="00F307CB"/>
    <w:rsid w:val="00F30C65"/>
    <w:rsid w:val="00F321D2"/>
    <w:rsid w:val="00F32649"/>
    <w:rsid w:val="00F33523"/>
    <w:rsid w:val="00F3364D"/>
    <w:rsid w:val="00F349BF"/>
    <w:rsid w:val="00F34DDC"/>
    <w:rsid w:val="00F36191"/>
    <w:rsid w:val="00F37EDC"/>
    <w:rsid w:val="00F437CC"/>
    <w:rsid w:val="00F44537"/>
    <w:rsid w:val="00F46185"/>
    <w:rsid w:val="00F46423"/>
    <w:rsid w:val="00F4696A"/>
    <w:rsid w:val="00F47067"/>
    <w:rsid w:val="00F525AB"/>
    <w:rsid w:val="00F525EB"/>
    <w:rsid w:val="00F52CB5"/>
    <w:rsid w:val="00F53A68"/>
    <w:rsid w:val="00F54934"/>
    <w:rsid w:val="00F55A92"/>
    <w:rsid w:val="00F62BFF"/>
    <w:rsid w:val="00F63AAE"/>
    <w:rsid w:val="00F63DDE"/>
    <w:rsid w:val="00F63FB7"/>
    <w:rsid w:val="00F6421B"/>
    <w:rsid w:val="00F647F1"/>
    <w:rsid w:val="00F649D2"/>
    <w:rsid w:val="00F6602B"/>
    <w:rsid w:val="00F7150B"/>
    <w:rsid w:val="00F717E4"/>
    <w:rsid w:val="00F71DE6"/>
    <w:rsid w:val="00F72D71"/>
    <w:rsid w:val="00F7381C"/>
    <w:rsid w:val="00F73A0C"/>
    <w:rsid w:val="00F7549F"/>
    <w:rsid w:val="00F756DB"/>
    <w:rsid w:val="00F767A8"/>
    <w:rsid w:val="00F84E7D"/>
    <w:rsid w:val="00F85066"/>
    <w:rsid w:val="00F87A4D"/>
    <w:rsid w:val="00F93688"/>
    <w:rsid w:val="00F939F3"/>
    <w:rsid w:val="00F93C6E"/>
    <w:rsid w:val="00F9644E"/>
    <w:rsid w:val="00FA0105"/>
    <w:rsid w:val="00FA05A0"/>
    <w:rsid w:val="00FA0AEF"/>
    <w:rsid w:val="00FA17CC"/>
    <w:rsid w:val="00FA1F01"/>
    <w:rsid w:val="00FA26DF"/>
    <w:rsid w:val="00FA32BC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64F"/>
    <w:rsid w:val="00FB7DBB"/>
    <w:rsid w:val="00FC05F8"/>
    <w:rsid w:val="00FC0E5F"/>
    <w:rsid w:val="00FC1266"/>
    <w:rsid w:val="00FC1A95"/>
    <w:rsid w:val="00FC1ED4"/>
    <w:rsid w:val="00FC3BEC"/>
    <w:rsid w:val="00FC440B"/>
    <w:rsid w:val="00FC56DE"/>
    <w:rsid w:val="00FC64DE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E27C7"/>
    <w:rsid w:val="00FE2C7E"/>
    <w:rsid w:val="00FE2F78"/>
    <w:rsid w:val="00FE3137"/>
    <w:rsid w:val="00FE346B"/>
    <w:rsid w:val="00FE346F"/>
    <w:rsid w:val="00FE48E4"/>
    <w:rsid w:val="00FE634C"/>
    <w:rsid w:val="00FE6E69"/>
    <w:rsid w:val="00FE6F59"/>
    <w:rsid w:val="00FF1136"/>
    <w:rsid w:val="00FF3D76"/>
    <w:rsid w:val="00FF5B8C"/>
    <w:rsid w:val="00FF63E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4EEB6EC"/>
  <w15:docId w15:val="{02E7EBF8-5A4E-462D-AC4B-706FC6EE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36" Type="http://schemas.microsoft.com/office/2016/09/relationships/commentsIds" Target="commentsIds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1.-3.%20&#269;tvrtlet&#237;\Rozpo&#269;et\Grafy-st&#225;tn&#237;%20rozpo&#269;et-rok-1-3.q-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1.-3.%20&#269;tvrtlet&#237;\Rozpo&#269;et\Grafy-st&#225;tn&#237;%20rozpo&#269;et-rok-1-3.q-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614139838126178E-2"/>
          <c:y val="1.7107238390107405E-2"/>
          <c:w val="0.84372282353388273"/>
          <c:h val="0.81882420592062344"/>
        </c:manualLayout>
      </c:layout>
      <c:barChart>
        <c:barDir val="col"/>
        <c:grouping val="clustered"/>
        <c:varyColors val="0"/>
        <c:ser>
          <c:idx val="4"/>
          <c:order val="3"/>
          <c:tx>
            <c:strRef>
              <c:f>'Státní rozpočet-příjmy'!$A$38</c:f>
              <c:strCache>
                <c:ptCount val="1"/>
                <c:pt idx="0">
                  <c:v>Saldo státního rozpočtu (pravá osa)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invertIfNegative val="0"/>
          <c:cat>
            <c:numRef>
              <c:f>'Státní rozpočet-příjmy'!$B$34:$P$34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'Státní rozpočet-příjmy'!$B$38:$P$38</c:f>
              <c:numCache>
                <c:formatCode>#\ ##0.0</c:formatCode>
                <c:ptCount val="15"/>
                <c:pt idx="0">
                  <c:v>25.75</c:v>
                </c:pt>
                <c:pt idx="1">
                  <c:v>1.49</c:v>
                </c:pt>
                <c:pt idx="2">
                  <c:v>36.316000000000003</c:v>
                </c:pt>
                <c:pt idx="3">
                  <c:v>10.473000000000001</c:v>
                </c:pt>
                <c:pt idx="4">
                  <c:v>-87.296000000000006</c:v>
                </c:pt>
                <c:pt idx="5">
                  <c:v>-99.555000000000007</c:v>
                </c:pt>
                <c:pt idx="6">
                  <c:v>-105.13800000000001</c:v>
                </c:pt>
                <c:pt idx="7">
                  <c:v>-71.412000000000006</c:v>
                </c:pt>
                <c:pt idx="8">
                  <c:v>-38.241</c:v>
                </c:pt>
                <c:pt idx="9">
                  <c:v>-34.39</c:v>
                </c:pt>
                <c:pt idx="10">
                  <c:v>-2.77</c:v>
                </c:pt>
                <c:pt idx="11">
                  <c:v>82.27</c:v>
                </c:pt>
                <c:pt idx="12">
                  <c:v>17.399999999999999</c:v>
                </c:pt>
                <c:pt idx="13">
                  <c:v>16.77</c:v>
                </c:pt>
                <c:pt idx="14">
                  <c:v>-20.99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4E-4533-A142-CC5FD1328F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337259904"/>
        <c:axId val="337258656"/>
      </c:barChart>
      <c:lineChart>
        <c:grouping val="standard"/>
        <c:varyColors val="0"/>
        <c:ser>
          <c:idx val="0"/>
          <c:order val="0"/>
          <c:tx>
            <c:strRef>
              <c:f>'Státní rozpočet-příjmy'!$A$35</c:f>
              <c:strCache>
                <c:ptCount val="1"/>
                <c:pt idx="0">
                  <c:v>DPH a spotřební daně</c:v>
                </c:pt>
              </c:strCache>
            </c:strRef>
          </c:tx>
          <c:spPr>
            <a:ln w="19050">
              <a:noFill/>
            </a:ln>
          </c:spPr>
          <c:marker>
            <c:symbol val="diamond"/>
            <c:size val="6"/>
            <c:spPr>
              <a:solidFill>
                <a:srgbClr val="00B050"/>
              </a:solidFill>
              <a:ln>
                <a:noFill/>
              </a:ln>
            </c:spPr>
          </c:marker>
          <c:cat>
            <c:numRef>
              <c:f>'Státní rozpočet-příjmy'!$B$34:$P$34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'Státní rozpočet-příjmy'!$B$35:$P$35</c:f>
              <c:numCache>
                <c:formatCode>0.0</c:formatCode>
                <c:ptCount val="15"/>
                <c:pt idx="0">
                  <c:v>19.645907749650576</c:v>
                </c:pt>
                <c:pt idx="1">
                  <c:v>5.7329525787469748</c:v>
                </c:pt>
                <c:pt idx="2">
                  <c:v>8.1761263657568435</c:v>
                </c:pt>
                <c:pt idx="3">
                  <c:v>6.3968223945526574</c:v>
                </c:pt>
                <c:pt idx="4">
                  <c:v>-1.464836805802463</c:v>
                </c:pt>
                <c:pt idx="5">
                  <c:v>7.8227610593923629</c:v>
                </c:pt>
                <c:pt idx="6">
                  <c:v>3.2527943243424176</c:v>
                </c:pt>
                <c:pt idx="7">
                  <c:v>-1.0306605302391887</c:v>
                </c:pt>
                <c:pt idx="8">
                  <c:v>6.0223997904112991</c:v>
                </c:pt>
                <c:pt idx="9">
                  <c:v>4.1328185328185327</c:v>
                </c:pt>
                <c:pt idx="10">
                  <c:v>1.4445466140657857</c:v>
                </c:pt>
                <c:pt idx="11">
                  <c:v>6.0994152046783654</c:v>
                </c:pt>
                <c:pt idx="12">
                  <c:v>8.1298572452185311</c:v>
                </c:pt>
                <c:pt idx="13">
                  <c:v>5.6198389234376691</c:v>
                </c:pt>
                <c:pt idx="14">
                  <c:v>3.3348616104823492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14E-4533-A142-CC5FD1328F9D}"/>
            </c:ext>
          </c:extLst>
        </c:ser>
        <c:ser>
          <c:idx val="1"/>
          <c:order val="1"/>
          <c:tx>
            <c:strRef>
              <c:f>'Státní rozpočet-příjmy'!$A$36</c:f>
              <c:strCache>
                <c:ptCount val="1"/>
                <c:pt idx="0">
                  <c:v>Daně z příjmů (DPFO) ze závislé činnosti</c:v>
                </c:pt>
              </c:strCache>
            </c:strRef>
          </c:tx>
          <c:spPr>
            <a:ln w="19050">
              <a:solidFill>
                <a:srgbClr val="BD1B25"/>
              </a:solidFill>
              <a:prstDash val="solid"/>
            </a:ln>
          </c:spPr>
          <c:marker>
            <c:symbol val="none"/>
          </c:marker>
          <c:cat>
            <c:numRef>
              <c:f>'Státní rozpočet-příjmy'!$B$34:$P$34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'Státní rozpočet-příjmy'!$B$36:$P$36</c:f>
              <c:numCache>
                <c:formatCode>0.0</c:formatCode>
                <c:ptCount val="15"/>
                <c:pt idx="0">
                  <c:v>8.3720930232558146</c:v>
                </c:pt>
                <c:pt idx="1">
                  <c:v>1.0224690734662971</c:v>
                </c:pt>
                <c:pt idx="2">
                  <c:v>13.007622141696856</c:v>
                </c:pt>
                <c:pt idx="3">
                  <c:v>-7.5961963732861619</c:v>
                </c:pt>
                <c:pt idx="4">
                  <c:v>-4.5470862749790655</c:v>
                </c:pt>
                <c:pt idx="5">
                  <c:v>0.46383352137395661</c:v>
                </c:pt>
                <c:pt idx="6">
                  <c:v>6.8754679311205535</c:v>
                </c:pt>
                <c:pt idx="7">
                  <c:v>0.93403385872736067</c:v>
                </c:pt>
                <c:pt idx="8">
                  <c:v>5.6217466743782438</c:v>
                </c:pt>
                <c:pt idx="9">
                  <c:v>4.1616471361296732</c:v>
                </c:pt>
                <c:pt idx="10">
                  <c:v>2.5864788140048205</c:v>
                </c:pt>
                <c:pt idx="11">
                  <c:v>10.17730859895461</c:v>
                </c:pt>
                <c:pt idx="12">
                  <c:v>12.865116279069767</c:v>
                </c:pt>
                <c:pt idx="13">
                  <c:v>15.099315915272399</c:v>
                </c:pt>
                <c:pt idx="14">
                  <c:v>12.459720730397422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14E-4533-A142-CC5FD1328F9D}"/>
            </c:ext>
          </c:extLst>
        </c:ser>
        <c:ser>
          <c:idx val="3"/>
          <c:order val="2"/>
          <c:tx>
            <c:strRef>
              <c:f>'Státní rozpočet-příjmy'!$A$37</c:f>
              <c:strCache>
                <c:ptCount val="1"/>
                <c:pt idx="0">
                  <c:v>Daně z příjmů právnických osob (DPPO)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numRef>
              <c:f>'Státní rozpočet-příjmy'!$B$34:$P$34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'Státní rozpočet-příjmy'!$B$37:$P$37</c:f>
              <c:numCache>
                <c:formatCode>0.0</c:formatCode>
                <c:ptCount val="15"/>
                <c:pt idx="0">
                  <c:v>24.216106474170985</c:v>
                </c:pt>
                <c:pt idx="1">
                  <c:v>-5.7568328339235251</c:v>
                </c:pt>
                <c:pt idx="2">
                  <c:v>21.023219963387604</c:v>
                </c:pt>
                <c:pt idx="3">
                  <c:v>16.598996895151672</c:v>
                </c:pt>
                <c:pt idx="4">
                  <c:v>-35.982520824798584</c:v>
                </c:pt>
                <c:pt idx="5">
                  <c:v>5.5140784982935003</c:v>
                </c:pt>
                <c:pt idx="6">
                  <c:v>-6.1356514707368888</c:v>
                </c:pt>
                <c:pt idx="7">
                  <c:v>8.9812621150118446</c:v>
                </c:pt>
                <c:pt idx="8">
                  <c:v>-5.8794466403162176</c:v>
                </c:pt>
                <c:pt idx="9">
                  <c:v>8.8503937007874214</c:v>
                </c:pt>
                <c:pt idx="10">
                  <c:v>11.140046296296305</c:v>
                </c:pt>
                <c:pt idx="11">
                  <c:v>12.9219821227111</c:v>
                </c:pt>
                <c:pt idx="12">
                  <c:v>0.20750076852134214</c:v>
                </c:pt>
                <c:pt idx="13">
                  <c:v>2.3084592376716273</c:v>
                </c:pt>
                <c:pt idx="14">
                  <c:v>8.8380809595202265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14E-4533-A142-CC5FD1328F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288576"/>
        <c:axId val="66855296"/>
      </c:lineChart>
      <c:catAx>
        <c:axId val="79288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66855296"/>
        <c:crosses val="autoZero"/>
        <c:auto val="1"/>
        <c:lblAlgn val="ctr"/>
        <c:lblOffset val="0"/>
        <c:noMultiLvlLbl val="0"/>
      </c:catAx>
      <c:valAx>
        <c:axId val="66855296"/>
        <c:scaling>
          <c:orientation val="minMax"/>
          <c:max val="30"/>
          <c:min val="-4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Vybrané</a:t>
                </a:r>
                <a:r>
                  <a:rPr lang="cs-CZ" sz="700" b="0" i="1" baseline="0"/>
                  <a:t> druhy daňových příjmů</a:t>
                </a:r>
                <a:endParaRPr lang="cs-CZ" sz="700" b="0" i="1"/>
              </a:p>
            </c:rich>
          </c:tx>
          <c:layout>
            <c:manualLayout>
              <c:xMode val="edge"/>
              <c:yMode val="edge"/>
              <c:x val="0"/>
              <c:y val="0.2010357586129870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 w="6350">
            <a:solidFill>
              <a:schemeClr val="tx1"/>
            </a:solidFill>
          </a:ln>
        </c:spPr>
        <c:crossAx val="79288576"/>
        <c:crosses val="autoZero"/>
        <c:crossBetween val="between"/>
        <c:majorUnit val="5"/>
      </c:valAx>
      <c:valAx>
        <c:axId val="337258656"/>
        <c:scaling>
          <c:orientation val="minMax"/>
          <c:max val="90"/>
          <c:min val="-120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Saldo</a:t>
                </a:r>
                <a:r>
                  <a:rPr lang="cs-CZ" sz="700" b="0" i="1" baseline="0"/>
                  <a:t> státního rozpočtu</a:t>
                </a:r>
                <a:endParaRPr lang="cs-CZ" sz="700" b="0" i="1"/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spPr>
          <a:ln w="6350"/>
        </c:spPr>
        <c:crossAx val="337259904"/>
        <c:crosses val="max"/>
        <c:crossBetween val="between"/>
        <c:majorUnit val="15"/>
      </c:valAx>
      <c:catAx>
        <c:axId val="3372599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37258656"/>
        <c:crosses val="autoZero"/>
        <c:auto val="1"/>
        <c:lblAlgn val="ctr"/>
        <c:lblOffset val="100"/>
        <c:noMultiLvlLbl val="0"/>
      </c:catAx>
      <c:spPr>
        <a:ln w="6350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2.5096471766179306E-2"/>
          <c:y val="0.88709429087402392"/>
          <c:w val="0.92643262075287514"/>
          <c:h val="0.10151762653338464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272881029981208E-2"/>
          <c:y val="1.7112323287741892E-2"/>
          <c:w val="0.84825542774939766"/>
          <c:h val="0.760677470747739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'SR-výdaje-1-3q 2019'!$B$31</c:f>
              <c:strCache>
                <c:ptCount val="1"/>
                <c:pt idx="0">
                  <c:v>Běžné výdaje (pravá osa)</c:v>
                </c:pt>
              </c:strCache>
            </c:strRef>
          </c:tx>
          <c:spPr>
            <a:solidFill>
              <a:srgbClr val="D3D3D3"/>
            </a:solidFill>
            <a:ln>
              <a:noFill/>
            </a:ln>
          </c:spPr>
          <c:invertIfNegative val="0"/>
          <c:cat>
            <c:numRef>
              <c:f>'SR-výdaje-1-3q 2019'!$A$32:$A$46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'SR-výdaje-1-3q 2019'!$B$32:$B$46</c:f>
              <c:numCache>
                <c:formatCode>0.0</c:formatCode>
                <c:ptCount val="15"/>
                <c:pt idx="0">
                  <c:v>572.85</c:v>
                </c:pt>
                <c:pt idx="1">
                  <c:v>623.23</c:v>
                </c:pt>
                <c:pt idx="2">
                  <c:v>657.36</c:v>
                </c:pt>
                <c:pt idx="3">
                  <c:v>707.04</c:v>
                </c:pt>
                <c:pt idx="4">
                  <c:v>734.05</c:v>
                </c:pt>
                <c:pt idx="5">
                  <c:v>754.15</c:v>
                </c:pt>
                <c:pt idx="6">
                  <c:v>764.93</c:v>
                </c:pt>
                <c:pt idx="7">
                  <c:v>755.57</c:v>
                </c:pt>
                <c:pt idx="8">
                  <c:v>786.27</c:v>
                </c:pt>
                <c:pt idx="9">
                  <c:v>801.1</c:v>
                </c:pt>
                <c:pt idx="10">
                  <c:v>822.78</c:v>
                </c:pt>
                <c:pt idx="11">
                  <c:v>831.33</c:v>
                </c:pt>
                <c:pt idx="12">
                  <c:v>881.38</c:v>
                </c:pt>
                <c:pt idx="13">
                  <c:v>946.49</c:v>
                </c:pt>
                <c:pt idx="14">
                  <c:v>1039.21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29-43F8-8DAC-350C13A895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72836608"/>
        <c:axId val="72835072"/>
      </c:barChart>
      <c:lineChart>
        <c:grouping val="standard"/>
        <c:varyColors val="0"/>
        <c:ser>
          <c:idx val="1"/>
          <c:order val="1"/>
          <c:tx>
            <c:strRef>
              <c:f>'SR-výdaje-1-3q 2019'!$C$31</c:f>
              <c:strCache>
                <c:ptCount val="1"/>
                <c:pt idx="0">
                  <c:v>Platy státních zaměstnanců*</c:v>
                </c:pt>
              </c:strCache>
            </c:strRef>
          </c:tx>
          <c:spPr>
            <a:ln w="15875">
              <a:solidFill>
                <a:srgbClr val="984807"/>
              </a:solidFill>
            </a:ln>
          </c:spPr>
          <c:marker>
            <c:symbol val="none"/>
          </c:marker>
          <c:cat>
            <c:numRef>
              <c:f>'SR-výdaje-1-3q 2019'!$A$32:$A$46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'SR-výdaje-1-3q 2019'!$C$32:$C$46</c:f>
              <c:numCache>
                <c:formatCode>0.0</c:formatCode>
                <c:ptCount val="15"/>
                <c:pt idx="0">
                  <c:v>55.24</c:v>
                </c:pt>
                <c:pt idx="1">
                  <c:v>57.61</c:v>
                </c:pt>
                <c:pt idx="2">
                  <c:v>61.35</c:v>
                </c:pt>
                <c:pt idx="3">
                  <c:v>61.44</c:v>
                </c:pt>
                <c:pt idx="4">
                  <c:v>63.79</c:v>
                </c:pt>
                <c:pt idx="5">
                  <c:v>63.5</c:v>
                </c:pt>
                <c:pt idx="6">
                  <c:v>57.88</c:v>
                </c:pt>
                <c:pt idx="7">
                  <c:v>58.77</c:v>
                </c:pt>
                <c:pt idx="8">
                  <c:v>60.04</c:v>
                </c:pt>
                <c:pt idx="9">
                  <c:v>61.89</c:v>
                </c:pt>
                <c:pt idx="10">
                  <c:v>67.66</c:v>
                </c:pt>
                <c:pt idx="11">
                  <c:v>70.25</c:v>
                </c:pt>
                <c:pt idx="12">
                  <c:v>76.150000000000006</c:v>
                </c:pt>
                <c:pt idx="13">
                  <c:v>86.54</c:v>
                </c:pt>
                <c:pt idx="14">
                  <c:v>93.07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E29-43F8-8DAC-350C13A8959E}"/>
            </c:ext>
          </c:extLst>
        </c:ser>
        <c:ser>
          <c:idx val="6"/>
          <c:order val="2"/>
          <c:tx>
            <c:strRef>
              <c:f>'SR-výdaje-1-3q 2019'!$D$31</c:f>
              <c:strCache>
                <c:ptCount val="1"/>
                <c:pt idx="0">
                  <c:v>Podpora v nezaměstnanosti</c:v>
                </c:pt>
              </c:strCache>
            </c:strRef>
          </c:tx>
          <c:spPr>
            <a:ln w="15875">
              <a:solidFill>
                <a:srgbClr val="48AEE7"/>
              </a:solidFill>
            </a:ln>
          </c:spPr>
          <c:marker>
            <c:symbol val="none"/>
          </c:marker>
          <c:cat>
            <c:numRef>
              <c:f>'SR-výdaje-1-3q 2019'!$A$32:$A$46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'SR-výdaje-1-3q 2019'!$D$32:$D$46</c:f>
              <c:numCache>
                <c:formatCode>0.0</c:formatCode>
                <c:ptCount val="15"/>
                <c:pt idx="0">
                  <c:v>5.38</c:v>
                </c:pt>
                <c:pt idx="1">
                  <c:v>5.63</c:v>
                </c:pt>
                <c:pt idx="2">
                  <c:v>5.44</c:v>
                </c:pt>
                <c:pt idx="3">
                  <c:v>5.29</c:v>
                </c:pt>
                <c:pt idx="4">
                  <c:v>11.41</c:v>
                </c:pt>
                <c:pt idx="5">
                  <c:v>10.65</c:v>
                </c:pt>
                <c:pt idx="6">
                  <c:v>8.36</c:v>
                </c:pt>
                <c:pt idx="7">
                  <c:v>6.78</c:v>
                </c:pt>
                <c:pt idx="8">
                  <c:v>7.53</c:v>
                </c:pt>
                <c:pt idx="9">
                  <c:v>7.33</c:v>
                </c:pt>
                <c:pt idx="10">
                  <c:v>6.46</c:v>
                </c:pt>
                <c:pt idx="11">
                  <c:v>6.39</c:v>
                </c:pt>
                <c:pt idx="12">
                  <c:v>6.11</c:v>
                </c:pt>
                <c:pt idx="13">
                  <c:v>5.77</c:v>
                </c:pt>
                <c:pt idx="14">
                  <c:v>6.19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E29-43F8-8DAC-350C13A8959E}"/>
            </c:ext>
          </c:extLst>
        </c:ser>
        <c:ser>
          <c:idx val="7"/>
          <c:order val="3"/>
          <c:tx>
            <c:strRef>
              <c:f>'SR-výdaje-1-3q 2019'!$E$31</c:f>
              <c:strCache>
                <c:ptCount val="1"/>
                <c:pt idx="0">
                  <c:v>Státní sociální podpora**</c:v>
                </c:pt>
              </c:strCache>
            </c:strRef>
          </c:tx>
          <c:spPr>
            <a:ln w="15875">
              <a:solidFill>
                <a:srgbClr val="00B050"/>
              </a:solidFill>
            </a:ln>
          </c:spPr>
          <c:marker>
            <c:symbol val="none"/>
          </c:marker>
          <c:cat>
            <c:numRef>
              <c:f>'SR-výdaje-1-3q 2019'!$A$32:$A$46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'SR-výdaje-1-3q 2019'!$E$32:$E$46</c:f>
              <c:numCache>
                <c:formatCode>General</c:formatCode>
                <c:ptCount val="15"/>
                <c:pt idx="0" formatCode="0.00">
                  <c:v>25.01</c:v>
                </c:pt>
                <c:pt idx="1">
                  <c:v>25.77</c:v>
                </c:pt>
                <c:pt idx="2">
                  <c:v>36.409999999999997</c:v>
                </c:pt>
                <c:pt idx="3">
                  <c:v>31.98</c:v>
                </c:pt>
                <c:pt idx="4">
                  <c:v>30.95</c:v>
                </c:pt>
                <c:pt idx="5">
                  <c:v>30.85</c:v>
                </c:pt>
                <c:pt idx="6">
                  <c:v>27.32</c:v>
                </c:pt>
                <c:pt idx="7">
                  <c:v>26.77</c:v>
                </c:pt>
                <c:pt idx="8">
                  <c:v>28.04</c:v>
                </c:pt>
                <c:pt idx="9">
                  <c:v>28.22</c:v>
                </c:pt>
                <c:pt idx="10">
                  <c:v>28.27</c:v>
                </c:pt>
                <c:pt idx="11">
                  <c:v>28.38</c:v>
                </c:pt>
                <c:pt idx="12">
                  <c:v>28.02</c:v>
                </c:pt>
                <c:pt idx="13">
                  <c:v>29.32</c:v>
                </c:pt>
                <c:pt idx="14">
                  <c:v>28.28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E29-43F8-8DAC-350C13A8959E}"/>
            </c:ext>
          </c:extLst>
        </c:ser>
        <c:ser>
          <c:idx val="2"/>
          <c:order val="4"/>
          <c:tx>
            <c:strRef>
              <c:f>'SR-výdaje-1-3q 2019'!$F$31</c:f>
              <c:strCache>
                <c:ptCount val="1"/>
                <c:pt idx="0">
                  <c:v>Dávky nemocenského pojištění</c:v>
                </c:pt>
              </c:strCache>
            </c:strRef>
          </c:tx>
          <c:spPr>
            <a:ln w="15875">
              <a:solidFill>
                <a:srgbClr val="0071BC"/>
              </a:solidFill>
            </a:ln>
          </c:spPr>
          <c:marker>
            <c:symbol val="none"/>
          </c:marker>
          <c:cat>
            <c:numRef>
              <c:f>'SR-výdaje-1-3q 2019'!$A$32:$A$46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'SR-výdaje-1-3q 2019'!$F$32:$F$46</c:f>
              <c:numCache>
                <c:formatCode>0.00</c:formatCode>
                <c:ptCount val="15"/>
                <c:pt idx="0">
                  <c:v>24.5</c:v>
                </c:pt>
                <c:pt idx="1">
                  <c:v>25.2</c:v>
                </c:pt>
                <c:pt idx="2">
                  <c:v>26.13</c:v>
                </c:pt>
                <c:pt idx="3">
                  <c:v>24.12</c:v>
                </c:pt>
                <c:pt idx="4">
                  <c:v>20.07</c:v>
                </c:pt>
                <c:pt idx="5">
                  <c:v>16.8</c:v>
                </c:pt>
                <c:pt idx="6">
                  <c:v>16.82</c:v>
                </c:pt>
                <c:pt idx="7">
                  <c:v>14.84</c:v>
                </c:pt>
                <c:pt idx="8">
                  <c:v>15.44</c:v>
                </c:pt>
                <c:pt idx="9">
                  <c:v>16.649999999999999</c:v>
                </c:pt>
                <c:pt idx="10">
                  <c:v>18.23</c:v>
                </c:pt>
                <c:pt idx="11">
                  <c:v>19.88</c:v>
                </c:pt>
                <c:pt idx="12">
                  <c:v>21.43</c:v>
                </c:pt>
                <c:pt idx="13">
                  <c:v>25.48</c:v>
                </c:pt>
                <c:pt idx="14">
                  <c:v>29.3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E29-43F8-8DAC-350C13A8959E}"/>
            </c:ext>
          </c:extLst>
        </c:ser>
        <c:ser>
          <c:idx val="3"/>
          <c:order val="5"/>
          <c:tx>
            <c:strRef>
              <c:f>'SR-výdaje-1-3q 2019'!$G$31</c:f>
              <c:strCache>
                <c:ptCount val="1"/>
                <c:pt idx="0">
                  <c:v>Dávky sociální péče***</c:v>
                </c:pt>
              </c:strCache>
            </c:strRef>
          </c:tx>
          <c:spPr>
            <a:ln w="15875">
              <a:solidFill>
                <a:srgbClr val="7030A0"/>
              </a:solidFill>
            </a:ln>
          </c:spPr>
          <c:marker>
            <c:symbol val="none"/>
          </c:marker>
          <c:cat>
            <c:numRef>
              <c:f>'SR-výdaje-1-3q 2019'!$A$32:$A$46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'SR-výdaje-1-3q 2019'!$G$32:$G$46</c:f>
              <c:numCache>
                <c:formatCode>General</c:formatCode>
                <c:ptCount val="15"/>
                <c:pt idx="2" formatCode="0.00">
                  <c:v>16.7</c:v>
                </c:pt>
                <c:pt idx="3" formatCode="0.00">
                  <c:v>18.600000000000001</c:v>
                </c:pt>
                <c:pt idx="4" formatCode="0.00">
                  <c:v>18.899999999999999</c:v>
                </c:pt>
                <c:pt idx="5" formatCode="0.00">
                  <c:v>19.600000000000001</c:v>
                </c:pt>
                <c:pt idx="6" formatCode="0.00">
                  <c:v>19.100000000000001</c:v>
                </c:pt>
                <c:pt idx="7" formatCode="0.00">
                  <c:v>20.309999999999999</c:v>
                </c:pt>
                <c:pt idx="8" formatCode="0.00">
                  <c:v>23.73</c:v>
                </c:pt>
                <c:pt idx="9" formatCode="0.00">
                  <c:v>25.18</c:v>
                </c:pt>
                <c:pt idx="10" formatCode="0.00">
                  <c:v>25.26</c:v>
                </c:pt>
                <c:pt idx="11" formatCode="0.00">
                  <c:v>25.4</c:v>
                </c:pt>
                <c:pt idx="12" formatCode="0.00">
                  <c:v>25.96</c:v>
                </c:pt>
                <c:pt idx="13" formatCode="0.00">
                  <c:v>25.547999999999998</c:v>
                </c:pt>
                <c:pt idx="14" formatCode="0.00">
                  <c:v>27.05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E29-43F8-8DAC-350C13A8959E}"/>
            </c:ext>
          </c:extLst>
        </c:ser>
        <c:ser>
          <c:idx val="4"/>
          <c:order val="6"/>
          <c:tx>
            <c:strRef>
              <c:f>'SR-výdaje-1-3q 2019'!$H$31</c:f>
              <c:strCache>
                <c:ptCount val="1"/>
                <c:pt idx="0">
                  <c:v>Neinvestiční nákupy a souvis. výdaje****</c:v>
                </c:pt>
              </c:strCache>
            </c:strRef>
          </c:tx>
          <c:spPr>
            <a:ln w="15875">
              <a:solidFill>
                <a:srgbClr val="F8A124"/>
              </a:solidFill>
              <a:prstDash val="solid"/>
            </a:ln>
          </c:spPr>
          <c:marker>
            <c:symbol val="none"/>
          </c:marker>
          <c:cat>
            <c:numRef>
              <c:f>'SR-výdaje-1-3q 2019'!$A$32:$A$46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'SR-výdaje-1-3q 2019'!$H$32:$H$46</c:f>
              <c:numCache>
                <c:formatCode>0.0</c:formatCode>
                <c:ptCount val="15"/>
                <c:pt idx="0">
                  <c:v>36.356999999999999</c:v>
                </c:pt>
                <c:pt idx="1">
                  <c:v>39.716000000000008</c:v>
                </c:pt>
                <c:pt idx="2">
                  <c:v>41.124000000000002</c:v>
                </c:pt>
                <c:pt idx="3">
                  <c:v>46.384999999999998</c:v>
                </c:pt>
                <c:pt idx="4">
                  <c:v>46.423000000000002</c:v>
                </c:pt>
                <c:pt idx="5">
                  <c:v>43.066999999999993</c:v>
                </c:pt>
                <c:pt idx="6">
                  <c:v>38.64</c:v>
                </c:pt>
                <c:pt idx="7">
                  <c:v>34.989999999999995</c:v>
                </c:pt>
                <c:pt idx="8">
                  <c:v>33.93</c:v>
                </c:pt>
                <c:pt idx="9">
                  <c:v>33.94</c:v>
                </c:pt>
                <c:pt idx="10">
                  <c:v>38.31</c:v>
                </c:pt>
                <c:pt idx="11">
                  <c:v>36.659999999999997</c:v>
                </c:pt>
                <c:pt idx="12">
                  <c:v>41.17</c:v>
                </c:pt>
                <c:pt idx="13">
                  <c:v>42.379999999999995</c:v>
                </c:pt>
                <c:pt idx="14">
                  <c:v>43.46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CE29-43F8-8DAC-350C13A8959E}"/>
            </c:ext>
          </c:extLst>
        </c:ser>
        <c:ser>
          <c:idx val="5"/>
          <c:order val="7"/>
          <c:tx>
            <c:strRef>
              <c:f>'SR-výdaje-1-3q 2019'!$I$31</c:f>
              <c:strCache>
                <c:ptCount val="1"/>
                <c:pt idx="0">
                  <c:v>Státní dluh (čisté výdaje)*****</c:v>
                </c:pt>
              </c:strCache>
            </c:strRef>
          </c:tx>
          <c:spPr>
            <a:ln w="15875">
              <a:solidFill>
                <a:srgbClr val="BD1B25"/>
              </a:solidFill>
            </a:ln>
          </c:spPr>
          <c:marker>
            <c:symbol val="none"/>
          </c:marker>
          <c:cat>
            <c:numRef>
              <c:f>'SR-výdaje-1-3q 2019'!$A$32:$A$46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'SR-výdaje-1-3q 2019'!$I$32:$I$46</c:f>
              <c:numCache>
                <c:formatCode>0.0</c:formatCode>
                <c:ptCount val="15"/>
                <c:pt idx="0">
                  <c:v>18.248999999999999</c:v>
                </c:pt>
                <c:pt idx="1">
                  <c:v>23.291</c:v>
                </c:pt>
                <c:pt idx="2">
                  <c:v>25.084</c:v>
                </c:pt>
                <c:pt idx="3">
                  <c:v>24.46</c:v>
                </c:pt>
                <c:pt idx="4">
                  <c:v>33.33</c:v>
                </c:pt>
                <c:pt idx="5">
                  <c:v>24.92</c:v>
                </c:pt>
                <c:pt idx="6">
                  <c:v>35.89</c:v>
                </c:pt>
                <c:pt idx="7">
                  <c:v>35.86</c:v>
                </c:pt>
                <c:pt idx="8">
                  <c:v>44.55</c:v>
                </c:pt>
                <c:pt idx="9">
                  <c:v>43.16</c:v>
                </c:pt>
                <c:pt idx="10">
                  <c:v>41.03</c:v>
                </c:pt>
                <c:pt idx="11">
                  <c:v>38.1</c:v>
                </c:pt>
                <c:pt idx="12">
                  <c:v>33.849999999999994</c:v>
                </c:pt>
                <c:pt idx="13">
                  <c:v>32.616999999999997</c:v>
                </c:pt>
                <c:pt idx="14">
                  <c:v>33.350999999999999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CE29-43F8-8DAC-350C13A8959E}"/>
            </c:ext>
          </c:extLst>
        </c:ser>
        <c:ser>
          <c:idx val="8"/>
          <c:order val="8"/>
          <c:tx>
            <c:strRef>
              <c:f>'SR-výdaje-1-3q 2019'!$J$31</c:f>
              <c:strCache>
                <c:ptCount val="1"/>
                <c:pt idx="0">
                  <c:v>Stavební spoření a důchod. připojištění</c:v>
                </c:pt>
              </c:strCache>
            </c:strRef>
          </c:tx>
          <c:spPr>
            <a:ln w="15875">
              <a:solidFill>
                <a:schemeClr val="bg1">
                  <a:lumMod val="50000"/>
                </a:schemeClr>
              </a:solidFill>
              <a:prstDash val="solid"/>
            </a:ln>
          </c:spPr>
          <c:marker>
            <c:symbol val="none"/>
          </c:marker>
          <c:cat>
            <c:numRef>
              <c:f>'SR-výdaje-1-3q 2019'!$A$32:$A$46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'SR-výdaje-1-3q 2019'!$J$32:$J$46</c:f>
              <c:numCache>
                <c:formatCode>0.0</c:formatCode>
                <c:ptCount val="15"/>
                <c:pt idx="0">
                  <c:v>17.14</c:v>
                </c:pt>
                <c:pt idx="1">
                  <c:v>17.010000000000002</c:v>
                </c:pt>
                <c:pt idx="2">
                  <c:v>16.38</c:v>
                </c:pt>
                <c:pt idx="3">
                  <c:v>15.82</c:v>
                </c:pt>
                <c:pt idx="4">
                  <c:v>14.98</c:v>
                </c:pt>
                <c:pt idx="5">
                  <c:v>13.930000000000001</c:v>
                </c:pt>
                <c:pt idx="6">
                  <c:v>13.280000000000001</c:v>
                </c:pt>
                <c:pt idx="7">
                  <c:v>7.9499999999999993</c:v>
                </c:pt>
                <c:pt idx="8">
                  <c:v>8.08</c:v>
                </c:pt>
                <c:pt idx="9">
                  <c:v>8.08</c:v>
                </c:pt>
                <c:pt idx="10">
                  <c:v>7.83</c:v>
                </c:pt>
                <c:pt idx="11">
                  <c:v>7.5399999999999991</c:v>
                </c:pt>
                <c:pt idx="12">
                  <c:v>7.3100000000000005</c:v>
                </c:pt>
                <c:pt idx="13">
                  <c:v>7.34</c:v>
                </c:pt>
                <c:pt idx="14">
                  <c:v>7.5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CE29-43F8-8DAC-350C13A8959E}"/>
            </c:ext>
          </c:extLst>
        </c:ser>
        <c:ser>
          <c:idx val="9"/>
          <c:order val="9"/>
          <c:tx>
            <c:strRef>
              <c:f>'SR-výdaje-1-3q 2019'!$K$31</c:f>
              <c:strCache>
                <c:ptCount val="1"/>
                <c:pt idx="0">
                  <c:v>Kapitálové výdaje</c:v>
                </c:pt>
              </c:strCache>
            </c:strRef>
          </c:tx>
          <c:spPr>
            <a:ln w="15875">
              <a:solidFill>
                <a:schemeClr val="tx1">
                  <a:lumMod val="95000"/>
                  <a:lumOff val="5000"/>
                </a:schemeClr>
              </a:solidFill>
              <a:prstDash val="sysDash"/>
            </a:ln>
          </c:spPr>
          <c:marker>
            <c:symbol val="none"/>
          </c:marker>
          <c:cat>
            <c:numRef>
              <c:f>'SR-výdaje-1-3q 2019'!$A$32:$A$46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'SR-výdaje-1-3q 2019'!$K$32:$K$46</c:f>
              <c:numCache>
                <c:formatCode>0.0</c:formatCode>
                <c:ptCount val="15"/>
                <c:pt idx="0">
                  <c:v>35.47</c:v>
                </c:pt>
                <c:pt idx="1">
                  <c:v>48.78</c:v>
                </c:pt>
                <c:pt idx="2">
                  <c:v>54.85</c:v>
                </c:pt>
                <c:pt idx="3">
                  <c:v>76.95</c:v>
                </c:pt>
                <c:pt idx="4">
                  <c:v>80.024000000000001</c:v>
                </c:pt>
                <c:pt idx="5">
                  <c:v>91.36</c:v>
                </c:pt>
                <c:pt idx="6">
                  <c:v>82.07</c:v>
                </c:pt>
                <c:pt idx="7">
                  <c:v>72.98</c:v>
                </c:pt>
                <c:pt idx="8">
                  <c:v>58.39</c:v>
                </c:pt>
                <c:pt idx="9">
                  <c:v>59.67</c:v>
                </c:pt>
                <c:pt idx="10">
                  <c:v>88.53</c:v>
                </c:pt>
                <c:pt idx="11">
                  <c:v>51.6</c:v>
                </c:pt>
                <c:pt idx="12">
                  <c:v>41.37</c:v>
                </c:pt>
                <c:pt idx="13">
                  <c:v>60.93</c:v>
                </c:pt>
                <c:pt idx="14">
                  <c:v>85.04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CE29-43F8-8DAC-350C13A895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827648"/>
        <c:axId val="72829184"/>
      </c:lineChart>
      <c:catAx>
        <c:axId val="72827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crossAx val="72829184"/>
        <c:crosses val="autoZero"/>
        <c:auto val="1"/>
        <c:lblAlgn val="ctr"/>
        <c:lblOffset val="20"/>
        <c:noMultiLvlLbl val="0"/>
      </c:catAx>
      <c:valAx>
        <c:axId val="72829184"/>
        <c:scaling>
          <c:orientation val="minMax"/>
          <c:max val="110"/>
          <c:min val="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b="0"/>
                </a:pPr>
                <a:r>
                  <a:rPr lang="cs-CZ" sz="700" b="0" i="1" u="none" strike="noStrike" baseline="0">
                    <a:effectLst/>
                  </a:rPr>
                  <a:t>Specifické druhy výdajů</a:t>
                </a:r>
                <a:endParaRPr lang="cs-CZ" sz="700" b="0"/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spPr>
          <a:ln w="6350">
            <a:solidFill>
              <a:schemeClr val="tx1"/>
            </a:solidFill>
          </a:ln>
        </c:spPr>
        <c:crossAx val="72827648"/>
        <c:crosses val="autoZero"/>
        <c:crossBetween val="between"/>
        <c:majorUnit val="10"/>
      </c:valAx>
      <c:valAx>
        <c:axId val="72835072"/>
        <c:scaling>
          <c:orientation val="minMax"/>
          <c:max val="1100"/>
          <c:min val="0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Běžné</a:t>
                </a:r>
                <a:r>
                  <a:rPr lang="cs-CZ" sz="700" b="0" i="1" baseline="0"/>
                  <a:t> výdaje celkem</a:t>
                </a:r>
                <a:endParaRPr lang="cs-CZ" sz="700" b="0" i="1"/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spPr>
          <a:ln w="6350"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72836608"/>
        <c:crosses val="max"/>
        <c:crossBetween val="between"/>
        <c:majorUnit val="100"/>
      </c:valAx>
      <c:catAx>
        <c:axId val="728366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72835072"/>
        <c:crosses val="autoZero"/>
        <c:auto val="1"/>
        <c:lblAlgn val="ctr"/>
        <c:lblOffset val="100"/>
        <c:noMultiLvlLbl val="0"/>
      </c:catAx>
      <c:spPr>
        <a:ln w="6350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3.9818286868948602E-2"/>
          <c:y val="0.83055036538478355"/>
          <c:w val="0.92843400058504677"/>
          <c:h val="0.15879396132773915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55CEC-949E-4CED-853E-119C3E00CD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FADE1E-87D4-433A-A1AD-2DA92832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46</TotalTime>
  <Pages>1</Pages>
  <Words>1821</Words>
  <Characters>10745</Characters>
  <Application>Microsoft Office Word</Application>
  <DocSecurity>0</DocSecurity>
  <Lines>89</Lines>
  <Paragraphs>25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12541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Zábojníková</cp:lastModifiedBy>
  <cp:revision>14</cp:revision>
  <cp:lastPrinted>2019-04-08T10:52:00Z</cp:lastPrinted>
  <dcterms:created xsi:type="dcterms:W3CDTF">2019-12-13T09:19:00Z</dcterms:created>
  <dcterms:modified xsi:type="dcterms:W3CDTF">2019-12-13T10:26:00Z</dcterms:modified>
</cp:coreProperties>
</file>