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88C87" w14:textId="4CE86877" w:rsidR="00B4411A" w:rsidRPr="00B43216" w:rsidRDefault="004A5D4E" w:rsidP="000D3058">
      <w:pPr>
        <w:pStyle w:val="Nadpis11"/>
      </w:pPr>
      <w:bookmarkStart w:id="0" w:name="_Toc19090679"/>
      <w:r w:rsidRPr="00B43216">
        <w:t>6. </w:t>
      </w:r>
      <w:r w:rsidR="00935BD4" w:rsidRPr="00B43216">
        <w:t>Trh práce</w:t>
      </w:r>
      <w:bookmarkStart w:id="1" w:name="_GoBack"/>
      <w:bookmarkEnd w:id="0"/>
      <w:bookmarkEnd w:id="1"/>
    </w:p>
    <w:tbl>
      <w:tblPr>
        <w:tblW w:w="9654" w:type="dxa"/>
        <w:tblInd w:w="-30" w:type="dxa"/>
        <w:tblCellMar>
          <w:left w:w="0" w:type="dxa"/>
          <w:right w:w="0" w:type="dxa"/>
        </w:tblCellMar>
        <w:tblLook w:val="00A0" w:firstRow="1" w:lastRow="0" w:firstColumn="1" w:lastColumn="0" w:noHBand="0" w:noVBand="0"/>
      </w:tblPr>
      <w:tblGrid>
        <w:gridCol w:w="1790"/>
        <w:gridCol w:w="216"/>
        <w:gridCol w:w="7648"/>
      </w:tblGrid>
      <w:tr w:rsidR="00B43216" w:rsidRPr="00B43216" w14:paraId="3F5F95EC" w14:textId="77777777" w:rsidTr="00B43216">
        <w:trPr>
          <w:trHeight w:val="145"/>
        </w:trPr>
        <w:tc>
          <w:tcPr>
            <w:tcW w:w="1790" w:type="dxa"/>
            <w:shd w:val="clear" w:color="auto" w:fill="auto"/>
            <w:tcMar>
              <w:left w:w="0" w:type="dxa"/>
            </w:tcMar>
          </w:tcPr>
          <w:p w14:paraId="55E4B968" w14:textId="036A6B5C" w:rsidR="00B43216" w:rsidRPr="00B43216" w:rsidRDefault="00B43216" w:rsidP="00B43216">
            <w:pPr>
              <w:pStyle w:val="Marginlie"/>
            </w:pPr>
            <w:r>
              <w:t>Napětí na pracovním trhu v Česku přetrvávalo. Nedostatek volných kapacit vedl podniky stále více k dovozu pracovní síly ze zahraničí.</w:t>
            </w:r>
          </w:p>
        </w:tc>
        <w:tc>
          <w:tcPr>
            <w:tcW w:w="216" w:type="dxa"/>
            <w:shd w:val="clear" w:color="auto" w:fill="auto"/>
            <w:tcMar>
              <w:left w:w="0" w:type="dxa"/>
            </w:tcMar>
          </w:tcPr>
          <w:p w14:paraId="42A9AD63" w14:textId="77777777" w:rsidR="00B43216" w:rsidRPr="00B43216" w:rsidRDefault="00B43216" w:rsidP="00B43216">
            <w:pPr>
              <w:pStyle w:val="Textpoznpodarou"/>
              <w:jc w:val="both"/>
              <w:rPr>
                <w:spacing w:val="-4"/>
              </w:rPr>
            </w:pPr>
          </w:p>
        </w:tc>
        <w:tc>
          <w:tcPr>
            <w:tcW w:w="7648" w:type="dxa"/>
            <w:shd w:val="clear" w:color="auto" w:fill="auto"/>
            <w:tcMar>
              <w:left w:w="0" w:type="dxa"/>
            </w:tcMar>
          </w:tcPr>
          <w:p w14:paraId="026D8A4E" w14:textId="75D7A2D4" w:rsidR="00B43216" w:rsidRPr="00B43216" w:rsidRDefault="00B43216" w:rsidP="00B43216">
            <w:pPr>
              <w:spacing w:after="220"/>
              <w:rPr>
                <w:spacing w:val="-2"/>
              </w:rPr>
            </w:pPr>
            <w:r>
              <w:rPr>
                <w:spacing w:val="-2"/>
              </w:rPr>
              <w:t>Na tuzemském pracovním trhu přetrvávalo i během 1. pololetí 2019 citelné napětí odrážející nerovnováhu mezi nabídkou a poptávkou. Poptávka po pracovnících zůstala i přes dílčí korekce nadále silná. Jejich nedostatek stále představoval hlavní růstovou bariéru napříč většinou odvětví, nejpalčivěji se přitom projevoval ve stavebnictví. Nabídka nových pracovníků na tuzemském trhu je již několik čtvrtletí značně omezená. Podniky tak postupně přesměrovaly náborové aktivity k zahraničním pracovníkům, k čemuž pomáhaly i aktivity státu, který pokračoval v cílených projektech ekonomické migrace</w:t>
            </w:r>
            <w:r w:rsidRPr="00D175A7">
              <w:rPr>
                <w:rStyle w:val="Znakapoznpodarou"/>
                <w:color w:val="0D0D0D" w:themeColor="text1" w:themeTint="F2"/>
                <w:spacing w:val="-2"/>
              </w:rPr>
              <w:footnoteReference w:id="1"/>
            </w:r>
            <w:r>
              <w:rPr>
                <w:spacing w:val="-2"/>
              </w:rPr>
              <w:t>. Role cizinců na tuzemském pracovním trhu tak dále rostla</w:t>
            </w:r>
            <w:r w:rsidRPr="00D175A7">
              <w:rPr>
                <w:rStyle w:val="Znakapoznpodarou"/>
                <w:color w:val="0D0D0D" w:themeColor="text1" w:themeTint="F2"/>
                <w:spacing w:val="-2"/>
              </w:rPr>
              <w:footnoteReference w:id="2"/>
            </w:r>
            <w:r>
              <w:rPr>
                <w:spacing w:val="-2"/>
              </w:rPr>
              <w:t>. Zejména nové kvalifikovanější pracovníky ale získávaly podniky stále s velkými obtížemi. Z tohoto stavu profitovali jak noví, tak i stávající zaměstnanci, a to především v oblasti růstu výdělků.</w:t>
            </w:r>
          </w:p>
        </w:tc>
      </w:tr>
      <w:tr w:rsidR="00B43216" w:rsidRPr="00B43216" w14:paraId="3584C758" w14:textId="77777777" w:rsidTr="00B43216">
        <w:trPr>
          <w:trHeight w:val="145"/>
        </w:trPr>
        <w:tc>
          <w:tcPr>
            <w:tcW w:w="1790" w:type="dxa"/>
            <w:shd w:val="clear" w:color="auto" w:fill="auto"/>
            <w:tcMar>
              <w:left w:w="0" w:type="dxa"/>
            </w:tcMar>
          </w:tcPr>
          <w:p w14:paraId="738BC328" w14:textId="77777777" w:rsidR="00B43216" w:rsidRDefault="00B43216" w:rsidP="00B43216">
            <w:pPr>
              <w:pStyle w:val="Marginlie"/>
            </w:pPr>
            <w:r>
              <w:t>Počet zaměstnaných v ekonomice vystoupal na počátku roku na rekordní úroveň, na které již ve 2. čtvrtletí setrval.</w:t>
            </w:r>
          </w:p>
          <w:p w14:paraId="53CACC5E" w14:textId="77777777" w:rsidR="00B43216" w:rsidRDefault="00B43216" w:rsidP="00B43216">
            <w:pPr>
              <w:pStyle w:val="Marginlie"/>
            </w:pPr>
          </w:p>
          <w:p w14:paraId="260F0F49" w14:textId="77777777" w:rsidR="00B43216" w:rsidRDefault="00B43216" w:rsidP="00B43216">
            <w:pPr>
              <w:pStyle w:val="Marginlie"/>
            </w:pPr>
          </w:p>
          <w:p w14:paraId="2ACA34E5" w14:textId="77777777" w:rsidR="00B43216" w:rsidRDefault="00B43216" w:rsidP="00B43216">
            <w:pPr>
              <w:pStyle w:val="Marginlie"/>
            </w:pPr>
          </w:p>
          <w:p w14:paraId="2A5BF2B6" w14:textId="77777777" w:rsidR="00B43216" w:rsidRDefault="00B43216" w:rsidP="00B43216">
            <w:pPr>
              <w:pStyle w:val="Marginlie"/>
            </w:pPr>
          </w:p>
          <w:p w14:paraId="3EE6C5FD" w14:textId="247AE877" w:rsidR="00B43216" w:rsidRPr="00B43216" w:rsidRDefault="00B43216" w:rsidP="00B43216">
            <w:pPr>
              <w:pStyle w:val="Marginlie"/>
            </w:pPr>
            <w:r>
              <w:t>Konjunkturální šetření naznačovala nadále pozitivní očekávání zaměstnanosti zejména ve stavebnictví a obchodu.</w:t>
            </w:r>
          </w:p>
        </w:tc>
        <w:tc>
          <w:tcPr>
            <w:tcW w:w="216" w:type="dxa"/>
            <w:shd w:val="clear" w:color="auto" w:fill="auto"/>
            <w:tcMar>
              <w:left w:w="0" w:type="dxa"/>
            </w:tcMar>
          </w:tcPr>
          <w:p w14:paraId="36465234" w14:textId="77777777" w:rsidR="00B43216" w:rsidRPr="00B43216" w:rsidRDefault="00B43216" w:rsidP="00B43216">
            <w:pPr>
              <w:pStyle w:val="Textpoznpodarou"/>
              <w:jc w:val="both"/>
              <w:rPr>
                <w:spacing w:val="-4"/>
              </w:rPr>
            </w:pPr>
          </w:p>
        </w:tc>
        <w:tc>
          <w:tcPr>
            <w:tcW w:w="7648" w:type="dxa"/>
            <w:shd w:val="clear" w:color="auto" w:fill="auto"/>
            <w:tcMar>
              <w:left w:w="0" w:type="dxa"/>
            </w:tcMar>
          </w:tcPr>
          <w:p w14:paraId="42CC5FD2" w14:textId="259B5564" w:rsidR="00B43216" w:rsidRPr="00B43216" w:rsidRDefault="00B43216" w:rsidP="00B43216">
            <w:pPr>
              <w:spacing w:after="220"/>
              <w:rPr>
                <w:spacing w:val="-2"/>
              </w:rPr>
            </w:pPr>
            <w:r w:rsidRPr="002D2715">
              <w:rPr>
                <w:spacing w:val="-3"/>
              </w:rPr>
              <w:t>Celková zaměstnanost</w:t>
            </w:r>
            <w:r w:rsidRPr="002D2715">
              <w:rPr>
                <w:rStyle w:val="Znakapoznpodarou"/>
                <w:color w:val="0D0D0D" w:themeColor="text1" w:themeTint="F2"/>
                <w:spacing w:val="-3"/>
              </w:rPr>
              <w:footnoteReference w:id="3"/>
            </w:r>
            <w:r w:rsidRPr="002D2715">
              <w:rPr>
                <w:spacing w:val="-3"/>
              </w:rPr>
              <w:t xml:space="preserve"> v ekonomice se letos dále navyšovala, růstové tempo ale sláblo. Zatímco v 1</w:t>
            </w:r>
            <w:r>
              <w:rPr>
                <w:spacing w:val="-3"/>
              </w:rPr>
              <w:t>. </w:t>
            </w:r>
            <w:r w:rsidRPr="002D2715">
              <w:rPr>
                <w:spacing w:val="-3"/>
              </w:rPr>
              <w:t>čtvrtletí se počet zaměstnaných mezir</w:t>
            </w:r>
            <w:r>
              <w:rPr>
                <w:spacing w:val="-3"/>
              </w:rPr>
              <w:t>očně zvýšil o 1,4 % (podobně jak</w:t>
            </w:r>
            <w:r w:rsidRPr="002D2715">
              <w:rPr>
                <w:spacing w:val="-3"/>
              </w:rPr>
              <w:t>o za celý loňský rok), v následujícím kvartálu již jen o</w:t>
            </w:r>
            <w:r>
              <w:rPr>
                <w:spacing w:val="-3"/>
              </w:rPr>
              <w:t> </w:t>
            </w:r>
            <w:r w:rsidRPr="002D2715">
              <w:rPr>
                <w:spacing w:val="-3"/>
              </w:rPr>
              <w:t>0,8</w:t>
            </w:r>
            <w:r>
              <w:rPr>
                <w:spacing w:val="-3"/>
              </w:rPr>
              <w:t> </w:t>
            </w:r>
            <w:r w:rsidRPr="002D2715">
              <w:rPr>
                <w:spacing w:val="-3"/>
              </w:rPr>
              <w:t>% (nejméně od 3</w:t>
            </w:r>
            <w:r>
              <w:rPr>
                <w:spacing w:val="-3"/>
              </w:rPr>
              <w:t>. </w:t>
            </w:r>
            <w:r w:rsidRPr="002D2715">
              <w:rPr>
                <w:spacing w:val="-3"/>
              </w:rPr>
              <w:t>čtvrtletí 2014). Počet pracovníků v 1</w:t>
            </w:r>
            <w:r>
              <w:rPr>
                <w:spacing w:val="-3"/>
              </w:rPr>
              <w:t>. </w:t>
            </w:r>
            <w:r w:rsidRPr="002D2715">
              <w:rPr>
                <w:spacing w:val="-3"/>
              </w:rPr>
              <w:t xml:space="preserve">čtvrtletí opět ustanovil nový rekord v éře samostatné ČR (5,48 mil.), na této úrovni v dalším období již ale setrval. </w:t>
            </w:r>
            <w:r>
              <w:rPr>
                <w:spacing w:val="-3"/>
              </w:rPr>
              <w:t xml:space="preserve">Zvolnění růstu </w:t>
            </w:r>
            <w:r w:rsidR="00AA17CD">
              <w:rPr>
                <w:spacing w:val="-3"/>
              </w:rPr>
              <w:t>souznělo</w:t>
            </w:r>
            <w:r w:rsidR="00AA17CD" w:rsidRPr="002D2715">
              <w:rPr>
                <w:spacing w:val="-3"/>
              </w:rPr>
              <w:t xml:space="preserve"> s výsledky</w:t>
            </w:r>
            <w:r w:rsidRPr="002D2715">
              <w:rPr>
                <w:spacing w:val="-3"/>
              </w:rPr>
              <w:t xml:space="preserve"> konju</w:t>
            </w:r>
            <w:r>
              <w:rPr>
                <w:spacing w:val="-3"/>
              </w:rPr>
              <w:t>n</w:t>
            </w:r>
            <w:r w:rsidRPr="002D2715">
              <w:rPr>
                <w:spacing w:val="-3"/>
              </w:rPr>
              <w:t>kturálních šetření, které již v průběhu rok</w:t>
            </w:r>
            <w:r>
              <w:rPr>
                <w:spacing w:val="-3"/>
              </w:rPr>
              <w:t>u</w:t>
            </w:r>
            <w:r w:rsidRPr="002D2715">
              <w:rPr>
                <w:spacing w:val="-3"/>
              </w:rPr>
              <w:t xml:space="preserve"> 2018 naznačovaly opatrnější přístup podniků k nabírání nových pracovníků (zejména v průmyslu, ale i</w:t>
            </w:r>
            <w:r>
              <w:rPr>
                <w:spacing w:val="-3"/>
              </w:rPr>
              <w:t> </w:t>
            </w:r>
            <w:r w:rsidRPr="002D2715">
              <w:rPr>
                <w:spacing w:val="-3"/>
              </w:rPr>
              <w:t>v některých odvětvích tržních služeb)</w:t>
            </w:r>
            <w:r w:rsidRPr="002D2715">
              <w:rPr>
                <w:rStyle w:val="Znakapoznpodarou"/>
                <w:color w:val="0D0D0D" w:themeColor="text1" w:themeTint="F2"/>
                <w:spacing w:val="-3"/>
              </w:rPr>
              <w:footnoteReference w:id="4"/>
            </w:r>
            <w:r w:rsidRPr="002D2715">
              <w:rPr>
                <w:spacing w:val="-3"/>
              </w:rPr>
              <w:t>. Tato tendence odrážela jak rostoucí nejistoty u významných tuzemských exportérů související s aktuální situací v eurozóně, tak i</w:t>
            </w:r>
            <w:r>
              <w:rPr>
                <w:spacing w:val="-3"/>
              </w:rPr>
              <w:t> </w:t>
            </w:r>
            <w:r w:rsidRPr="002D2715">
              <w:rPr>
                <w:spacing w:val="-3"/>
              </w:rPr>
              <w:t>dlouhodoběji působící tlak na zvyšování produktivity práce poháněný sílícími mzdovými náklady i klesající ziskovost</w:t>
            </w:r>
            <w:r>
              <w:rPr>
                <w:spacing w:val="-3"/>
              </w:rPr>
              <w:t>í</w:t>
            </w:r>
            <w:r w:rsidRPr="002D2715">
              <w:rPr>
                <w:spacing w:val="-3"/>
              </w:rPr>
              <w:t xml:space="preserve"> podniků. Opatrnější vyhlídky podniků v oblasti zaměstnanosti se projevovaly i na počátku letošního roku, ve 2</w:t>
            </w:r>
            <w:r>
              <w:rPr>
                <w:spacing w:val="-3"/>
              </w:rPr>
              <w:t>. </w:t>
            </w:r>
            <w:r w:rsidRPr="002D2715">
              <w:rPr>
                <w:spacing w:val="-3"/>
              </w:rPr>
              <w:t xml:space="preserve">čtvrtletí došlo ke stabilizaci. </w:t>
            </w:r>
            <w:r>
              <w:rPr>
                <w:spacing w:val="-3"/>
              </w:rPr>
              <w:t xml:space="preserve">Především ve </w:t>
            </w:r>
            <w:r w:rsidRPr="002D2715">
              <w:rPr>
                <w:spacing w:val="-4"/>
              </w:rPr>
              <w:t>stavebnictví i</w:t>
            </w:r>
            <w:r>
              <w:rPr>
                <w:spacing w:val="-4"/>
              </w:rPr>
              <w:t> </w:t>
            </w:r>
            <w:r w:rsidRPr="002D2715">
              <w:rPr>
                <w:spacing w:val="-4"/>
              </w:rPr>
              <w:t>obchodu ale zůstala krátkodobá očekávání zaměstnanosti zjevně pozitivní</w:t>
            </w:r>
            <w:r w:rsidRPr="002D2715">
              <w:rPr>
                <w:rStyle w:val="Znakapoznpodarou"/>
                <w:color w:val="0D0D0D" w:themeColor="text1" w:themeTint="F2"/>
                <w:spacing w:val="-4"/>
              </w:rPr>
              <w:footnoteReference w:id="5"/>
            </w:r>
            <w:r w:rsidRPr="002D2715">
              <w:rPr>
                <w:spacing w:val="-4"/>
              </w:rPr>
              <w:t>.</w:t>
            </w:r>
          </w:p>
        </w:tc>
      </w:tr>
      <w:tr w:rsidR="00B43216" w:rsidRPr="00B43216" w14:paraId="16995ED6" w14:textId="77777777" w:rsidTr="00B43216">
        <w:trPr>
          <w:trHeight w:val="145"/>
        </w:trPr>
        <w:tc>
          <w:tcPr>
            <w:tcW w:w="1790" w:type="dxa"/>
            <w:shd w:val="clear" w:color="auto" w:fill="auto"/>
            <w:tcMar>
              <w:left w:w="0" w:type="dxa"/>
            </w:tcMar>
          </w:tcPr>
          <w:p w14:paraId="0D8E2584" w14:textId="77777777" w:rsidR="00B43216" w:rsidRDefault="00B43216" w:rsidP="00B43216">
            <w:pPr>
              <w:pStyle w:val="Marginlie"/>
            </w:pPr>
            <w:r>
              <w:t>K vyššímu počtu pracovníků přispěli výhradně zaměstnanci.</w:t>
            </w:r>
          </w:p>
          <w:p w14:paraId="2141F606" w14:textId="77777777" w:rsidR="00B43216" w:rsidRDefault="00B43216" w:rsidP="00B43216">
            <w:pPr>
              <w:pStyle w:val="Marginlie"/>
            </w:pPr>
          </w:p>
          <w:p w14:paraId="7A87F913" w14:textId="77777777" w:rsidR="00B43216" w:rsidRDefault="00B43216" w:rsidP="00B43216">
            <w:pPr>
              <w:pStyle w:val="Marginlie"/>
            </w:pPr>
          </w:p>
          <w:p w14:paraId="4D6B573F" w14:textId="77777777" w:rsidR="00B43216" w:rsidRDefault="00B43216" w:rsidP="00B43216">
            <w:pPr>
              <w:pStyle w:val="Marginlie"/>
            </w:pPr>
          </w:p>
          <w:p w14:paraId="29FEE3C7" w14:textId="77777777" w:rsidR="00B43216" w:rsidRDefault="00B43216" w:rsidP="00B43216">
            <w:pPr>
              <w:pStyle w:val="Marginlie"/>
            </w:pPr>
            <w:r>
              <w:t>Dynamický růst odvětví informačních a komunikačních činností pokračoval, nová místa vytvářela i odvětví s převahou veřejného sektoru.</w:t>
            </w:r>
          </w:p>
          <w:p w14:paraId="3275259B" w14:textId="77777777" w:rsidR="00B43216" w:rsidRDefault="00B43216" w:rsidP="00B43216">
            <w:pPr>
              <w:pStyle w:val="Marginlie"/>
            </w:pPr>
          </w:p>
          <w:p w14:paraId="53307CC1" w14:textId="77777777" w:rsidR="00B43216" w:rsidRDefault="00B43216" w:rsidP="00B43216">
            <w:pPr>
              <w:pStyle w:val="Marginlie"/>
            </w:pPr>
          </w:p>
          <w:p w14:paraId="062EE2F7" w14:textId="77777777" w:rsidR="00B43216" w:rsidRDefault="00B43216" w:rsidP="00B43216">
            <w:pPr>
              <w:pStyle w:val="Marginlie"/>
            </w:pPr>
          </w:p>
          <w:p w14:paraId="4FC5D1F4" w14:textId="77777777" w:rsidR="00B43216" w:rsidRDefault="00B43216" w:rsidP="00B43216">
            <w:pPr>
              <w:pStyle w:val="Marginlie"/>
            </w:pPr>
            <w:r>
              <w:lastRenderedPageBreak/>
              <w:t>Tempo růstu zaměstnanosti v průmyslu sláblo, naopak dále zrychlovalo ve stavebnictví.</w:t>
            </w:r>
          </w:p>
          <w:p w14:paraId="32213C46" w14:textId="77777777" w:rsidR="00B43216" w:rsidRPr="00B43216" w:rsidRDefault="00B43216" w:rsidP="00B43216">
            <w:pPr>
              <w:pStyle w:val="Marginlie"/>
            </w:pPr>
          </w:p>
        </w:tc>
        <w:tc>
          <w:tcPr>
            <w:tcW w:w="216" w:type="dxa"/>
            <w:shd w:val="clear" w:color="auto" w:fill="auto"/>
            <w:tcMar>
              <w:left w:w="0" w:type="dxa"/>
            </w:tcMar>
          </w:tcPr>
          <w:p w14:paraId="40120C1E" w14:textId="77777777" w:rsidR="00B43216" w:rsidRPr="00B43216" w:rsidRDefault="00B43216" w:rsidP="00B43216">
            <w:pPr>
              <w:pStyle w:val="Textpoznpodarou"/>
              <w:jc w:val="both"/>
              <w:rPr>
                <w:spacing w:val="-4"/>
              </w:rPr>
            </w:pPr>
          </w:p>
        </w:tc>
        <w:tc>
          <w:tcPr>
            <w:tcW w:w="7648" w:type="dxa"/>
            <w:shd w:val="clear" w:color="auto" w:fill="auto"/>
            <w:tcMar>
              <w:left w:w="0" w:type="dxa"/>
            </w:tcMar>
          </w:tcPr>
          <w:p w14:paraId="0F67A7B4" w14:textId="73146EA1" w:rsidR="00B43216" w:rsidRPr="00B43216" w:rsidRDefault="00B43216" w:rsidP="00B43216">
            <w:pPr>
              <w:spacing w:after="220"/>
              <w:rPr>
                <w:spacing w:val="-2"/>
              </w:rPr>
            </w:pPr>
            <w:r>
              <w:rPr>
                <w:spacing w:val="-2"/>
              </w:rPr>
              <w:t>K meziročnímu růstu celkové zaměstnanosti v 1. pololetí (+60,6 tis.) přispěly výhradně osoby v zaměstnaneckém postavení, neboť počet sebezaměstnaných stagnoval (z hlavních odvětví se významněji zvýšil jen v i</w:t>
            </w:r>
            <w:r w:rsidRPr="0042401C">
              <w:rPr>
                <w:spacing w:val="-2"/>
              </w:rPr>
              <w:t>nformační</w:t>
            </w:r>
            <w:r>
              <w:rPr>
                <w:spacing w:val="-2"/>
              </w:rPr>
              <w:t>ch</w:t>
            </w:r>
            <w:r w:rsidRPr="0042401C">
              <w:rPr>
                <w:spacing w:val="-2"/>
              </w:rPr>
              <w:t xml:space="preserve"> a</w:t>
            </w:r>
            <w:r>
              <w:rPr>
                <w:spacing w:val="-2"/>
              </w:rPr>
              <w:t> </w:t>
            </w:r>
            <w:r w:rsidRPr="0042401C">
              <w:rPr>
                <w:spacing w:val="-2"/>
              </w:rPr>
              <w:t>komunikační</w:t>
            </w:r>
            <w:r>
              <w:rPr>
                <w:spacing w:val="-2"/>
              </w:rPr>
              <w:t>ch činnostech, ve finančnictví, v p</w:t>
            </w:r>
            <w:r w:rsidRPr="0042401C">
              <w:rPr>
                <w:spacing w:val="-2"/>
              </w:rPr>
              <w:t>rofesní</w:t>
            </w:r>
            <w:r>
              <w:rPr>
                <w:spacing w:val="-2"/>
              </w:rPr>
              <w:t>ch, vědeckých, technických</w:t>
            </w:r>
            <w:r w:rsidRPr="0042401C">
              <w:rPr>
                <w:spacing w:val="-2"/>
              </w:rPr>
              <w:t xml:space="preserve"> a</w:t>
            </w:r>
            <w:r>
              <w:rPr>
                <w:spacing w:val="-2"/>
              </w:rPr>
              <w:t> </w:t>
            </w:r>
            <w:r w:rsidRPr="0042401C">
              <w:rPr>
                <w:spacing w:val="-2"/>
              </w:rPr>
              <w:t>administrativní</w:t>
            </w:r>
            <w:r>
              <w:rPr>
                <w:spacing w:val="-2"/>
              </w:rPr>
              <w:t>ch činnostech a také ve zpracovatelském průmyslu). Těžiště růstu celkové zaměstnanosti se dále přesouvalo do terciární sféry, která profitovala z rostoucí tuzemské poptávky i rozvíjejícího se cestovního ruchu. Sektor služeb přispěl k vyššímu počtu pracovníků v ekonomice téměř ze tří čtvrtin. Pokračoval dynamický rozvoj informačních a komunikačních činností (+4,2 % meziročně). Za posledních pět let zde přibylo téměř 24 tis. pracovních míst a celková zaměstnanost se navýšila o šestinu. Dařilo se i odvětvím s převahou veřejného sektoru (+2,3 %), především zásluhou vzdělávání i zdravotní a sociální péče. Ve srovnání s loňským rokem vykázalo slabší dynamiku váhově významné uskupení o</w:t>
            </w:r>
            <w:r w:rsidRPr="001243A6">
              <w:rPr>
                <w:spacing w:val="-2"/>
              </w:rPr>
              <w:t>bchod, doprava, ubytování a</w:t>
            </w:r>
            <w:r>
              <w:rPr>
                <w:spacing w:val="-2"/>
              </w:rPr>
              <w:t> </w:t>
            </w:r>
            <w:r w:rsidRPr="001243A6">
              <w:rPr>
                <w:spacing w:val="-2"/>
              </w:rPr>
              <w:t>pohostinství</w:t>
            </w:r>
            <w:r>
              <w:rPr>
                <w:spacing w:val="-2"/>
              </w:rPr>
              <w:t xml:space="preserve"> (+1,2 %), a to </w:t>
            </w:r>
            <w:r>
              <w:rPr>
                <w:spacing w:val="-2"/>
              </w:rPr>
              <w:lastRenderedPageBreak/>
              <w:t>i vinou mírného snížení počtu podnikajících osob (bez zaměstnanců). Ve zpracovatelském průmyslu přibylo 0,8 % pracovníků, podprůměrné tempo zaznamenává toto odvětví již dva a půl roku</w:t>
            </w:r>
            <w:r w:rsidRPr="00D175A7">
              <w:rPr>
                <w:rStyle w:val="Znakapoznpodarou"/>
                <w:color w:val="0D0D0D" w:themeColor="text1" w:themeTint="F2"/>
                <w:spacing w:val="-2"/>
              </w:rPr>
              <w:footnoteReference w:id="6"/>
            </w:r>
            <w:r>
              <w:rPr>
                <w:spacing w:val="-2"/>
              </w:rPr>
              <w:t>. Druhým rokem v řadě nabíralo pracovníky stavebnictví, a přestože i letos zůstal růst zaměstnanosti v tomto odvětví (+1,0 %) nepatrně pod tempem celé ekonomiky, představoval zde nejlepší pololetní výsledek od konce roku 2010. Pokračovala tendence velmi pozvolného snižování počtu pracovníků v primárním sektoru, podobně jako v loňském roce převážně vlivem redukce sebezaměstnaných.</w:t>
            </w:r>
          </w:p>
        </w:tc>
      </w:tr>
      <w:tr w:rsidR="00B43216" w:rsidRPr="00B43216" w14:paraId="3DAD1A47" w14:textId="77777777" w:rsidTr="00B43216">
        <w:trPr>
          <w:trHeight w:val="98"/>
        </w:trPr>
        <w:tc>
          <w:tcPr>
            <w:tcW w:w="1790" w:type="dxa"/>
            <w:vMerge w:val="restart"/>
            <w:shd w:val="clear" w:color="auto" w:fill="auto"/>
            <w:tcMar>
              <w:left w:w="0" w:type="dxa"/>
            </w:tcMar>
          </w:tcPr>
          <w:p w14:paraId="5107526E" w14:textId="77777777" w:rsidR="00B43216" w:rsidRPr="00B43216" w:rsidRDefault="00B43216" w:rsidP="00B43216">
            <w:pPr>
              <w:pStyle w:val="Marginlie"/>
            </w:pPr>
          </w:p>
        </w:tc>
        <w:tc>
          <w:tcPr>
            <w:tcW w:w="216" w:type="dxa"/>
            <w:vMerge w:val="restart"/>
            <w:shd w:val="clear" w:color="auto" w:fill="auto"/>
            <w:tcMar>
              <w:left w:w="0" w:type="dxa"/>
            </w:tcMar>
          </w:tcPr>
          <w:p w14:paraId="20F232AF" w14:textId="77777777" w:rsidR="00B43216" w:rsidRPr="00B43216" w:rsidRDefault="00B43216" w:rsidP="00B43216">
            <w:pPr>
              <w:pStyle w:val="Textpoznpodarou"/>
              <w:jc w:val="both"/>
              <w:rPr>
                <w:spacing w:val="-4"/>
              </w:rPr>
            </w:pPr>
          </w:p>
        </w:tc>
        <w:tc>
          <w:tcPr>
            <w:tcW w:w="7648" w:type="dxa"/>
            <w:shd w:val="clear" w:color="auto" w:fill="auto"/>
            <w:tcMar>
              <w:left w:w="0" w:type="dxa"/>
            </w:tcMar>
          </w:tcPr>
          <w:p w14:paraId="068F2C8F" w14:textId="4E3CABD6" w:rsidR="00B43216" w:rsidRPr="00B43216" w:rsidRDefault="00B43216" w:rsidP="00B43216">
            <w:pPr>
              <w:spacing w:after="40" w:line="240" w:lineRule="auto"/>
              <w:rPr>
                <w:spacing w:val="-2"/>
              </w:rPr>
            </w:pPr>
            <w:r w:rsidRPr="00C06323">
              <w:rPr>
                <w:rFonts w:cs="Arial"/>
                <w:b/>
                <w:bCs/>
                <w:color w:val="000000"/>
                <w:szCs w:val="20"/>
              </w:rPr>
              <w:t xml:space="preserve">Graf č. </w:t>
            </w:r>
            <w:r w:rsidR="008A394E">
              <w:rPr>
                <w:rFonts w:cs="Arial"/>
                <w:b/>
                <w:bCs/>
                <w:color w:val="000000"/>
                <w:szCs w:val="20"/>
              </w:rPr>
              <w:t>13</w:t>
            </w:r>
            <w:r w:rsidRPr="00631BC9">
              <w:rPr>
                <w:rFonts w:cs="Arial"/>
                <w:b/>
                <w:bCs/>
                <w:color w:val="000000"/>
                <w:sz w:val="18"/>
                <w:szCs w:val="18"/>
              </w:rPr>
              <w:t xml:space="preserve"> </w:t>
            </w:r>
            <w:r>
              <w:rPr>
                <w:rFonts w:cs="Arial"/>
                <w:b/>
                <w:bCs/>
                <w:color w:val="000000"/>
                <w:sz w:val="18"/>
                <w:szCs w:val="18"/>
              </w:rPr>
              <w:t xml:space="preserve"> </w:t>
            </w:r>
            <w:r>
              <w:rPr>
                <w:b/>
                <w:lang w:eastAsia="en-US"/>
              </w:rPr>
              <w:t xml:space="preserve">Celková zaměstnanost </w:t>
            </w:r>
            <w:r w:rsidRPr="00F104F2">
              <w:rPr>
                <w:lang w:eastAsia="en-US"/>
              </w:rPr>
              <w:t>(</w:t>
            </w:r>
            <w:r w:rsidRPr="00F104F2">
              <w:rPr>
                <w:spacing w:val="-2"/>
              </w:rPr>
              <w:t>meziročně</w:t>
            </w:r>
            <w:r w:rsidRPr="00F104F2">
              <w:rPr>
                <w:bCs/>
                <w:spacing w:val="-2"/>
              </w:rPr>
              <w:t xml:space="preserve"> v</w:t>
            </w:r>
            <w:r>
              <w:rPr>
                <w:bCs/>
                <w:spacing w:val="-2"/>
              </w:rPr>
              <w:t> </w:t>
            </w:r>
            <w:r w:rsidRPr="00F104F2">
              <w:rPr>
                <w:bCs/>
                <w:spacing w:val="-2"/>
              </w:rPr>
              <w:t>%)</w:t>
            </w:r>
            <w:r>
              <w:rPr>
                <w:bCs/>
                <w:spacing w:val="-2"/>
              </w:rPr>
              <w:t xml:space="preserve"> </w:t>
            </w:r>
            <w:r w:rsidRPr="00F104F2">
              <w:rPr>
                <w:b/>
                <w:bCs/>
                <w:spacing w:val="-2"/>
              </w:rPr>
              <w:t>a</w:t>
            </w:r>
            <w:r>
              <w:rPr>
                <w:b/>
                <w:bCs/>
                <w:spacing w:val="-2"/>
              </w:rPr>
              <w:t> </w:t>
            </w:r>
            <w:r w:rsidRPr="00F104F2">
              <w:rPr>
                <w:b/>
                <w:bCs/>
                <w:spacing w:val="-2"/>
              </w:rPr>
              <w:t>příspěvky hlavních odvětví  k meziroční změně zaměstnanosti</w:t>
            </w:r>
            <w:r>
              <w:rPr>
                <w:bCs/>
                <w:spacing w:val="-2"/>
              </w:rPr>
              <w:t xml:space="preserve"> (v procentních bodech)</w:t>
            </w:r>
          </w:p>
        </w:tc>
      </w:tr>
      <w:tr w:rsidR="00B43216" w:rsidRPr="00B43216" w14:paraId="273CDA31" w14:textId="77777777" w:rsidTr="00B43216">
        <w:tblPrEx>
          <w:tblCellMar>
            <w:left w:w="70" w:type="dxa"/>
            <w:right w:w="70" w:type="dxa"/>
          </w:tblCellMar>
        </w:tblPrEx>
        <w:trPr>
          <w:trHeight w:val="96"/>
        </w:trPr>
        <w:tc>
          <w:tcPr>
            <w:tcW w:w="1790" w:type="dxa"/>
            <w:vMerge/>
            <w:shd w:val="clear" w:color="auto" w:fill="auto"/>
          </w:tcPr>
          <w:p w14:paraId="34D5F5B4" w14:textId="77777777" w:rsidR="00B43216" w:rsidRPr="00B43216" w:rsidRDefault="00B43216" w:rsidP="00B43216">
            <w:pPr>
              <w:pStyle w:val="Marginlie"/>
            </w:pPr>
          </w:p>
        </w:tc>
        <w:tc>
          <w:tcPr>
            <w:tcW w:w="216" w:type="dxa"/>
            <w:vMerge/>
            <w:shd w:val="clear" w:color="auto" w:fill="auto"/>
          </w:tcPr>
          <w:p w14:paraId="0F3FC10D" w14:textId="77777777" w:rsidR="00B43216" w:rsidRPr="00B43216" w:rsidRDefault="00B43216" w:rsidP="00B43216">
            <w:pPr>
              <w:pStyle w:val="Textpoznpodarou"/>
              <w:jc w:val="both"/>
              <w:rPr>
                <w:spacing w:val="-4"/>
              </w:rPr>
            </w:pPr>
          </w:p>
        </w:tc>
        <w:tc>
          <w:tcPr>
            <w:tcW w:w="7648" w:type="dxa"/>
            <w:shd w:val="clear" w:color="auto" w:fill="auto"/>
          </w:tcPr>
          <w:p w14:paraId="1BDDCE37" w14:textId="3E513E25" w:rsidR="00B43216" w:rsidRPr="00B43216" w:rsidRDefault="00B43216" w:rsidP="00B43216">
            <w:pPr>
              <w:spacing w:after="40" w:line="240" w:lineRule="auto"/>
              <w:rPr>
                <w:spacing w:val="-2"/>
              </w:rPr>
            </w:pPr>
            <w:r>
              <w:rPr>
                <w:noProof/>
              </w:rPr>
              <w:drawing>
                <wp:inline distT="0" distB="0" distL="0" distR="0" wp14:anchorId="4DC9E343" wp14:editId="552068AA">
                  <wp:extent cx="4741598" cy="3547811"/>
                  <wp:effectExtent l="0" t="0" r="1905"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B43216" w:rsidRPr="00B43216" w14:paraId="4D7DDEEE" w14:textId="77777777" w:rsidTr="00B43216">
        <w:trPr>
          <w:trHeight w:val="96"/>
        </w:trPr>
        <w:tc>
          <w:tcPr>
            <w:tcW w:w="1790" w:type="dxa"/>
            <w:vMerge/>
            <w:shd w:val="clear" w:color="auto" w:fill="auto"/>
            <w:tcMar>
              <w:left w:w="0" w:type="dxa"/>
            </w:tcMar>
          </w:tcPr>
          <w:p w14:paraId="648B44D8" w14:textId="77777777" w:rsidR="00B43216" w:rsidRPr="00B43216" w:rsidRDefault="00B43216" w:rsidP="00B43216">
            <w:pPr>
              <w:pStyle w:val="Marginlie"/>
            </w:pPr>
          </w:p>
        </w:tc>
        <w:tc>
          <w:tcPr>
            <w:tcW w:w="216" w:type="dxa"/>
            <w:vMerge/>
            <w:shd w:val="clear" w:color="auto" w:fill="auto"/>
            <w:tcMar>
              <w:left w:w="0" w:type="dxa"/>
            </w:tcMar>
          </w:tcPr>
          <w:p w14:paraId="4DDCF167" w14:textId="77777777" w:rsidR="00B43216" w:rsidRPr="00B43216" w:rsidRDefault="00B43216" w:rsidP="00B43216">
            <w:pPr>
              <w:pStyle w:val="Textpoznpodarou"/>
              <w:jc w:val="both"/>
              <w:rPr>
                <w:spacing w:val="-4"/>
              </w:rPr>
            </w:pPr>
          </w:p>
        </w:tc>
        <w:tc>
          <w:tcPr>
            <w:tcW w:w="7648" w:type="dxa"/>
            <w:shd w:val="clear" w:color="auto" w:fill="auto"/>
            <w:tcMar>
              <w:left w:w="0" w:type="dxa"/>
            </w:tcMar>
          </w:tcPr>
          <w:p w14:paraId="575C2E1A" w14:textId="77777777" w:rsidR="00B43216" w:rsidRDefault="00B43216" w:rsidP="00B43216">
            <w:pPr>
              <w:spacing w:after="0" w:line="240" w:lineRule="auto"/>
              <w:rPr>
                <w:rFonts w:cs="Arial"/>
                <w:sz w:val="14"/>
                <w:szCs w:val="14"/>
              </w:rPr>
            </w:pPr>
            <w:r>
              <w:rPr>
                <w:rFonts w:cs="Arial"/>
                <w:sz w:val="14"/>
                <w:szCs w:val="14"/>
              </w:rPr>
              <w:t>*</w:t>
            </w:r>
            <w:r w:rsidRPr="00862F17">
              <w:rPr>
                <w:rFonts w:cs="Arial"/>
                <w:sz w:val="14"/>
                <w:szCs w:val="14"/>
              </w:rPr>
              <w:t>Zahrnuje odvětví: Těžba a</w:t>
            </w:r>
            <w:r>
              <w:rPr>
                <w:rFonts w:cs="Arial"/>
                <w:sz w:val="14"/>
                <w:szCs w:val="14"/>
              </w:rPr>
              <w:t> </w:t>
            </w:r>
            <w:r w:rsidRPr="00862F17">
              <w:rPr>
                <w:rFonts w:cs="Arial"/>
                <w:sz w:val="14"/>
                <w:szCs w:val="14"/>
              </w:rPr>
              <w:t>energetika, Peněžnictví a</w:t>
            </w:r>
            <w:r>
              <w:rPr>
                <w:rFonts w:cs="Arial"/>
                <w:sz w:val="14"/>
                <w:szCs w:val="14"/>
              </w:rPr>
              <w:t> </w:t>
            </w:r>
            <w:r w:rsidRPr="00862F17">
              <w:rPr>
                <w:rFonts w:cs="Arial"/>
                <w:sz w:val="14"/>
                <w:szCs w:val="14"/>
              </w:rPr>
              <w:t>pojišťovnictví, Činnosti v</w:t>
            </w:r>
            <w:r>
              <w:rPr>
                <w:rFonts w:cs="Arial"/>
                <w:sz w:val="14"/>
                <w:szCs w:val="14"/>
              </w:rPr>
              <w:t> </w:t>
            </w:r>
            <w:r w:rsidRPr="00862F17">
              <w:rPr>
                <w:rFonts w:cs="Arial"/>
                <w:sz w:val="14"/>
                <w:szCs w:val="14"/>
              </w:rPr>
              <w:t>oblasti nemovitostí, Kulturní, zábavní a</w:t>
            </w:r>
            <w:r w:rsidRPr="00D47653">
              <w:rPr>
                <w:sz w:val="14"/>
                <w:szCs w:val="14"/>
              </w:rPr>
              <w:t> </w:t>
            </w:r>
            <w:r w:rsidRPr="00862F17">
              <w:rPr>
                <w:rFonts w:cs="Arial"/>
                <w:sz w:val="14"/>
                <w:szCs w:val="14"/>
              </w:rPr>
              <w:t>rekreační činnosti, Ostatní služby.</w:t>
            </w:r>
          </w:p>
          <w:p w14:paraId="06618E50" w14:textId="77777777" w:rsidR="00B43216" w:rsidRDefault="00B43216" w:rsidP="00B43216">
            <w:pPr>
              <w:spacing w:after="0" w:line="240" w:lineRule="auto"/>
              <w:rPr>
                <w:rFonts w:cs="Arial"/>
                <w:sz w:val="14"/>
                <w:szCs w:val="14"/>
              </w:rPr>
            </w:pPr>
            <w:r w:rsidRPr="00862F17">
              <w:rPr>
                <w:rFonts w:cs="Arial"/>
                <w:sz w:val="14"/>
                <w:szCs w:val="14"/>
              </w:rPr>
              <w:t>Zdroj: ČSÚ (národní účty</w:t>
            </w:r>
            <w:r>
              <w:rPr>
                <w:rFonts w:cs="Arial"/>
                <w:sz w:val="14"/>
                <w:szCs w:val="14"/>
              </w:rPr>
              <w:t>)</w:t>
            </w:r>
          </w:p>
          <w:p w14:paraId="37658A78" w14:textId="77777777" w:rsidR="00B43216" w:rsidRPr="00B43216" w:rsidRDefault="00B43216" w:rsidP="00B43216">
            <w:pPr>
              <w:spacing w:after="0" w:line="240" w:lineRule="auto"/>
              <w:rPr>
                <w:spacing w:val="-2"/>
                <w:szCs w:val="20"/>
              </w:rPr>
            </w:pPr>
          </w:p>
        </w:tc>
      </w:tr>
      <w:tr w:rsidR="00B43216" w:rsidRPr="00B43216" w14:paraId="28AB9F67" w14:textId="77777777" w:rsidTr="00B43216">
        <w:trPr>
          <w:trHeight w:val="145"/>
        </w:trPr>
        <w:tc>
          <w:tcPr>
            <w:tcW w:w="1790" w:type="dxa"/>
            <w:shd w:val="clear" w:color="auto" w:fill="auto"/>
            <w:tcMar>
              <w:left w:w="0" w:type="dxa"/>
            </w:tcMar>
          </w:tcPr>
          <w:p w14:paraId="2D24FDFF" w14:textId="77777777" w:rsidR="00B43216" w:rsidRDefault="00B43216" w:rsidP="00B43216">
            <w:pPr>
              <w:pStyle w:val="Marginlie"/>
            </w:pPr>
            <w:r>
              <w:t>Průměrný věk pracovníků se dále zvyšoval. Rostla i míra zaměstnanosti obyvatel v produktivním věku, byť slábnoucím tempem.</w:t>
            </w:r>
          </w:p>
          <w:p w14:paraId="7F30E431" w14:textId="77777777" w:rsidR="00B43216" w:rsidRDefault="00B43216" w:rsidP="00B43216">
            <w:pPr>
              <w:pStyle w:val="Marginlie"/>
            </w:pPr>
          </w:p>
          <w:p w14:paraId="11AF33B9" w14:textId="77777777" w:rsidR="00B43216" w:rsidRDefault="00B43216" w:rsidP="00B43216">
            <w:pPr>
              <w:pStyle w:val="Marginlie"/>
            </w:pPr>
          </w:p>
          <w:p w14:paraId="70DE3948" w14:textId="096006DE" w:rsidR="00B43216" w:rsidRPr="00B43216" w:rsidRDefault="00B43216" w:rsidP="00B43216">
            <w:pPr>
              <w:pStyle w:val="Marginlie"/>
            </w:pPr>
            <w:r>
              <w:t>Míra zaměstnanosti mužů i žen v ČR patří v rámci EU dlouhodobě k výrazně nadprůměrným.</w:t>
            </w:r>
          </w:p>
        </w:tc>
        <w:tc>
          <w:tcPr>
            <w:tcW w:w="216" w:type="dxa"/>
            <w:shd w:val="clear" w:color="auto" w:fill="auto"/>
            <w:tcMar>
              <w:left w:w="0" w:type="dxa"/>
            </w:tcMar>
          </w:tcPr>
          <w:p w14:paraId="184883C8" w14:textId="77777777" w:rsidR="00B43216" w:rsidRPr="00B43216" w:rsidRDefault="00B43216" w:rsidP="00B43216">
            <w:pPr>
              <w:pStyle w:val="Textpoznpodarou"/>
              <w:jc w:val="both"/>
              <w:rPr>
                <w:spacing w:val="-4"/>
              </w:rPr>
            </w:pPr>
          </w:p>
        </w:tc>
        <w:tc>
          <w:tcPr>
            <w:tcW w:w="7648" w:type="dxa"/>
            <w:shd w:val="clear" w:color="auto" w:fill="auto"/>
            <w:tcMar>
              <w:left w:w="0" w:type="dxa"/>
            </w:tcMar>
          </w:tcPr>
          <w:p w14:paraId="30F4569D" w14:textId="0A0DF84A" w:rsidR="00B43216" w:rsidRPr="00B43216" w:rsidRDefault="00B43216" w:rsidP="00B43216">
            <w:pPr>
              <w:spacing w:after="200"/>
              <w:rPr>
                <w:spacing w:val="-2"/>
              </w:rPr>
            </w:pPr>
            <w:r>
              <w:rPr>
                <w:spacing w:val="-2"/>
              </w:rPr>
              <w:t>Z hlediska věkové skladby působilo na zaměstnanost pozitivně hlavně prodlužování zákonného i skutečného věku odchodu do důchodu. Pokračovaly i další strukturální změny – do věku s nejvyšší mírou ekonomické participace se posouvaly populačně silné ročníky 70. let. Průměrný věk pracovníků se dále zvýšil. Tyto trendy se promítly i do rostoucí míry zaměstnanosti obyvatel v produktivním věku. Ta činila ve 2. čtvrtletí u mužů 82,0 % a u žen 67,8 %, v obou případech se meziročně zvýšila o 0,3 p. b. Tempo růstu postupně slábne s tím, jak „vysychají“ potenciální zdroje pracovníků mezi nezaměstnanými i ekonomicky neaktivními chtějícími pracovat</w:t>
            </w:r>
            <w:r w:rsidRPr="00D175A7">
              <w:rPr>
                <w:rStyle w:val="Znakapoznpodarou"/>
                <w:color w:val="0D0D0D" w:themeColor="text1" w:themeTint="F2"/>
                <w:spacing w:val="-2"/>
              </w:rPr>
              <w:footnoteReference w:id="7"/>
            </w:r>
            <w:r>
              <w:rPr>
                <w:spacing w:val="-2"/>
              </w:rPr>
              <w:t>. I tak zůstává míra zaměstnanosti v Česku v evropském kontextu výrazně nadprůměrná. U žen patří ČR jedenácté místo</w:t>
            </w:r>
            <w:r w:rsidRPr="00D175A7">
              <w:rPr>
                <w:rStyle w:val="Znakapoznpodarou"/>
                <w:color w:val="0D0D0D" w:themeColor="text1" w:themeTint="F2"/>
                <w:spacing w:val="-2"/>
              </w:rPr>
              <w:footnoteReference w:id="8"/>
            </w:r>
            <w:r>
              <w:rPr>
                <w:spacing w:val="-2"/>
              </w:rPr>
              <w:t xml:space="preserve"> mezi státy EU (s maximem ve Švédsku – 75 % a minimem v Řecku </w:t>
            </w:r>
            <w:r>
              <w:rPr>
                <w:spacing w:val="-2"/>
              </w:rPr>
              <w:br/>
              <w:t>– 46 % a dále v Itálii – 50 %), u mužů druhá příčka (v těsném odstupu za Nizozemskem).</w:t>
            </w:r>
          </w:p>
        </w:tc>
      </w:tr>
      <w:tr w:rsidR="00B43216" w:rsidRPr="00B43216" w14:paraId="5BC30728" w14:textId="77777777" w:rsidTr="00B43216">
        <w:trPr>
          <w:trHeight w:val="145"/>
        </w:trPr>
        <w:tc>
          <w:tcPr>
            <w:tcW w:w="1790" w:type="dxa"/>
            <w:shd w:val="clear" w:color="auto" w:fill="auto"/>
            <w:tcMar>
              <w:left w:w="0" w:type="dxa"/>
            </w:tcMar>
          </w:tcPr>
          <w:p w14:paraId="2EDB2BE1" w14:textId="77777777" w:rsidR="00B43216" w:rsidRDefault="00B43216" w:rsidP="00B43216">
            <w:pPr>
              <w:pStyle w:val="Marginlie"/>
            </w:pPr>
            <w:r w:rsidRPr="00440ADE">
              <w:t xml:space="preserve">Obecná míra nezaměstnanosti dále mírně klesala, především </w:t>
            </w:r>
            <w:r w:rsidRPr="00440ADE">
              <w:lastRenderedPageBreak/>
              <w:t>zásluhou žen. Podíl osob bez práce déle než rok na všech nezaměstnaných se ustálil těsně nad 30</w:t>
            </w:r>
            <w:r>
              <w:t> </w:t>
            </w:r>
            <w:r w:rsidRPr="00440ADE">
              <w:t>%.</w:t>
            </w:r>
          </w:p>
          <w:p w14:paraId="292F1827" w14:textId="77777777" w:rsidR="00B43216" w:rsidRDefault="00B43216" w:rsidP="00B43216">
            <w:pPr>
              <w:pStyle w:val="Marginlie"/>
            </w:pPr>
          </w:p>
          <w:p w14:paraId="0EBE599A" w14:textId="77777777" w:rsidR="00B43216" w:rsidRDefault="00B43216" w:rsidP="00B43216">
            <w:pPr>
              <w:pStyle w:val="Marginlie"/>
            </w:pPr>
          </w:p>
          <w:p w14:paraId="37801CB9" w14:textId="77777777" w:rsidR="00B43216" w:rsidRDefault="00B43216" w:rsidP="00B43216">
            <w:pPr>
              <w:pStyle w:val="Marginlie"/>
            </w:pPr>
          </w:p>
          <w:p w14:paraId="48DAAC64" w14:textId="77777777" w:rsidR="00B43216" w:rsidRDefault="00B43216" w:rsidP="00B43216">
            <w:pPr>
              <w:pStyle w:val="Marginlie"/>
            </w:pPr>
          </w:p>
          <w:p w14:paraId="0814413D" w14:textId="77777777" w:rsidR="00B43216" w:rsidRDefault="00B43216" w:rsidP="00B43216">
            <w:pPr>
              <w:pStyle w:val="Marginlie"/>
            </w:pPr>
          </w:p>
          <w:p w14:paraId="5B0EE824" w14:textId="0C176A86" w:rsidR="00B43216" w:rsidRPr="00B43216" w:rsidRDefault="00B43216" w:rsidP="00B43216">
            <w:pPr>
              <w:pStyle w:val="Marginlie"/>
            </w:pPr>
            <w:r>
              <w:t>Míra nezaměstnanosti mužů i žen v Česku zůstávala mezi státy EU stále nejnižší. Velmi dobrou pozici měly i ostatní země střední Evropy.</w:t>
            </w:r>
          </w:p>
        </w:tc>
        <w:tc>
          <w:tcPr>
            <w:tcW w:w="216" w:type="dxa"/>
            <w:shd w:val="clear" w:color="auto" w:fill="auto"/>
            <w:tcMar>
              <w:left w:w="0" w:type="dxa"/>
            </w:tcMar>
          </w:tcPr>
          <w:p w14:paraId="65EC8FFB" w14:textId="77777777" w:rsidR="00B43216" w:rsidRPr="00B43216" w:rsidRDefault="00B43216" w:rsidP="00B43216">
            <w:pPr>
              <w:pStyle w:val="Textpoznpodarou"/>
              <w:jc w:val="both"/>
              <w:rPr>
                <w:spacing w:val="-4"/>
              </w:rPr>
            </w:pPr>
          </w:p>
        </w:tc>
        <w:tc>
          <w:tcPr>
            <w:tcW w:w="7648" w:type="dxa"/>
            <w:shd w:val="clear" w:color="auto" w:fill="auto"/>
            <w:tcMar>
              <w:left w:w="0" w:type="dxa"/>
            </w:tcMar>
          </w:tcPr>
          <w:p w14:paraId="3F5C8765" w14:textId="32D6A09E" w:rsidR="00B43216" w:rsidRPr="00B43216" w:rsidRDefault="00B43216" w:rsidP="00B43216">
            <w:pPr>
              <w:spacing w:after="200"/>
              <w:rPr>
                <w:spacing w:val="-4"/>
              </w:rPr>
            </w:pPr>
            <w:r>
              <w:rPr>
                <w:spacing w:val="-3"/>
              </w:rPr>
              <w:t>Obecná míra nezaměstnanosti (po sezónním očištění) se letos, podobně jako v roce 2018, snižovala již jen nepatrně. Ve 2. čtvrtletí sestoupila u mužů na 1,7 %, u žen na 2,5</w:t>
            </w:r>
            <w:r>
              <w:rPr>
                <w:spacing w:val="-2"/>
              </w:rPr>
              <w:t> </w:t>
            </w:r>
            <w:r>
              <w:rPr>
                <w:spacing w:val="-3"/>
              </w:rPr>
              <w:t xml:space="preserve">%. </w:t>
            </w:r>
            <w:r>
              <w:rPr>
                <w:spacing w:val="-3"/>
              </w:rPr>
              <w:lastRenderedPageBreak/>
              <w:t>Meziročně tak klesla jen o 0,1, resp. 0,4 p. b. Pozitivní bylo, že se snižoval i</w:t>
            </w:r>
            <w:r>
              <w:rPr>
                <w:spacing w:val="-2"/>
              </w:rPr>
              <w:t> </w:t>
            </w:r>
            <w:r>
              <w:rPr>
                <w:spacing w:val="-3"/>
              </w:rPr>
              <w:t>počet dlouhodobě nezaměstnaných (nad jeden rok), v samotném 2. čtvrtletí ale již jen o</w:t>
            </w:r>
            <w:r>
              <w:rPr>
                <w:spacing w:val="-2"/>
              </w:rPr>
              <w:t> </w:t>
            </w:r>
            <w:r>
              <w:rPr>
                <w:spacing w:val="-3"/>
              </w:rPr>
              <w:t>2,7 tis. osob. K meziroční redukci celkové nezaměstnanosti tak tyto osoby přispěly jen z jedné šestiny. Mezi nezaměstnanými pak byly zastoupeny jen třetinou a tento podíl zůstává již téměř dva roky neměnný. Mezi dlouhodobě nezaměstnanými mají vyšší podíl lidé nad 50 let a též osoby se základním vzděláním. Byť v průběhu letošního roku mírně přibylo podniků, které očekávaly snižování stavu pracovníků, lze předpokládat, že trh práce dokázal tyto dosud nepočetné skupiny propuštěných opět bez potíží vstřebat. Velmi nízká nezaměstnanost se projevuje i ve zlepšených pracovních podmínkách stávajících zaměstnanců (např. poklesem podílu pracujících nedobrovolně na dobu určitou, a to i u agenturních pracovníků). Míra nezaměstnanosti mužů i žen v ČR dosahovala v letošním i loňském roce nejnižší hodnoty mezi státy EU. Tak jako v Česku klesla nezaměstnanost na minima (od počátku 90. let) např. i v ostatních zemích Visegrádské skupiny.</w:t>
            </w:r>
          </w:p>
        </w:tc>
      </w:tr>
      <w:tr w:rsidR="00B43216" w:rsidRPr="00B43216" w14:paraId="2D9E0120" w14:textId="77777777" w:rsidTr="00B43216">
        <w:trPr>
          <w:trHeight w:val="155"/>
        </w:trPr>
        <w:tc>
          <w:tcPr>
            <w:tcW w:w="1790" w:type="dxa"/>
            <w:vMerge w:val="restart"/>
            <w:shd w:val="clear" w:color="auto" w:fill="auto"/>
            <w:tcMar>
              <w:left w:w="0" w:type="dxa"/>
            </w:tcMar>
          </w:tcPr>
          <w:p w14:paraId="28D4D2DA" w14:textId="77777777" w:rsidR="00B43216" w:rsidRPr="00B43216" w:rsidRDefault="00B43216" w:rsidP="00B43216">
            <w:pPr>
              <w:pStyle w:val="Marginlie"/>
              <w:rPr>
                <w:spacing w:val="-4"/>
              </w:rPr>
            </w:pPr>
          </w:p>
        </w:tc>
        <w:tc>
          <w:tcPr>
            <w:tcW w:w="216" w:type="dxa"/>
            <w:vMerge w:val="restart"/>
            <w:shd w:val="clear" w:color="auto" w:fill="auto"/>
            <w:tcMar>
              <w:left w:w="0" w:type="dxa"/>
            </w:tcMar>
          </w:tcPr>
          <w:p w14:paraId="07A9C8BE" w14:textId="77777777" w:rsidR="00B43216" w:rsidRPr="00B43216" w:rsidRDefault="00B43216" w:rsidP="00B43216">
            <w:pPr>
              <w:pStyle w:val="Textpoznpodarou"/>
              <w:jc w:val="both"/>
              <w:rPr>
                <w:spacing w:val="-4"/>
              </w:rPr>
            </w:pPr>
          </w:p>
        </w:tc>
        <w:tc>
          <w:tcPr>
            <w:tcW w:w="7648" w:type="dxa"/>
            <w:shd w:val="clear" w:color="auto" w:fill="auto"/>
            <w:tcMar>
              <w:left w:w="0" w:type="dxa"/>
            </w:tcMar>
          </w:tcPr>
          <w:p w14:paraId="1786E8CF" w14:textId="536A5FDA" w:rsidR="00B43216" w:rsidRPr="00B43216" w:rsidRDefault="00B43216" w:rsidP="00B43216">
            <w:pPr>
              <w:spacing w:after="0"/>
              <w:rPr>
                <w:spacing w:val="-4"/>
              </w:rPr>
            </w:pPr>
            <w:r>
              <w:rPr>
                <w:b/>
                <w:spacing w:val="-2"/>
              </w:rPr>
              <w:t>Graf č.</w:t>
            </w:r>
            <w:r w:rsidR="008A394E">
              <w:rPr>
                <w:b/>
                <w:spacing w:val="-2"/>
              </w:rPr>
              <w:t xml:space="preserve"> 14</w:t>
            </w:r>
            <w:r w:rsidRPr="00425211">
              <w:rPr>
                <w:b/>
                <w:spacing w:val="-2"/>
              </w:rPr>
              <w:t xml:space="preserve">  </w:t>
            </w:r>
            <w:r w:rsidRPr="00425211">
              <w:rPr>
                <w:rFonts w:cs="Arial"/>
                <w:b/>
                <w:bCs/>
                <w:spacing w:val="-2"/>
              </w:rPr>
              <w:t xml:space="preserve">Obecná míra nezaměstnanosti </w:t>
            </w:r>
            <w:r>
              <w:rPr>
                <w:rFonts w:cs="Arial"/>
                <w:b/>
                <w:bCs/>
                <w:spacing w:val="-2"/>
              </w:rPr>
              <w:t>ve věku 15 až 74 let v ČR, EU celkem a</w:t>
            </w:r>
            <w:r w:rsidRPr="00F104F2">
              <w:rPr>
                <w:b/>
                <w:bCs/>
                <w:spacing w:val="-2"/>
              </w:rPr>
              <w:t> </w:t>
            </w:r>
            <w:r>
              <w:rPr>
                <w:rFonts w:cs="Arial"/>
                <w:b/>
                <w:bCs/>
                <w:spacing w:val="-2"/>
              </w:rPr>
              <w:t xml:space="preserve">vybraných státech Unie </w:t>
            </w:r>
            <w:r w:rsidRPr="006B6970">
              <w:rPr>
                <w:rFonts w:cs="Arial"/>
                <w:bCs/>
                <w:spacing w:val="-2"/>
              </w:rPr>
              <w:t>(v</w:t>
            </w:r>
            <w:r>
              <w:rPr>
                <w:rFonts w:cs="Arial"/>
                <w:bCs/>
                <w:spacing w:val="-2"/>
              </w:rPr>
              <w:t> </w:t>
            </w:r>
            <w:r w:rsidRPr="006B6970">
              <w:rPr>
                <w:rFonts w:cs="Arial"/>
                <w:bCs/>
                <w:spacing w:val="-2"/>
              </w:rPr>
              <w:t>%)</w:t>
            </w:r>
            <w:r>
              <w:rPr>
                <w:rFonts w:cs="Arial"/>
                <w:b/>
                <w:bCs/>
                <w:spacing w:val="-2"/>
              </w:rPr>
              <w:t>*</w:t>
            </w:r>
          </w:p>
        </w:tc>
      </w:tr>
      <w:tr w:rsidR="00B43216" w:rsidRPr="00B43216" w14:paraId="72F07E91" w14:textId="77777777" w:rsidTr="00B43216">
        <w:trPr>
          <w:trHeight w:val="155"/>
        </w:trPr>
        <w:tc>
          <w:tcPr>
            <w:tcW w:w="1790" w:type="dxa"/>
            <w:vMerge/>
            <w:shd w:val="clear" w:color="auto" w:fill="auto"/>
            <w:tcMar>
              <w:left w:w="0" w:type="dxa"/>
            </w:tcMar>
          </w:tcPr>
          <w:p w14:paraId="2B54720C" w14:textId="77777777" w:rsidR="00B43216" w:rsidRPr="00B43216" w:rsidRDefault="00B43216" w:rsidP="00B43216">
            <w:pPr>
              <w:pStyle w:val="Marginlie"/>
              <w:rPr>
                <w:spacing w:val="-4"/>
              </w:rPr>
            </w:pPr>
          </w:p>
        </w:tc>
        <w:tc>
          <w:tcPr>
            <w:tcW w:w="216" w:type="dxa"/>
            <w:vMerge/>
            <w:shd w:val="clear" w:color="auto" w:fill="auto"/>
            <w:tcMar>
              <w:left w:w="0" w:type="dxa"/>
            </w:tcMar>
          </w:tcPr>
          <w:p w14:paraId="61A80628" w14:textId="77777777" w:rsidR="00B43216" w:rsidRPr="00B43216" w:rsidRDefault="00B43216" w:rsidP="00B43216">
            <w:pPr>
              <w:pStyle w:val="Textpoznpodarou"/>
              <w:jc w:val="both"/>
              <w:rPr>
                <w:spacing w:val="-4"/>
              </w:rPr>
            </w:pPr>
          </w:p>
        </w:tc>
        <w:tc>
          <w:tcPr>
            <w:tcW w:w="7648" w:type="dxa"/>
            <w:shd w:val="clear" w:color="auto" w:fill="auto"/>
            <w:tcMar>
              <w:left w:w="0" w:type="dxa"/>
            </w:tcMar>
          </w:tcPr>
          <w:p w14:paraId="06011788" w14:textId="4B09272C" w:rsidR="00B43216" w:rsidRPr="00B43216" w:rsidRDefault="00B43216" w:rsidP="00B43216">
            <w:pPr>
              <w:spacing w:after="0"/>
              <w:rPr>
                <w:spacing w:val="-4"/>
              </w:rPr>
            </w:pPr>
            <w:r>
              <w:rPr>
                <w:noProof/>
              </w:rPr>
              <w:drawing>
                <wp:inline distT="0" distB="0" distL="0" distR="0" wp14:anchorId="3930AA3C" wp14:editId="1AFFA52D">
                  <wp:extent cx="4721199" cy="3262579"/>
                  <wp:effectExtent l="1905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B43216" w:rsidRPr="00B43216" w14:paraId="40954C4F" w14:textId="77777777" w:rsidTr="00B43216">
        <w:trPr>
          <w:trHeight w:val="155"/>
        </w:trPr>
        <w:tc>
          <w:tcPr>
            <w:tcW w:w="1790" w:type="dxa"/>
            <w:vMerge/>
            <w:shd w:val="clear" w:color="auto" w:fill="auto"/>
            <w:tcMar>
              <w:left w:w="0" w:type="dxa"/>
            </w:tcMar>
          </w:tcPr>
          <w:p w14:paraId="0F34696E" w14:textId="77777777" w:rsidR="00B43216" w:rsidRPr="00B43216" w:rsidRDefault="00B43216" w:rsidP="00B43216">
            <w:pPr>
              <w:pStyle w:val="Marginlie"/>
              <w:rPr>
                <w:spacing w:val="-4"/>
              </w:rPr>
            </w:pPr>
          </w:p>
        </w:tc>
        <w:tc>
          <w:tcPr>
            <w:tcW w:w="216" w:type="dxa"/>
            <w:vMerge/>
            <w:shd w:val="clear" w:color="auto" w:fill="auto"/>
            <w:tcMar>
              <w:left w:w="0" w:type="dxa"/>
            </w:tcMar>
          </w:tcPr>
          <w:p w14:paraId="68BD5209" w14:textId="77777777" w:rsidR="00B43216" w:rsidRPr="00B43216" w:rsidRDefault="00B43216" w:rsidP="00B43216">
            <w:pPr>
              <w:pStyle w:val="Textpoznpodarou"/>
              <w:jc w:val="both"/>
              <w:rPr>
                <w:spacing w:val="-4"/>
              </w:rPr>
            </w:pPr>
          </w:p>
        </w:tc>
        <w:tc>
          <w:tcPr>
            <w:tcW w:w="7648" w:type="dxa"/>
            <w:shd w:val="clear" w:color="auto" w:fill="auto"/>
            <w:tcMar>
              <w:left w:w="0" w:type="dxa"/>
            </w:tcMar>
          </w:tcPr>
          <w:p w14:paraId="4201227F" w14:textId="6317757E" w:rsidR="00B43216" w:rsidRPr="00B43216" w:rsidRDefault="00B43216" w:rsidP="00B43216">
            <w:pPr>
              <w:spacing w:after="200"/>
              <w:rPr>
                <w:spacing w:val="-4"/>
              </w:rPr>
            </w:pPr>
            <w:r>
              <w:rPr>
                <w:rFonts w:cs="Arial"/>
                <w:color w:val="0D0D0D" w:themeColor="text1" w:themeTint="F2"/>
                <w:sz w:val="14"/>
                <w:szCs w:val="14"/>
              </w:rPr>
              <w:t xml:space="preserve">*Údaje po sezónním očištění.                                                                                                                             </w:t>
            </w:r>
            <w:r w:rsidRPr="00FF12EF">
              <w:rPr>
                <w:rFonts w:cs="Arial"/>
                <w:color w:val="0D0D0D" w:themeColor="text1" w:themeTint="F2"/>
                <w:sz w:val="14"/>
                <w:szCs w:val="14"/>
              </w:rPr>
              <w:t xml:space="preserve">Zdroj: </w:t>
            </w:r>
            <w:r>
              <w:rPr>
                <w:rFonts w:cs="Arial"/>
                <w:color w:val="0D0D0D" w:themeColor="text1" w:themeTint="F2"/>
                <w:sz w:val="14"/>
                <w:szCs w:val="14"/>
              </w:rPr>
              <w:t>Eurostat</w:t>
            </w:r>
          </w:p>
        </w:tc>
      </w:tr>
      <w:tr w:rsidR="00B43216" w:rsidRPr="00B43216" w14:paraId="2840B327" w14:textId="77777777" w:rsidTr="00B43216">
        <w:trPr>
          <w:trHeight w:val="145"/>
        </w:trPr>
        <w:tc>
          <w:tcPr>
            <w:tcW w:w="1790" w:type="dxa"/>
            <w:shd w:val="clear" w:color="auto" w:fill="auto"/>
            <w:tcMar>
              <w:left w:w="0" w:type="dxa"/>
            </w:tcMar>
          </w:tcPr>
          <w:p w14:paraId="5AE339F5" w14:textId="77777777" w:rsidR="00B43216" w:rsidRDefault="00B43216" w:rsidP="00B43216">
            <w:pPr>
              <w:pStyle w:val="Marginlie"/>
            </w:pPr>
            <w:r>
              <w:t xml:space="preserve">Počet volných pracovních míst v nabídce úřadů práce se přiblížil k 350 tis., tempo jejich růstu ale od poloviny roku 2018 citelně zvolnilo. </w:t>
            </w:r>
          </w:p>
          <w:p w14:paraId="5A335DBE" w14:textId="77777777" w:rsidR="00B43216" w:rsidRDefault="00B43216" w:rsidP="00B43216">
            <w:pPr>
              <w:pStyle w:val="Marginlie"/>
            </w:pPr>
          </w:p>
          <w:p w14:paraId="7FA037E2" w14:textId="77777777" w:rsidR="00B43216" w:rsidRDefault="00B43216" w:rsidP="00B43216">
            <w:pPr>
              <w:pStyle w:val="Marginlie"/>
            </w:pPr>
          </w:p>
          <w:p w14:paraId="408CCE97" w14:textId="77777777" w:rsidR="00B43216" w:rsidRDefault="00B43216" w:rsidP="00B43216">
            <w:pPr>
              <w:pStyle w:val="Marginlie"/>
            </w:pPr>
          </w:p>
          <w:p w14:paraId="74DE4980" w14:textId="77777777" w:rsidR="00B43216" w:rsidRDefault="00B43216" w:rsidP="00B43216">
            <w:pPr>
              <w:pStyle w:val="Marginlie"/>
            </w:pPr>
          </w:p>
          <w:p w14:paraId="5670F7F5" w14:textId="0EB69AC1" w:rsidR="00B43216" w:rsidRPr="00B43216" w:rsidRDefault="00B43216" w:rsidP="00B43216">
            <w:pPr>
              <w:pStyle w:val="Marginlie"/>
              <w:rPr>
                <w:spacing w:val="-4"/>
              </w:rPr>
            </w:pPr>
            <w:r>
              <w:t>Nová volná místa cílila primárně na osoby s nejnižší kvalifikací, jen minimální posun v nabídce nastal u osob s vyšším vzděláním, ale např. i u zdravotně postižených.</w:t>
            </w:r>
          </w:p>
        </w:tc>
        <w:tc>
          <w:tcPr>
            <w:tcW w:w="216" w:type="dxa"/>
            <w:shd w:val="clear" w:color="auto" w:fill="auto"/>
            <w:tcMar>
              <w:left w:w="0" w:type="dxa"/>
            </w:tcMar>
          </w:tcPr>
          <w:p w14:paraId="46E55F40" w14:textId="77777777" w:rsidR="00B43216" w:rsidRPr="00B43216" w:rsidRDefault="00B43216" w:rsidP="00B43216">
            <w:pPr>
              <w:pStyle w:val="Textpoznpodarou"/>
              <w:jc w:val="both"/>
              <w:rPr>
                <w:spacing w:val="-4"/>
              </w:rPr>
            </w:pPr>
          </w:p>
        </w:tc>
        <w:tc>
          <w:tcPr>
            <w:tcW w:w="7648" w:type="dxa"/>
            <w:shd w:val="clear" w:color="auto" w:fill="auto"/>
            <w:tcMar>
              <w:left w:w="0" w:type="dxa"/>
            </w:tcMar>
          </w:tcPr>
          <w:p w14:paraId="6883EDA5" w14:textId="6BAD8B5A" w:rsidR="00B43216" w:rsidRPr="00B43216" w:rsidRDefault="00B43216" w:rsidP="00B43216">
            <w:pPr>
              <w:spacing w:after="200"/>
              <w:rPr>
                <w:spacing w:val="-4"/>
              </w:rPr>
            </w:pPr>
            <w:r>
              <w:rPr>
                <w:spacing w:val="-4"/>
              </w:rPr>
              <w:t>V</w:t>
            </w:r>
            <w:r w:rsidRPr="00311B63">
              <w:rPr>
                <w:spacing w:val="-4"/>
              </w:rPr>
              <w:t xml:space="preserve">ysokou poptávku po pracovnících dokládá rostoucí počet </w:t>
            </w:r>
            <w:r w:rsidRPr="00311B63">
              <w:rPr>
                <w:rFonts w:cs="Arial"/>
                <w:color w:val="0D0D0D" w:themeColor="text1" w:themeTint="F2"/>
                <w:spacing w:val="-4"/>
              </w:rPr>
              <w:t xml:space="preserve">volných pracovních míst nabízených </w:t>
            </w:r>
            <w:r w:rsidRPr="00311B63">
              <w:rPr>
                <w:spacing w:val="-4"/>
              </w:rPr>
              <w:t>úřady</w:t>
            </w:r>
            <w:r>
              <w:rPr>
                <w:spacing w:val="-4"/>
              </w:rPr>
              <w:t xml:space="preserve"> práce</w:t>
            </w:r>
            <w:r w:rsidRPr="00311B63">
              <w:rPr>
                <w:spacing w:val="-4"/>
              </w:rPr>
              <w:t>. Na konci června jich bylo 342,5</w:t>
            </w:r>
            <w:r>
              <w:rPr>
                <w:spacing w:val="-4"/>
              </w:rPr>
              <w:t> </w:t>
            </w:r>
            <w:r w:rsidRPr="00311B63">
              <w:rPr>
                <w:spacing w:val="-4"/>
              </w:rPr>
              <w:t>tis., meziročně o</w:t>
            </w:r>
            <w:r>
              <w:rPr>
                <w:spacing w:val="-4"/>
              </w:rPr>
              <w:t> </w:t>
            </w:r>
            <w:r w:rsidRPr="00311B63">
              <w:rPr>
                <w:spacing w:val="-4"/>
              </w:rPr>
              <w:t>41</w:t>
            </w:r>
            <w:r>
              <w:rPr>
                <w:spacing w:val="-4"/>
              </w:rPr>
              <w:t> </w:t>
            </w:r>
            <w:r w:rsidRPr="00311B63">
              <w:rPr>
                <w:spacing w:val="-4"/>
              </w:rPr>
              <w:t>t</w:t>
            </w:r>
            <w:r>
              <w:rPr>
                <w:spacing w:val="-4"/>
              </w:rPr>
              <w:t>is. více. Tempo růstu počtu míst ale za poslední rok znač</w:t>
            </w:r>
            <w:r w:rsidRPr="00311B63">
              <w:rPr>
                <w:spacing w:val="-4"/>
              </w:rPr>
              <w:t xml:space="preserve">ně zvolnilo, v červnu se jejich počet dokonce meziměsíčně mírně snížil (poprvé od </w:t>
            </w:r>
            <w:r w:rsidRPr="00311B63">
              <w:rPr>
                <w:rFonts w:cs="Arial"/>
                <w:color w:val="0D0D0D" w:themeColor="text1" w:themeTint="F2"/>
                <w:spacing w:val="-4"/>
              </w:rPr>
              <w:t xml:space="preserve">konce roku 2016). Již v předchozích letech dosažená vysoká nerovnoměrnost </w:t>
            </w:r>
            <w:r>
              <w:rPr>
                <w:rFonts w:cs="Arial"/>
                <w:color w:val="0D0D0D" w:themeColor="text1" w:themeTint="F2"/>
                <w:spacing w:val="-4"/>
              </w:rPr>
              <w:t>přírůstku</w:t>
            </w:r>
            <w:r w:rsidRPr="00311B63">
              <w:rPr>
                <w:rFonts w:cs="Arial"/>
                <w:color w:val="0D0D0D" w:themeColor="text1" w:themeTint="F2"/>
                <w:spacing w:val="-4"/>
              </w:rPr>
              <w:t xml:space="preserve"> míst se z pohledu kva</w:t>
            </w:r>
            <w:r>
              <w:rPr>
                <w:rFonts w:cs="Arial"/>
                <w:color w:val="0D0D0D" w:themeColor="text1" w:themeTint="F2"/>
                <w:spacing w:val="-4"/>
              </w:rPr>
              <w:t xml:space="preserve">lifikačních nároků i regionů </w:t>
            </w:r>
            <w:r w:rsidRPr="00311B63">
              <w:rPr>
                <w:rFonts w:cs="Arial"/>
                <w:color w:val="0D0D0D" w:themeColor="text1" w:themeTint="F2"/>
                <w:spacing w:val="-4"/>
              </w:rPr>
              <w:t>dále prohlubovala</w:t>
            </w:r>
            <w:r>
              <w:rPr>
                <w:rFonts w:cs="Arial"/>
                <w:color w:val="0D0D0D" w:themeColor="text1" w:themeTint="F2"/>
                <w:spacing w:val="-4"/>
              </w:rPr>
              <w:t xml:space="preserve">, když nabídka nových pozic </w:t>
            </w:r>
            <w:r w:rsidRPr="00311B63">
              <w:rPr>
                <w:rFonts w:cs="Arial"/>
                <w:color w:val="0D0D0D" w:themeColor="text1" w:themeTint="F2"/>
                <w:spacing w:val="-4"/>
              </w:rPr>
              <w:t xml:space="preserve">patrně </w:t>
            </w:r>
            <w:r>
              <w:rPr>
                <w:rFonts w:cs="Arial"/>
                <w:color w:val="0D0D0D" w:themeColor="text1" w:themeTint="F2"/>
                <w:spacing w:val="-4"/>
              </w:rPr>
              <w:t>z </w:t>
            </w:r>
            <w:r w:rsidRPr="00311B63">
              <w:rPr>
                <w:rFonts w:cs="Arial"/>
                <w:color w:val="0D0D0D" w:themeColor="text1" w:themeTint="F2"/>
                <w:spacing w:val="-4"/>
              </w:rPr>
              <w:t>převažující části cílila na zahraniční pracovníky z ekonomicky méně vyspělých zemí. Již 77</w:t>
            </w:r>
            <w:r>
              <w:rPr>
                <w:rFonts w:cs="Arial"/>
                <w:color w:val="0D0D0D" w:themeColor="text1" w:themeTint="F2"/>
                <w:spacing w:val="-4"/>
              </w:rPr>
              <w:t> </w:t>
            </w:r>
            <w:r w:rsidRPr="00311B63">
              <w:rPr>
                <w:rFonts w:cs="Arial"/>
                <w:color w:val="0D0D0D" w:themeColor="text1" w:themeTint="F2"/>
                <w:spacing w:val="-4"/>
              </w:rPr>
              <w:t>% všech</w:t>
            </w:r>
            <w:r>
              <w:rPr>
                <w:rFonts w:cs="Arial"/>
                <w:color w:val="0D0D0D" w:themeColor="text1" w:themeTint="F2"/>
                <w:spacing w:val="-4"/>
              </w:rPr>
              <w:t xml:space="preserve"> nabízených míst patřilo do </w:t>
            </w:r>
            <w:r w:rsidRPr="00311B63">
              <w:rPr>
                <w:rFonts w:cs="Arial"/>
                <w:color w:val="0D0D0D" w:themeColor="text1" w:themeTint="F2"/>
                <w:spacing w:val="-4"/>
              </w:rPr>
              <w:t>tříd s nejniž</w:t>
            </w:r>
            <w:r>
              <w:rPr>
                <w:rFonts w:cs="Arial"/>
                <w:color w:val="0D0D0D" w:themeColor="text1" w:themeTint="F2"/>
                <w:spacing w:val="-4"/>
              </w:rPr>
              <w:t>ší kvalifikací (</w:t>
            </w:r>
            <w:r w:rsidRPr="00311B63">
              <w:rPr>
                <w:rFonts w:cs="Arial"/>
                <w:color w:val="0D0D0D" w:themeColor="text1" w:themeTint="F2"/>
                <w:spacing w:val="-4"/>
              </w:rPr>
              <w:t>řemeslníci a</w:t>
            </w:r>
            <w:r>
              <w:rPr>
                <w:rFonts w:cs="Arial"/>
                <w:color w:val="0D0D0D" w:themeColor="text1" w:themeTint="F2"/>
                <w:spacing w:val="-4"/>
              </w:rPr>
              <w:t> </w:t>
            </w:r>
            <w:r w:rsidRPr="00311B63">
              <w:rPr>
                <w:rFonts w:cs="Arial"/>
                <w:color w:val="0D0D0D" w:themeColor="text1" w:themeTint="F2"/>
                <w:spacing w:val="-4"/>
              </w:rPr>
              <w:t>opraváři</w:t>
            </w:r>
            <w:r>
              <w:rPr>
                <w:rFonts w:cs="Arial"/>
                <w:color w:val="0D0D0D" w:themeColor="text1" w:themeTint="F2"/>
                <w:spacing w:val="-4"/>
              </w:rPr>
              <w:t>, obsluha strojů a zařízení, pomocní a nekvalifikovaní pracovníci). Podobně 69 % všech míst cílilo na uchazeče s </w:t>
            </w:r>
            <w:r w:rsidRPr="00311B63">
              <w:rPr>
                <w:rFonts w:cs="Arial"/>
                <w:color w:val="0D0D0D" w:themeColor="text1" w:themeTint="F2"/>
                <w:spacing w:val="-4"/>
              </w:rPr>
              <w:t>maximálně základní</w:t>
            </w:r>
            <w:r>
              <w:rPr>
                <w:rFonts w:cs="Arial"/>
                <w:color w:val="0D0D0D" w:themeColor="text1" w:themeTint="F2"/>
                <w:spacing w:val="-4"/>
              </w:rPr>
              <w:t>m vzděláním, 20 % pak na</w:t>
            </w:r>
            <w:r w:rsidRPr="00311B63">
              <w:rPr>
                <w:rFonts w:cs="Arial"/>
                <w:color w:val="0D0D0D" w:themeColor="text1" w:themeTint="F2"/>
                <w:spacing w:val="-4"/>
              </w:rPr>
              <w:t xml:space="preserve"> vyučené. Na jedno volné pracov</w:t>
            </w:r>
            <w:r>
              <w:rPr>
                <w:rFonts w:cs="Arial"/>
                <w:color w:val="0D0D0D" w:themeColor="text1" w:themeTint="F2"/>
                <w:spacing w:val="-4"/>
              </w:rPr>
              <w:t>ní místo připadalo 0,6 uchazeče.</w:t>
            </w:r>
            <w:r w:rsidRPr="00311B63">
              <w:rPr>
                <w:rFonts w:cs="Arial"/>
                <w:color w:val="0D0D0D" w:themeColor="text1" w:themeTint="F2"/>
                <w:spacing w:val="-4"/>
              </w:rPr>
              <w:t xml:space="preserve"> </w:t>
            </w:r>
            <w:r w:rsidRPr="00311B63">
              <w:rPr>
                <w:spacing w:val="-4"/>
              </w:rPr>
              <w:t>Převis poptávky nad nabídkou pracovní s</w:t>
            </w:r>
            <w:r>
              <w:rPr>
                <w:spacing w:val="-4"/>
              </w:rPr>
              <w:t xml:space="preserve">íly, jenž je na </w:t>
            </w:r>
            <w:r w:rsidRPr="00311B63">
              <w:rPr>
                <w:spacing w:val="-4"/>
              </w:rPr>
              <w:t xml:space="preserve">úrovni </w:t>
            </w:r>
            <w:r>
              <w:rPr>
                <w:spacing w:val="-4"/>
              </w:rPr>
              <w:t xml:space="preserve">ČR </w:t>
            </w:r>
            <w:r w:rsidRPr="00311B63">
              <w:rPr>
                <w:spacing w:val="-4"/>
              </w:rPr>
              <w:t>patrný již od loňského dubna, signalizovaly letos v červnu dvě třetiny okresů a</w:t>
            </w:r>
            <w:r>
              <w:rPr>
                <w:spacing w:val="-4"/>
              </w:rPr>
              <w:t> </w:t>
            </w:r>
            <w:r w:rsidRPr="00311B63">
              <w:rPr>
                <w:spacing w:val="-4"/>
              </w:rPr>
              <w:t>drtivá většina krajů (vyjma Ústeckého a</w:t>
            </w:r>
            <w:r>
              <w:rPr>
                <w:spacing w:val="-4"/>
              </w:rPr>
              <w:t> </w:t>
            </w:r>
            <w:r w:rsidRPr="00311B63">
              <w:rPr>
                <w:spacing w:val="-4"/>
              </w:rPr>
              <w:t>Moravskoslezského). Pře</w:t>
            </w:r>
            <w:r>
              <w:rPr>
                <w:spacing w:val="-4"/>
              </w:rPr>
              <w:t>tlak uchazečů ale</w:t>
            </w:r>
            <w:r w:rsidRPr="00311B63">
              <w:rPr>
                <w:spacing w:val="-4"/>
              </w:rPr>
              <w:t xml:space="preserve"> stále přetrvává u</w:t>
            </w:r>
            <w:r>
              <w:rPr>
                <w:spacing w:val="-4"/>
              </w:rPr>
              <w:t> </w:t>
            </w:r>
            <w:r w:rsidRPr="00311B63">
              <w:rPr>
                <w:spacing w:val="-4"/>
              </w:rPr>
              <w:t>osob s matur</w:t>
            </w:r>
            <w:r>
              <w:rPr>
                <w:spacing w:val="-4"/>
              </w:rPr>
              <w:t>itním (1,9) a vysokoškolským</w:t>
            </w:r>
            <w:r w:rsidRPr="00311B63">
              <w:rPr>
                <w:spacing w:val="-4"/>
              </w:rPr>
              <w:t xml:space="preserve"> vzděláním</w:t>
            </w:r>
            <w:r>
              <w:rPr>
                <w:spacing w:val="-4"/>
              </w:rPr>
              <w:t xml:space="preserve"> (1,3)</w:t>
            </w:r>
            <w:r w:rsidRPr="00311B63">
              <w:rPr>
                <w:spacing w:val="-4"/>
              </w:rPr>
              <w:t xml:space="preserve"> </w:t>
            </w:r>
            <w:r>
              <w:rPr>
                <w:spacing w:val="-4"/>
              </w:rPr>
              <w:t>a u specifických skupin uchazečů – žen na rodičovské dovolené či lidí</w:t>
            </w:r>
            <w:r w:rsidRPr="00311B63">
              <w:rPr>
                <w:spacing w:val="-4"/>
              </w:rPr>
              <w:t xml:space="preserve"> se zdravotním postižením</w:t>
            </w:r>
            <w:r>
              <w:rPr>
                <w:spacing w:val="-4"/>
              </w:rPr>
              <w:t xml:space="preserve"> (2,7</w:t>
            </w:r>
            <w:r w:rsidRPr="00311B63">
              <w:rPr>
                <w:spacing w:val="-4"/>
              </w:rPr>
              <w:t>).</w:t>
            </w:r>
          </w:p>
        </w:tc>
      </w:tr>
      <w:tr w:rsidR="00B43216" w:rsidRPr="00B43216" w14:paraId="2DFC8567" w14:textId="77777777" w:rsidTr="00B43216">
        <w:trPr>
          <w:trHeight w:val="155"/>
        </w:trPr>
        <w:tc>
          <w:tcPr>
            <w:tcW w:w="1790" w:type="dxa"/>
            <w:vMerge w:val="restart"/>
            <w:shd w:val="clear" w:color="auto" w:fill="auto"/>
            <w:tcMar>
              <w:left w:w="0" w:type="dxa"/>
            </w:tcMar>
          </w:tcPr>
          <w:p w14:paraId="30C7F0DC" w14:textId="77777777" w:rsidR="00B43216" w:rsidRPr="00B43216" w:rsidRDefault="00B43216" w:rsidP="00B43216">
            <w:pPr>
              <w:pStyle w:val="Marginlie"/>
              <w:rPr>
                <w:spacing w:val="-4"/>
              </w:rPr>
            </w:pPr>
          </w:p>
        </w:tc>
        <w:tc>
          <w:tcPr>
            <w:tcW w:w="216" w:type="dxa"/>
            <w:vMerge w:val="restart"/>
            <w:shd w:val="clear" w:color="auto" w:fill="auto"/>
            <w:tcMar>
              <w:left w:w="0" w:type="dxa"/>
            </w:tcMar>
          </w:tcPr>
          <w:p w14:paraId="017000CA" w14:textId="77777777" w:rsidR="00B43216" w:rsidRPr="00B43216" w:rsidRDefault="00B43216" w:rsidP="00B43216">
            <w:pPr>
              <w:pStyle w:val="Textpoznpodarou"/>
              <w:jc w:val="both"/>
              <w:rPr>
                <w:spacing w:val="-4"/>
              </w:rPr>
            </w:pPr>
          </w:p>
        </w:tc>
        <w:tc>
          <w:tcPr>
            <w:tcW w:w="7648" w:type="dxa"/>
            <w:shd w:val="clear" w:color="auto" w:fill="auto"/>
            <w:tcMar>
              <w:left w:w="0" w:type="dxa"/>
            </w:tcMar>
          </w:tcPr>
          <w:p w14:paraId="40DB0931" w14:textId="6FE8AE55" w:rsidR="00B43216" w:rsidRPr="00B43216" w:rsidRDefault="00B43216" w:rsidP="00B43216">
            <w:pPr>
              <w:spacing w:after="0"/>
              <w:rPr>
                <w:spacing w:val="-4"/>
              </w:rPr>
            </w:pPr>
            <w:r w:rsidRPr="00AB0365">
              <w:rPr>
                <w:b/>
                <w:spacing w:val="-2"/>
              </w:rPr>
              <w:t>Graf č. 1</w:t>
            </w:r>
            <w:r w:rsidR="008A394E">
              <w:rPr>
                <w:b/>
                <w:spacing w:val="-2"/>
              </w:rPr>
              <w:t>5</w:t>
            </w:r>
            <w:r>
              <w:rPr>
                <w:b/>
                <w:spacing w:val="-2"/>
              </w:rPr>
              <w:t xml:space="preserve">  Prům.</w:t>
            </w:r>
            <w:r w:rsidRPr="00AB0365">
              <w:rPr>
                <w:b/>
                <w:spacing w:val="-2"/>
              </w:rPr>
              <w:t xml:space="preserve"> nominální a</w:t>
            </w:r>
            <w:r>
              <w:rPr>
                <w:b/>
                <w:spacing w:val="-2"/>
              </w:rPr>
              <w:t> </w:t>
            </w:r>
            <w:r w:rsidRPr="00AB0365">
              <w:rPr>
                <w:b/>
                <w:spacing w:val="-2"/>
              </w:rPr>
              <w:t>reálná mzda a</w:t>
            </w:r>
            <w:r>
              <w:rPr>
                <w:b/>
                <w:spacing w:val="-2"/>
              </w:rPr>
              <w:t> </w:t>
            </w:r>
            <w:r w:rsidRPr="00AB0365">
              <w:rPr>
                <w:b/>
                <w:spacing w:val="-2"/>
              </w:rPr>
              <w:t>produktivita práce*</w:t>
            </w:r>
            <w:r w:rsidRPr="00AB0365">
              <w:rPr>
                <w:spacing w:val="-2"/>
              </w:rPr>
              <w:t xml:space="preserve"> (meziročně v %)</w:t>
            </w:r>
          </w:p>
        </w:tc>
      </w:tr>
      <w:tr w:rsidR="00B43216" w:rsidRPr="00B43216" w14:paraId="691F13FE" w14:textId="77777777" w:rsidTr="006E4078">
        <w:tblPrEx>
          <w:tblCellMar>
            <w:left w:w="70" w:type="dxa"/>
            <w:right w:w="70" w:type="dxa"/>
          </w:tblCellMar>
        </w:tblPrEx>
        <w:trPr>
          <w:trHeight w:val="155"/>
        </w:trPr>
        <w:tc>
          <w:tcPr>
            <w:tcW w:w="1790" w:type="dxa"/>
            <w:vMerge/>
            <w:shd w:val="clear" w:color="auto" w:fill="auto"/>
          </w:tcPr>
          <w:p w14:paraId="771E0CE6" w14:textId="77777777" w:rsidR="00B43216" w:rsidRPr="00B43216" w:rsidRDefault="00B43216" w:rsidP="00B43216">
            <w:pPr>
              <w:pStyle w:val="Marginlie"/>
              <w:rPr>
                <w:spacing w:val="-4"/>
              </w:rPr>
            </w:pPr>
          </w:p>
        </w:tc>
        <w:tc>
          <w:tcPr>
            <w:tcW w:w="216" w:type="dxa"/>
            <w:vMerge/>
            <w:shd w:val="clear" w:color="auto" w:fill="auto"/>
          </w:tcPr>
          <w:p w14:paraId="56E1C778" w14:textId="77777777" w:rsidR="00B43216" w:rsidRPr="00B43216" w:rsidRDefault="00B43216" w:rsidP="00B43216">
            <w:pPr>
              <w:pStyle w:val="Textpoznpodarou"/>
              <w:jc w:val="both"/>
              <w:rPr>
                <w:spacing w:val="-4"/>
              </w:rPr>
            </w:pPr>
          </w:p>
        </w:tc>
        <w:tc>
          <w:tcPr>
            <w:tcW w:w="7648" w:type="dxa"/>
            <w:shd w:val="clear" w:color="auto" w:fill="auto"/>
          </w:tcPr>
          <w:p w14:paraId="2EAE206F" w14:textId="0FAD8C01" w:rsidR="00B43216" w:rsidRPr="00B43216" w:rsidRDefault="006E4078" w:rsidP="00B43216">
            <w:pPr>
              <w:spacing w:after="0"/>
              <w:rPr>
                <w:spacing w:val="-4"/>
              </w:rPr>
            </w:pPr>
            <w:r>
              <w:rPr>
                <w:noProof/>
              </w:rPr>
              <w:drawing>
                <wp:inline distT="0" distB="0" distL="0" distR="0" wp14:anchorId="0FE0C4E7" wp14:editId="5E8EE982">
                  <wp:extent cx="4729540" cy="3528000"/>
                  <wp:effectExtent l="0" t="0" r="0" b="0"/>
                  <wp:docPr id="49" name="Graf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B43216" w:rsidRPr="00B43216" w14:paraId="2ED37FC5" w14:textId="77777777" w:rsidTr="00B43216">
        <w:trPr>
          <w:trHeight w:val="155"/>
        </w:trPr>
        <w:tc>
          <w:tcPr>
            <w:tcW w:w="1790" w:type="dxa"/>
            <w:vMerge/>
            <w:shd w:val="clear" w:color="auto" w:fill="auto"/>
            <w:tcMar>
              <w:left w:w="0" w:type="dxa"/>
            </w:tcMar>
          </w:tcPr>
          <w:p w14:paraId="684EF706" w14:textId="77777777" w:rsidR="00B43216" w:rsidRPr="00B43216" w:rsidRDefault="00B43216" w:rsidP="00B43216">
            <w:pPr>
              <w:pStyle w:val="Marginlie"/>
              <w:rPr>
                <w:spacing w:val="-4"/>
              </w:rPr>
            </w:pPr>
          </w:p>
        </w:tc>
        <w:tc>
          <w:tcPr>
            <w:tcW w:w="216" w:type="dxa"/>
            <w:vMerge/>
            <w:shd w:val="clear" w:color="auto" w:fill="auto"/>
            <w:tcMar>
              <w:left w:w="0" w:type="dxa"/>
            </w:tcMar>
          </w:tcPr>
          <w:p w14:paraId="386795C5" w14:textId="77777777" w:rsidR="00B43216" w:rsidRPr="00B43216" w:rsidRDefault="00B43216" w:rsidP="00B43216">
            <w:pPr>
              <w:pStyle w:val="Textpoznpodarou"/>
              <w:jc w:val="both"/>
              <w:rPr>
                <w:spacing w:val="-4"/>
              </w:rPr>
            </w:pPr>
          </w:p>
        </w:tc>
        <w:tc>
          <w:tcPr>
            <w:tcW w:w="7648" w:type="dxa"/>
            <w:shd w:val="clear" w:color="auto" w:fill="auto"/>
            <w:tcMar>
              <w:left w:w="0" w:type="dxa"/>
            </w:tcMar>
          </w:tcPr>
          <w:p w14:paraId="758C3421" w14:textId="77777777" w:rsidR="00B43216" w:rsidRDefault="00B43216" w:rsidP="00B43216">
            <w:pPr>
              <w:spacing w:after="0"/>
              <w:rPr>
                <w:spacing w:val="-3"/>
                <w:sz w:val="14"/>
                <w:szCs w:val="14"/>
              </w:rPr>
            </w:pPr>
            <w:r>
              <w:rPr>
                <w:spacing w:val="-3"/>
                <w:sz w:val="14"/>
                <w:szCs w:val="14"/>
              </w:rPr>
              <w:t>*</w:t>
            </w:r>
            <w:r w:rsidRPr="00AB5C0C">
              <w:rPr>
                <w:rFonts w:cs="Arial"/>
                <w:spacing w:val="-3"/>
                <w:sz w:val="14"/>
                <w:szCs w:val="14"/>
              </w:rPr>
              <w:t xml:space="preserve"> </w:t>
            </w:r>
            <w:r>
              <w:rPr>
                <w:rFonts w:cs="Arial"/>
                <w:spacing w:val="-3"/>
                <w:sz w:val="14"/>
                <w:szCs w:val="14"/>
              </w:rPr>
              <w:t>Zahrnuje odvětví: Veřejná</w:t>
            </w:r>
            <w:r w:rsidRPr="00AB5C0C">
              <w:rPr>
                <w:rFonts w:cs="Arial"/>
                <w:spacing w:val="-3"/>
                <w:sz w:val="14"/>
                <w:szCs w:val="14"/>
              </w:rPr>
              <w:t xml:space="preserve"> správa, obrana, soc. zabezpečení; Vzdělávání; Zdravotní a</w:t>
            </w:r>
            <w:r>
              <w:rPr>
                <w:rFonts w:cs="Arial"/>
                <w:spacing w:val="-3"/>
                <w:sz w:val="14"/>
                <w:szCs w:val="14"/>
              </w:rPr>
              <w:t> </w:t>
            </w:r>
            <w:r w:rsidRPr="00AB5C0C">
              <w:rPr>
                <w:rFonts w:cs="Arial"/>
                <w:spacing w:val="-3"/>
                <w:sz w:val="14"/>
                <w:szCs w:val="14"/>
              </w:rPr>
              <w:t>soc.</w:t>
            </w:r>
            <w:r>
              <w:rPr>
                <w:rFonts w:cs="Arial"/>
                <w:spacing w:val="-3"/>
                <w:sz w:val="14"/>
                <w:szCs w:val="14"/>
              </w:rPr>
              <w:t xml:space="preserve"> péče; Kulturní, zábav.</w:t>
            </w:r>
            <w:r w:rsidRPr="00AB5C0C">
              <w:rPr>
                <w:rFonts w:cs="Arial"/>
                <w:spacing w:val="-3"/>
                <w:sz w:val="14"/>
                <w:szCs w:val="14"/>
              </w:rPr>
              <w:t xml:space="preserve"> a</w:t>
            </w:r>
            <w:r>
              <w:rPr>
                <w:rFonts w:cs="Arial"/>
                <w:spacing w:val="-3"/>
                <w:sz w:val="14"/>
                <w:szCs w:val="14"/>
              </w:rPr>
              <w:t> </w:t>
            </w:r>
            <w:r w:rsidRPr="00AB5C0C">
              <w:rPr>
                <w:rFonts w:cs="Arial"/>
                <w:spacing w:val="-3"/>
                <w:sz w:val="14"/>
                <w:szCs w:val="14"/>
              </w:rPr>
              <w:t>r</w:t>
            </w:r>
            <w:r>
              <w:rPr>
                <w:rFonts w:cs="Arial"/>
                <w:spacing w:val="-3"/>
                <w:sz w:val="14"/>
                <w:szCs w:val="14"/>
              </w:rPr>
              <w:t>ekreač.</w:t>
            </w:r>
            <w:r w:rsidRPr="00AB5C0C">
              <w:rPr>
                <w:rFonts w:cs="Arial"/>
                <w:spacing w:val="-3"/>
                <w:sz w:val="14"/>
                <w:szCs w:val="14"/>
              </w:rPr>
              <w:t xml:space="preserve"> </w:t>
            </w:r>
            <w:r>
              <w:rPr>
                <w:rFonts w:cs="Arial"/>
                <w:spacing w:val="-3"/>
                <w:sz w:val="14"/>
                <w:szCs w:val="14"/>
              </w:rPr>
              <w:t>č</w:t>
            </w:r>
            <w:r w:rsidRPr="00AB5C0C">
              <w:rPr>
                <w:rFonts w:cs="Arial"/>
                <w:spacing w:val="-3"/>
                <w:sz w:val="14"/>
                <w:szCs w:val="14"/>
              </w:rPr>
              <w:t>in</w:t>
            </w:r>
            <w:r>
              <w:rPr>
                <w:rFonts w:cs="Arial"/>
                <w:spacing w:val="-3"/>
                <w:sz w:val="14"/>
                <w:szCs w:val="14"/>
              </w:rPr>
              <w:t>.</w:t>
            </w:r>
          </w:p>
          <w:p w14:paraId="1EB8DB70" w14:textId="77777777" w:rsidR="00B43216" w:rsidRDefault="00B43216" w:rsidP="00B43216">
            <w:pPr>
              <w:spacing w:after="0"/>
              <w:rPr>
                <w:spacing w:val="-3"/>
                <w:sz w:val="14"/>
                <w:szCs w:val="14"/>
              </w:rPr>
            </w:pPr>
            <w:r w:rsidRPr="00990B08">
              <w:rPr>
                <w:spacing w:val="-3"/>
                <w:sz w:val="14"/>
                <w:szCs w:val="14"/>
              </w:rPr>
              <w:t>*</w:t>
            </w:r>
            <w:r>
              <w:rPr>
                <w:spacing w:val="-3"/>
                <w:sz w:val="14"/>
                <w:szCs w:val="14"/>
              </w:rPr>
              <w:t>*</w:t>
            </w:r>
            <w:r w:rsidRPr="00990B08">
              <w:rPr>
                <w:spacing w:val="-3"/>
                <w:sz w:val="14"/>
                <w:szCs w:val="14"/>
              </w:rPr>
              <w:t>Podíl sezónně neočištěného HDP a</w:t>
            </w:r>
            <w:r>
              <w:rPr>
                <w:spacing w:val="-3"/>
                <w:sz w:val="14"/>
                <w:szCs w:val="14"/>
              </w:rPr>
              <w:t> </w:t>
            </w:r>
            <w:r w:rsidRPr="00990B08">
              <w:rPr>
                <w:spacing w:val="-3"/>
                <w:sz w:val="14"/>
                <w:szCs w:val="14"/>
              </w:rPr>
              <w:t>zaměstnanosti (v</w:t>
            </w:r>
            <w:r>
              <w:rPr>
                <w:spacing w:val="-3"/>
                <w:sz w:val="14"/>
                <w:szCs w:val="14"/>
              </w:rPr>
              <w:t> </w:t>
            </w:r>
            <w:r w:rsidRPr="00990B08">
              <w:rPr>
                <w:spacing w:val="-3"/>
                <w:sz w:val="14"/>
                <w:szCs w:val="14"/>
              </w:rPr>
              <w:t>pojetí národ</w:t>
            </w:r>
            <w:r>
              <w:rPr>
                <w:spacing w:val="-3"/>
                <w:sz w:val="14"/>
                <w:szCs w:val="14"/>
              </w:rPr>
              <w:t>ních účtů).</w:t>
            </w:r>
          </w:p>
          <w:p w14:paraId="78E97251" w14:textId="34C71E7F" w:rsidR="00B43216" w:rsidRPr="00B43216" w:rsidRDefault="00B43216" w:rsidP="00B43216">
            <w:pPr>
              <w:spacing w:after="200"/>
              <w:rPr>
                <w:spacing w:val="-4"/>
              </w:rPr>
            </w:pPr>
            <w:r w:rsidRPr="00990B08">
              <w:rPr>
                <w:spacing w:val="-3"/>
                <w:sz w:val="14"/>
                <w:szCs w:val="14"/>
              </w:rPr>
              <w:t>Zdroj:</w:t>
            </w:r>
            <w:r w:rsidRPr="00862F17">
              <w:rPr>
                <w:rFonts w:cs="Arial"/>
                <w:sz w:val="14"/>
                <w:szCs w:val="14"/>
              </w:rPr>
              <w:t xml:space="preserve"> ČSÚ (národní účty</w:t>
            </w:r>
            <w:r>
              <w:rPr>
                <w:rFonts w:cs="Arial"/>
                <w:sz w:val="14"/>
                <w:szCs w:val="14"/>
              </w:rPr>
              <w:t>)</w:t>
            </w:r>
          </w:p>
        </w:tc>
      </w:tr>
      <w:tr w:rsidR="00B43216" w:rsidRPr="00B43216" w14:paraId="730D5857" w14:textId="77777777" w:rsidTr="00B43216">
        <w:trPr>
          <w:trHeight w:val="145"/>
        </w:trPr>
        <w:tc>
          <w:tcPr>
            <w:tcW w:w="1790" w:type="dxa"/>
            <w:shd w:val="clear" w:color="auto" w:fill="auto"/>
            <w:tcMar>
              <w:left w:w="0" w:type="dxa"/>
            </w:tcMar>
          </w:tcPr>
          <w:p w14:paraId="55259B56" w14:textId="268C0578" w:rsidR="00B43216" w:rsidRPr="00B43216" w:rsidRDefault="00B43216" w:rsidP="00B43216">
            <w:pPr>
              <w:pStyle w:val="Marginlie"/>
              <w:rPr>
                <w:spacing w:val="-4"/>
              </w:rPr>
            </w:pPr>
            <w:r>
              <w:t>Faktory podporující svižný růst průměrných mezd zatím v tuzemské ekonomice převažovaly.</w:t>
            </w:r>
          </w:p>
        </w:tc>
        <w:tc>
          <w:tcPr>
            <w:tcW w:w="216" w:type="dxa"/>
            <w:shd w:val="clear" w:color="auto" w:fill="auto"/>
            <w:tcMar>
              <w:left w:w="0" w:type="dxa"/>
            </w:tcMar>
          </w:tcPr>
          <w:p w14:paraId="1EC5069D" w14:textId="77777777" w:rsidR="00B43216" w:rsidRPr="00B43216" w:rsidRDefault="00B43216" w:rsidP="00B43216">
            <w:pPr>
              <w:pStyle w:val="Textpoznpodarou"/>
              <w:jc w:val="both"/>
              <w:rPr>
                <w:spacing w:val="-4"/>
              </w:rPr>
            </w:pPr>
          </w:p>
        </w:tc>
        <w:tc>
          <w:tcPr>
            <w:tcW w:w="7648" w:type="dxa"/>
            <w:shd w:val="clear" w:color="auto" w:fill="auto"/>
            <w:tcMar>
              <w:left w:w="0" w:type="dxa"/>
            </w:tcMar>
          </w:tcPr>
          <w:p w14:paraId="35AB9F92" w14:textId="77777777" w:rsidR="00B43216" w:rsidRDefault="00B43216" w:rsidP="00B43216">
            <w:pPr>
              <w:spacing w:after="0"/>
              <w:rPr>
                <w:spacing w:val="-4"/>
              </w:rPr>
            </w:pPr>
            <w:r>
              <w:rPr>
                <w:spacing w:val="-4"/>
              </w:rPr>
              <w:t>I přes zrychlený „dovoz“ pracovníků ze zahraničí čelili tuzemští zaměstnavatelé při obsazování míst stále značným problémům. Zejména u méně kvalifikovaných pracovníků se patrně také projevovala větší fluktuace, což je dáno i tím, že tyto pozice obsadili lidé na tuzemském pracovním trhu málo etablovaní (cizinci, dlouhodobě nezaměstnaní). Tyto vlivy spolu s opakovaným navyšováním minimální mzdy přispívaly k vysoké mzdové dynamice. Prostor pro její udržení se ale stále snižoval vlivem klesající ziskovosti podniků umocněné zhoršeným hospodářským vývojem v klíčových exportních destinacích.</w:t>
            </w:r>
          </w:p>
          <w:p w14:paraId="079B7CBF" w14:textId="207B4FA8" w:rsidR="00B43216" w:rsidRPr="00B43216" w:rsidRDefault="00B43216" w:rsidP="00B43216">
            <w:pPr>
              <w:spacing w:after="0"/>
              <w:rPr>
                <w:spacing w:val="-4"/>
              </w:rPr>
            </w:pPr>
          </w:p>
        </w:tc>
      </w:tr>
      <w:tr w:rsidR="00B43216" w:rsidRPr="00B43216" w14:paraId="0A2BE345" w14:textId="77777777" w:rsidTr="00B43216">
        <w:trPr>
          <w:trHeight w:val="145"/>
        </w:trPr>
        <w:tc>
          <w:tcPr>
            <w:tcW w:w="1790" w:type="dxa"/>
            <w:shd w:val="clear" w:color="auto" w:fill="auto"/>
            <w:tcMar>
              <w:left w:w="0" w:type="dxa"/>
            </w:tcMar>
          </w:tcPr>
          <w:p w14:paraId="4E9D10E9" w14:textId="77777777" w:rsidR="00B43216" w:rsidRDefault="00B43216" w:rsidP="00B43216">
            <w:pPr>
              <w:pStyle w:val="Marginlie"/>
            </w:pPr>
            <w:r>
              <w:t>Tempo růstu průměrných nominálních mezd ve srovnání s 1. pololetím 2018 letos mírně zvolnilo, zejména vlivem zpracovatelského průmyslu a veřejných služeb.</w:t>
            </w:r>
          </w:p>
          <w:p w14:paraId="7A9E9B00" w14:textId="77777777" w:rsidR="00B43216" w:rsidRDefault="00B43216" w:rsidP="00B43216">
            <w:pPr>
              <w:pStyle w:val="Marginlie"/>
            </w:pPr>
          </w:p>
          <w:p w14:paraId="31AD4AEF" w14:textId="77777777" w:rsidR="00B43216" w:rsidRDefault="00B43216" w:rsidP="00B43216">
            <w:pPr>
              <w:pStyle w:val="Marginlie"/>
            </w:pPr>
          </w:p>
          <w:p w14:paraId="60207715" w14:textId="77777777" w:rsidR="00B43216" w:rsidRDefault="00B43216" w:rsidP="00B43216">
            <w:pPr>
              <w:pStyle w:val="Marginlie"/>
            </w:pPr>
          </w:p>
          <w:p w14:paraId="58854CAD" w14:textId="77777777" w:rsidR="00B43216" w:rsidRDefault="00B43216" w:rsidP="00B43216">
            <w:pPr>
              <w:pStyle w:val="Marginlie"/>
            </w:pPr>
          </w:p>
          <w:p w14:paraId="38611E1A" w14:textId="0CDB5FD8" w:rsidR="00B43216" w:rsidRPr="00B43216" w:rsidRDefault="00B43216" w:rsidP="00B43216">
            <w:pPr>
              <w:pStyle w:val="Marginlie"/>
            </w:pPr>
            <w:r>
              <w:t>Mzdové tempo ve finančnictví výrazně zrychlilo.</w:t>
            </w:r>
          </w:p>
        </w:tc>
        <w:tc>
          <w:tcPr>
            <w:tcW w:w="216" w:type="dxa"/>
            <w:shd w:val="clear" w:color="auto" w:fill="auto"/>
            <w:tcMar>
              <w:left w:w="0" w:type="dxa"/>
            </w:tcMar>
          </w:tcPr>
          <w:p w14:paraId="00CC9F12" w14:textId="77777777" w:rsidR="00B43216" w:rsidRPr="00B43216" w:rsidRDefault="00B43216" w:rsidP="00B43216">
            <w:pPr>
              <w:pStyle w:val="Textpoznpodarou"/>
              <w:jc w:val="both"/>
              <w:rPr>
                <w:spacing w:val="-4"/>
              </w:rPr>
            </w:pPr>
          </w:p>
        </w:tc>
        <w:tc>
          <w:tcPr>
            <w:tcW w:w="7648" w:type="dxa"/>
            <w:shd w:val="clear" w:color="auto" w:fill="auto"/>
            <w:tcMar>
              <w:left w:w="0" w:type="dxa"/>
            </w:tcMar>
          </w:tcPr>
          <w:p w14:paraId="44FF1DED" w14:textId="18CD4138" w:rsidR="00B43216" w:rsidRPr="00B43216" w:rsidRDefault="00B43216" w:rsidP="00B43216">
            <w:pPr>
              <w:spacing w:after="200"/>
              <w:rPr>
                <w:spacing w:val="-4"/>
              </w:rPr>
            </w:pPr>
            <w:r w:rsidRPr="00A53197">
              <w:rPr>
                <w:spacing w:val="-4"/>
              </w:rPr>
              <w:t>V</w:t>
            </w:r>
            <w:r>
              <w:rPr>
                <w:spacing w:val="-4"/>
              </w:rPr>
              <w:t>e 2. </w:t>
            </w:r>
            <w:r w:rsidRPr="00A53197">
              <w:rPr>
                <w:spacing w:val="-4"/>
              </w:rPr>
              <w:t xml:space="preserve">čtvrtletí 2019 </w:t>
            </w:r>
            <w:r>
              <w:rPr>
                <w:spacing w:val="-4"/>
              </w:rPr>
              <w:t xml:space="preserve">vzrostla </w:t>
            </w:r>
            <w:r w:rsidRPr="00A53197">
              <w:rPr>
                <w:rFonts w:cs="Arial"/>
                <w:spacing w:val="-4"/>
                <w:szCs w:val="20"/>
              </w:rPr>
              <w:t>(</w:t>
            </w:r>
            <w:r w:rsidRPr="00A53197">
              <w:rPr>
                <w:rFonts w:cs="Arial"/>
                <w:color w:val="0D0D0D" w:themeColor="text1" w:themeTint="F2"/>
                <w:spacing w:val="-4"/>
              </w:rPr>
              <w:t xml:space="preserve">dle podnikových statistik) průměrná hrubá nominální </w:t>
            </w:r>
            <w:r>
              <w:rPr>
                <w:rFonts w:cs="Arial"/>
                <w:color w:val="0D0D0D" w:themeColor="text1" w:themeTint="F2"/>
                <w:spacing w:val="-4"/>
              </w:rPr>
              <w:t xml:space="preserve">měsíční </w:t>
            </w:r>
            <w:r w:rsidRPr="00A53197">
              <w:rPr>
                <w:rFonts w:cs="Arial"/>
                <w:color w:val="0D0D0D" w:themeColor="text1" w:themeTint="F2"/>
                <w:spacing w:val="-4"/>
              </w:rPr>
              <w:t>mzda zaměstnance</w:t>
            </w:r>
            <w:r>
              <w:rPr>
                <w:rFonts w:cs="Arial"/>
                <w:color w:val="0D0D0D" w:themeColor="text1" w:themeTint="F2"/>
                <w:spacing w:val="-4"/>
              </w:rPr>
              <w:t xml:space="preserve"> meziročně o 7,2 % a vystoupala těsně nad 34 tis. korun. Za celé pololetí dosáhl růst 7,3 % (ve stejném období roku 2018 činil 8,0 %). Nejvíce vzrostly mzdy v odvětví kulturních, zábavních a rekreačních činností (12,0 %), růst se ale soustředil v segmentu mimo oblast veřejných služeb. V rámci nich rostly nejvíce výdělky ve vzdělávání (o</w:t>
            </w:r>
            <w:r w:rsidRPr="00A53197">
              <w:rPr>
                <w:rFonts w:cs="Arial"/>
                <w:color w:val="0D0D0D" w:themeColor="text1" w:themeTint="F2"/>
                <w:spacing w:val="-4"/>
              </w:rPr>
              <w:t> </w:t>
            </w:r>
            <w:r>
              <w:rPr>
                <w:rFonts w:cs="Arial"/>
                <w:color w:val="0D0D0D" w:themeColor="text1" w:themeTint="F2"/>
                <w:spacing w:val="-4"/>
              </w:rPr>
              <w:t>téměř 10,6 %), i </w:t>
            </w:r>
            <w:r w:rsidRPr="00C502A3">
              <w:rPr>
                <w:spacing w:val="-3"/>
              </w:rPr>
              <w:t>ta</w:t>
            </w:r>
            <w:r>
              <w:rPr>
                <w:spacing w:val="-3"/>
              </w:rPr>
              <w:t xml:space="preserve">k ale jejich průměrná měsíční výše </w:t>
            </w:r>
            <w:r w:rsidRPr="00C502A3">
              <w:rPr>
                <w:spacing w:val="-3"/>
              </w:rPr>
              <w:t>za úrovní národního hospodářství stále mírně zaostávala</w:t>
            </w:r>
            <w:r>
              <w:rPr>
                <w:spacing w:val="-3"/>
              </w:rPr>
              <w:t>. Svižně rostly rovněž mzdy v administrativních a</w:t>
            </w:r>
            <w:r w:rsidRPr="00A53197">
              <w:rPr>
                <w:rFonts w:cs="Arial"/>
                <w:color w:val="0D0D0D" w:themeColor="text1" w:themeTint="F2"/>
                <w:spacing w:val="-4"/>
              </w:rPr>
              <w:t> </w:t>
            </w:r>
            <w:r>
              <w:rPr>
                <w:spacing w:val="-3"/>
              </w:rPr>
              <w:t xml:space="preserve">podpůrných činnostech (+8,7 %), jejich úroveň byla ale oproti celé ekonomice o třetinu nižší. Po čtyřech letech podprůměrného růstu se výrazně zvýšilo mzdové tempo v peněžnictví a pojišťovnictví (+8,1 %). Projevil se zde nejen vliv </w:t>
            </w:r>
            <w:r>
              <w:rPr>
                <w:rFonts w:cs="Arial"/>
                <w:color w:val="0D0D0D" w:themeColor="text1" w:themeTint="F2"/>
                <w:spacing w:val="-4"/>
              </w:rPr>
              <w:t>mimořádných odměn vázaných</w:t>
            </w:r>
            <w:r w:rsidRPr="00A53197">
              <w:rPr>
                <w:rFonts w:cs="Arial"/>
                <w:color w:val="0D0D0D" w:themeColor="text1" w:themeTint="F2"/>
                <w:spacing w:val="-4"/>
              </w:rPr>
              <w:t xml:space="preserve"> na velmi dobré hospodářské výsledky roku 2018</w:t>
            </w:r>
            <w:r>
              <w:rPr>
                <w:rFonts w:cs="Arial"/>
                <w:color w:val="0D0D0D" w:themeColor="text1" w:themeTint="F2"/>
                <w:spacing w:val="-4"/>
              </w:rPr>
              <w:t>, ale také silný tlak na produktivitu práce, jenž vyústil ve snížení evidenčního počtu zaměstnanců (o 1,9 %). To platilo i o zpracovatelském průmyslu (</w:t>
            </w:r>
            <w:r w:rsidRPr="00A53197">
              <w:rPr>
                <w:rFonts w:cs="Arial"/>
                <w:color w:val="0D0D0D" w:themeColor="text1" w:themeTint="F2"/>
                <w:spacing w:val="-4"/>
              </w:rPr>
              <w:t>–</w:t>
            </w:r>
            <w:r>
              <w:rPr>
                <w:rFonts w:cs="Arial"/>
                <w:color w:val="0D0D0D" w:themeColor="text1" w:themeTint="F2"/>
                <w:spacing w:val="-4"/>
              </w:rPr>
              <w:t xml:space="preserve">0,4 %), objem vyplacených mezd byl zde třetí nejnižší (+6,2 %) mezi devatenácti hlavními odvětvími (po odvětvích primárního sektoru). Relativně slabším tempem rostly průměrné mzdy i v rozvíjejících se odvětvích s dosud podprůměrnou mzdovou úrovní </w:t>
            </w:r>
            <w:r w:rsidRPr="00A53197">
              <w:rPr>
                <w:rFonts w:cs="Arial"/>
                <w:color w:val="0D0D0D" w:themeColor="text1" w:themeTint="F2"/>
                <w:spacing w:val="-4"/>
              </w:rPr>
              <w:t>–</w:t>
            </w:r>
            <w:r>
              <w:rPr>
                <w:rFonts w:cs="Arial"/>
                <w:color w:val="0D0D0D" w:themeColor="text1" w:themeTint="F2"/>
                <w:spacing w:val="-4"/>
              </w:rPr>
              <w:t xml:space="preserve"> v obchodu (+6,9 %) i stavebnictví (+6,8 %).</w:t>
            </w:r>
          </w:p>
        </w:tc>
      </w:tr>
      <w:tr w:rsidR="00B43216" w:rsidRPr="00B43216" w14:paraId="2DD9847E" w14:textId="77777777" w:rsidTr="00B43216">
        <w:trPr>
          <w:trHeight w:val="145"/>
        </w:trPr>
        <w:tc>
          <w:tcPr>
            <w:tcW w:w="1790" w:type="dxa"/>
            <w:shd w:val="clear" w:color="auto" w:fill="auto"/>
            <w:tcMar>
              <w:left w:w="0" w:type="dxa"/>
            </w:tcMar>
          </w:tcPr>
          <w:p w14:paraId="0D28D626" w14:textId="154BC156" w:rsidR="00B43216" w:rsidRPr="00B43216" w:rsidRDefault="00B43216" w:rsidP="00B43216">
            <w:pPr>
              <w:pStyle w:val="Marginlie"/>
            </w:pPr>
            <w:r>
              <w:t>Růst kupní síly mezd meziročně mírně zvolnil, přesto zůstal vysoký.</w:t>
            </w:r>
          </w:p>
        </w:tc>
        <w:tc>
          <w:tcPr>
            <w:tcW w:w="216" w:type="dxa"/>
            <w:shd w:val="clear" w:color="auto" w:fill="auto"/>
            <w:tcMar>
              <w:left w:w="0" w:type="dxa"/>
            </w:tcMar>
          </w:tcPr>
          <w:p w14:paraId="72AC2095" w14:textId="77777777" w:rsidR="00B43216" w:rsidRPr="00B43216" w:rsidRDefault="00B43216" w:rsidP="00B43216">
            <w:pPr>
              <w:pStyle w:val="Textpoznpodarou"/>
              <w:jc w:val="both"/>
              <w:rPr>
                <w:spacing w:val="-4"/>
              </w:rPr>
            </w:pPr>
          </w:p>
        </w:tc>
        <w:tc>
          <w:tcPr>
            <w:tcW w:w="7648" w:type="dxa"/>
            <w:shd w:val="clear" w:color="auto" w:fill="auto"/>
            <w:tcMar>
              <w:left w:w="0" w:type="dxa"/>
            </w:tcMar>
          </w:tcPr>
          <w:p w14:paraId="506AD77C" w14:textId="1644B85E" w:rsidR="00B43216" w:rsidRPr="00B43216" w:rsidRDefault="00B43216" w:rsidP="003A0837">
            <w:pPr>
              <w:spacing w:after="0"/>
              <w:rPr>
                <w:spacing w:val="-4"/>
              </w:rPr>
            </w:pPr>
            <w:r w:rsidRPr="000C2A4C">
              <w:rPr>
                <w:spacing w:val="-4"/>
              </w:rPr>
              <w:t>Medián mezd vzrostl v 1</w:t>
            </w:r>
            <w:r>
              <w:rPr>
                <w:spacing w:val="-4"/>
              </w:rPr>
              <w:t>. </w:t>
            </w:r>
            <w:r w:rsidRPr="000C2A4C">
              <w:rPr>
                <w:spacing w:val="-4"/>
              </w:rPr>
              <w:t>pololetí meziročně o</w:t>
            </w:r>
            <w:r>
              <w:rPr>
                <w:spacing w:val="-4"/>
              </w:rPr>
              <w:t> </w:t>
            </w:r>
            <w:r w:rsidRPr="000C2A4C">
              <w:rPr>
                <w:spacing w:val="-4"/>
              </w:rPr>
              <w:t>7,2</w:t>
            </w:r>
            <w:r>
              <w:rPr>
                <w:spacing w:val="-4"/>
              </w:rPr>
              <w:t> </w:t>
            </w:r>
            <w:r w:rsidRPr="000C2A4C">
              <w:rPr>
                <w:spacing w:val="-4"/>
              </w:rPr>
              <w:t>% a</w:t>
            </w:r>
            <w:r>
              <w:rPr>
                <w:spacing w:val="-4"/>
              </w:rPr>
              <w:t> </w:t>
            </w:r>
            <w:r w:rsidRPr="000C2A4C">
              <w:rPr>
                <w:spacing w:val="-4"/>
              </w:rPr>
              <w:t>poprvé od 1</w:t>
            </w:r>
            <w:r>
              <w:rPr>
                <w:spacing w:val="-4"/>
              </w:rPr>
              <w:t>. </w:t>
            </w:r>
            <w:r w:rsidRPr="000C2A4C">
              <w:rPr>
                <w:spacing w:val="-4"/>
              </w:rPr>
              <w:t>pololetí 2015 za tempem průměrné mzdy zaostal. Byť mírně vzlínající inflace letos „ukrojila“ z růstu výdělků celé dvě pětiny, reálná hodnota průměrných mezd byla meziročně o</w:t>
            </w:r>
            <w:r>
              <w:rPr>
                <w:spacing w:val="-4"/>
              </w:rPr>
              <w:t> </w:t>
            </w:r>
            <w:r w:rsidRPr="000C2A4C">
              <w:rPr>
                <w:spacing w:val="-4"/>
              </w:rPr>
              <w:t>4,4 % vyšší. V rámci 1. pololetí šlo o třetí nejsilnější tempo za posledních šestnáct let (po letech 2007 a</w:t>
            </w:r>
            <w:r>
              <w:rPr>
                <w:spacing w:val="-4"/>
              </w:rPr>
              <w:t> </w:t>
            </w:r>
            <w:r w:rsidRPr="000C2A4C">
              <w:rPr>
                <w:spacing w:val="-4"/>
              </w:rPr>
              <w:t>2018).</w:t>
            </w:r>
          </w:p>
        </w:tc>
      </w:tr>
    </w:tbl>
    <w:p w14:paraId="63ECF9C9" w14:textId="6FDDEDF7" w:rsidR="00A50D73" w:rsidRPr="009110F7" w:rsidRDefault="00A50D73" w:rsidP="00185D2E">
      <w:pPr>
        <w:pStyle w:val="Nadpis11"/>
        <w:rPr>
          <w:sz w:val="2"/>
          <w:szCs w:val="2"/>
        </w:rPr>
      </w:pPr>
    </w:p>
    <w:sectPr w:rsidR="00A50D73" w:rsidRPr="009110F7" w:rsidSect="00185D2E">
      <w:headerReference w:type="even" r:id="rId12"/>
      <w:headerReference w:type="default" r:id="rId13"/>
      <w:footerReference w:type="even" r:id="rId14"/>
      <w:footerReference w:type="default" r:id="rId15"/>
      <w:pgSz w:w="11906" w:h="16838" w:code="9"/>
      <w:pgMar w:top="1134" w:right="1134" w:bottom="1418" w:left="1134" w:header="680" w:footer="737" w:gutter="0"/>
      <w:pgNumType w:start="2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A60E42" w16cid:durableId="211A8B45"/>
  <w16cid:commentId w16cid:paraId="0353E24E" w16cid:durableId="211BEE38"/>
  <w16cid:commentId w16cid:paraId="1C386A8F" w16cid:durableId="211A9076"/>
  <w16cid:commentId w16cid:paraId="2A0C002C" w16cid:durableId="211A973A"/>
  <w16cid:commentId w16cid:paraId="706065F0" w16cid:durableId="211A91DA"/>
  <w16cid:commentId w16cid:paraId="22EE5AE9" w16cid:durableId="211B6626"/>
  <w16cid:commentId w16cid:paraId="6884C1E2" w16cid:durableId="211B675E"/>
  <w16cid:commentId w16cid:paraId="6C0EBCAF" w16cid:durableId="211B7A37"/>
  <w16cid:commentId w16cid:paraId="2CEF0B27" w16cid:durableId="211B750B"/>
  <w16cid:commentId w16cid:paraId="3634956F" w16cid:durableId="211BCF1B"/>
  <w16cid:commentId w16cid:paraId="07C1F79B" w16cid:durableId="211BEA3A"/>
  <w16cid:commentId w16cid:paraId="0D4FABC8" w16cid:durableId="211CBB71"/>
  <w16cid:commentId w16cid:paraId="76EE34F0" w16cid:durableId="211CB0AE"/>
  <w16cid:commentId w16cid:paraId="3E708163" w16cid:durableId="211CB1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D8817" w14:textId="77777777" w:rsidR="005374CC" w:rsidRDefault="005374CC" w:rsidP="00E71A58">
      <w:r>
        <w:separator/>
      </w:r>
    </w:p>
  </w:endnote>
  <w:endnote w:type="continuationSeparator" w:id="0">
    <w:p w14:paraId="47CC3CA1" w14:textId="77777777" w:rsidR="005374CC" w:rsidRDefault="005374C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1A0D" w14:textId="3831DC8F" w:rsidR="00880A0E" w:rsidRPr="00932443" w:rsidRDefault="00880A0E"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4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185D2E">
      <w:rPr>
        <w:szCs w:val="16"/>
      </w:rPr>
      <w:t>22</w:t>
    </w:r>
    <w:r w:rsidRPr="00932443">
      <w:rPr>
        <w:szCs w:val="16"/>
      </w:rPr>
      <w:fldChar w:fldCharType="end"/>
    </w:r>
    <w:r w:rsidRPr="00932443">
      <w:rPr>
        <w:szCs w:val="16"/>
      </w:rPr>
      <w:tab/>
    </w:r>
    <w:r>
      <w:rPr>
        <w:szCs w:val="16"/>
      </w:rPr>
      <w:t>1. pololetí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7E4B" w14:textId="4E647126" w:rsidR="00880A0E" w:rsidRPr="00932443" w:rsidRDefault="00880A0E" w:rsidP="00FA6CB6">
    <w:pPr>
      <w:pStyle w:val="Zpat"/>
      <w:rPr>
        <w:szCs w:val="16"/>
      </w:rPr>
    </w:pPr>
    <w:r w:rsidRPr="00FA6CB6">
      <w:rPr>
        <w:szCs w:val="16"/>
      </w:rPr>
      <w:tab/>
      <w:t>1</w:t>
    </w:r>
    <w:r>
      <w:rPr>
        <w:szCs w:val="16"/>
      </w:rPr>
      <w:t>. </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45"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t>pololetí</w:t>
    </w:r>
    <w:r>
      <w:rPr>
        <w:szCs w:val="16"/>
      </w:rPr>
      <w:t xml:space="preserve"> 2</w:t>
    </w:r>
    <w:r>
      <w:t>019</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185D2E">
      <w:rPr>
        <w:rStyle w:val="ZpatChar"/>
        <w:szCs w:val="16"/>
      </w:rPr>
      <w:t>21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3E232" w14:textId="77777777" w:rsidR="005374CC" w:rsidRDefault="005374CC" w:rsidP="00A21B4D">
      <w:pPr>
        <w:spacing w:after="0"/>
      </w:pPr>
      <w:r>
        <w:separator/>
      </w:r>
    </w:p>
  </w:footnote>
  <w:footnote w:type="continuationSeparator" w:id="0">
    <w:p w14:paraId="3430842E" w14:textId="77777777" w:rsidR="005374CC" w:rsidRDefault="005374CC" w:rsidP="00E71A58">
      <w:r>
        <w:continuationSeparator/>
      </w:r>
    </w:p>
  </w:footnote>
  <w:footnote w:id="1">
    <w:p w14:paraId="6C8E976C" w14:textId="77777777" w:rsidR="00880A0E" w:rsidRPr="006A4CF3" w:rsidRDefault="00880A0E" w:rsidP="00DD1A3F">
      <w:pPr>
        <w:pStyle w:val="Textpoznpodarou"/>
        <w:jc w:val="both"/>
        <w:rPr>
          <w:spacing w:val="-2"/>
          <w:sz w:val="16"/>
          <w:szCs w:val="16"/>
        </w:rPr>
      </w:pPr>
      <w:r w:rsidRPr="006A4CF3">
        <w:rPr>
          <w:rStyle w:val="Znakapoznpodarou"/>
          <w:spacing w:val="-2"/>
          <w:sz w:val="16"/>
          <w:szCs w:val="16"/>
        </w:rPr>
        <w:footnoteRef/>
      </w:r>
      <w:r w:rsidRPr="006A4CF3">
        <w:rPr>
          <w:spacing w:val="-2"/>
          <w:sz w:val="16"/>
          <w:szCs w:val="16"/>
        </w:rPr>
        <w:t xml:space="preserve"> </w:t>
      </w:r>
      <w:r>
        <w:rPr>
          <w:rFonts w:cs="Arial"/>
          <w:spacing w:val="-2"/>
          <w:sz w:val="16"/>
          <w:szCs w:val="16"/>
        </w:rPr>
        <w:t>V průběhu roku 2018 došlo např. k navýšení roční kvóty pro kvalifikované pracovníky z Ukrajiny (z 9,6 tis. na 19,6 tis.). Rozšířil se i okruh zemí, jejichž občané se mohou do režimů i projektů cílených na kvalifikované pracovníky zapojit (o Indii, Filipíny, Mongolsko a Srbsko). Během letního období 2019 vešlo v platnost další navýšení kvót pro pracovníky z Ukrajiny (na 40 tis.).</w:t>
      </w:r>
    </w:p>
  </w:footnote>
  <w:footnote w:id="2">
    <w:p w14:paraId="3554068B" w14:textId="77777777" w:rsidR="00880A0E" w:rsidRPr="006A4CF3" w:rsidRDefault="00880A0E" w:rsidP="00DD1A3F">
      <w:pPr>
        <w:pStyle w:val="Textpoznpodarou"/>
        <w:jc w:val="both"/>
        <w:rPr>
          <w:spacing w:val="-2"/>
          <w:sz w:val="16"/>
          <w:szCs w:val="16"/>
        </w:rPr>
      </w:pPr>
      <w:r w:rsidRPr="006A4CF3">
        <w:rPr>
          <w:rStyle w:val="Znakapoznpodarou"/>
          <w:spacing w:val="-2"/>
          <w:sz w:val="16"/>
          <w:szCs w:val="16"/>
        </w:rPr>
        <w:footnoteRef/>
      </w:r>
      <w:r w:rsidRPr="006A4CF3">
        <w:rPr>
          <w:spacing w:val="-2"/>
          <w:sz w:val="16"/>
          <w:szCs w:val="16"/>
        </w:rPr>
        <w:t xml:space="preserve"> </w:t>
      </w:r>
      <w:r>
        <w:rPr>
          <w:rFonts w:cs="Arial"/>
          <w:spacing w:val="-2"/>
          <w:sz w:val="16"/>
          <w:szCs w:val="16"/>
        </w:rPr>
        <w:t xml:space="preserve">Na konci roku 2018 bylo dle údajů  MPSV a MPO v Česku zaměstnáno 659 tis. občanů s cizím státním občanstvím. Tvořili již osminu všech pracovníků na trhu práce. V průběhu první poloviny roku 2019 se jejich počet dále navyšoval, o čemž nepřímo vypovídá kladné saldo celkové zahraniční migrace (v 1. čtvrtletí 6,6 tis. osob), jakož i nárůst počtu všech registrovaných cizinců (od počátku roku 2019 o 8,4 tis., dle </w:t>
      </w:r>
      <w:r w:rsidRPr="000A34DE">
        <w:rPr>
          <w:rFonts w:cs="Arial"/>
          <w:spacing w:val="-2"/>
          <w:sz w:val="16"/>
          <w:szCs w:val="16"/>
        </w:rPr>
        <w:t>Ředitelství služby cizinecké policie</w:t>
      </w:r>
      <w:r>
        <w:rPr>
          <w:rFonts w:cs="Arial"/>
          <w:spacing w:val="-2"/>
          <w:sz w:val="16"/>
          <w:szCs w:val="16"/>
        </w:rPr>
        <w:t>). Podobně jako za celý loňský rok přispěli k růstu počtu všech pracujících cizinců nejvíce Ukrajinci.</w:t>
      </w:r>
    </w:p>
  </w:footnote>
  <w:footnote w:id="3">
    <w:p w14:paraId="7AA15A1C" w14:textId="77777777" w:rsidR="00880A0E" w:rsidRPr="006A4CF3" w:rsidRDefault="00880A0E" w:rsidP="00DD1A3F">
      <w:pPr>
        <w:pStyle w:val="Textpoznpodarou"/>
        <w:jc w:val="both"/>
        <w:rPr>
          <w:spacing w:val="-2"/>
          <w:sz w:val="16"/>
          <w:szCs w:val="16"/>
        </w:rPr>
      </w:pPr>
      <w:r w:rsidRPr="006A4CF3">
        <w:rPr>
          <w:rStyle w:val="Znakapoznpodarou"/>
          <w:spacing w:val="-2"/>
          <w:sz w:val="16"/>
          <w:szCs w:val="16"/>
        </w:rPr>
        <w:footnoteRef/>
      </w:r>
      <w:r w:rsidRPr="006A4CF3">
        <w:rPr>
          <w:spacing w:val="-2"/>
          <w:sz w:val="16"/>
          <w:szCs w:val="16"/>
        </w:rPr>
        <w:t xml:space="preserve"> Pokud není uvedeno jinak, jsou v této kapitole údaje o</w:t>
      </w:r>
      <w:r>
        <w:rPr>
          <w:spacing w:val="-2"/>
          <w:sz w:val="16"/>
          <w:szCs w:val="16"/>
        </w:rPr>
        <w:t> </w:t>
      </w:r>
      <w:r w:rsidRPr="006A4CF3">
        <w:rPr>
          <w:spacing w:val="-2"/>
          <w:sz w:val="16"/>
          <w:szCs w:val="16"/>
        </w:rPr>
        <w:t>zaměstnanosti u</w:t>
      </w:r>
      <w:r>
        <w:rPr>
          <w:spacing w:val="-2"/>
          <w:sz w:val="16"/>
          <w:szCs w:val="16"/>
        </w:rPr>
        <w:t xml:space="preserve">vedeny v pojetí národních účtů po </w:t>
      </w:r>
      <w:r w:rsidRPr="006A4CF3">
        <w:rPr>
          <w:spacing w:val="-2"/>
          <w:sz w:val="16"/>
          <w:szCs w:val="16"/>
        </w:rPr>
        <w:t>očištění o</w:t>
      </w:r>
      <w:r>
        <w:rPr>
          <w:spacing w:val="-2"/>
          <w:sz w:val="16"/>
          <w:szCs w:val="16"/>
        </w:rPr>
        <w:t> </w:t>
      </w:r>
      <w:r w:rsidRPr="006A4CF3">
        <w:rPr>
          <w:spacing w:val="-2"/>
          <w:sz w:val="16"/>
          <w:szCs w:val="16"/>
        </w:rPr>
        <w:t>sezónní vlivy.</w:t>
      </w:r>
    </w:p>
  </w:footnote>
  <w:footnote w:id="4">
    <w:p w14:paraId="1B0ACAC0" w14:textId="77777777" w:rsidR="00880A0E" w:rsidRPr="006A4CF3" w:rsidRDefault="00880A0E" w:rsidP="00DD1A3F">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Vyjádřený dle </w:t>
      </w:r>
      <w:r w:rsidRPr="002402DF">
        <w:rPr>
          <w:spacing w:val="-4"/>
          <w:sz w:val="16"/>
          <w:szCs w:val="16"/>
        </w:rPr>
        <w:t>sezónně očištěných údajů z konjunkturálních šetření</w:t>
      </w:r>
      <w:r>
        <w:rPr>
          <w:spacing w:val="-4"/>
          <w:sz w:val="16"/>
          <w:szCs w:val="16"/>
        </w:rPr>
        <w:t xml:space="preserve"> jako rozdíl (v p. b.) mezi podílem podniků očekávajících v nejbližších třech měsících navýšení zaměstnanosti a podniků vyhlížejících naopak redukci stavu svých pracovníků.</w:t>
      </w:r>
    </w:p>
  </w:footnote>
  <w:footnote w:id="5">
    <w:p w14:paraId="0810F4DB" w14:textId="77777777" w:rsidR="00880A0E" w:rsidRPr="006A4CF3" w:rsidRDefault="00880A0E" w:rsidP="00DD1A3F">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Saldo krátkodobých očekávání v oblasti zaměstnanosti dosahovalo v červnu 2019 ve stavebnictví i obchodu +15 bodů. V průmyslu i</w:t>
      </w:r>
      <w:r w:rsidRPr="006A4CF3">
        <w:rPr>
          <w:spacing w:val="-2"/>
          <w:sz w:val="16"/>
          <w:szCs w:val="16"/>
        </w:rPr>
        <w:t> </w:t>
      </w:r>
      <w:r>
        <w:rPr>
          <w:spacing w:val="-2"/>
          <w:sz w:val="16"/>
          <w:szCs w:val="16"/>
        </w:rPr>
        <w:t>tržních službách činilo shodně –2 body. Situace se ale lišila dle dílčích odvětví. V rámci zpracovatelského průmyslu byl nejvyšší podíl podniků očekávajících snižování počtu pracovníků v kovovýrobě, strojírenství a v oděvnictví. Pozitivní vyhlídky naopak převažovaly hlavně ve výrobě počítačů, elektronických a optických přístrojů, v chemickém, farmaceutickém a dřevozpracujícím průmyslu. Z tržních odvětví signalizovaly růst hlavně podniky v informačních a komunikačních činnostech, v profesních, vědeckých a technických činnostech a dále též v odvětvových oddílech skladování či pohostinství. Spíše k redukci počtu pracovníků se naopak klonily podniky v dopravě, poštovních a kurýrních činnostech, finančním zprostředkování (</w:t>
      </w:r>
      <w:r w:rsidRPr="006629E3">
        <w:rPr>
          <w:spacing w:val="-2"/>
          <w:sz w:val="16"/>
          <w:szCs w:val="16"/>
        </w:rPr>
        <w:t>kromě pojišťovnictví a penzijního financování</w:t>
      </w:r>
      <w:r>
        <w:rPr>
          <w:spacing w:val="-2"/>
          <w:sz w:val="16"/>
          <w:szCs w:val="16"/>
        </w:rPr>
        <w:t>), cestovních agenturách a také v bezpečnostních a pátracích činnostech.</w:t>
      </w:r>
    </w:p>
  </w:footnote>
  <w:footnote w:id="6">
    <w:p w14:paraId="71E51364" w14:textId="77777777" w:rsidR="00880A0E" w:rsidRPr="006A4CF3" w:rsidRDefault="00880A0E" w:rsidP="00DD1A3F">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Podle údajů podnikové statistiky počet zaměstnanců v průmyslu v 1. pololetí dokonce meziročně mírně klesl (o 0,3 %). V tomto pojetí ale nejsou do průmyslu zařazeni agenturní pracovníci a není ani zohledněn vliv šedé ekonomiky.</w:t>
      </w:r>
    </w:p>
  </w:footnote>
  <w:footnote w:id="7">
    <w:p w14:paraId="54FAE9ED" w14:textId="77777777" w:rsidR="00880A0E" w:rsidRPr="006A4CF3" w:rsidRDefault="00880A0E" w:rsidP="00DD1A3F">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Jde o osoby nepracující, aktivně práci nehledající (tudíž nesplňující podmínku pro zařazení mezi nezaměstnané), ale vyjadřující ochotu pracovat (bez ohledu na schopnost rychle do nového zaměstnání nastoupit). Ve 2. čtvrtletí 2019 jich bylo 105 tis., bezmála o polovinu méně než v letech 2010 a 2011, kdy byl trh práce zasažen důsledky hospodářské recese.</w:t>
      </w:r>
    </w:p>
  </w:footnote>
  <w:footnote w:id="8">
    <w:p w14:paraId="38ED0808" w14:textId="77777777" w:rsidR="00880A0E" w:rsidRPr="006A4CF3" w:rsidRDefault="00880A0E" w:rsidP="00DD1A3F">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Mezi státy, které vstoupily do EU po roce 2000, dosahovaly vyšší míry zaměstnanosti jen ženy v pobaltských státech (70 až 72 %), především vlivem vyššího zákonného důchodového věku.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85C8" w14:textId="77777777" w:rsidR="00880A0E" w:rsidRDefault="00880A0E" w:rsidP="00937AE2">
    <w:pPr>
      <w:pStyle w:val="Zhlav"/>
    </w:pPr>
    <w:r>
      <w:t>Vývoj ekonomiky České republiky</w:t>
    </w:r>
  </w:p>
  <w:p w14:paraId="675E4C41" w14:textId="77777777" w:rsidR="00880A0E" w:rsidRPr="006F5416" w:rsidRDefault="00880A0E"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12FB" w14:textId="77777777" w:rsidR="00880A0E" w:rsidRDefault="00880A0E" w:rsidP="00937AE2">
    <w:pPr>
      <w:pStyle w:val="Zhlav"/>
    </w:pPr>
    <w:r>
      <w:t>Vývoj ekonomiky České republiky</w:t>
    </w:r>
  </w:p>
  <w:p w14:paraId="0CDCFD48" w14:textId="77777777" w:rsidR="00880A0E" w:rsidRPr="006F5416" w:rsidRDefault="00880A0E"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4"/>
  </w:num>
  <w:num w:numId="14">
    <w:abstractNumId w:val="12"/>
  </w:num>
  <w:num w:numId="15">
    <w:abstractNumId w:val="18"/>
  </w:num>
  <w:num w:numId="16">
    <w:abstractNumId w:val="14"/>
  </w:num>
  <w:num w:numId="17">
    <w:abstractNumId w:val="25"/>
  </w:num>
  <w:num w:numId="18">
    <w:abstractNumId w:val="19"/>
  </w:num>
  <w:num w:numId="19">
    <w:abstractNumId w:val="26"/>
  </w:num>
  <w:num w:numId="20">
    <w:abstractNumId w:val="27"/>
  </w:num>
  <w:num w:numId="21">
    <w:abstractNumId w:val="23"/>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387D"/>
    <w:rsid w:val="00016420"/>
    <w:rsid w:val="00017B01"/>
    <w:rsid w:val="00020F22"/>
    <w:rsid w:val="0002195D"/>
    <w:rsid w:val="000228AE"/>
    <w:rsid w:val="000233D1"/>
    <w:rsid w:val="000234D6"/>
    <w:rsid w:val="00023D29"/>
    <w:rsid w:val="00024348"/>
    <w:rsid w:val="00026389"/>
    <w:rsid w:val="00031AE0"/>
    <w:rsid w:val="00031BB2"/>
    <w:rsid w:val="000322EF"/>
    <w:rsid w:val="00033FCD"/>
    <w:rsid w:val="00034DF7"/>
    <w:rsid w:val="00034E68"/>
    <w:rsid w:val="000350C8"/>
    <w:rsid w:val="00036195"/>
    <w:rsid w:val="000374B2"/>
    <w:rsid w:val="000376C0"/>
    <w:rsid w:val="000403A7"/>
    <w:rsid w:val="00040632"/>
    <w:rsid w:val="00041CEC"/>
    <w:rsid w:val="00044183"/>
    <w:rsid w:val="0004694F"/>
    <w:rsid w:val="00047D54"/>
    <w:rsid w:val="000522E4"/>
    <w:rsid w:val="00053713"/>
    <w:rsid w:val="0005434E"/>
    <w:rsid w:val="00055CB6"/>
    <w:rsid w:val="000572DD"/>
    <w:rsid w:val="00057B1E"/>
    <w:rsid w:val="000610E1"/>
    <w:rsid w:val="000616AD"/>
    <w:rsid w:val="000622A6"/>
    <w:rsid w:val="00062EC5"/>
    <w:rsid w:val="00062F22"/>
    <w:rsid w:val="00063975"/>
    <w:rsid w:val="00063CEA"/>
    <w:rsid w:val="000645FC"/>
    <w:rsid w:val="0006533F"/>
    <w:rsid w:val="00065348"/>
    <w:rsid w:val="00065A75"/>
    <w:rsid w:val="00066558"/>
    <w:rsid w:val="00070A87"/>
    <w:rsid w:val="000712B3"/>
    <w:rsid w:val="00072FF5"/>
    <w:rsid w:val="0007474E"/>
    <w:rsid w:val="0007512B"/>
    <w:rsid w:val="00075551"/>
    <w:rsid w:val="00076D90"/>
    <w:rsid w:val="00077FF0"/>
    <w:rsid w:val="00081A55"/>
    <w:rsid w:val="0008263E"/>
    <w:rsid w:val="00082C19"/>
    <w:rsid w:val="000837CD"/>
    <w:rsid w:val="00084BFF"/>
    <w:rsid w:val="00085395"/>
    <w:rsid w:val="00086896"/>
    <w:rsid w:val="00086AC1"/>
    <w:rsid w:val="00086D19"/>
    <w:rsid w:val="00087634"/>
    <w:rsid w:val="00087F2B"/>
    <w:rsid w:val="00090694"/>
    <w:rsid w:val="000913B1"/>
    <w:rsid w:val="00093241"/>
    <w:rsid w:val="00094A84"/>
    <w:rsid w:val="00095025"/>
    <w:rsid w:val="00095135"/>
    <w:rsid w:val="0009626E"/>
    <w:rsid w:val="00097191"/>
    <w:rsid w:val="000974D1"/>
    <w:rsid w:val="0009799E"/>
    <w:rsid w:val="000A0BC0"/>
    <w:rsid w:val="000A1183"/>
    <w:rsid w:val="000A212B"/>
    <w:rsid w:val="000A256D"/>
    <w:rsid w:val="000A3A2C"/>
    <w:rsid w:val="000A3D9E"/>
    <w:rsid w:val="000A4A54"/>
    <w:rsid w:val="000A4ED9"/>
    <w:rsid w:val="000A7377"/>
    <w:rsid w:val="000B03CC"/>
    <w:rsid w:val="000B4212"/>
    <w:rsid w:val="000C0EA8"/>
    <w:rsid w:val="000C13A2"/>
    <w:rsid w:val="000C23EC"/>
    <w:rsid w:val="000C30C3"/>
    <w:rsid w:val="000C3408"/>
    <w:rsid w:val="000C35AB"/>
    <w:rsid w:val="000C3F7B"/>
    <w:rsid w:val="000C4769"/>
    <w:rsid w:val="000C4D56"/>
    <w:rsid w:val="000C5DFA"/>
    <w:rsid w:val="000C6AFD"/>
    <w:rsid w:val="000C6C90"/>
    <w:rsid w:val="000D0A26"/>
    <w:rsid w:val="000D3058"/>
    <w:rsid w:val="000D310A"/>
    <w:rsid w:val="000D3EF4"/>
    <w:rsid w:val="000D5637"/>
    <w:rsid w:val="000D6F4E"/>
    <w:rsid w:val="000E0E96"/>
    <w:rsid w:val="000E298B"/>
    <w:rsid w:val="000E2C7D"/>
    <w:rsid w:val="000E440D"/>
    <w:rsid w:val="000E4AC5"/>
    <w:rsid w:val="000E6253"/>
    <w:rsid w:val="000E6E4D"/>
    <w:rsid w:val="000E6FBD"/>
    <w:rsid w:val="000E6FCB"/>
    <w:rsid w:val="000F090B"/>
    <w:rsid w:val="000F3F3B"/>
    <w:rsid w:val="000F47E8"/>
    <w:rsid w:val="000F70E4"/>
    <w:rsid w:val="00100F5C"/>
    <w:rsid w:val="00101CDA"/>
    <w:rsid w:val="00102037"/>
    <w:rsid w:val="00103DCB"/>
    <w:rsid w:val="00104C4C"/>
    <w:rsid w:val="00105015"/>
    <w:rsid w:val="001057C2"/>
    <w:rsid w:val="0011038E"/>
    <w:rsid w:val="001125EF"/>
    <w:rsid w:val="00112CAB"/>
    <w:rsid w:val="00116D3F"/>
    <w:rsid w:val="00117474"/>
    <w:rsid w:val="00117623"/>
    <w:rsid w:val="00117FEA"/>
    <w:rsid w:val="001200CF"/>
    <w:rsid w:val="001208E3"/>
    <w:rsid w:val="0012192F"/>
    <w:rsid w:val="00122994"/>
    <w:rsid w:val="00124B46"/>
    <w:rsid w:val="001257E0"/>
    <w:rsid w:val="00125D69"/>
    <w:rsid w:val="0012799C"/>
    <w:rsid w:val="00127E15"/>
    <w:rsid w:val="00130ADC"/>
    <w:rsid w:val="00130D9F"/>
    <w:rsid w:val="00132C4D"/>
    <w:rsid w:val="00133FC1"/>
    <w:rsid w:val="00134659"/>
    <w:rsid w:val="001405FA"/>
    <w:rsid w:val="00140D1A"/>
    <w:rsid w:val="00141315"/>
    <w:rsid w:val="00141AA0"/>
    <w:rsid w:val="001425C3"/>
    <w:rsid w:val="0014262D"/>
    <w:rsid w:val="00144588"/>
    <w:rsid w:val="001447DD"/>
    <w:rsid w:val="001459BC"/>
    <w:rsid w:val="00152F4F"/>
    <w:rsid w:val="001544A1"/>
    <w:rsid w:val="001553B8"/>
    <w:rsid w:val="001554C2"/>
    <w:rsid w:val="001571C0"/>
    <w:rsid w:val="0015753D"/>
    <w:rsid w:val="00157CC9"/>
    <w:rsid w:val="00160C21"/>
    <w:rsid w:val="001612F4"/>
    <w:rsid w:val="00161553"/>
    <w:rsid w:val="0016256B"/>
    <w:rsid w:val="00162F81"/>
    <w:rsid w:val="00163793"/>
    <w:rsid w:val="00167485"/>
    <w:rsid w:val="00167CB9"/>
    <w:rsid w:val="00167DD8"/>
    <w:rsid w:val="001705AD"/>
    <w:rsid w:val="001706D6"/>
    <w:rsid w:val="001714F2"/>
    <w:rsid w:val="00171FEA"/>
    <w:rsid w:val="00175B9F"/>
    <w:rsid w:val="001762F4"/>
    <w:rsid w:val="00181BBC"/>
    <w:rsid w:val="0018385F"/>
    <w:rsid w:val="00184017"/>
    <w:rsid w:val="00184B08"/>
    <w:rsid w:val="00185010"/>
    <w:rsid w:val="00185C22"/>
    <w:rsid w:val="00185D2E"/>
    <w:rsid w:val="00186BA9"/>
    <w:rsid w:val="0019196C"/>
    <w:rsid w:val="00192F05"/>
    <w:rsid w:val="00194729"/>
    <w:rsid w:val="00194850"/>
    <w:rsid w:val="00195234"/>
    <w:rsid w:val="00196016"/>
    <w:rsid w:val="00197A70"/>
    <w:rsid w:val="00197C0F"/>
    <w:rsid w:val="001A0487"/>
    <w:rsid w:val="001A1F68"/>
    <w:rsid w:val="001A21FA"/>
    <w:rsid w:val="001A4EF0"/>
    <w:rsid w:val="001A552F"/>
    <w:rsid w:val="001B2CA9"/>
    <w:rsid w:val="001B3110"/>
    <w:rsid w:val="001B3E38"/>
    <w:rsid w:val="001B40F5"/>
    <w:rsid w:val="001B4729"/>
    <w:rsid w:val="001B4F0E"/>
    <w:rsid w:val="001B6310"/>
    <w:rsid w:val="001B6C09"/>
    <w:rsid w:val="001C05CD"/>
    <w:rsid w:val="001C0F17"/>
    <w:rsid w:val="001C1B66"/>
    <w:rsid w:val="001C31A2"/>
    <w:rsid w:val="001C4BB8"/>
    <w:rsid w:val="001C5E46"/>
    <w:rsid w:val="001C6B3B"/>
    <w:rsid w:val="001C7E3F"/>
    <w:rsid w:val="001D0EF1"/>
    <w:rsid w:val="001D22C2"/>
    <w:rsid w:val="001D2C99"/>
    <w:rsid w:val="001D54C1"/>
    <w:rsid w:val="001D556E"/>
    <w:rsid w:val="001D5DF2"/>
    <w:rsid w:val="001D68B2"/>
    <w:rsid w:val="001D7EFD"/>
    <w:rsid w:val="001D7F60"/>
    <w:rsid w:val="001E504C"/>
    <w:rsid w:val="001E5A17"/>
    <w:rsid w:val="001E74C5"/>
    <w:rsid w:val="001F1236"/>
    <w:rsid w:val="001F2F90"/>
    <w:rsid w:val="001F4597"/>
    <w:rsid w:val="001F4826"/>
    <w:rsid w:val="001F7CE0"/>
    <w:rsid w:val="00200085"/>
    <w:rsid w:val="00203332"/>
    <w:rsid w:val="00203CD5"/>
    <w:rsid w:val="00203D8F"/>
    <w:rsid w:val="00203DA4"/>
    <w:rsid w:val="00205186"/>
    <w:rsid w:val="00206516"/>
    <w:rsid w:val="002071D5"/>
    <w:rsid w:val="002111E5"/>
    <w:rsid w:val="002118B9"/>
    <w:rsid w:val="002142C0"/>
    <w:rsid w:val="00217C5B"/>
    <w:rsid w:val="00220A43"/>
    <w:rsid w:val="0022139E"/>
    <w:rsid w:val="00222729"/>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6A8"/>
    <w:rsid w:val="0023288F"/>
    <w:rsid w:val="00233603"/>
    <w:rsid w:val="002340EF"/>
    <w:rsid w:val="00234B82"/>
    <w:rsid w:val="00236443"/>
    <w:rsid w:val="00236700"/>
    <w:rsid w:val="00240AF3"/>
    <w:rsid w:val="002418D5"/>
    <w:rsid w:val="00241B06"/>
    <w:rsid w:val="002436BA"/>
    <w:rsid w:val="00244A15"/>
    <w:rsid w:val="002452D9"/>
    <w:rsid w:val="00247319"/>
    <w:rsid w:val="0024799E"/>
    <w:rsid w:val="00247E60"/>
    <w:rsid w:val="00251C53"/>
    <w:rsid w:val="00252AB9"/>
    <w:rsid w:val="00253C0F"/>
    <w:rsid w:val="002558C1"/>
    <w:rsid w:val="00256207"/>
    <w:rsid w:val="002575F3"/>
    <w:rsid w:val="002603E1"/>
    <w:rsid w:val="0026120E"/>
    <w:rsid w:val="00262582"/>
    <w:rsid w:val="0026291D"/>
    <w:rsid w:val="00264309"/>
    <w:rsid w:val="0026564B"/>
    <w:rsid w:val="00265E85"/>
    <w:rsid w:val="00267B49"/>
    <w:rsid w:val="002700D9"/>
    <w:rsid w:val="0027025F"/>
    <w:rsid w:val="002709CC"/>
    <w:rsid w:val="00271022"/>
    <w:rsid w:val="00271465"/>
    <w:rsid w:val="002721F5"/>
    <w:rsid w:val="00272DF4"/>
    <w:rsid w:val="0027583D"/>
    <w:rsid w:val="00275DEF"/>
    <w:rsid w:val="002763A2"/>
    <w:rsid w:val="00276B33"/>
    <w:rsid w:val="002812E3"/>
    <w:rsid w:val="0028341F"/>
    <w:rsid w:val="002837AE"/>
    <w:rsid w:val="00283C13"/>
    <w:rsid w:val="002853FA"/>
    <w:rsid w:val="00285412"/>
    <w:rsid w:val="00286220"/>
    <w:rsid w:val="00291640"/>
    <w:rsid w:val="0029237E"/>
    <w:rsid w:val="00292997"/>
    <w:rsid w:val="00293D24"/>
    <w:rsid w:val="0029509B"/>
    <w:rsid w:val="0029588F"/>
    <w:rsid w:val="00297256"/>
    <w:rsid w:val="00297A5C"/>
    <w:rsid w:val="00297D51"/>
    <w:rsid w:val="002A0122"/>
    <w:rsid w:val="002A016B"/>
    <w:rsid w:val="002A16D4"/>
    <w:rsid w:val="002A1E4F"/>
    <w:rsid w:val="002A230C"/>
    <w:rsid w:val="002A2AF7"/>
    <w:rsid w:val="002A3EA2"/>
    <w:rsid w:val="002A51AC"/>
    <w:rsid w:val="002A532A"/>
    <w:rsid w:val="002A5846"/>
    <w:rsid w:val="002A5D97"/>
    <w:rsid w:val="002A603E"/>
    <w:rsid w:val="002A63B9"/>
    <w:rsid w:val="002B3EF4"/>
    <w:rsid w:val="002B4845"/>
    <w:rsid w:val="002B5567"/>
    <w:rsid w:val="002B72AA"/>
    <w:rsid w:val="002C1F09"/>
    <w:rsid w:val="002C22A4"/>
    <w:rsid w:val="002C260B"/>
    <w:rsid w:val="002C27A6"/>
    <w:rsid w:val="002C398D"/>
    <w:rsid w:val="002C40D2"/>
    <w:rsid w:val="002C43BD"/>
    <w:rsid w:val="002C5245"/>
    <w:rsid w:val="002C59D8"/>
    <w:rsid w:val="002D05CB"/>
    <w:rsid w:val="002D0E59"/>
    <w:rsid w:val="002D455C"/>
    <w:rsid w:val="002E02A1"/>
    <w:rsid w:val="002E196A"/>
    <w:rsid w:val="002E20C7"/>
    <w:rsid w:val="002E20CD"/>
    <w:rsid w:val="002E222E"/>
    <w:rsid w:val="002E28D8"/>
    <w:rsid w:val="002E37D1"/>
    <w:rsid w:val="002E3BEE"/>
    <w:rsid w:val="002E4E4C"/>
    <w:rsid w:val="002E4EA7"/>
    <w:rsid w:val="002E5846"/>
    <w:rsid w:val="002E792B"/>
    <w:rsid w:val="002F1B09"/>
    <w:rsid w:val="002F1DCB"/>
    <w:rsid w:val="002F1DE4"/>
    <w:rsid w:val="002F333D"/>
    <w:rsid w:val="002F351A"/>
    <w:rsid w:val="002F46D6"/>
    <w:rsid w:val="002F498A"/>
    <w:rsid w:val="002F4AD8"/>
    <w:rsid w:val="002F5285"/>
    <w:rsid w:val="002F5820"/>
    <w:rsid w:val="00300C31"/>
    <w:rsid w:val="00304771"/>
    <w:rsid w:val="003052D4"/>
    <w:rsid w:val="00306C5B"/>
    <w:rsid w:val="00307529"/>
    <w:rsid w:val="00307DB3"/>
    <w:rsid w:val="00307ED2"/>
    <w:rsid w:val="0031076D"/>
    <w:rsid w:val="00311AA6"/>
    <w:rsid w:val="00311C4D"/>
    <w:rsid w:val="003121AB"/>
    <w:rsid w:val="003153C8"/>
    <w:rsid w:val="00315524"/>
    <w:rsid w:val="0032058C"/>
    <w:rsid w:val="003208D0"/>
    <w:rsid w:val="003209D6"/>
    <w:rsid w:val="003217B9"/>
    <w:rsid w:val="00321924"/>
    <w:rsid w:val="00321EB6"/>
    <w:rsid w:val="003220A5"/>
    <w:rsid w:val="00323A1C"/>
    <w:rsid w:val="00324B59"/>
    <w:rsid w:val="0032656E"/>
    <w:rsid w:val="0032788F"/>
    <w:rsid w:val="00332190"/>
    <w:rsid w:val="00333CD0"/>
    <w:rsid w:val="0033448D"/>
    <w:rsid w:val="00334AD2"/>
    <w:rsid w:val="0033709C"/>
    <w:rsid w:val="003370C5"/>
    <w:rsid w:val="00340BF3"/>
    <w:rsid w:val="00341D26"/>
    <w:rsid w:val="00341F05"/>
    <w:rsid w:val="0034335E"/>
    <w:rsid w:val="00344668"/>
    <w:rsid w:val="003462D9"/>
    <w:rsid w:val="00347247"/>
    <w:rsid w:val="00347DD4"/>
    <w:rsid w:val="00352B43"/>
    <w:rsid w:val="00352C28"/>
    <w:rsid w:val="0036077F"/>
    <w:rsid w:val="00360C86"/>
    <w:rsid w:val="00360F7A"/>
    <w:rsid w:val="00360FBC"/>
    <w:rsid w:val="00361537"/>
    <w:rsid w:val="0036242A"/>
    <w:rsid w:val="00362C23"/>
    <w:rsid w:val="00362E90"/>
    <w:rsid w:val="00364FA0"/>
    <w:rsid w:val="003657F3"/>
    <w:rsid w:val="00365844"/>
    <w:rsid w:val="00367F84"/>
    <w:rsid w:val="003712BC"/>
    <w:rsid w:val="00372164"/>
    <w:rsid w:val="003738BD"/>
    <w:rsid w:val="00374263"/>
    <w:rsid w:val="003746F0"/>
    <w:rsid w:val="00374A20"/>
    <w:rsid w:val="00374E21"/>
    <w:rsid w:val="003810F0"/>
    <w:rsid w:val="003818DC"/>
    <w:rsid w:val="00382513"/>
    <w:rsid w:val="00383388"/>
    <w:rsid w:val="003834F8"/>
    <w:rsid w:val="003838D0"/>
    <w:rsid w:val="003840C2"/>
    <w:rsid w:val="00384327"/>
    <w:rsid w:val="00384A89"/>
    <w:rsid w:val="00385086"/>
    <w:rsid w:val="00385D98"/>
    <w:rsid w:val="00390306"/>
    <w:rsid w:val="003908A6"/>
    <w:rsid w:val="00391989"/>
    <w:rsid w:val="003927F6"/>
    <w:rsid w:val="00396739"/>
    <w:rsid w:val="003A04F6"/>
    <w:rsid w:val="003A0837"/>
    <w:rsid w:val="003A2B4D"/>
    <w:rsid w:val="003A2D12"/>
    <w:rsid w:val="003A2EBA"/>
    <w:rsid w:val="003A45E3"/>
    <w:rsid w:val="003A478C"/>
    <w:rsid w:val="003A5525"/>
    <w:rsid w:val="003A5889"/>
    <w:rsid w:val="003A6B38"/>
    <w:rsid w:val="003A6B83"/>
    <w:rsid w:val="003A6C97"/>
    <w:rsid w:val="003A722F"/>
    <w:rsid w:val="003A7373"/>
    <w:rsid w:val="003B039F"/>
    <w:rsid w:val="003B0DF4"/>
    <w:rsid w:val="003B1F9D"/>
    <w:rsid w:val="003B2AD1"/>
    <w:rsid w:val="003B2D2E"/>
    <w:rsid w:val="003B461F"/>
    <w:rsid w:val="003B483F"/>
    <w:rsid w:val="003B4998"/>
    <w:rsid w:val="003B5A32"/>
    <w:rsid w:val="003B7B50"/>
    <w:rsid w:val="003C0B07"/>
    <w:rsid w:val="003C2CE7"/>
    <w:rsid w:val="003C3490"/>
    <w:rsid w:val="003C3608"/>
    <w:rsid w:val="003C3D2C"/>
    <w:rsid w:val="003C4E13"/>
    <w:rsid w:val="003C6221"/>
    <w:rsid w:val="003C68CC"/>
    <w:rsid w:val="003C7E62"/>
    <w:rsid w:val="003D12B9"/>
    <w:rsid w:val="003D242B"/>
    <w:rsid w:val="003D2492"/>
    <w:rsid w:val="003D29AA"/>
    <w:rsid w:val="003D2A99"/>
    <w:rsid w:val="003D6920"/>
    <w:rsid w:val="003E1EF8"/>
    <w:rsid w:val="003E4C91"/>
    <w:rsid w:val="003E52D8"/>
    <w:rsid w:val="003E62F1"/>
    <w:rsid w:val="003F313C"/>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F57"/>
    <w:rsid w:val="00405318"/>
    <w:rsid w:val="004059D2"/>
    <w:rsid w:val="00406C2E"/>
    <w:rsid w:val="00406EB0"/>
    <w:rsid w:val="00407711"/>
    <w:rsid w:val="00407C13"/>
    <w:rsid w:val="004103F6"/>
    <w:rsid w:val="00410638"/>
    <w:rsid w:val="00412511"/>
    <w:rsid w:val="004125C2"/>
    <w:rsid w:val="00412DFA"/>
    <w:rsid w:val="00413465"/>
    <w:rsid w:val="0041501E"/>
    <w:rsid w:val="00415452"/>
    <w:rsid w:val="004159C3"/>
    <w:rsid w:val="00415A57"/>
    <w:rsid w:val="00416DAC"/>
    <w:rsid w:val="00420880"/>
    <w:rsid w:val="00421179"/>
    <w:rsid w:val="00431BFF"/>
    <w:rsid w:val="00432A58"/>
    <w:rsid w:val="004331C3"/>
    <w:rsid w:val="00434617"/>
    <w:rsid w:val="00435051"/>
    <w:rsid w:val="00435C69"/>
    <w:rsid w:val="004360FB"/>
    <w:rsid w:val="00437CED"/>
    <w:rsid w:val="00440900"/>
    <w:rsid w:val="0044121D"/>
    <w:rsid w:val="00441BF6"/>
    <w:rsid w:val="00441D2B"/>
    <w:rsid w:val="004441A0"/>
    <w:rsid w:val="00445861"/>
    <w:rsid w:val="00445A8E"/>
    <w:rsid w:val="00446D44"/>
    <w:rsid w:val="0045078A"/>
    <w:rsid w:val="0045086D"/>
    <w:rsid w:val="00451EF1"/>
    <w:rsid w:val="00452E60"/>
    <w:rsid w:val="0045321B"/>
    <w:rsid w:val="00456FE5"/>
    <w:rsid w:val="00457490"/>
    <w:rsid w:val="00457953"/>
    <w:rsid w:val="00460656"/>
    <w:rsid w:val="00460FB3"/>
    <w:rsid w:val="00464851"/>
    <w:rsid w:val="0046746A"/>
    <w:rsid w:val="00467B14"/>
    <w:rsid w:val="004707FE"/>
    <w:rsid w:val="0047276D"/>
    <w:rsid w:val="00472AF6"/>
    <w:rsid w:val="00473482"/>
    <w:rsid w:val="00474A04"/>
    <w:rsid w:val="00476240"/>
    <w:rsid w:val="00476439"/>
    <w:rsid w:val="004769E1"/>
    <w:rsid w:val="0047735C"/>
    <w:rsid w:val="004776BC"/>
    <w:rsid w:val="00477820"/>
    <w:rsid w:val="00477B96"/>
    <w:rsid w:val="00480BAE"/>
    <w:rsid w:val="0048139F"/>
    <w:rsid w:val="00481E40"/>
    <w:rsid w:val="00482405"/>
    <w:rsid w:val="004826A7"/>
    <w:rsid w:val="0048368C"/>
    <w:rsid w:val="00484ECE"/>
    <w:rsid w:val="00486132"/>
    <w:rsid w:val="0048686D"/>
    <w:rsid w:val="00486A4D"/>
    <w:rsid w:val="004915CB"/>
    <w:rsid w:val="004924DC"/>
    <w:rsid w:val="00492879"/>
    <w:rsid w:val="004979A5"/>
    <w:rsid w:val="004A036E"/>
    <w:rsid w:val="004A14E4"/>
    <w:rsid w:val="004A204E"/>
    <w:rsid w:val="004A26A5"/>
    <w:rsid w:val="004A27F0"/>
    <w:rsid w:val="004A3212"/>
    <w:rsid w:val="004A37CD"/>
    <w:rsid w:val="004A40D9"/>
    <w:rsid w:val="004A4F8A"/>
    <w:rsid w:val="004A5494"/>
    <w:rsid w:val="004A5D4E"/>
    <w:rsid w:val="004A61C5"/>
    <w:rsid w:val="004A62A0"/>
    <w:rsid w:val="004A77DF"/>
    <w:rsid w:val="004B1417"/>
    <w:rsid w:val="004B305C"/>
    <w:rsid w:val="004B339A"/>
    <w:rsid w:val="004B55B7"/>
    <w:rsid w:val="004B6468"/>
    <w:rsid w:val="004B6EF8"/>
    <w:rsid w:val="004B7125"/>
    <w:rsid w:val="004B756A"/>
    <w:rsid w:val="004B7FB1"/>
    <w:rsid w:val="004C0B3F"/>
    <w:rsid w:val="004C2794"/>
    <w:rsid w:val="004C2BB6"/>
    <w:rsid w:val="004C2C2D"/>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3296"/>
    <w:rsid w:val="004D5B0F"/>
    <w:rsid w:val="004D7626"/>
    <w:rsid w:val="004E1A40"/>
    <w:rsid w:val="004E200A"/>
    <w:rsid w:val="004E23FC"/>
    <w:rsid w:val="004E2409"/>
    <w:rsid w:val="004E261D"/>
    <w:rsid w:val="004E57BF"/>
    <w:rsid w:val="004E5F41"/>
    <w:rsid w:val="004E6DE6"/>
    <w:rsid w:val="004E765E"/>
    <w:rsid w:val="004E7815"/>
    <w:rsid w:val="004F06F5"/>
    <w:rsid w:val="004F12A4"/>
    <w:rsid w:val="004F253F"/>
    <w:rsid w:val="004F33A0"/>
    <w:rsid w:val="004F3BD2"/>
    <w:rsid w:val="004F46ED"/>
    <w:rsid w:val="00503D54"/>
    <w:rsid w:val="005048E2"/>
    <w:rsid w:val="00506603"/>
    <w:rsid w:val="0050689D"/>
    <w:rsid w:val="005077F5"/>
    <w:rsid w:val="005108C0"/>
    <w:rsid w:val="0051094F"/>
    <w:rsid w:val="00511873"/>
    <w:rsid w:val="00512461"/>
    <w:rsid w:val="00512A2F"/>
    <w:rsid w:val="00513B7E"/>
    <w:rsid w:val="00513E9D"/>
    <w:rsid w:val="0051475D"/>
    <w:rsid w:val="00514B11"/>
    <w:rsid w:val="00515485"/>
    <w:rsid w:val="00515BE9"/>
    <w:rsid w:val="00515C74"/>
    <w:rsid w:val="0051630F"/>
    <w:rsid w:val="00517113"/>
    <w:rsid w:val="0052007E"/>
    <w:rsid w:val="00521CAD"/>
    <w:rsid w:val="0052200D"/>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4A28"/>
    <w:rsid w:val="00535018"/>
    <w:rsid w:val="0053595E"/>
    <w:rsid w:val="005374CC"/>
    <w:rsid w:val="00537571"/>
    <w:rsid w:val="00540056"/>
    <w:rsid w:val="005410E2"/>
    <w:rsid w:val="00541508"/>
    <w:rsid w:val="00541AE3"/>
    <w:rsid w:val="00543498"/>
    <w:rsid w:val="00544011"/>
    <w:rsid w:val="00544BE5"/>
    <w:rsid w:val="005455F6"/>
    <w:rsid w:val="005500F9"/>
    <w:rsid w:val="00550160"/>
    <w:rsid w:val="005523A8"/>
    <w:rsid w:val="00552F2C"/>
    <w:rsid w:val="00553A25"/>
    <w:rsid w:val="005547EB"/>
    <w:rsid w:val="005555E0"/>
    <w:rsid w:val="0055599F"/>
    <w:rsid w:val="00556D68"/>
    <w:rsid w:val="005570D6"/>
    <w:rsid w:val="00557E45"/>
    <w:rsid w:val="00561F44"/>
    <w:rsid w:val="00562B4D"/>
    <w:rsid w:val="00563EB8"/>
    <w:rsid w:val="005647BF"/>
    <w:rsid w:val="00564AF1"/>
    <w:rsid w:val="005655DB"/>
    <w:rsid w:val="00570270"/>
    <w:rsid w:val="00570BC3"/>
    <w:rsid w:val="0057182A"/>
    <w:rsid w:val="00571E59"/>
    <w:rsid w:val="00572079"/>
    <w:rsid w:val="00572900"/>
    <w:rsid w:val="00573602"/>
    <w:rsid w:val="0057364B"/>
    <w:rsid w:val="00574773"/>
    <w:rsid w:val="005761EC"/>
    <w:rsid w:val="00577C07"/>
    <w:rsid w:val="00577DB1"/>
    <w:rsid w:val="00580AD3"/>
    <w:rsid w:val="00580DE7"/>
    <w:rsid w:val="00583E52"/>
    <w:rsid w:val="00583FFD"/>
    <w:rsid w:val="0058519A"/>
    <w:rsid w:val="005856BD"/>
    <w:rsid w:val="00586BCA"/>
    <w:rsid w:val="00590B28"/>
    <w:rsid w:val="005911BE"/>
    <w:rsid w:val="00591273"/>
    <w:rsid w:val="00591E9E"/>
    <w:rsid w:val="005927A4"/>
    <w:rsid w:val="00593152"/>
    <w:rsid w:val="005956A3"/>
    <w:rsid w:val="00595958"/>
    <w:rsid w:val="00595CAB"/>
    <w:rsid w:val="00597BBF"/>
    <w:rsid w:val="005A0948"/>
    <w:rsid w:val="005A10F2"/>
    <w:rsid w:val="005A21E0"/>
    <w:rsid w:val="005A28FF"/>
    <w:rsid w:val="005A2C09"/>
    <w:rsid w:val="005A3778"/>
    <w:rsid w:val="005A3DF8"/>
    <w:rsid w:val="005A5549"/>
    <w:rsid w:val="005A7CF8"/>
    <w:rsid w:val="005B0EDA"/>
    <w:rsid w:val="005B121D"/>
    <w:rsid w:val="005B41C9"/>
    <w:rsid w:val="005B4853"/>
    <w:rsid w:val="005B6CA1"/>
    <w:rsid w:val="005B770C"/>
    <w:rsid w:val="005C06ED"/>
    <w:rsid w:val="005C11B8"/>
    <w:rsid w:val="005C2609"/>
    <w:rsid w:val="005C2B30"/>
    <w:rsid w:val="005C412B"/>
    <w:rsid w:val="005C43EC"/>
    <w:rsid w:val="005C45DD"/>
    <w:rsid w:val="005D3F06"/>
    <w:rsid w:val="005D4B73"/>
    <w:rsid w:val="005D5802"/>
    <w:rsid w:val="005D5AA9"/>
    <w:rsid w:val="005D66E6"/>
    <w:rsid w:val="005D7119"/>
    <w:rsid w:val="005D76C8"/>
    <w:rsid w:val="005D7890"/>
    <w:rsid w:val="005E19C1"/>
    <w:rsid w:val="005E2194"/>
    <w:rsid w:val="005E24F0"/>
    <w:rsid w:val="005E36FE"/>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D7F"/>
    <w:rsid w:val="005F7174"/>
    <w:rsid w:val="00601EEF"/>
    <w:rsid w:val="0060255A"/>
    <w:rsid w:val="00604307"/>
    <w:rsid w:val="0060487F"/>
    <w:rsid w:val="00604EAD"/>
    <w:rsid w:val="0060513F"/>
    <w:rsid w:val="0060694B"/>
    <w:rsid w:val="006104FB"/>
    <w:rsid w:val="0061176D"/>
    <w:rsid w:val="0061200F"/>
    <w:rsid w:val="00612756"/>
    <w:rsid w:val="00612A2F"/>
    <w:rsid w:val="00612AAE"/>
    <w:rsid w:val="00612FD9"/>
    <w:rsid w:val="006139E0"/>
    <w:rsid w:val="00614D35"/>
    <w:rsid w:val="006156B4"/>
    <w:rsid w:val="00615DAF"/>
    <w:rsid w:val="00616E05"/>
    <w:rsid w:val="00617985"/>
    <w:rsid w:val="00620B77"/>
    <w:rsid w:val="0062131B"/>
    <w:rsid w:val="00621E26"/>
    <w:rsid w:val="0062263A"/>
    <w:rsid w:val="006227DF"/>
    <w:rsid w:val="006236C8"/>
    <w:rsid w:val="00624093"/>
    <w:rsid w:val="00625A84"/>
    <w:rsid w:val="00626079"/>
    <w:rsid w:val="00631698"/>
    <w:rsid w:val="00631E44"/>
    <w:rsid w:val="00634C57"/>
    <w:rsid w:val="00634CE7"/>
    <w:rsid w:val="006350D5"/>
    <w:rsid w:val="0063642C"/>
    <w:rsid w:val="00637858"/>
    <w:rsid w:val="006404A7"/>
    <w:rsid w:val="00640A38"/>
    <w:rsid w:val="00641787"/>
    <w:rsid w:val="00642489"/>
    <w:rsid w:val="00644055"/>
    <w:rsid w:val="00644137"/>
    <w:rsid w:val="0064478C"/>
    <w:rsid w:val="00645160"/>
    <w:rsid w:val="006451E4"/>
    <w:rsid w:val="00645B33"/>
    <w:rsid w:val="006516CB"/>
    <w:rsid w:val="00653BD0"/>
    <w:rsid w:val="00654110"/>
    <w:rsid w:val="00656C5D"/>
    <w:rsid w:val="00656CFB"/>
    <w:rsid w:val="00657E87"/>
    <w:rsid w:val="00660D2D"/>
    <w:rsid w:val="00661EC9"/>
    <w:rsid w:val="00662469"/>
    <w:rsid w:val="00664205"/>
    <w:rsid w:val="00664647"/>
    <w:rsid w:val="00664803"/>
    <w:rsid w:val="00665982"/>
    <w:rsid w:val="00665BA4"/>
    <w:rsid w:val="00667856"/>
    <w:rsid w:val="00667AF2"/>
    <w:rsid w:val="00670489"/>
    <w:rsid w:val="006710C9"/>
    <w:rsid w:val="006741CD"/>
    <w:rsid w:val="00674D89"/>
    <w:rsid w:val="00675E37"/>
    <w:rsid w:val="00676736"/>
    <w:rsid w:val="006769A4"/>
    <w:rsid w:val="00676D76"/>
    <w:rsid w:val="00676F9F"/>
    <w:rsid w:val="00677591"/>
    <w:rsid w:val="00677594"/>
    <w:rsid w:val="0068032F"/>
    <w:rsid w:val="00680D37"/>
    <w:rsid w:val="0068174E"/>
    <w:rsid w:val="00681DCE"/>
    <w:rsid w:val="0068260E"/>
    <w:rsid w:val="006846B3"/>
    <w:rsid w:val="00684D59"/>
    <w:rsid w:val="00684E25"/>
    <w:rsid w:val="006858A4"/>
    <w:rsid w:val="00686718"/>
    <w:rsid w:val="00686BFA"/>
    <w:rsid w:val="00686DED"/>
    <w:rsid w:val="006875A0"/>
    <w:rsid w:val="00687D27"/>
    <w:rsid w:val="00691943"/>
    <w:rsid w:val="00693550"/>
    <w:rsid w:val="00695065"/>
    <w:rsid w:val="00695BEF"/>
    <w:rsid w:val="006966C7"/>
    <w:rsid w:val="006968C1"/>
    <w:rsid w:val="006977F6"/>
    <w:rsid w:val="00697A13"/>
    <w:rsid w:val="006A109C"/>
    <w:rsid w:val="006A6565"/>
    <w:rsid w:val="006A7691"/>
    <w:rsid w:val="006A7EE2"/>
    <w:rsid w:val="006B0514"/>
    <w:rsid w:val="006B0F92"/>
    <w:rsid w:val="006B2785"/>
    <w:rsid w:val="006B344A"/>
    <w:rsid w:val="006B58C9"/>
    <w:rsid w:val="006B60ED"/>
    <w:rsid w:val="006B6CC5"/>
    <w:rsid w:val="006B74AC"/>
    <w:rsid w:val="006B78D8"/>
    <w:rsid w:val="006B79EA"/>
    <w:rsid w:val="006C0C5D"/>
    <w:rsid w:val="006C113F"/>
    <w:rsid w:val="006C123E"/>
    <w:rsid w:val="006C15A1"/>
    <w:rsid w:val="006C1752"/>
    <w:rsid w:val="006C28CA"/>
    <w:rsid w:val="006C2BBF"/>
    <w:rsid w:val="006C2FBD"/>
    <w:rsid w:val="006C4355"/>
    <w:rsid w:val="006C469D"/>
    <w:rsid w:val="006C46B5"/>
    <w:rsid w:val="006C484F"/>
    <w:rsid w:val="006C52EC"/>
    <w:rsid w:val="006C56D4"/>
    <w:rsid w:val="006C6681"/>
    <w:rsid w:val="006C683C"/>
    <w:rsid w:val="006C6924"/>
    <w:rsid w:val="006C6C1E"/>
    <w:rsid w:val="006C7076"/>
    <w:rsid w:val="006C7CA6"/>
    <w:rsid w:val="006D18B3"/>
    <w:rsid w:val="006D1E89"/>
    <w:rsid w:val="006D317E"/>
    <w:rsid w:val="006D3E8A"/>
    <w:rsid w:val="006D61F6"/>
    <w:rsid w:val="006E1332"/>
    <w:rsid w:val="006E279A"/>
    <w:rsid w:val="006E313B"/>
    <w:rsid w:val="006E3A45"/>
    <w:rsid w:val="006E4078"/>
    <w:rsid w:val="006E53AD"/>
    <w:rsid w:val="006E58CB"/>
    <w:rsid w:val="006E7227"/>
    <w:rsid w:val="006F0741"/>
    <w:rsid w:val="006F1C27"/>
    <w:rsid w:val="006F2A65"/>
    <w:rsid w:val="006F40DF"/>
    <w:rsid w:val="006F42BB"/>
    <w:rsid w:val="006F438E"/>
    <w:rsid w:val="006F440B"/>
    <w:rsid w:val="006F48A3"/>
    <w:rsid w:val="006F5416"/>
    <w:rsid w:val="006F624B"/>
    <w:rsid w:val="006F6D87"/>
    <w:rsid w:val="0070398A"/>
    <w:rsid w:val="00705242"/>
    <w:rsid w:val="007055E0"/>
    <w:rsid w:val="007056ED"/>
    <w:rsid w:val="007065C5"/>
    <w:rsid w:val="00706AA0"/>
    <w:rsid w:val="00706AD4"/>
    <w:rsid w:val="00707150"/>
    <w:rsid w:val="007124D7"/>
    <w:rsid w:val="00712C20"/>
    <w:rsid w:val="00713549"/>
    <w:rsid w:val="007140BE"/>
    <w:rsid w:val="00715502"/>
    <w:rsid w:val="00715E4D"/>
    <w:rsid w:val="00716F48"/>
    <w:rsid w:val="00717114"/>
    <w:rsid w:val="0071779F"/>
    <w:rsid w:val="007211F5"/>
    <w:rsid w:val="00722777"/>
    <w:rsid w:val="00723435"/>
    <w:rsid w:val="00723436"/>
    <w:rsid w:val="007240E2"/>
    <w:rsid w:val="0072583E"/>
    <w:rsid w:val="00725BB5"/>
    <w:rsid w:val="00727C02"/>
    <w:rsid w:val="00730AE8"/>
    <w:rsid w:val="00730F1B"/>
    <w:rsid w:val="0073186D"/>
    <w:rsid w:val="0073333D"/>
    <w:rsid w:val="007343D9"/>
    <w:rsid w:val="00735448"/>
    <w:rsid w:val="00737DEC"/>
    <w:rsid w:val="0074004D"/>
    <w:rsid w:val="00741493"/>
    <w:rsid w:val="007434E5"/>
    <w:rsid w:val="0074499B"/>
    <w:rsid w:val="007450BF"/>
    <w:rsid w:val="007471A1"/>
    <w:rsid w:val="007477BD"/>
    <w:rsid w:val="00747EE9"/>
    <w:rsid w:val="00752180"/>
    <w:rsid w:val="00752323"/>
    <w:rsid w:val="007532B7"/>
    <w:rsid w:val="00753CAB"/>
    <w:rsid w:val="00754A70"/>
    <w:rsid w:val="00754BC9"/>
    <w:rsid w:val="00755202"/>
    <w:rsid w:val="00755D3A"/>
    <w:rsid w:val="0075751D"/>
    <w:rsid w:val="007578D3"/>
    <w:rsid w:val="007602CF"/>
    <w:rsid w:val="00760391"/>
    <w:rsid w:val="007609C6"/>
    <w:rsid w:val="007615F3"/>
    <w:rsid w:val="0076175D"/>
    <w:rsid w:val="00761CB5"/>
    <w:rsid w:val="007629D5"/>
    <w:rsid w:val="007635F8"/>
    <w:rsid w:val="00763B85"/>
    <w:rsid w:val="00764974"/>
    <w:rsid w:val="00764D18"/>
    <w:rsid w:val="0076521E"/>
    <w:rsid w:val="007661E9"/>
    <w:rsid w:val="00766460"/>
    <w:rsid w:val="00767062"/>
    <w:rsid w:val="00767777"/>
    <w:rsid w:val="00771972"/>
    <w:rsid w:val="00772279"/>
    <w:rsid w:val="00772DAB"/>
    <w:rsid w:val="00774D2C"/>
    <w:rsid w:val="0077605B"/>
    <w:rsid w:val="00776169"/>
    <w:rsid w:val="00776527"/>
    <w:rsid w:val="00777040"/>
    <w:rsid w:val="00777CE6"/>
    <w:rsid w:val="00780EF1"/>
    <w:rsid w:val="00781A91"/>
    <w:rsid w:val="00785778"/>
    <w:rsid w:val="00786C87"/>
    <w:rsid w:val="0078755E"/>
    <w:rsid w:val="007877C9"/>
    <w:rsid w:val="00790764"/>
    <w:rsid w:val="0079085F"/>
    <w:rsid w:val="00790E96"/>
    <w:rsid w:val="00791005"/>
    <w:rsid w:val="00793D78"/>
    <w:rsid w:val="0079453C"/>
    <w:rsid w:val="00794677"/>
    <w:rsid w:val="007A170B"/>
    <w:rsid w:val="007A20EB"/>
    <w:rsid w:val="007A282C"/>
    <w:rsid w:val="007A2A3A"/>
    <w:rsid w:val="007A33E2"/>
    <w:rsid w:val="007A3CAF"/>
    <w:rsid w:val="007A4782"/>
    <w:rsid w:val="007A516D"/>
    <w:rsid w:val="007A5E65"/>
    <w:rsid w:val="007A65E1"/>
    <w:rsid w:val="007A775D"/>
    <w:rsid w:val="007B0834"/>
    <w:rsid w:val="007B0E83"/>
    <w:rsid w:val="007B11FA"/>
    <w:rsid w:val="007B1396"/>
    <w:rsid w:val="007B16D6"/>
    <w:rsid w:val="007B2011"/>
    <w:rsid w:val="007B2CFE"/>
    <w:rsid w:val="007B309B"/>
    <w:rsid w:val="007B3D5E"/>
    <w:rsid w:val="007B3DCB"/>
    <w:rsid w:val="007B5725"/>
    <w:rsid w:val="007B6689"/>
    <w:rsid w:val="007B6747"/>
    <w:rsid w:val="007B6F72"/>
    <w:rsid w:val="007C1F0C"/>
    <w:rsid w:val="007C1FFB"/>
    <w:rsid w:val="007C2D94"/>
    <w:rsid w:val="007C5F92"/>
    <w:rsid w:val="007C6227"/>
    <w:rsid w:val="007C6BBD"/>
    <w:rsid w:val="007C6D89"/>
    <w:rsid w:val="007C6F5E"/>
    <w:rsid w:val="007D0382"/>
    <w:rsid w:val="007D1A1F"/>
    <w:rsid w:val="007D2E18"/>
    <w:rsid w:val="007D40DF"/>
    <w:rsid w:val="007D42E5"/>
    <w:rsid w:val="007D4458"/>
    <w:rsid w:val="007E0535"/>
    <w:rsid w:val="007E0D4A"/>
    <w:rsid w:val="007E1788"/>
    <w:rsid w:val="007E1EE3"/>
    <w:rsid w:val="007E29B4"/>
    <w:rsid w:val="007E2F12"/>
    <w:rsid w:val="007E435A"/>
    <w:rsid w:val="007E49F7"/>
    <w:rsid w:val="007E4C70"/>
    <w:rsid w:val="007E78B6"/>
    <w:rsid w:val="007E7E61"/>
    <w:rsid w:val="007F0845"/>
    <w:rsid w:val="007F20F3"/>
    <w:rsid w:val="007F2353"/>
    <w:rsid w:val="007F2390"/>
    <w:rsid w:val="007F2CAC"/>
    <w:rsid w:val="007F4740"/>
    <w:rsid w:val="007F595A"/>
    <w:rsid w:val="007F708D"/>
    <w:rsid w:val="008006B3"/>
    <w:rsid w:val="0080158A"/>
    <w:rsid w:val="00801E13"/>
    <w:rsid w:val="00803008"/>
    <w:rsid w:val="00803069"/>
    <w:rsid w:val="0080734C"/>
    <w:rsid w:val="00807C82"/>
    <w:rsid w:val="008117CC"/>
    <w:rsid w:val="00813D58"/>
    <w:rsid w:val="00813DCA"/>
    <w:rsid w:val="008161A6"/>
    <w:rsid w:val="008165B8"/>
    <w:rsid w:val="00816905"/>
    <w:rsid w:val="00816D98"/>
    <w:rsid w:val="00817A17"/>
    <w:rsid w:val="00817EC1"/>
    <w:rsid w:val="0082112D"/>
    <w:rsid w:val="00821FF6"/>
    <w:rsid w:val="00822574"/>
    <w:rsid w:val="00822F08"/>
    <w:rsid w:val="00825C4D"/>
    <w:rsid w:val="00826A08"/>
    <w:rsid w:val="00826AC0"/>
    <w:rsid w:val="00827186"/>
    <w:rsid w:val="00827C8E"/>
    <w:rsid w:val="00830569"/>
    <w:rsid w:val="00830AEA"/>
    <w:rsid w:val="00830E86"/>
    <w:rsid w:val="0083143E"/>
    <w:rsid w:val="008315D5"/>
    <w:rsid w:val="00831CDE"/>
    <w:rsid w:val="00834304"/>
    <w:rsid w:val="00834FAA"/>
    <w:rsid w:val="008354FB"/>
    <w:rsid w:val="00836086"/>
    <w:rsid w:val="0083630F"/>
    <w:rsid w:val="00836A06"/>
    <w:rsid w:val="008374BC"/>
    <w:rsid w:val="00837E48"/>
    <w:rsid w:val="00840293"/>
    <w:rsid w:val="008402AD"/>
    <w:rsid w:val="008408D4"/>
    <w:rsid w:val="008417B5"/>
    <w:rsid w:val="00841901"/>
    <w:rsid w:val="008458BD"/>
    <w:rsid w:val="00846121"/>
    <w:rsid w:val="008461C2"/>
    <w:rsid w:val="008466C6"/>
    <w:rsid w:val="0084708F"/>
    <w:rsid w:val="008477C8"/>
    <w:rsid w:val="008478A6"/>
    <w:rsid w:val="008502F6"/>
    <w:rsid w:val="0085114D"/>
    <w:rsid w:val="008520A8"/>
    <w:rsid w:val="00852217"/>
    <w:rsid w:val="00853282"/>
    <w:rsid w:val="00855408"/>
    <w:rsid w:val="00856D65"/>
    <w:rsid w:val="00861B41"/>
    <w:rsid w:val="00861B9F"/>
    <w:rsid w:val="00861BE3"/>
    <w:rsid w:val="008625D3"/>
    <w:rsid w:val="00863434"/>
    <w:rsid w:val="0086344F"/>
    <w:rsid w:val="008641AC"/>
    <w:rsid w:val="00865E4C"/>
    <w:rsid w:val="0086796D"/>
    <w:rsid w:val="00867DAB"/>
    <w:rsid w:val="0087000B"/>
    <w:rsid w:val="008701E4"/>
    <w:rsid w:val="008704E9"/>
    <w:rsid w:val="00870ECD"/>
    <w:rsid w:val="0087347C"/>
    <w:rsid w:val="008734E7"/>
    <w:rsid w:val="0087368D"/>
    <w:rsid w:val="008740CC"/>
    <w:rsid w:val="00874FE8"/>
    <w:rsid w:val="00875A32"/>
    <w:rsid w:val="00876086"/>
    <w:rsid w:val="00876E83"/>
    <w:rsid w:val="008772BC"/>
    <w:rsid w:val="00880A0E"/>
    <w:rsid w:val="00881CD7"/>
    <w:rsid w:val="00882911"/>
    <w:rsid w:val="00885D40"/>
    <w:rsid w:val="008873D4"/>
    <w:rsid w:val="00891EDF"/>
    <w:rsid w:val="00892872"/>
    <w:rsid w:val="0089296D"/>
    <w:rsid w:val="00893E85"/>
    <w:rsid w:val="00893EBE"/>
    <w:rsid w:val="00894031"/>
    <w:rsid w:val="00894C5D"/>
    <w:rsid w:val="00895508"/>
    <w:rsid w:val="008967E9"/>
    <w:rsid w:val="00896A5C"/>
    <w:rsid w:val="008972D2"/>
    <w:rsid w:val="0089754C"/>
    <w:rsid w:val="008A0ADD"/>
    <w:rsid w:val="008A0D27"/>
    <w:rsid w:val="008A1C59"/>
    <w:rsid w:val="008A37E2"/>
    <w:rsid w:val="008A388E"/>
    <w:rsid w:val="008A394E"/>
    <w:rsid w:val="008A3CBA"/>
    <w:rsid w:val="008A4B59"/>
    <w:rsid w:val="008A63E1"/>
    <w:rsid w:val="008A66B7"/>
    <w:rsid w:val="008A68BB"/>
    <w:rsid w:val="008A7127"/>
    <w:rsid w:val="008B3A80"/>
    <w:rsid w:val="008B3C07"/>
    <w:rsid w:val="008B3F7B"/>
    <w:rsid w:val="008B6106"/>
    <w:rsid w:val="008B7C02"/>
    <w:rsid w:val="008B7D2B"/>
    <w:rsid w:val="008B7EF9"/>
    <w:rsid w:val="008C0049"/>
    <w:rsid w:val="008C0E88"/>
    <w:rsid w:val="008C1717"/>
    <w:rsid w:val="008C4B50"/>
    <w:rsid w:val="008C7569"/>
    <w:rsid w:val="008D0DBD"/>
    <w:rsid w:val="008D117E"/>
    <w:rsid w:val="008D127E"/>
    <w:rsid w:val="008D1CA8"/>
    <w:rsid w:val="008D1E6A"/>
    <w:rsid w:val="008D2A16"/>
    <w:rsid w:val="008D33F5"/>
    <w:rsid w:val="008D35E4"/>
    <w:rsid w:val="008D6C3A"/>
    <w:rsid w:val="008E0001"/>
    <w:rsid w:val="008E292B"/>
    <w:rsid w:val="008E2C57"/>
    <w:rsid w:val="008E31FF"/>
    <w:rsid w:val="008E3287"/>
    <w:rsid w:val="008E6DCB"/>
    <w:rsid w:val="008E6F06"/>
    <w:rsid w:val="008E7B8E"/>
    <w:rsid w:val="008E7FC9"/>
    <w:rsid w:val="008F029B"/>
    <w:rsid w:val="008F2A5D"/>
    <w:rsid w:val="008F3636"/>
    <w:rsid w:val="008F3FC9"/>
    <w:rsid w:val="008F5383"/>
    <w:rsid w:val="008F585B"/>
    <w:rsid w:val="009003A8"/>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5D07"/>
    <w:rsid w:val="009162AE"/>
    <w:rsid w:val="00917251"/>
    <w:rsid w:val="0091728D"/>
    <w:rsid w:val="009203CC"/>
    <w:rsid w:val="00920EC4"/>
    <w:rsid w:val="0092180B"/>
    <w:rsid w:val="00921F14"/>
    <w:rsid w:val="00923CB0"/>
    <w:rsid w:val="00923D8C"/>
    <w:rsid w:val="00924871"/>
    <w:rsid w:val="00924AC8"/>
    <w:rsid w:val="00925429"/>
    <w:rsid w:val="0092597A"/>
    <w:rsid w:val="00926520"/>
    <w:rsid w:val="00926CF0"/>
    <w:rsid w:val="009273A9"/>
    <w:rsid w:val="0093033E"/>
    <w:rsid w:val="009305FC"/>
    <w:rsid w:val="00930FB1"/>
    <w:rsid w:val="0093139F"/>
    <w:rsid w:val="00932443"/>
    <w:rsid w:val="00932B32"/>
    <w:rsid w:val="00933F4A"/>
    <w:rsid w:val="009341F1"/>
    <w:rsid w:val="00934FF2"/>
    <w:rsid w:val="00935BD4"/>
    <w:rsid w:val="00935DFE"/>
    <w:rsid w:val="009373B2"/>
    <w:rsid w:val="00937AE2"/>
    <w:rsid w:val="0094061F"/>
    <w:rsid w:val="00940F0F"/>
    <w:rsid w:val="0094416B"/>
    <w:rsid w:val="0094427A"/>
    <w:rsid w:val="00944C7C"/>
    <w:rsid w:val="00945245"/>
    <w:rsid w:val="00945523"/>
    <w:rsid w:val="00950921"/>
    <w:rsid w:val="00951D68"/>
    <w:rsid w:val="00952B7B"/>
    <w:rsid w:val="00954F39"/>
    <w:rsid w:val="0095664B"/>
    <w:rsid w:val="009568DC"/>
    <w:rsid w:val="00957445"/>
    <w:rsid w:val="0095759C"/>
    <w:rsid w:val="009618EE"/>
    <w:rsid w:val="009624D2"/>
    <w:rsid w:val="009628D9"/>
    <w:rsid w:val="009637AE"/>
    <w:rsid w:val="009640F6"/>
    <w:rsid w:val="00964776"/>
    <w:rsid w:val="00964A4E"/>
    <w:rsid w:val="00964B35"/>
    <w:rsid w:val="009651C7"/>
    <w:rsid w:val="00965797"/>
    <w:rsid w:val="00965A10"/>
    <w:rsid w:val="009670A3"/>
    <w:rsid w:val="009674BE"/>
    <w:rsid w:val="00970FB5"/>
    <w:rsid w:val="00971710"/>
    <w:rsid w:val="00971B87"/>
    <w:rsid w:val="00971C77"/>
    <w:rsid w:val="00972FCD"/>
    <w:rsid w:val="009741AE"/>
    <w:rsid w:val="009741FC"/>
    <w:rsid w:val="00974923"/>
    <w:rsid w:val="00975909"/>
    <w:rsid w:val="00977C3D"/>
    <w:rsid w:val="00980D3D"/>
    <w:rsid w:val="0098103E"/>
    <w:rsid w:val="00983101"/>
    <w:rsid w:val="00983E41"/>
    <w:rsid w:val="00986246"/>
    <w:rsid w:val="00987A30"/>
    <w:rsid w:val="00990312"/>
    <w:rsid w:val="0099182E"/>
    <w:rsid w:val="00992CF3"/>
    <w:rsid w:val="00993194"/>
    <w:rsid w:val="0099321E"/>
    <w:rsid w:val="00994868"/>
    <w:rsid w:val="00994D28"/>
    <w:rsid w:val="00994F2C"/>
    <w:rsid w:val="009957CC"/>
    <w:rsid w:val="009968D6"/>
    <w:rsid w:val="00997953"/>
    <w:rsid w:val="009A0BFF"/>
    <w:rsid w:val="009A10A0"/>
    <w:rsid w:val="009A1CAB"/>
    <w:rsid w:val="009A2359"/>
    <w:rsid w:val="009A24F1"/>
    <w:rsid w:val="009A4D57"/>
    <w:rsid w:val="009A51A5"/>
    <w:rsid w:val="009A60D1"/>
    <w:rsid w:val="009A6225"/>
    <w:rsid w:val="009A64F5"/>
    <w:rsid w:val="009B00D2"/>
    <w:rsid w:val="009B05B3"/>
    <w:rsid w:val="009B284F"/>
    <w:rsid w:val="009B3764"/>
    <w:rsid w:val="009B52AC"/>
    <w:rsid w:val="009B59EA"/>
    <w:rsid w:val="009B66CE"/>
    <w:rsid w:val="009B6FD3"/>
    <w:rsid w:val="009B7DB2"/>
    <w:rsid w:val="009C1750"/>
    <w:rsid w:val="009C2E29"/>
    <w:rsid w:val="009C3E8F"/>
    <w:rsid w:val="009C554B"/>
    <w:rsid w:val="009C7126"/>
    <w:rsid w:val="009C719E"/>
    <w:rsid w:val="009C7799"/>
    <w:rsid w:val="009D07A9"/>
    <w:rsid w:val="009D0AE2"/>
    <w:rsid w:val="009D0EBB"/>
    <w:rsid w:val="009D3ACD"/>
    <w:rsid w:val="009D4F21"/>
    <w:rsid w:val="009D587D"/>
    <w:rsid w:val="009D7731"/>
    <w:rsid w:val="009E1120"/>
    <w:rsid w:val="009E1393"/>
    <w:rsid w:val="009E1922"/>
    <w:rsid w:val="009E1A3D"/>
    <w:rsid w:val="009E4715"/>
    <w:rsid w:val="009E5273"/>
    <w:rsid w:val="009E57A8"/>
    <w:rsid w:val="009E5B85"/>
    <w:rsid w:val="009E5DDB"/>
    <w:rsid w:val="009F2921"/>
    <w:rsid w:val="009F4982"/>
    <w:rsid w:val="009F4CA7"/>
    <w:rsid w:val="009F55BA"/>
    <w:rsid w:val="009F7D36"/>
    <w:rsid w:val="00A00E71"/>
    <w:rsid w:val="00A0306F"/>
    <w:rsid w:val="00A03B10"/>
    <w:rsid w:val="00A03E2E"/>
    <w:rsid w:val="00A04616"/>
    <w:rsid w:val="00A04717"/>
    <w:rsid w:val="00A05EE4"/>
    <w:rsid w:val="00A06F99"/>
    <w:rsid w:val="00A10D66"/>
    <w:rsid w:val="00A113A4"/>
    <w:rsid w:val="00A14114"/>
    <w:rsid w:val="00A16413"/>
    <w:rsid w:val="00A16545"/>
    <w:rsid w:val="00A16AED"/>
    <w:rsid w:val="00A16C37"/>
    <w:rsid w:val="00A16E1D"/>
    <w:rsid w:val="00A171D5"/>
    <w:rsid w:val="00A17A15"/>
    <w:rsid w:val="00A17D5B"/>
    <w:rsid w:val="00A201E1"/>
    <w:rsid w:val="00A20FE1"/>
    <w:rsid w:val="00A21B4D"/>
    <w:rsid w:val="00A23E43"/>
    <w:rsid w:val="00A24ED9"/>
    <w:rsid w:val="00A25216"/>
    <w:rsid w:val="00A2597D"/>
    <w:rsid w:val="00A2628E"/>
    <w:rsid w:val="00A266BF"/>
    <w:rsid w:val="00A2731E"/>
    <w:rsid w:val="00A309AC"/>
    <w:rsid w:val="00A30F65"/>
    <w:rsid w:val="00A3279E"/>
    <w:rsid w:val="00A35900"/>
    <w:rsid w:val="00A40EAC"/>
    <w:rsid w:val="00A418BC"/>
    <w:rsid w:val="00A41FCF"/>
    <w:rsid w:val="00A42936"/>
    <w:rsid w:val="00A43CF8"/>
    <w:rsid w:val="00A43DF2"/>
    <w:rsid w:val="00A445A8"/>
    <w:rsid w:val="00A44B0D"/>
    <w:rsid w:val="00A44D21"/>
    <w:rsid w:val="00A45087"/>
    <w:rsid w:val="00A45489"/>
    <w:rsid w:val="00A45CED"/>
    <w:rsid w:val="00A465E9"/>
    <w:rsid w:val="00A468E7"/>
    <w:rsid w:val="00A46DE0"/>
    <w:rsid w:val="00A50D73"/>
    <w:rsid w:val="00A52A88"/>
    <w:rsid w:val="00A52CAD"/>
    <w:rsid w:val="00A53FC7"/>
    <w:rsid w:val="00A55569"/>
    <w:rsid w:val="00A60AC1"/>
    <w:rsid w:val="00A626FF"/>
    <w:rsid w:val="00A62CE1"/>
    <w:rsid w:val="00A65469"/>
    <w:rsid w:val="00A65528"/>
    <w:rsid w:val="00A655D3"/>
    <w:rsid w:val="00A662D9"/>
    <w:rsid w:val="00A6741E"/>
    <w:rsid w:val="00A7016A"/>
    <w:rsid w:val="00A7018D"/>
    <w:rsid w:val="00A7191D"/>
    <w:rsid w:val="00A722F9"/>
    <w:rsid w:val="00A72D42"/>
    <w:rsid w:val="00A74C2A"/>
    <w:rsid w:val="00A75E40"/>
    <w:rsid w:val="00A77D1D"/>
    <w:rsid w:val="00A81652"/>
    <w:rsid w:val="00A83150"/>
    <w:rsid w:val="00A83398"/>
    <w:rsid w:val="00A83D6E"/>
    <w:rsid w:val="00A8521A"/>
    <w:rsid w:val="00A857C0"/>
    <w:rsid w:val="00A90F2C"/>
    <w:rsid w:val="00A90FED"/>
    <w:rsid w:val="00A9189D"/>
    <w:rsid w:val="00A91E71"/>
    <w:rsid w:val="00A925B1"/>
    <w:rsid w:val="00A934F9"/>
    <w:rsid w:val="00A940E3"/>
    <w:rsid w:val="00A95F1A"/>
    <w:rsid w:val="00A96116"/>
    <w:rsid w:val="00A9614E"/>
    <w:rsid w:val="00A96C0F"/>
    <w:rsid w:val="00AA0E80"/>
    <w:rsid w:val="00AA17CD"/>
    <w:rsid w:val="00AA212F"/>
    <w:rsid w:val="00AA2996"/>
    <w:rsid w:val="00AA2AF4"/>
    <w:rsid w:val="00AA4282"/>
    <w:rsid w:val="00AA52BF"/>
    <w:rsid w:val="00AA559A"/>
    <w:rsid w:val="00AA6C31"/>
    <w:rsid w:val="00AA7752"/>
    <w:rsid w:val="00AA7CE8"/>
    <w:rsid w:val="00AB1457"/>
    <w:rsid w:val="00AB2AF1"/>
    <w:rsid w:val="00AB3EC7"/>
    <w:rsid w:val="00AB5A64"/>
    <w:rsid w:val="00AB5CA1"/>
    <w:rsid w:val="00AB6456"/>
    <w:rsid w:val="00AC044E"/>
    <w:rsid w:val="00AC2118"/>
    <w:rsid w:val="00AC2395"/>
    <w:rsid w:val="00AC2960"/>
    <w:rsid w:val="00AC2AC4"/>
    <w:rsid w:val="00AC4284"/>
    <w:rsid w:val="00AC45BD"/>
    <w:rsid w:val="00AC50BB"/>
    <w:rsid w:val="00AD0EE7"/>
    <w:rsid w:val="00AD168E"/>
    <w:rsid w:val="00AD306C"/>
    <w:rsid w:val="00AD44CD"/>
    <w:rsid w:val="00AD5AD2"/>
    <w:rsid w:val="00AD6462"/>
    <w:rsid w:val="00AD66C5"/>
    <w:rsid w:val="00AD68C4"/>
    <w:rsid w:val="00AD71F9"/>
    <w:rsid w:val="00AE09B3"/>
    <w:rsid w:val="00AE1A83"/>
    <w:rsid w:val="00AE30BE"/>
    <w:rsid w:val="00AE3E6A"/>
    <w:rsid w:val="00AE7269"/>
    <w:rsid w:val="00AE797C"/>
    <w:rsid w:val="00AE7CE7"/>
    <w:rsid w:val="00AE7FAB"/>
    <w:rsid w:val="00AF0DE4"/>
    <w:rsid w:val="00AF1E87"/>
    <w:rsid w:val="00AF436B"/>
    <w:rsid w:val="00AF5179"/>
    <w:rsid w:val="00AF5CC2"/>
    <w:rsid w:val="00AF6776"/>
    <w:rsid w:val="00AF6F98"/>
    <w:rsid w:val="00B00913"/>
    <w:rsid w:val="00B01593"/>
    <w:rsid w:val="00B01FF9"/>
    <w:rsid w:val="00B023F2"/>
    <w:rsid w:val="00B038CA"/>
    <w:rsid w:val="00B06DB4"/>
    <w:rsid w:val="00B0799C"/>
    <w:rsid w:val="00B10A4D"/>
    <w:rsid w:val="00B10C90"/>
    <w:rsid w:val="00B11002"/>
    <w:rsid w:val="00B121B2"/>
    <w:rsid w:val="00B141B6"/>
    <w:rsid w:val="00B14BC1"/>
    <w:rsid w:val="00B16DD1"/>
    <w:rsid w:val="00B16EB8"/>
    <w:rsid w:val="00B17E71"/>
    <w:rsid w:val="00B17FDE"/>
    <w:rsid w:val="00B20632"/>
    <w:rsid w:val="00B2379C"/>
    <w:rsid w:val="00B23D5D"/>
    <w:rsid w:val="00B2687D"/>
    <w:rsid w:val="00B3108D"/>
    <w:rsid w:val="00B32DDB"/>
    <w:rsid w:val="00B32F57"/>
    <w:rsid w:val="00B3345C"/>
    <w:rsid w:val="00B34528"/>
    <w:rsid w:val="00B34CC9"/>
    <w:rsid w:val="00B3563B"/>
    <w:rsid w:val="00B36BDC"/>
    <w:rsid w:val="00B37D3A"/>
    <w:rsid w:val="00B402FC"/>
    <w:rsid w:val="00B422E2"/>
    <w:rsid w:val="00B42D5F"/>
    <w:rsid w:val="00B43216"/>
    <w:rsid w:val="00B439DA"/>
    <w:rsid w:val="00B4411A"/>
    <w:rsid w:val="00B46604"/>
    <w:rsid w:val="00B47089"/>
    <w:rsid w:val="00B47587"/>
    <w:rsid w:val="00B52151"/>
    <w:rsid w:val="00B530CD"/>
    <w:rsid w:val="00B53C7D"/>
    <w:rsid w:val="00B53E56"/>
    <w:rsid w:val="00B55A97"/>
    <w:rsid w:val="00B55F5E"/>
    <w:rsid w:val="00B5642C"/>
    <w:rsid w:val="00B56B6F"/>
    <w:rsid w:val="00B5752E"/>
    <w:rsid w:val="00B60AC1"/>
    <w:rsid w:val="00B61FF6"/>
    <w:rsid w:val="00B62316"/>
    <w:rsid w:val="00B63A11"/>
    <w:rsid w:val="00B64425"/>
    <w:rsid w:val="00B64C24"/>
    <w:rsid w:val="00B65CEF"/>
    <w:rsid w:val="00B6608F"/>
    <w:rsid w:val="00B679FB"/>
    <w:rsid w:val="00B71FBF"/>
    <w:rsid w:val="00B734A0"/>
    <w:rsid w:val="00B73A14"/>
    <w:rsid w:val="00B748BD"/>
    <w:rsid w:val="00B7680F"/>
    <w:rsid w:val="00B76D1E"/>
    <w:rsid w:val="00B77543"/>
    <w:rsid w:val="00B77584"/>
    <w:rsid w:val="00B80EC6"/>
    <w:rsid w:val="00B81288"/>
    <w:rsid w:val="00B81D70"/>
    <w:rsid w:val="00B833B9"/>
    <w:rsid w:val="00B83E07"/>
    <w:rsid w:val="00B84CF6"/>
    <w:rsid w:val="00B85016"/>
    <w:rsid w:val="00B8561A"/>
    <w:rsid w:val="00B86643"/>
    <w:rsid w:val="00B868F7"/>
    <w:rsid w:val="00B90131"/>
    <w:rsid w:val="00B92951"/>
    <w:rsid w:val="00B92D1D"/>
    <w:rsid w:val="00B92D7E"/>
    <w:rsid w:val="00B930CE"/>
    <w:rsid w:val="00B938C5"/>
    <w:rsid w:val="00B940A8"/>
    <w:rsid w:val="00B9554A"/>
    <w:rsid w:val="00B95940"/>
    <w:rsid w:val="00B95ACA"/>
    <w:rsid w:val="00B97ACC"/>
    <w:rsid w:val="00B97FE2"/>
    <w:rsid w:val="00BA3787"/>
    <w:rsid w:val="00BA46E8"/>
    <w:rsid w:val="00BA4E19"/>
    <w:rsid w:val="00BA6436"/>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AB2"/>
    <w:rsid w:val="00BB5ABF"/>
    <w:rsid w:val="00BB6EA2"/>
    <w:rsid w:val="00BB7B5B"/>
    <w:rsid w:val="00BB7EB1"/>
    <w:rsid w:val="00BC003F"/>
    <w:rsid w:val="00BC327F"/>
    <w:rsid w:val="00BC3512"/>
    <w:rsid w:val="00BC50BE"/>
    <w:rsid w:val="00BC5332"/>
    <w:rsid w:val="00BC5715"/>
    <w:rsid w:val="00BC5C12"/>
    <w:rsid w:val="00BC7154"/>
    <w:rsid w:val="00BC731E"/>
    <w:rsid w:val="00BC7614"/>
    <w:rsid w:val="00BD25BB"/>
    <w:rsid w:val="00BD2AF8"/>
    <w:rsid w:val="00BD366B"/>
    <w:rsid w:val="00BD410B"/>
    <w:rsid w:val="00BD4A73"/>
    <w:rsid w:val="00BD6C75"/>
    <w:rsid w:val="00BD6D50"/>
    <w:rsid w:val="00BD73D2"/>
    <w:rsid w:val="00BE0AD1"/>
    <w:rsid w:val="00BE0EF9"/>
    <w:rsid w:val="00BE10A1"/>
    <w:rsid w:val="00BE18B9"/>
    <w:rsid w:val="00BE190A"/>
    <w:rsid w:val="00BE2495"/>
    <w:rsid w:val="00BE24DD"/>
    <w:rsid w:val="00BE386D"/>
    <w:rsid w:val="00BE557B"/>
    <w:rsid w:val="00BE7F5F"/>
    <w:rsid w:val="00BF02C8"/>
    <w:rsid w:val="00BF1578"/>
    <w:rsid w:val="00BF15CA"/>
    <w:rsid w:val="00BF1D12"/>
    <w:rsid w:val="00BF1D3A"/>
    <w:rsid w:val="00BF2B5B"/>
    <w:rsid w:val="00BF2D41"/>
    <w:rsid w:val="00BF32DC"/>
    <w:rsid w:val="00BF4329"/>
    <w:rsid w:val="00BF4E43"/>
    <w:rsid w:val="00BF5C4C"/>
    <w:rsid w:val="00C006D6"/>
    <w:rsid w:val="00C00BD7"/>
    <w:rsid w:val="00C01410"/>
    <w:rsid w:val="00C04B78"/>
    <w:rsid w:val="00C052AA"/>
    <w:rsid w:val="00C06EE3"/>
    <w:rsid w:val="00C07749"/>
    <w:rsid w:val="00C11244"/>
    <w:rsid w:val="00C11D48"/>
    <w:rsid w:val="00C1493E"/>
    <w:rsid w:val="00C15DBD"/>
    <w:rsid w:val="00C2010D"/>
    <w:rsid w:val="00C20CB5"/>
    <w:rsid w:val="00C21430"/>
    <w:rsid w:val="00C21E61"/>
    <w:rsid w:val="00C21F94"/>
    <w:rsid w:val="00C234DB"/>
    <w:rsid w:val="00C2479A"/>
    <w:rsid w:val="00C24903"/>
    <w:rsid w:val="00C2590D"/>
    <w:rsid w:val="00C25D9C"/>
    <w:rsid w:val="00C27913"/>
    <w:rsid w:val="00C300E2"/>
    <w:rsid w:val="00C31F21"/>
    <w:rsid w:val="00C32631"/>
    <w:rsid w:val="00C33301"/>
    <w:rsid w:val="00C33311"/>
    <w:rsid w:val="00C33B68"/>
    <w:rsid w:val="00C35570"/>
    <w:rsid w:val="00C35A2A"/>
    <w:rsid w:val="00C36A79"/>
    <w:rsid w:val="00C401A9"/>
    <w:rsid w:val="00C401D2"/>
    <w:rsid w:val="00C4031A"/>
    <w:rsid w:val="00C405D4"/>
    <w:rsid w:val="00C419D5"/>
    <w:rsid w:val="00C4513B"/>
    <w:rsid w:val="00C475E8"/>
    <w:rsid w:val="00C50E79"/>
    <w:rsid w:val="00C525FB"/>
    <w:rsid w:val="00C5390B"/>
    <w:rsid w:val="00C54257"/>
    <w:rsid w:val="00C54697"/>
    <w:rsid w:val="00C550CE"/>
    <w:rsid w:val="00C553A5"/>
    <w:rsid w:val="00C55402"/>
    <w:rsid w:val="00C5603B"/>
    <w:rsid w:val="00C61F47"/>
    <w:rsid w:val="00C62828"/>
    <w:rsid w:val="00C719A3"/>
    <w:rsid w:val="00C71D2F"/>
    <w:rsid w:val="00C72984"/>
    <w:rsid w:val="00C73885"/>
    <w:rsid w:val="00C73C93"/>
    <w:rsid w:val="00C7435A"/>
    <w:rsid w:val="00C747B1"/>
    <w:rsid w:val="00C755F9"/>
    <w:rsid w:val="00C8174E"/>
    <w:rsid w:val="00C82191"/>
    <w:rsid w:val="00C83134"/>
    <w:rsid w:val="00C832F3"/>
    <w:rsid w:val="00C845A4"/>
    <w:rsid w:val="00C85545"/>
    <w:rsid w:val="00C855B5"/>
    <w:rsid w:val="00C85F0E"/>
    <w:rsid w:val="00C90CF4"/>
    <w:rsid w:val="00C922DE"/>
    <w:rsid w:val="00C92843"/>
    <w:rsid w:val="00C92EB6"/>
    <w:rsid w:val="00C93389"/>
    <w:rsid w:val="00C94CDD"/>
    <w:rsid w:val="00CA0346"/>
    <w:rsid w:val="00CA1BD6"/>
    <w:rsid w:val="00CA37FF"/>
    <w:rsid w:val="00CA423A"/>
    <w:rsid w:val="00CA47BC"/>
    <w:rsid w:val="00CA6AB4"/>
    <w:rsid w:val="00CA7255"/>
    <w:rsid w:val="00CB2351"/>
    <w:rsid w:val="00CB4930"/>
    <w:rsid w:val="00CB4C63"/>
    <w:rsid w:val="00CB5A48"/>
    <w:rsid w:val="00CB5E10"/>
    <w:rsid w:val="00CB613B"/>
    <w:rsid w:val="00CB6152"/>
    <w:rsid w:val="00CB64E1"/>
    <w:rsid w:val="00CC0834"/>
    <w:rsid w:val="00CC20FE"/>
    <w:rsid w:val="00CC2E7D"/>
    <w:rsid w:val="00CC612B"/>
    <w:rsid w:val="00CC655F"/>
    <w:rsid w:val="00CC6FE5"/>
    <w:rsid w:val="00CC7458"/>
    <w:rsid w:val="00CC76BD"/>
    <w:rsid w:val="00CC7A87"/>
    <w:rsid w:val="00CD10A5"/>
    <w:rsid w:val="00CD1129"/>
    <w:rsid w:val="00CD1A80"/>
    <w:rsid w:val="00CD1CB5"/>
    <w:rsid w:val="00CD2076"/>
    <w:rsid w:val="00CD24CE"/>
    <w:rsid w:val="00CD29B5"/>
    <w:rsid w:val="00CD2B78"/>
    <w:rsid w:val="00CD3FAB"/>
    <w:rsid w:val="00CD5456"/>
    <w:rsid w:val="00CD5C3E"/>
    <w:rsid w:val="00CD6331"/>
    <w:rsid w:val="00CE14BE"/>
    <w:rsid w:val="00CE17A4"/>
    <w:rsid w:val="00CE1BA9"/>
    <w:rsid w:val="00CE2D8F"/>
    <w:rsid w:val="00CE3E48"/>
    <w:rsid w:val="00CE47B8"/>
    <w:rsid w:val="00CE62FA"/>
    <w:rsid w:val="00CE670B"/>
    <w:rsid w:val="00CE6833"/>
    <w:rsid w:val="00CF2E4D"/>
    <w:rsid w:val="00CF4205"/>
    <w:rsid w:val="00CF4908"/>
    <w:rsid w:val="00CF51EC"/>
    <w:rsid w:val="00CF545D"/>
    <w:rsid w:val="00CF5873"/>
    <w:rsid w:val="00CF73AE"/>
    <w:rsid w:val="00D0085A"/>
    <w:rsid w:val="00D0242D"/>
    <w:rsid w:val="00D02716"/>
    <w:rsid w:val="00D03A72"/>
    <w:rsid w:val="00D040DD"/>
    <w:rsid w:val="00D04134"/>
    <w:rsid w:val="00D05C65"/>
    <w:rsid w:val="00D06B56"/>
    <w:rsid w:val="00D06D68"/>
    <w:rsid w:val="00D075BE"/>
    <w:rsid w:val="00D10C15"/>
    <w:rsid w:val="00D11476"/>
    <w:rsid w:val="00D12C25"/>
    <w:rsid w:val="00D133B4"/>
    <w:rsid w:val="00D13986"/>
    <w:rsid w:val="00D14C5B"/>
    <w:rsid w:val="00D15FED"/>
    <w:rsid w:val="00D16712"/>
    <w:rsid w:val="00D214EF"/>
    <w:rsid w:val="00D215B0"/>
    <w:rsid w:val="00D21D6D"/>
    <w:rsid w:val="00D21D83"/>
    <w:rsid w:val="00D235B7"/>
    <w:rsid w:val="00D23FAE"/>
    <w:rsid w:val="00D25F28"/>
    <w:rsid w:val="00D26071"/>
    <w:rsid w:val="00D269B9"/>
    <w:rsid w:val="00D27973"/>
    <w:rsid w:val="00D31537"/>
    <w:rsid w:val="00D31E1E"/>
    <w:rsid w:val="00D322A0"/>
    <w:rsid w:val="00D32824"/>
    <w:rsid w:val="00D334E2"/>
    <w:rsid w:val="00D35AD6"/>
    <w:rsid w:val="00D35BBB"/>
    <w:rsid w:val="00D35E1A"/>
    <w:rsid w:val="00D36DFB"/>
    <w:rsid w:val="00D36E1C"/>
    <w:rsid w:val="00D373AF"/>
    <w:rsid w:val="00D40556"/>
    <w:rsid w:val="00D41F74"/>
    <w:rsid w:val="00D43ED2"/>
    <w:rsid w:val="00D50F46"/>
    <w:rsid w:val="00D5384E"/>
    <w:rsid w:val="00D544E7"/>
    <w:rsid w:val="00D5560A"/>
    <w:rsid w:val="00D56FBF"/>
    <w:rsid w:val="00D57677"/>
    <w:rsid w:val="00D60415"/>
    <w:rsid w:val="00D60E3C"/>
    <w:rsid w:val="00D63BE5"/>
    <w:rsid w:val="00D6475F"/>
    <w:rsid w:val="00D66223"/>
    <w:rsid w:val="00D667B8"/>
    <w:rsid w:val="00D70289"/>
    <w:rsid w:val="00D70822"/>
    <w:rsid w:val="00D72076"/>
    <w:rsid w:val="00D726A9"/>
    <w:rsid w:val="00D743E0"/>
    <w:rsid w:val="00D75AC1"/>
    <w:rsid w:val="00D77252"/>
    <w:rsid w:val="00D8084C"/>
    <w:rsid w:val="00D81809"/>
    <w:rsid w:val="00D82EF1"/>
    <w:rsid w:val="00D84F43"/>
    <w:rsid w:val="00D85114"/>
    <w:rsid w:val="00D85821"/>
    <w:rsid w:val="00D8598C"/>
    <w:rsid w:val="00D87C06"/>
    <w:rsid w:val="00D915EA"/>
    <w:rsid w:val="00D919ED"/>
    <w:rsid w:val="00D922A1"/>
    <w:rsid w:val="00D928BE"/>
    <w:rsid w:val="00D95302"/>
    <w:rsid w:val="00D95C5D"/>
    <w:rsid w:val="00D97D00"/>
    <w:rsid w:val="00DA096C"/>
    <w:rsid w:val="00DA1AB6"/>
    <w:rsid w:val="00DA544C"/>
    <w:rsid w:val="00DA5F8E"/>
    <w:rsid w:val="00DA6364"/>
    <w:rsid w:val="00DA7114"/>
    <w:rsid w:val="00DA7C0C"/>
    <w:rsid w:val="00DB08A9"/>
    <w:rsid w:val="00DB2DFA"/>
    <w:rsid w:val="00DB2EC8"/>
    <w:rsid w:val="00DB459B"/>
    <w:rsid w:val="00DB47FD"/>
    <w:rsid w:val="00DB5E9A"/>
    <w:rsid w:val="00DB657E"/>
    <w:rsid w:val="00DB7342"/>
    <w:rsid w:val="00DC17D0"/>
    <w:rsid w:val="00DC2B41"/>
    <w:rsid w:val="00DC435B"/>
    <w:rsid w:val="00DC53D8"/>
    <w:rsid w:val="00DC56FE"/>
    <w:rsid w:val="00DC5B3B"/>
    <w:rsid w:val="00DC6C2D"/>
    <w:rsid w:val="00DC7B1A"/>
    <w:rsid w:val="00DD04B0"/>
    <w:rsid w:val="00DD129F"/>
    <w:rsid w:val="00DD1A3F"/>
    <w:rsid w:val="00DD29B5"/>
    <w:rsid w:val="00DD32DD"/>
    <w:rsid w:val="00DD5287"/>
    <w:rsid w:val="00DE0D8B"/>
    <w:rsid w:val="00DE1237"/>
    <w:rsid w:val="00DE140F"/>
    <w:rsid w:val="00DE2491"/>
    <w:rsid w:val="00DE7AC8"/>
    <w:rsid w:val="00DF2C5D"/>
    <w:rsid w:val="00DF3643"/>
    <w:rsid w:val="00DF42FF"/>
    <w:rsid w:val="00DF4369"/>
    <w:rsid w:val="00DF4423"/>
    <w:rsid w:val="00DF4ADF"/>
    <w:rsid w:val="00DF5D1E"/>
    <w:rsid w:val="00DF77E4"/>
    <w:rsid w:val="00DF7F88"/>
    <w:rsid w:val="00E01C0E"/>
    <w:rsid w:val="00E0368F"/>
    <w:rsid w:val="00E03D73"/>
    <w:rsid w:val="00E03F9A"/>
    <w:rsid w:val="00E04694"/>
    <w:rsid w:val="00E129E7"/>
    <w:rsid w:val="00E12ABE"/>
    <w:rsid w:val="00E12B1E"/>
    <w:rsid w:val="00E1444C"/>
    <w:rsid w:val="00E17262"/>
    <w:rsid w:val="00E20016"/>
    <w:rsid w:val="00E2009B"/>
    <w:rsid w:val="00E20BB9"/>
    <w:rsid w:val="00E20BCC"/>
    <w:rsid w:val="00E2251C"/>
    <w:rsid w:val="00E2363D"/>
    <w:rsid w:val="00E23C6A"/>
    <w:rsid w:val="00E253A2"/>
    <w:rsid w:val="00E260F6"/>
    <w:rsid w:val="00E27127"/>
    <w:rsid w:val="00E27233"/>
    <w:rsid w:val="00E31771"/>
    <w:rsid w:val="00E31A3E"/>
    <w:rsid w:val="00E32080"/>
    <w:rsid w:val="00E3309D"/>
    <w:rsid w:val="00E3724A"/>
    <w:rsid w:val="00E378B1"/>
    <w:rsid w:val="00E417BE"/>
    <w:rsid w:val="00E41CD5"/>
    <w:rsid w:val="00E4372D"/>
    <w:rsid w:val="00E43A9E"/>
    <w:rsid w:val="00E453F9"/>
    <w:rsid w:val="00E45D7D"/>
    <w:rsid w:val="00E4623F"/>
    <w:rsid w:val="00E4665D"/>
    <w:rsid w:val="00E47854"/>
    <w:rsid w:val="00E47EBA"/>
    <w:rsid w:val="00E50156"/>
    <w:rsid w:val="00E5076C"/>
    <w:rsid w:val="00E50D2E"/>
    <w:rsid w:val="00E53470"/>
    <w:rsid w:val="00E539F6"/>
    <w:rsid w:val="00E54698"/>
    <w:rsid w:val="00E54FB4"/>
    <w:rsid w:val="00E55791"/>
    <w:rsid w:val="00E55E1A"/>
    <w:rsid w:val="00E578A2"/>
    <w:rsid w:val="00E60043"/>
    <w:rsid w:val="00E61740"/>
    <w:rsid w:val="00E61EB5"/>
    <w:rsid w:val="00E6324D"/>
    <w:rsid w:val="00E65084"/>
    <w:rsid w:val="00E6519D"/>
    <w:rsid w:val="00E66062"/>
    <w:rsid w:val="00E6660E"/>
    <w:rsid w:val="00E67305"/>
    <w:rsid w:val="00E67696"/>
    <w:rsid w:val="00E71A58"/>
    <w:rsid w:val="00E72A26"/>
    <w:rsid w:val="00E72A7A"/>
    <w:rsid w:val="00E7335A"/>
    <w:rsid w:val="00E747DC"/>
    <w:rsid w:val="00E74A2D"/>
    <w:rsid w:val="00E75C94"/>
    <w:rsid w:val="00E76B9B"/>
    <w:rsid w:val="00E76E61"/>
    <w:rsid w:val="00E80CA3"/>
    <w:rsid w:val="00E82618"/>
    <w:rsid w:val="00E84E09"/>
    <w:rsid w:val="00E90CA8"/>
    <w:rsid w:val="00E930A1"/>
    <w:rsid w:val="00E93820"/>
    <w:rsid w:val="00E94A86"/>
    <w:rsid w:val="00E953F6"/>
    <w:rsid w:val="00E96143"/>
    <w:rsid w:val="00E96833"/>
    <w:rsid w:val="00E97506"/>
    <w:rsid w:val="00EA0C68"/>
    <w:rsid w:val="00EA1D0E"/>
    <w:rsid w:val="00EA2841"/>
    <w:rsid w:val="00EA32BC"/>
    <w:rsid w:val="00EA35A7"/>
    <w:rsid w:val="00EA3B32"/>
    <w:rsid w:val="00EA3D05"/>
    <w:rsid w:val="00EA4402"/>
    <w:rsid w:val="00EA4B8D"/>
    <w:rsid w:val="00EA513E"/>
    <w:rsid w:val="00EA7419"/>
    <w:rsid w:val="00EB0E32"/>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DF0"/>
    <w:rsid w:val="00ED2386"/>
    <w:rsid w:val="00ED2EA1"/>
    <w:rsid w:val="00ED3F10"/>
    <w:rsid w:val="00ED4D04"/>
    <w:rsid w:val="00ED5907"/>
    <w:rsid w:val="00ED5F5B"/>
    <w:rsid w:val="00ED62C6"/>
    <w:rsid w:val="00ED64C1"/>
    <w:rsid w:val="00EE3446"/>
    <w:rsid w:val="00EE3E78"/>
    <w:rsid w:val="00EE41FD"/>
    <w:rsid w:val="00EE460E"/>
    <w:rsid w:val="00EE4B1B"/>
    <w:rsid w:val="00EE5FBA"/>
    <w:rsid w:val="00EE6E06"/>
    <w:rsid w:val="00EE7179"/>
    <w:rsid w:val="00EF150D"/>
    <w:rsid w:val="00EF1F5A"/>
    <w:rsid w:val="00EF47BF"/>
    <w:rsid w:val="00EF59B1"/>
    <w:rsid w:val="00EF5A13"/>
    <w:rsid w:val="00EF5FF9"/>
    <w:rsid w:val="00EF7CC7"/>
    <w:rsid w:val="00F00866"/>
    <w:rsid w:val="00F0160B"/>
    <w:rsid w:val="00F0193E"/>
    <w:rsid w:val="00F03F8D"/>
    <w:rsid w:val="00F04811"/>
    <w:rsid w:val="00F0488C"/>
    <w:rsid w:val="00F073ED"/>
    <w:rsid w:val="00F07C4C"/>
    <w:rsid w:val="00F10F11"/>
    <w:rsid w:val="00F11159"/>
    <w:rsid w:val="00F12CFB"/>
    <w:rsid w:val="00F13FDB"/>
    <w:rsid w:val="00F15AAA"/>
    <w:rsid w:val="00F15BEF"/>
    <w:rsid w:val="00F17898"/>
    <w:rsid w:val="00F207C2"/>
    <w:rsid w:val="00F21337"/>
    <w:rsid w:val="00F219A1"/>
    <w:rsid w:val="00F23E20"/>
    <w:rsid w:val="00F24407"/>
    <w:rsid w:val="00F24FAA"/>
    <w:rsid w:val="00F25040"/>
    <w:rsid w:val="00F27071"/>
    <w:rsid w:val="00F27331"/>
    <w:rsid w:val="00F27EE5"/>
    <w:rsid w:val="00F307CB"/>
    <w:rsid w:val="00F30C65"/>
    <w:rsid w:val="00F32649"/>
    <w:rsid w:val="00F33523"/>
    <w:rsid w:val="00F3364D"/>
    <w:rsid w:val="00F349BF"/>
    <w:rsid w:val="00F34DDC"/>
    <w:rsid w:val="00F37EDC"/>
    <w:rsid w:val="00F437CC"/>
    <w:rsid w:val="00F44537"/>
    <w:rsid w:val="00F46185"/>
    <w:rsid w:val="00F46423"/>
    <w:rsid w:val="00F4696A"/>
    <w:rsid w:val="00F47067"/>
    <w:rsid w:val="00F525EB"/>
    <w:rsid w:val="00F52CB5"/>
    <w:rsid w:val="00F53A68"/>
    <w:rsid w:val="00F54934"/>
    <w:rsid w:val="00F55A92"/>
    <w:rsid w:val="00F62BFF"/>
    <w:rsid w:val="00F63AAE"/>
    <w:rsid w:val="00F63DDE"/>
    <w:rsid w:val="00F63FB7"/>
    <w:rsid w:val="00F6421B"/>
    <w:rsid w:val="00F647F1"/>
    <w:rsid w:val="00F649D2"/>
    <w:rsid w:val="00F6602B"/>
    <w:rsid w:val="00F7150B"/>
    <w:rsid w:val="00F717E4"/>
    <w:rsid w:val="00F71DE6"/>
    <w:rsid w:val="00F72D71"/>
    <w:rsid w:val="00F7381C"/>
    <w:rsid w:val="00F73A0C"/>
    <w:rsid w:val="00F7549F"/>
    <w:rsid w:val="00F756DB"/>
    <w:rsid w:val="00F767A8"/>
    <w:rsid w:val="00F84E7D"/>
    <w:rsid w:val="00F85066"/>
    <w:rsid w:val="00F87A4D"/>
    <w:rsid w:val="00F93688"/>
    <w:rsid w:val="00F939F3"/>
    <w:rsid w:val="00F9644E"/>
    <w:rsid w:val="00FA0105"/>
    <w:rsid w:val="00FA05A0"/>
    <w:rsid w:val="00FA17CC"/>
    <w:rsid w:val="00FA1F01"/>
    <w:rsid w:val="00FA26DF"/>
    <w:rsid w:val="00FA32BC"/>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4DE"/>
    <w:rsid w:val="00FC684B"/>
    <w:rsid w:val="00FC7D98"/>
    <w:rsid w:val="00FD1135"/>
    <w:rsid w:val="00FD3265"/>
    <w:rsid w:val="00FD3CF7"/>
    <w:rsid w:val="00FD4916"/>
    <w:rsid w:val="00FD4D12"/>
    <w:rsid w:val="00FD4F73"/>
    <w:rsid w:val="00FD595E"/>
    <w:rsid w:val="00FE27C7"/>
    <w:rsid w:val="00FE2C7E"/>
    <w:rsid w:val="00FE2F78"/>
    <w:rsid w:val="00FE3137"/>
    <w:rsid w:val="00FE346B"/>
    <w:rsid w:val="00FE48E4"/>
    <w:rsid w:val="00FE634C"/>
    <w:rsid w:val="00FE6E69"/>
    <w:rsid w:val="00FE6F59"/>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36" Type="http://schemas.microsoft.com/office/2016/09/relationships/commentsIds" Target="commentsId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KAM%20CSU\PUBLIKACE\PUBLIKACE\2019\QMakro\1.pololet&#237;%202019\Trh%20pr&#225;ce\Grafy-trh%20pr&#225;ce-rok-2019-1.po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KAM%20CSU\PUBLIKACE\PUBLIKACE\2019\QMakro\1.pololet&#237;%202019\Trh%20pr&#225;ce\Grafy-trh%20pr&#225;ce-rok-2019-1.po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JKAM%20CSU\PUBLIKACE\PUBLIKACE\2019\QMakro\1.pololet&#237;%202019\Trh%20pr&#225;ce\Grafy-trh%20pr&#225;ce-rok-2019-1.po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306663279993595E-2"/>
          <c:y val="1.6549886621315405E-2"/>
          <c:w val="0.92612532736853781"/>
          <c:h val="0.72078134940108163"/>
        </c:manualLayout>
      </c:layout>
      <c:barChart>
        <c:barDir val="col"/>
        <c:grouping val="stacked"/>
        <c:varyColors val="0"/>
        <c:ser>
          <c:idx val="0"/>
          <c:order val="0"/>
          <c:tx>
            <c:strRef>
              <c:f>'Trh práce 1'!$AC$7</c:f>
              <c:strCache>
                <c:ptCount val="1"/>
                <c:pt idx="0">
                  <c:v>Zemědělství, lesnictví a rybářství</c:v>
                </c:pt>
              </c:strCache>
            </c:strRef>
          </c:tx>
          <c:spPr>
            <a:solidFill>
              <a:srgbClr val="7DBB2D"/>
            </a:solidFill>
            <a:ln>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c:v>
                  </c:pt>
                </c:lvl>
                <c:lvl>
                  <c:pt idx="0">
                    <c:v>2010</c:v>
                  </c:pt>
                  <c:pt idx="4">
                    <c:v>2011</c:v>
                  </c:pt>
                  <c:pt idx="8">
                    <c:v>2012</c:v>
                  </c:pt>
                  <c:pt idx="12">
                    <c:v>2013</c:v>
                  </c:pt>
                  <c:pt idx="16">
                    <c:v>2014</c:v>
                  </c:pt>
                  <c:pt idx="20">
                    <c:v>2015</c:v>
                  </c:pt>
                  <c:pt idx="24">
                    <c:v>2016</c:v>
                  </c:pt>
                  <c:pt idx="28">
                    <c:v>2017</c:v>
                  </c:pt>
                  <c:pt idx="32">
                    <c:v>2018</c:v>
                  </c:pt>
                  <c:pt idx="36">
                    <c:v>2 019</c:v>
                  </c:pt>
                </c:lvl>
              </c:multiLvlStrCache>
            </c:multiLvlStrRef>
          </c:cat>
          <c:val>
            <c:numRef>
              <c:f>'Trh práce 1'!$AC$8:$AC$46</c:f>
              <c:numCache>
                <c:formatCode>#\ ##0.0</c:formatCode>
                <c:ptCount val="39"/>
                <c:pt idx="0">
                  <c:v>-0.23222275006944559</c:v>
                </c:pt>
                <c:pt idx="1">
                  <c:v>-0.17702219112179143</c:v>
                </c:pt>
                <c:pt idx="2">
                  <c:v>-0.14250343705609603</c:v>
                </c:pt>
                <c:pt idx="3">
                  <c:v>-0.13702544848549214</c:v>
                </c:pt>
                <c:pt idx="4">
                  <c:v>0.1037453953799244</c:v>
                </c:pt>
                <c:pt idx="5">
                  <c:v>9.5690938460222114E-2</c:v>
                </c:pt>
                <c:pt idx="6">
                  <c:v>5.9112721211504342E-2</c:v>
                </c:pt>
                <c:pt idx="7">
                  <c:v>4.0223421388449539E-2</c:v>
                </c:pt>
                <c:pt idx="8">
                  <c:v>2.8804620165849455E-2</c:v>
                </c:pt>
                <c:pt idx="9">
                  <c:v>3.177048919427123E-2</c:v>
                </c:pt>
                <c:pt idx="10">
                  <c:v>6.2378779484277516E-2</c:v>
                </c:pt>
                <c:pt idx="11">
                  <c:v>7.8876524967668435E-2</c:v>
                </c:pt>
                <c:pt idx="12">
                  <c:v>3.4897043795591075E-2</c:v>
                </c:pt>
                <c:pt idx="13">
                  <c:v>7.6139985329269369E-2</c:v>
                </c:pt>
                <c:pt idx="14">
                  <c:v>1.9508115947107687E-2</c:v>
                </c:pt>
                <c:pt idx="15">
                  <c:v>9.8416227024961307E-4</c:v>
                </c:pt>
                <c:pt idx="16">
                  <c:v>-9.9577605233673733E-3</c:v>
                </c:pt>
                <c:pt idx="17">
                  <c:v>-7.2593422082177353E-2</c:v>
                </c:pt>
                <c:pt idx="18">
                  <c:v>-3.1543675502894483E-2</c:v>
                </c:pt>
                <c:pt idx="19">
                  <c:v>-7.4973080531715039E-3</c:v>
                </c:pt>
                <c:pt idx="20">
                  <c:v>-2.5406394237287376E-2</c:v>
                </c:pt>
                <c:pt idx="21">
                  <c:v>-3.2519642707587802E-2</c:v>
                </c:pt>
                <c:pt idx="22">
                  <c:v>-4.2746377552347149E-2</c:v>
                </c:pt>
                <c:pt idx="23">
                  <c:v>-7.6345605918714074E-2</c:v>
                </c:pt>
                <c:pt idx="24">
                  <c:v>-0.12683499341762058</c:v>
                </c:pt>
                <c:pt idx="25">
                  <c:v>-5.879640482153705E-2</c:v>
                </c:pt>
                <c:pt idx="26">
                  <c:v>-5.7660818239794312E-2</c:v>
                </c:pt>
                <c:pt idx="27">
                  <c:v>5.9750731023664135E-2</c:v>
                </c:pt>
                <c:pt idx="28">
                  <c:v>0.10980047025694602</c:v>
                </c:pt>
                <c:pt idx="29">
                  <c:v>3.9673148008216044E-2</c:v>
                </c:pt>
                <c:pt idx="30">
                  <c:v>4.4749740495190864E-2</c:v>
                </c:pt>
                <c:pt idx="31">
                  <c:v>-8.0513245505165226E-2</c:v>
                </c:pt>
                <c:pt idx="32">
                  <c:v>-4.9161515718039783E-2</c:v>
                </c:pt>
                <c:pt idx="33">
                  <c:v>-3.5837548449140062E-2</c:v>
                </c:pt>
                <c:pt idx="34">
                  <c:v>-3.3698710060322434E-2</c:v>
                </c:pt>
                <c:pt idx="35">
                  <c:v>8.5649612277238097E-3</c:v>
                </c:pt>
                <c:pt idx="36">
                  <c:v>2.1084112815023745E-2</c:v>
                </c:pt>
                <c:pt idx="37">
                  <c:v>-2.8290869979292681E-2</c:v>
                </c:pt>
              </c:numCache>
            </c:numRef>
          </c:val>
          <c:extLst>
            <c:ext xmlns:c16="http://schemas.microsoft.com/office/drawing/2014/chart" uri="{C3380CC4-5D6E-409C-BE32-E72D297353CC}">
              <c16:uniqueId val="{00000000-26EF-4329-8C55-0E5E6B174339}"/>
            </c:ext>
          </c:extLst>
        </c:ser>
        <c:ser>
          <c:idx val="1"/>
          <c:order val="1"/>
          <c:tx>
            <c:strRef>
              <c:f>'Trh práce 1'!$AD$7</c:f>
              <c:strCache>
                <c:ptCount val="1"/>
                <c:pt idx="0">
                  <c:v>Zpracovatelský průmysl</c:v>
                </c:pt>
              </c:strCache>
            </c:strRef>
          </c:tx>
          <c:spPr>
            <a:solidFill>
              <a:srgbClr val="A6CDE8"/>
            </a:solidFill>
            <a:ln>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c:v>
                  </c:pt>
                </c:lvl>
                <c:lvl>
                  <c:pt idx="0">
                    <c:v>2010</c:v>
                  </c:pt>
                  <c:pt idx="4">
                    <c:v>2011</c:v>
                  </c:pt>
                  <c:pt idx="8">
                    <c:v>2012</c:v>
                  </c:pt>
                  <c:pt idx="12">
                    <c:v>2013</c:v>
                  </c:pt>
                  <c:pt idx="16">
                    <c:v>2014</c:v>
                  </c:pt>
                  <c:pt idx="20">
                    <c:v>2015</c:v>
                  </c:pt>
                  <c:pt idx="24">
                    <c:v>2016</c:v>
                  </c:pt>
                  <c:pt idx="28">
                    <c:v>2017</c:v>
                  </c:pt>
                  <c:pt idx="32">
                    <c:v>2018</c:v>
                  </c:pt>
                  <c:pt idx="36">
                    <c:v>2 019</c:v>
                  </c:pt>
                </c:lvl>
              </c:multiLvlStrCache>
            </c:multiLvlStrRef>
          </c:cat>
          <c:val>
            <c:numRef>
              <c:f>'Trh práce 1'!$AD$8:$AD$46</c:f>
              <c:numCache>
                <c:formatCode>#\ ##0.0</c:formatCode>
                <c:ptCount val="39"/>
                <c:pt idx="0">
                  <c:v>-1.8445397057469493</c:v>
                </c:pt>
                <c:pt idx="1">
                  <c:v>-0.8474541475572025</c:v>
                </c:pt>
                <c:pt idx="2">
                  <c:v>-0.30166542154199055</c:v>
                </c:pt>
                <c:pt idx="3">
                  <c:v>-0.1432422159164195</c:v>
                </c:pt>
                <c:pt idx="4">
                  <c:v>0.9789507620302742</c:v>
                </c:pt>
                <c:pt idx="5">
                  <c:v>1.0641212428356808</c:v>
                </c:pt>
                <c:pt idx="6">
                  <c:v>0.95618180752734194</c:v>
                </c:pt>
                <c:pt idx="7">
                  <c:v>0.57685118438258864</c:v>
                </c:pt>
                <c:pt idx="8">
                  <c:v>0.15618372903976085</c:v>
                </c:pt>
                <c:pt idx="9">
                  <c:v>0.13240673035543962</c:v>
                </c:pt>
                <c:pt idx="10">
                  <c:v>0.31011051427221875</c:v>
                </c:pt>
                <c:pt idx="11">
                  <c:v>0.41899305405892584</c:v>
                </c:pt>
                <c:pt idx="12">
                  <c:v>-4.4405396456619534E-2</c:v>
                </c:pt>
                <c:pt idx="13">
                  <c:v>4.3158507126686813E-2</c:v>
                </c:pt>
                <c:pt idx="14">
                  <c:v>-0.10553280483596787</c:v>
                </c:pt>
                <c:pt idx="15">
                  <c:v>-5.73176106193376E-2</c:v>
                </c:pt>
                <c:pt idx="16">
                  <c:v>0.20769043377309063</c:v>
                </c:pt>
                <c:pt idx="17">
                  <c:v>0.19941112781211254</c:v>
                </c:pt>
                <c:pt idx="18">
                  <c:v>0.39457126264967279</c:v>
                </c:pt>
                <c:pt idx="19">
                  <c:v>0.53106915941992727</c:v>
                </c:pt>
                <c:pt idx="20">
                  <c:v>0.90470735488586451</c:v>
                </c:pt>
                <c:pt idx="21">
                  <c:v>0.96187925091846382</c:v>
                </c:pt>
                <c:pt idx="22">
                  <c:v>0.80659111223260482</c:v>
                </c:pt>
                <c:pt idx="23">
                  <c:v>0.9763975552258608</c:v>
                </c:pt>
                <c:pt idx="24">
                  <c:v>0.88338166621127912</c:v>
                </c:pt>
                <c:pt idx="25">
                  <c:v>0.66590302024601633</c:v>
                </c:pt>
                <c:pt idx="26">
                  <c:v>0.72234156147423922</c:v>
                </c:pt>
                <c:pt idx="27">
                  <c:v>0.58981738346396784</c:v>
                </c:pt>
                <c:pt idx="28">
                  <c:v>0.19983341803764579</c:v>
                </c:pt>
                <c:pt idx="29">
                  <c:v>0.32012257424933294</c:v>
                </c:pt>
                <c:pt idx="30">
                  <c:v>0.43319496242521982</c:v>
                </c:pt>
                <c:pt idx="31">
                  <c:v>0.42405404961421245</c:v>
                </c:pt>
                <c:pt idx="32">
                  <c:v>0.45816951651004678</c:v>
                </c:pt>
                <c:pt idx="33">
                  <c:v>0.37332186131712786</c:v>
                </c:pt>
                <c:pt idx="34">
                  <c:v>0.19923035052247043</c:v>
                </c:pt>
                <c:pt idx="35">
                  <c:v>0.17982694682034051</c:v>
                </c:pt>
                <c:pt idx="36">
                  <c:v>0.26873435612605329</c:v>
                </c:pt>
                <c:pt idx="37">
                  <c:v>0.15849526506000125</c:v>
                </c:pt>
              </c:numCache>
            </c:numRef>
          </c:val>
          <c:extLst>
            <c:ext xmlns:c16="http://schemas.microsoft.com/office/drawing/2014/chart" uri="{C3380CC4-5D6E-409C-BE32-E72D297353CC}">
              <c16:uniqueId val="{00000001-26EF-4329-8C55-0E5E6B174339}"/>
            </c:ext>
          </c:extLst>
        </c:ser>
        <c:ser>
          <c:idx val="2"/>
          <c:order val="2"/>
          <c:tx>
            <c:strRef>
              <c:f>'Trh práce 1'!$AE$7</c:f>
              <c:strCache>
                <c:ptCount val="1"/>
                <c:pt idx="0">
                  <c:v>Stavebnictví</c:v>
                </c:pt>
              </c:strCache>
            </c:strRef>
          </c:tx>
          <c:spPr>
            <a:solidFill>
              <a:srgbClr val="48AEE7"/>
            </a:solidFill>
            <a:ln w="19050">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c:v>
                  </c:pt>
                </c:lvl>
                <c:lvl>
                  <c:pt idx="0">
                    <c:v>2010</c:v>
                  </c:pt>
                  <c:pt idx="4">
                    <c:v>2011</c:v>
                  </c:pt>
                  <c:pt idx="8">
                    <c:v>2012</c:v>
                  </c:pt>
                  <c:pt idx="12">
                    <c:v>2013</c:v>
                  </c:pt>
                  <c:pt idx="16">
                    <c:v>2014</c:v>
                  </c:pt>
                  <c:pt idx="20">
                    <c:v>2015</c:v>
                  </c:pt>
                  <c:pt idx="24">
                    <c:v>2016</c:v>
                  </c:pt>
                  <c:pt idx="28">
                    <c:v>2017</c:v>
                  </c:pt>
                  <c:pt idx="32">
                    <c:v>2018</c:v>
                  </c:pt>
                  <c:pt idx="36">
                    <c:v>2 019</c:v>
                  </c:pt>
                </c:lvl>
              </c:multiLvlStrCache>
            </c:multiLvlStrRef>
          </c:cat>
          <c:val>
            <c:numRef>
              <c:f>'Trh práce 1'!$AE$8:$AE$46</c:f>
              <c:numCache>
                <c:formatCode>#\ ##0.0</c:formatCode>
                <c:ptCount val="39"/>
                <c:pt idx="0">
                  <c:v>9.3873585501888221E-2</c:v>
                </c:pt>
                <c:pt idx="1">
                  <c:v>0.14259143360406726</c:v>
                </c:pt>
                <c:pt idx="2">
                  <c:v>0.18371660463360134</c:v>
                </c:pt>
                <c:pt idx="3">
                  <c:v>0.18784505526212203</c:v>
                </c:pt>
                <c:pt idx="4">
                  <c:v>-0.46459117644017778</c:v>
                </c:pt>
                <c:pt idx="5">
                  <c:v>-0.4616879929060313</c:v>
                </c:pt>
                <c:pt idx="6">
                  <c:v>-0.50318816056641857</c:v>
                </c:pt>
                <c:pt idx="7">
                  <c:v>-0.48534290072386593</c:v>
                </c:pt>
                <c:pt idx="8">
                  <c:v>-8.5917913180643346E-2</c:v>
                </c:pt>
                <c:pt idx="9">
                  <c:v>-5.8137026020918844E-2</c:v>
                </c:pt>
                <c:pt idx="10">
                  <c:v>-0.14837747801088627</c:v>
                </c:pt>
                <c:pt idx="11">
                  <c:v>-0.16295719235324899</c:v>
                </c:pt>
                <c:pt idx="12">
                  <c:v>-0.21122835212109486</c:v>
                </c:pt>
                <c:pt idx="13">
                  <c:v>-0.32386665444105806</c:v>
                </c:pt>
                <c:pt idx="14">
                  <c:v>-0.19405752472914969</c:v>
                </c:pt>
                <c:pt idx="15">
                  <c:v>-9.3062384274803539E-2</c:v>
                </c:pt>
                <c:pt idx="16">
                  <c:v>-0.43150295601258531</c:v>
                </c:pt>
                <c:pt idx="17">
                  <c:v>-0.30664293593782688</c:v>
                </c:pt>
                <c:pt idx="18">
                  <c:v>-0.36558411945062858</c:v>
                </c:pt>
                <c:pt idx="19">
                  <c:v>-0.44482059984761685</c:v>
                </c:pt>
                <c:pt idx="20">
                  <c:v>-9.9424868399593715E-3</c:v>
                </c:pt>
                <c:pt idx="21">
                  <c:v>-3.3539559125437316E-3</c:v>
                </c:pt>
                <c:pt idx="22">
                  <c:v>-5.6760622044817605E-2</c:v>
                </c:pt>
                <c:pt idx="23">
                  <c:v>-7.8859282070708484E-2</c:v>
                </c:pt>
                <c:pt idx="24">
                  <c:v>-0.17401000397426594</c:v>
                </c:pt>
                <c:pt idx="25">
                  <c:v>-0.19657276720170858</c:v>
                </c:pt>
                <c:pt idx="26">
                  <c:v>-9.6037081884339695E-2</c:v>
                </c:pt>
                <c:pt idx="27">
                  <c:v>-6.2672903197279528E-2</c:v>
                </c:pt>
                <c:pt idx="28">
                  <c:v>-3.5906224401297355E-3</c:v>
                </c:pt>
                <c:pt idx="29">
                  <c:v>3.1746122268193912E-3</c:v>
                </c:pt>
                <c:pt idx="30">
                  <c:v>5.6715927469711436E-2</c:v>
                </c:pt>
                <c:pt idx="31">
                  <c:v>-8.3930904378625701E-2</c:v>
                </c:pt>
                <c:pt idx="32">
                  <c:v>9.0738004317255025E-2</c:v>
                </c:pt>
                <c:pt idx="33">
                  <c:v>3.6006328112165815E-2</c:v>
                </c:pt>
                <c:pt idx="34">
                  <c:v>3.049463149184509E-2</c:v>
                </c:pt>
                <c:pt idx="35">
                  <c:v>0.10318916331314207</c:v>
                </c:pt>
                <c:pt idx="36">
                  <c:v>6.42907819962069E-2</c:v>
                </c:pt>
                <c:pt idx="37">
                  <c:v>9.0921765969956533E-2</c:v>
                </c:pt>
              </c:numCache>
            </c:numRef>
          </c:val>
          <c:extLst>
            <c:ext xmlns:c16="http://schemas.microsoft.com/office/drawing/2014/chart" uri="{C3380CC4-5D6E-409C-BE32-E72D297353CC}">
              <c16:uniqueId val="{00000002-26EF-4329-8C55-0E5E6B174339}"/>
            </c:ext>
          </c:extLst>
        </c:ser>
        <c:ser>
          <c:idx val="3"/>
          <c:order val="3"/>
          <c:tx>
            <c:strRef>
              <c:f>'Trh práce 1'!$AF$7</c:f>
              <c:strCache>
                <c:ptCount val="1"/>
                <c:pt idx="0">
                  <c:v>Obchod, doprava, ubytování a pohost.</c:v>
                </c:pt>
              </c:strCache>
            </c:strRef>
          </c:tx>
          <c:spPr>
            <a:solidFill>
              <a:srgbClr val="FDDEB3"/>
            </a:solidFill>
            <a:ln w="19050">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c:v>
                  </c:pt>
                </c:lvl>
                <c:lvl>
                  <c:pt idx="0">
                    <c:v>2010</c:v>
                  </c:pt>
                  <c:pt idx="4">
                    <c:v>2011</c:v>
                  </c:pt>
                  <c:pt idx="8">
                    <c:v>2012</c:v>
                  </c:pt>
                  <c:pt idx="12">
                    <c:v>2013</c:v>
                  </c:pt>
                  <c:pt idx="16">
                    <c:v>2014</c:v>
                  </c:pt>
                  <c:pt idx="20">
                    <c:v>2015</c:v>
                  </c:pt>
                  <c:pt idx="24">
                    <c:v>2016</c:v>
                  </c:pt>
                  <c:pt idx="28">
                    <c:v>2017</c:v>
                  </c:pt>
                  <c:pt idx="32">
                    <c:v>2018</c:v>
                  </c:pt>
                  <c:pt idx="36">
                    <c:v>2 019</c:v>
                  </c:pt>
                </c:lvl>
              </c:multiLvlStrCache>
            </c:multiLvlStrRef>
          </c:cat>
          <c:val>
            <c:numRef>
              <c:f>'Trh práce 1'!$AF$8:$AF$46</c:f>
              <c:numCache>
                <c:formatCode>#\ ##0.0</c:formatCode>
                <c:ptCount val="39"/>
                <c:pt idx="0">
                  <c:v>-0.36020586170372848</c:v>
                </c:pt>
                <c:pt idx="1">
                  <c:v>-0.12853367400426938</c:v>
                </c:pt>
                <c:pt idx="2">
                  <c:v>0.13275641462376636</c:v>
                </c:pt>
                <c:pt idx="3">
                  <c:v>0.2983258936060344</c:v>
                </c:pt>
                <c:pt idx="4">
                  <c:v>-6.8329822215403721E-2</c:v>
                </c:pt>
                <c:pt idx="5">
                  <c:v>-7.5578817344047824E-2</c:v>
                </c:pt>
                <c:pt idx="6">
                  <c:v>-9.2260041517020677E-2</c:v>
                </c:pt>
                <c:pt idx="7">
                  <c:v>-0.15221804564648586</c:v>
                </c:pt>
                <c:pt idx="8">
                  <c:v>-0.13386609977903041</c:v>
                </c:pt>
                <c:pt idx="9">
                  <c:v>-9.5588593345256143E-2</c:v>
                </c:pt>
                <c:pt idx="10">
                  <c:v>-9.2577400810211166E-2</c:v>
                </c:pt>
                <c:pt idx="11">
                  <c:v>-0.19122243914977186</c:v>
                </c:pt>
                <c:pt idx="12">
                  <c:v>0.21176431354457648</c:v>
                </c:pt>
                <c:pt idx="13">
                  <c:v>0.14567972277377966</c:v>
                </c:pt>
                <c:pt idx="14">
                  <c:v>1.7303364195265056E-2</c:v>
                </c:pt>
                <c:pt idx="15">
                  <c:v>2.2222384062236266E-2</c:v>
                </c:pt>
                <c:pt idx="16">
                  <c:v>-7.0534137040518835E-2</c:v>
                </c:pt>
                <c:pt idx="17">
                  <c:v>-0.25891457624497605</c:v>
                </c:pt>
                <c:pt idx="18">
                  <c:v>-0.10855429474811565</c:v>
                </c:pt>
                <c:pt idx="19">
                  <c:v>0.1735400517609435</c:v>
                </c:pt>
                <c:pt idx="20">
                  <c:v>0.11952598309777202</c:v>
                </c:pt>
                <c:pt idx="21">
                  <c:v>0.37489773866877718</c:v>
                </c:pt>
                <c:pt idx="22">
                  <c:v>0.24119355235297801</c:v>
                </c:pt>
                <c:pt idx="23">
                  <c:v>7.7144526246092138E-2</c:v>
                </c:pt>
                <c:pt idx="24">
                  <c:v>0.14837520802801787</c:v>
                </c:pt>
                <c:pt idx="25">
                  <c:v>0.19616793949638034</c:v>
                </c:pt>
                <c:pt idx="26">
                  <c:v>1.7240391808152577E-2</c:v>
                </c:pt>
                <c:pt idx="27">
                  <c:v>6.7594456331789884E-2</c:v>
                </c:pt>
                <c:pt idx="28">
                  <c:v>0.34445146653053038</c:v>
                </c:pt>
                <c:pt idx="29">
                  <c:v>0.15720983901674479</c:v>
                </c:pt>
                <c:pt idx="30">
                  <c:v>0.48991088989493198</c:v>
                </c:pt>
                <c:pt idx="31">
                  <c:v>0.35079152790688539</c:v>
                </c:pt>
                <c:pt idx="32">
                  <c:v>0.23807198021343226</c:v>
                </c:pt>
                <c:pt idx="33">
                  <c:v>0.49561210382724913</c:v>
                </c:pt>
                <c:pt idx="34">
                  <c:v>0.33069071364889108</c:v>
                </c:pt>
                <c:pt idx="35">
                  <c:v>0.36335917034571807</c:v>
                </c:pt>
                <c:pt idx="36">
                  <c:v>0.44030006568155017</c:v>
                </c:pt>
                <c:pt idx="37">
                  <c:v>0.12153639710791321</c:v>
                </c:pt>
              </c:numCache>
            </c:numRef>
          </c:val>
          <c:extLst>
            <c:ext xmlns:c16="http://schemas.microsoft.com/office/drawing/2014/chart" uri="{C3380CC4-5D6E-409C-BE32-E72D297353CC}">
              <c16:uniqueId val="{00000003-26EF-4329-8C55-0E5E6B174339}"/>
            </c:ext>
          </c:extLst>
        </c:ser>
        <c:ser>
          <c:idx val="4"/>
          <c:order val="4"/>
          <c:tx>
            <c:strRef>
              <c:f>'Trh práce 1'!$AG$7</c:f>
              <c:strCache>
                <c:ptCount val="1"/>
                <c:pt idx="0">
                  <c:v>Informační a komunikač. čin.</c:v>
                </c:pt>
              </c:strCache>
            </c:strRef>
          </c:tx>
          <c:spPr>
            <a:solidFill>
              <a:srgbClr val="F8A124"/>
            </a:solidFill>
            <a:ln w="19050">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c:v>
                  </c:pt>
                </c:lvl>
                <c:lvl>
                  <c:pt idx="0">
                    <c:v>2010</c:v>
                  </c:pt>
                  <c:pt idx="4">
                    <c:v>2011</c:v>
                  </c:pt>
                  <c:pt idx="8">
                    <c:v>2012</c:v>
                  </c:pt>
                  <c:pt idx="12">
                    <c:v>2013</c:v>
                  </c:pt>
                  <c:pt idx="16">
                    <c:v>2014</c:v>
                  </c:pt>
                  <c:pt idx="20">
                    <c:v>2015</c:v>
                  </c:pt>
                  <c:pt idx="24">
                    <c:v>2016</c:v>
                  </c:pt>
                  <c:pt idx="28">
                    <c:v>2017</c:v>
                  </c:pt>
                  <c:pt idx="32">
                    <c:v>2018</c:v>
                  </c:pt>
                  <c:pt idx="36">
                    <c:v>2 019</c:v>
                  </c:pt>
                </c:lvl>
              </c:multiLvlStrCache>
            </c:multiLvlStrRef>
          </c:cat>
          <c:val>
            <c:numRef>
              <c:f>'Trh práce 1'!$AG$8:$AG$46</c:f>
              <c:numCache>
                <c:formatCode>#\ ##0.0</c:formatCode>
                <c:ptCount val="39"/>
                <c:pt idx="0">
                  <c:v>-6.5149774021976706E-2</c:v>
                </c:pt>
                <c:pt idx="1">
                  <c:v>-7.6291207174423434E-2</c:v>
                </c:pt>
                <c:pt idx="2">
                  <c:v>-6.7461209804364292E-2</c:v>
                </c:pt>
                <c:pt idx="3">
                  <c:v>-8.1706086235047728E-2</c:v>
                </c:pt>
                <c:pt idx="4">
                  <c:v>-4.2740879497316732E-2</c:v>
                </c:pt>
                <c:pt idx="5">
                  <c:v>-8.5021220663354005E-2</c:v>
                </c:pt>
                <c:pt idx="6">
                  <c:v>-0.1331220060126897</c:v>
                </c:pt>
                <c:pt idx="7">
                  <c:v>-0.16262881353526082</c:v>
                </c:pt>
                <c:pt idx="8">
                  <c:v>2.0452867349167212E-2</c:v>
                </c:pt>
                <c:pt idx="9">
                  <c:v>3.5175177132847388E-2</c:v>
                </c:pt>
                <c:pt idx="10">
                  <c:v>5.3501494475079188E-2</c:v>
                </c:pt>
                <c:pt idx="11">
                  <c:v>7.2421004792777327E-2</c:v>
                </c:pt>
                <c:pt idx="12">
                  <c:v>4.0772769030798725E-2</c:v>
                </c:pt>
                <c:pt idx="13">
                  <c:v>7.3946489774753682E-2</c:v>
                </c:pt>
                <c:pt idx="14">
                  <c:v>3.1102747927780179E-2</c:v>
                </c:pt>
                <c:pt idx="15">
                  <c:v>3.2260839218782332E-2</c:v>
                </c:pt>
                <c:pt idx="16">
                  <c:v>0.10151383644655056</c:v>
                </c:pt>
                <c:pt idx="17">
                  <c:v>6.5783495760870003E-2</c:v>
                </c:pt>
                <c:pt idx="18">
                  <c:v>8.4444228559494391E-2</c:v>
                </c:pt>
                <c:pt idx="19">
                  <c:v>8.3631389044564061E-2</c:v>
                </c:pt>
                <c:pt idx="20">
                  <c:v>8.1544111434449142E-3</c:v>
                </c:pt>
                <c:pt idx="21">
                  <c:v>5.1741144428598632E-2</c:v>
                </c:pt>
                <c:pt idx="22">
                  <c:v>7.4410360924456145E-2</c:v>
                </c:pt>
                <c:pt idx="23">
                  <c:v>0.10021578643183958</c:v>
                </c:pt>
                <c:pt idx="24">
                  <c:v>0.13486891129933629</c:v>
                </c:pt>
                <c:pt idx="25">
                  <c:v>0.11759280964307377</c:v>
                </c:pt>
                <c:pt idx="26">
                  <c:v>0.14031441923503121</c:v>
                </c:pt>
                <c:pt idx="27">
                  <c:v>0.17559947785397295</c:v>
                </c:pt>
                <c:pt idx="28">
                  <c:v>9.0644117557743223E-2</c:v>
                </c:pt>
                <c:pt idx="29">
                  <c:v>7.4061612189750534E-2</c:v>
                </c:pt>
                <c:pt idx="30">
                  <c:v>8.9214571776702764E-2</c:v>
                </c:pt>
                <c:pt idx="31">
                  <c:v>6.8674173054006998E-2</c:v>
                </c:pt>
                <c:pt idx="32">
                  <c:v>8.6936080054221168E-2</c:v>
                </c:pt>
                <c:pt idx="33">
                  <c:v>0.10033013302087858</c:v>
                </c:pt>
                <c:pt idx="34">
                  <c:v>0.10094710327080546</c:v>
                </c:pt>
                <c:pt idx="35">
                  <c:v>0.12648213395636507</c:v>
                </c:pt>
                <c:pt idx="36">
                  <c:v>0.15426449824818125</c:v>
                </c:pt>
                <c:pt idx="37">
                  <c:v>8.2272210546039573E-2</c:v>
                </c:pt>
              </c:numCache>
            </c:numRef>
          </c:val>
          <c:extLst>
            <c:ext xmlns:c16="http://schemas.microsoft.com/office/drawing/2014/chart" uri="{C3380CC4-5D6E-409C-BE32-E72D297353CC}">
              <c16:uniqueId val="{00000004-26EF-4329-8C55-0E5E6B174339}"/>
            </c:ext>
          </c:extLst>
        </c:ser>
        <c:ser>
          <c:idx val="5"/>
          <c:order val="5"/>
          <c:tx>
            <c:strRef>
              <c:f>'Trh práce 1'!$AH$7</c:f>
              <c:strCache>
                <c:ptCount val="1"/>
                <c:pt idx="0">
                  <c:v>Profesní, vědec., techn. a admin. čin.</c:v>
                </c:pt>
              </c:strCache>
            </c:strRef>
          </c:tx>
          <c:spPr>
            <a:solidFill>
              <a:srgbClr val="E8C0BE"/>
            </a:solidFill>
            <a:ln w="19050">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c:v>
                  </c:pt>
                </c:lvl>
                <c:lvl>
                  <c:pt idx="0">
                    <c:v>2010</c:v>
                  </c:pt>
                  <c:pt idx="4">
                    <c:v>2011</c:v>
                  </c:pt>
                  <c:pt idx="8">
                    <c:v>2012</c:v>
                  </c:pt>
                  <c:pt idx="12">
                    <c:v>2013</c:v>
                  </c:pt>
                  <c:pt idx="16">
                    <c:v>2014</c:v>
                  </c:pt>
                  <c:pt idx="20">
                    <c:v>2015</c:v>
                  </c:pt>
                  <c:pt idx="24">
                    <c:v>2016</c:v>
                  </c:pt>
                  <c:pt idx="28">
                    <c:v>2017</c:v>
                  </c:pt>
                  <c:pt idx="32">
                    <c:v>2018</c:v>
                  </c:pt>
                  <c:pt idx="36">
                    <c:v>2 019</c:v>
                  </c:pt>
                </c:lvl>
              </c:multiLvlStrCache>
            </c:multiLvlStrRef>
          </c:cat>
          <c:val>
            <c:numRef>
              <c:f>'Trh práce 1'!$AH$8:$AH$46</c:f>
              <c:numCache>
                <c:formatCode>#\ ##0.0</c:formatCode>
                <c:ptCount val="39"/>
                <c:pt idx="0">
                  <c:v>-0.14466145378390899</c:v>
                </c:pt>
                <c:pt idx="1">
                  <c:v>-5.9633055325984424E-2</c:v>
                </c:pt>
                <c:pt idx="2">
                  <c:v>-1.1086007332124075E-2</c:v>
                </c:pt>
                <c:pt idx="3">
                  <c:v>-4.8017127490307024E-2</c:v>
                </c:pt>
                <c:pt idx="4">
                  <c:v>-0.20814589945627793</c:v>
                </c:pt>
                <c:pt idx="5">
                  <c:v>-0.24449292116719129</c:v>
                </c:pt>
                <c:pt idx="6">
                  <c:v>-0.38620574265486801</c:v>
                </c:pt>
                <c:pt idx="7">
                  <c:v>-0.28641442112187215</c:v>
                </c:pt>
                <c:pt idx="8">
                  <c:v>0.1184520571696193</c:v>
                </c:pt>
                <c:pt idx="9">
                  <c:v>0.13220878338226663</c:v>
                </c:pt>
                <c:pt idx="10">
                  <c:v>0.20877472066275338</c:v>
                </c:pt>
                <c:pt idx="11">
                  <c:v>0.25063308789776856</c:v>
                </c:pt>
                <c:pt idx="12">
                  <c:v>4.9745160268345384E-2</c:v>
                </c:pt>
                <c:pt idx="13">
                  <c:v>0.15974971227661924</c:v>
                </c:pt>
                <c:pt idx="14">
                  <c:v>0.21476644296967187</c:v>
                </c:pt>
                <c:pt idx="15">
                  <c:v>0.19659625510506304</c:v>
                </c:pt>
                <c:pt idx="16">
                  <c:v>0.32279740363249182</c:v>
                </c:pt>
                <c:pt idx="17">
                  <c:v>0.23316638220014821</c:v>
                </c:pt>
                <c:pt idx="18">
                  <c:v>0.12619436764468417</c:v>
                </c:pt>
                <c:pt idx="19">
                  <c:v>7.9184166944782447E-2</c:v>
                </c:pt>
                <c:pt idx="20">
                  <c:v>0.11111613256911081</c:v>
                </c:pt>
                <c:pt idx="21">
                  <c:v>0.11629008541211587</c:v>
                </c:pt>
                <c:pt idx="22">
                  <c:v>0.2234851764670952</c:v>
                </c:pt>
                <c:pt idx="23">
                  <c:v>0.33878119053158828</c:v>
                </c:pt>
                <c:pt idx="24">
                  <c:v>0.28107069226756692</c:v>
                </c:pt>
                <c:pt idx="25">
                  <c:v>0.26149942013250727</c:v>
                </c:pt>
                <c:pt idx="26">
                  <c:v>0.25212626677828481</c:v>
                </c:pt>
                <c:pt idx="27">
                  <c:v>0.25247952076376445</c:v>
                </c:pt>
                <c:pt idx="28">
                  <c:v>0.21874148301492499</c:v>
                </c:pt>
                <c:pt idx="29">
                  <c:v>0.15224831930896124</c:v>
                </c:pt>
                <c:pt idx="30">
                  <c:v>9.8996454779683912E-2</c:v>
                </c:pt>
                <c:pt idx="31">
                  <c:v>-3.5385042700909905E-2</c:v>
                </c:pt>
                <c:pt idx="32">
                  <c:v>0.34358478921623958</c:v>
                </c:pt>
                <c:pt idx="33">
                  <c:v>0.33864701721327611</c:v>
                </c:pt>
                <c:pt idx="34">
                  <c:v>0.27368792051202695</c:v>
                </c:pt>
                <c:pt idx="35">
                  <c:v>0.40067261012910582</c:v>
                </c:pt>
                <c:pt idx="36">
                  <c:v>2.8167781324556662E-2</c:v>
                </c:pt>
                <c:pt idx="37">
                  <c:v>5.6987476033907806E-3</c:v>
                </c:pt>
              </c:numCache>
            </c:numRef>
          </c:val>
          <c:extLst>
            <c:ext xmlns:c16="http://schemas.microsoft.com/office/drawing/2014/chart" uri="{C3380CC4-5D6E-409C-BE32-E72D297353CC}">
              <c16:uniqueId val="{00000005-26EF-4329-8C55-0E5E6B174339}"/>
            </c:ext>
          </c:extLst>
        </c:ser>
        <c:ser>
          <c:idx val="6"/>
          <c:order val="6"/>
          <c:tx>
            <c:strRef>
              <c:f>'Trh práce 1'!$AI$7</c:f>
              <c:strCache>
                <c:ptCount val="1"/>
                <c:pt idx="0">
                  <c:v>Veř.spr.,obrana, vzděl.,zdrav.a soc.péče</c:v>
                </c:pt>
              </c:strCache>
            </c:strRef>
          </c:tx>
          <c:spPr>
            <a:solidFill>
              <a:srgbClr val="D58D8B"/>
            </a:solidFill>
            <a:ln>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c:v>
                  </c:pt>
                </c:lvl>
                <c:lvl>
                  <c:pt idx="0">
                    <c:v>2010</c:v>
                  </c:pt>
                  <c:pt idx="4">
                    <c:v>2011</c:v>
                  </c:pt>
                  <c:pt idx="8">
                    <c:v>2012</c:v>
                  </c:pt>
                  <c:pt idx="12">
                    <c:v>2013</c:v>
                  </c:pt>
                  <c:pt idx="16">
                    <c:v>2014</c:v>
                  </c:pt>
                  <c:pt idx="20">
                    <c:v>2015</c:v>
                  </c:pt>
                  <c:pt idx="24">
                    <c:v>2016</c:v>
                  </c:pt>
                  <c:pt idx="28">
                    <c:v>2017</c:v>
                  </c:pt>
                  <c:pt idx="32">
                    <c:v>2018</c:v>
                  </c:pt>
                  <c:pt idx="36">
                    <c:v>2 019</c:v>
                  </c:pt>
                </c:lvl>
              </c:multiLvlStrCache>
            </c:multiLvlStrRef>
          </c:cat>
          <c:val>
            <c:numRef>
              <c:f>'Trh práce 1'!$AI$8:$AI$46</c:f>
              <c:numCache>
                <c:formatCode>#\ ##0.0</c:formatCode>
                <c:ptCount val="39"/>
                <c:pt idx="0">
                  <c:v>-1.6350180324922744E-2</c:v>
                </c:pt>
                <c:pt idx="1">
                  <c:v>-4.584902122604384E-2</c:v>
                </c:pt>
                <c:pt idx="2">
                  <c:v>-4.0523984173199523E-2</c:v>
                </c:pt>
                <c:pt idx="3">
                  <c:v>-3.1932475248383406E-2</c:v>
                </c:pt>
                <c:pt idx="4">
                  <c:v>-9.5506907227863994E-2</c:v>
                </c:pt>
                <c:pt idx="5">
                  <c:v>-0.13831042346329567</c:v>
                </c:pt>
                <c:pt idx="6">
                  <c:v>-0.17645028898347218</c:v>
                </c:pt>
                <c:pt idx="7">
                  <c:v>-0.12798540599628724</c:v>
                </c:pt>
                <c:pt idx="8">
                  <c:v>-0.43655266623256483</c:v>
                </c:pt>
                <c:pt idx="9">
                  <c:v>-0.32948273684650803</c:v>
                </c:pt>
                <c:pt idx="10">
                  <c:v>-6.1942841381147279E-2</c:v>
                </c:pt>
                <c:pt idx="11">
                  <c:v>4.6658513510212274E-2</c:v>
                </c:pt>
                <c:pt idx="12">
                  <c:v>0.15564716746372556</c:v>
                </c:pt>
                <c:pt idx="13">
                  <c:v>0.36566163730412682</c:v>
                </c:pt>
                <c:pt idx="14">
                  <c:v>0.18966770650896314</c:v>
                </c:pt>
                <c:pt idx="15">
                  <c:v>0.15604876957077887</c:v>
                </c:pt>
                <c:pt idx="16">
                  <c:v>0.27053891834616883</c:v>
                </c:pt>
                <c:pt idx="17">
                  <c:v>0.15953282727926976</c:v>
                </c:pt>
                <c:pt idx="18">
                  <c:v>0.34979261606607431</c:v>
                </c:pt>
                <c:pt idx="19">
                  <c:v>0.35300317366363132</c:v>
                </c:pt>
                <c:pt idx="20">
                  <c:v>0.24091863862597132</c:v>
                </c:pt>
                <c:pt idx="21">
                  <c:v>0.23116797886105511</c:v>
                </c:pt>
                <c:pt idx="22">
                  <c:v>0.10859573556508495</c:v>
                </c:pt>
                <c:pt idx="23">
                  <c:v>0.11701259916842216</c:v>
                </c:pt>
                <c:pt idx="24">
                  <c:v>0.35147420452569511</c:v>
                </c:pt>
                <c:pt idx="25">
                  <c:v>0.35792552403982814</c:v>
                </c:pt>
                <c:pt idx="26">
                  <c:v>0.45544332587599401</c:v>
                </c:pt>
                <c:pt idx="27">
                  <c:v>0.56982357385502003</c:v>
                </c:pt>
                <c:pt idx="28">
                  <c:v>0.51153000432975859</c:v>
                </c:pt>
                <c:pt idx="29">
                  <c:v>0.56363624266583823</c:v>
                </c:pt>
                <c:pt idx="30">
                  <c:v>0.64341997422520814</c:v>
                </c:pt>
                <c:pt idx="31">
                  <c:v>0.65113010272047844</c:v>
                </c:pt>
                <c:pt idx="32">
                  <c:v>0.2383731227293161</c:v>
                </c:pt>
                <c:pt idx="33">
                  <c:v>0.26982242129054301</c:v>
                </c:pt>
                <c:pt idx="34">
                  <c:v>0.15850874732077574</c:v>
                </c:pt>
                <c:pt idx="35">
                  <c:v>0.13506571466501852</c:v>
                </c:pt>
                <c:pt idx="36">
                  <c:v>0.46040136584996327</c:v>
                </c:pt>
                <c:pt idx="37">
                  <c:v>0.38380788470603688</c:v>
                </c:pt>
              </c:numCache>
            </c:numRef>
          </c:val>
          <c:extLst>
            <c:ext xmlns:c16="http://schemas.microsoft.com/office/drawing/2014/chart" uri="{C3380CC4-5D6E-409C-BE32-E72D297353CC}">
              <c16:uniqueId val="{00000006-26EF-4329-8C55-0E5E6B174339}"/>
            </c:ext>
          </c:extLst>
        </c:ser>
        <c:ser>
          <c:idx val="7"/>
          <c:order val="7"/>
          <c:tx>
            <c:strRef>
              <c:f>'Trh práce 1'!$AJ$7</c:f>
              <c:strCache>
                <c:ptCount val="1"/>
                <c:pt idx="0">
                  <c:v>Ostatní odvětví*</c:v>
                </c:pt>
              </c:strCache>
            </c:strRef>
          </c:tx>
          <c:spPr>
            <a:solidFill>
              <a:schemeClr val="bg1">
                <a:lumMod val="85000"/>
              </a:schemeClr>
            </a:solidFill>
            <a:ln>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c:v>
                  </c:pt>
                </c:lvl>
                <c:lvl>
                  <c:pt idx="0">
                    <c:v>2010</c:v>
                  </c:pt>
                  <c:pt idx="4">
                    <c:v>2011</c:v>
                  </c:pt>
                  <c:pt idx="8">
                    <c:v>2012</c:v>
                  </c:pt>
                  <c:pt idx="12">
                    <c:v>2013</c:v>
                  </c:pt>
                  <c:pt idx="16">
                    <c:v>2014</c:v>
                  </c:pt>
                  <c:pt idx="20">
                    <c:v>2015</c:v>
                  </c:pt>
                  <c:pt idx="24">
                    <c:v>2016</c:v>
                  </c:pt>
                  <c:pt idx="28">
                    <c:v>2017</c:v>
                  </c:pt>
                  <c:pt idx="32">
                    <c:v>2018</c:v>
                  </c:pt>
                  <c:pt idx="36">
                    <c:v>2 019</c:v>
                  </c:pt>
                </c:lvl>
              </c:multiLvlStrCache>
            </c:multiLvlStrRef>
          </c:cat>
          <c:val>
            <c:numRef>
              <c:f>'Trh práce 1'!$AJ$8:$AJ$46</c:f>
              <c:numCache>
                <c:formatCode>#\ ##0.0</c:formatCode>
                <c:ptCount val="39"/>
                <c:pt idx="0">
                  <c:v>-0.19191675654118298</c:v>
                </c:pt>
                <c:pt idx="1">
                  <c:v>-3.8262914515721835E-2</c:v>
                </c:pt>
                <c:pt idx="2">
                  <c:v>4.6096524270874711E-2</c:v>
                </c:pt>
                <c:pt idx="3">
                  <c:v>4.9102594819516787E-2</c:v>
                </c:pt>
                <c:pt idx="4">
                  <c:v>-0.13338410094866282</c:v>
                </c:pt>
                <c:pt idx="5">
                  <c:v>-0.15119722547769462</c:v>
                </c:pt>
                <c:pt idx="6">
                  <c:v>-0.15212252354495889</c:v>
                </c:pt>
                <c:pt idx="7">
                  <c:v>-0.13638500281563992</c:v>
                </c:pt>
                <c:pt idx="8">
                  <c:v>0.26931923097215732</c:v>
                </c:pt>
                <c:pt idx="9">
                  <c:v>0.32105019578933697</c:v>
                </c:pt>
                <c:pt idx="10">
                  <c:v>0.32895492954844135</c:v>
                </c:pt>
                <c:pt idx="11">
                  <c:v>0.40054019792823781</c:v>
                </c:pt>
                <c:pt idx="12">
                  <c:v>0.23332187302239873</c:v>
                </c:pt>
                <c:pt idx="13">
                  <c:v>0.15289256851610633</c:v>
                </c:pt>
                <c:pt idx="14">
                  <c:v>-7.2835548944801626E-2</c:v>
                </c:pt>
                <c:pt idx="15">
                  <c:v>-0.23094351833677421</c:v>
                </c:pt>
                <c:pt idx="16">
                  <c:v>0.16050961605523098</c:v>
                </c:pt>
                <c:pt idx="17">
                  <c:v>3.822978810924068E-2</c:v>
                </c:pt>
                <c:pt idx="18">
                  <c:v>0.16444402403690997</c:v>
                </c:pt>
                <c:pt idx="19">
                  <c:v>0.21779581504593745</c:v>
                </c:pt>
                <c:pt idx="20">
                  <c:v>-9.3844500291790228E-2</c:v>
                </c:pt>
                <c:pt idx="21">
                  <c:v>4.4248681512857706E-2</c:v>
                </c:pt>
                <c:pt idx="22">
                  <c:v>-7.6228108118039234E-4</c:v>
                </c:pt>
                <c:pt idx="23">
                  <c:v>-9.6493986857956127E-2</c:v>
                </c:pt>
                <c:pt idx="24">
                  <c:v>0.10669198191708661</c:v>
                </c:pt>
                <c:pt idx="25">
                  <c:v>6.5331480636127467E-2</c:v>
                </c:pt>
                <c:pt idx="26">
                  <c:v>9.622992743029235E-2</c:v>
                </c:pt>
                <c:pt idx="27">
                  <c:v>0.16268040087588337</c:v>
                </c:pt>
                <c:pt idx="28">
                  <c:v>3.7625139399231795E-3</c:v>
                </c:pt>
                <c:pt idx="29">
                  <c:v>5.6876884926009723E-2</c:v>
                </c:pt>
                <c:pt idx="30">
                  <c:v>0.1063091245974461</c:v>
                </c:pt>
                <c:pt idx="31">
                  <c:v>0.1155961747144986</c:v>
                </c:pt>
                <c:pt idx="32">
                  <c:v>9.1227360905566324E-2</c:v>
                </c:pt>
                <c:pt idx="33">
                  <c:v>0.10704381295012616</c:v>
                </c:pt>
                <c:pt idx="34">
                  <c:v>-9.1018185381280023E-2</c:v>
                </c:pt>
                <c:pt idx="35">
                  <c:v>-7.6172296483952406E-2</c:v>
                </c:pt>
                <c:pt idx="36">
                  <c:v>-3.8088625964871246E-2</c:v>
                </c:pt>
                <c:pt idx="37">
                  <c:v>2.9544963303016241E-2</c:v>
                </c:pt>
              </c:numCache>
            </c:numRef>
          </c:val>
          <c:extLst>
            <c:ext xmlns:c16="http://schemas.microsoft.com/office/drawing/2014/chart" uri="{C3380CC4-5D6E-409C-BE32-E72D297353CC}">
              <c16:uniqueId val="{00000007-26EF-4329-8C55-0E5E6B174339}"/>
            </c:ext>
          </c:extLst>
        </c:ser>
        <c:dLbls>
          <c:showLegendKey val="0"/>
          <c:showVal val="0"/>
          <c:showCatName val="0"/>
          <c:showSerName val="0"/>
          <c:showPercent val="0"/>
          <c:showBubbleSize val="0"/>
        </c:dLbls>
        <c:gapWidth val="47"/>
        <c:overlap val="100"/>
        <c:axId val="97281536"/>
        <c:axId val="97283072"/>
      </c:barChart>
      <c:lineChart>
        <c:grouping val="standard"/>
        <c:varyColors val="0"/>
        <c:ser>
          <c:idx val="8"/>
          <c:order val="8"/>
          <c:tx>
            <c:strRef>
              <c:f>'Trh práce 1'!$AK$7</c:f>
              <c:strCache>
                <c:ptCount val="1"/>
                <c:pt idx="0">
                  <c:v>Zaměstnanost celkem</c:v>
                </c:pt>
              </c:strCache>
            </c:strRef>
          </c:tx>
          <c:spPr>
            <a:ln w="22225">
              <a:solidFill>
                <a:schemeClr val="tx1">
                  <a:lumMod val="95000"/>
                  <a:lumOff val="5000"/>
                </a:schemeClr>
              </a:solidFill>
            </a:ln>
          </c:spPr>
          <c:marker>
            <c:symbol val="none"/>
          </c:marker>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c:v>
                  </c:pt>
                </c:lvl>
                <c:lvl>
                  <c:pt idx="0">
                    <c:v>2010</c:v>
                  </c:pt>
                  <c:pt idx="4">
                    <c:v>2011</c:v>
                  </c:pt>
                  <c:pt idx="8">
                    <c:v>2012</c:v>
                  </c:pt>
                  <c:pt idx="12">
                    <c:v>2013</c:v>
                  </c:pt>
                  <c:pt idx="16">
                    <c:v>2014</c:v>
                  </c:pt>
                  <c:pt idx="20">
                    <c:v>2015</c:v>
                  </c:pt>
                  <c:pt idx="24">
                    <c:v>2016</c:v>
                  </c:pt>
                  <c:pt idx="28">
                    <c:v>2017</c:v>
                  </c:pt>
                  <c:pt idx="32">
                    <c:v>2018</c:v>
                  </c:pt>
                  <c:pt idx="36">
                    <c:v>2 019</c:v>
                  </c:pt>
                </c:lvl>
              </c:multiLvlStrCache>
            </c:multiLvlStrRef>
          </c:cat>
          <c:val>
            <c:numRef>
              <c:f>'Trh práce 1'!$AK$8:$AK$46</c:f>
              <c:numCache>
                <c:formatCode>#\ ##0.0</c:formatCode>
                <c:ptCount val="39"/>
                <c:pt idx="0">
                  <c:v>-2.7611728966902271</c:v>
                </c:pt>
                <c:pt idx="1">
                  <c:v>-1.2304547773213699</c:v>
                </c:pt>
                <c:pt idx="2">
                  <c:v>-0.20067051637953143</c:v>
                </c:pt>
                <c:pt idx="3">
                  <c:v>9.3350190312023282E-2</c:v>
                </c:pt>
                <c:pt idx="4">
                  <c:v>6.9997371624495583E-2</c:v>
                </c:pt>
                <c:pt idx="5">
                  <c:v>3.5235802742903471E-3</c:v>
                </c:pt>
                <c:pt idx="6">
                  <c:v>-0.428054234540582</c:v>
                </c:pt>
                <c:pt idx="7">
                  <c:v>-0.73389998406837376</c:v>
                </c:pt>
                <c:pt idx="8">
                  <c:v>-6.312417449568386E-2</c:v>
                </c:pt>
                <c:pt idx="9">
                  <c:v>0.16940301964147891</c:v>
                </c:pt>
                <c:pt idx="10">
                  <c:v>0.66082271824052541</c:v>
                </c:pt>
                <c:pt idx="11">
                  <c:v>0.91394275165257066</c:v>
                </c:pt>
                <c:pt idx="12">
                  <c:v>0.47051457854772138</c:v>
                </c:pt>
                <c:pt idx="13">
                  <c:v>0.69336196866028432</c:v>
                </c:pt>
                <c:pt idx="14">
                  <c:v>9.9922499038868476E-2</c:v>
                </c:pt>
                <c:pt idx="15">
                  <c:v>2.6788896996194481E-2</c:v>
                </c:pt>
                <c:pt idx="16">
                  <c:v>0.5510553546770609</c:v>
                </c:pt>
                <c:pt idx="17">
                  <c:v>5.7972686896661824E-2</c:v>
                </c:pt>
                <c:pt idx="18">
                  <c:v>0.61376440925519726</c:v>
                </c:pt>
                <c:pt idx="19">
                  <c:v>0.98590584797899794</c:v>
                </c:pt>
                <c:pt idx="20">
                  <c:v>1.2552291389531258</c:v>
                </c:pt>
                <c:pt idx="21">
                  <c:v>1.7443512811817368</c:v>
                </c:pt>
                <c:pt idx="22">
                  <c:v>1.354006656863874</c:v>
                </c:pt>
                <c:pt idx="23">
                  <c:v>1.3578527827564244</c:v>
                </c:pt>
                <c:pt idx="24">
                  <c:v>1.6050176668570941</c:v>
                </c:pt>
                <c:pt idx="25">
                  <c:v>1.4090510221706858</c:v>
                </c:pt>
                <c:pt idx="26">
                  <c:v>1.5299979924778584</c:v>
                </c:pt>
                <c:pt idx="27">
                  <c:v>1.8150726409707829</c:v>
                </c:pt>
                <c:pt idx="28">
                  <c:v>1.4751728512273417</c:v>
                </c:pt>
                <c:pt idx="29">
                  <c:v>1.3670032325916708</c:v>
                </c:pt>
                <c:pt idx="30">
                  <c:v>1.962511645664093</c:v>
                </c:pt>
                <c:pt idx="31">
                  <c:v>1.4104168354253799</c:v>
                </c:pt>
                <c:pt idx="32">
                  <c:v>1.497939338228035</c:v>
                </c:pt>
                <c:pt idx="33">
                  <c:v>1.6849461292822261</c:v>
                </c:pt>
                <c:pt idx="34">
                  <c:v>0.96884257132521168</c:v>
                </c:pt>
                <c:pt idx="35">
                  <c:v>1.2409884039734607</c:v>
                </c:pt>
                <c:pt idx="36">
                  <c:v>1.3991543360766627</c:v>
                </c:pt>
                <c:pt idx="37">
                  <c:v>0.84398636431706031</c:v>
                </c:pt>
              </c:numCache>
            </c:numRef>
          </c:val>
          <c:smooth val="0"/>
          <c:extLst>
            <c:ext xmlns:c16="http://schemas.microsoft.com/office/drawing/2014/chart" uri="{C3380CC4-5D6E-409C-BE32-E72D297353CC}">
              <c16:uniqueId val="{00000008-26EF-4329-8C55-0E5E6B174339}"/>
            </c:ext>
          </c:extLst>
        </c:ser>
        <c:dLbls>
          <c:showLegendKey val="0"/>
          <c:showVal val="0"/>
          <c:showCatName val="0"/>
          <c:showSerName val="0"/>
          <c:showPercent val="0"/>
          <c:showBubbleSize val="0"/>
        </c:dLbls>
        <c:marker val="1"/>
        <c:smooth val="0"/>
        <c:axId val="97281536"/>
        <c:axId val="97283072"/>
      </c:lineChart>
      <c:catAx>
        <c:axId val="97281536"/>
        <c:scaling>
          <c:orientation val="minMax"/>
        </c:scaling>
        <c:delete val="0"/>
        <c:axPos val="b"/>
        <c:numFmt formatCode="General" sourceLinked="1"/>
        <c:majorTickMark val="out"/>
        <c:minorTickMark val="none"/>
        <c:tickLblPos val="low"/>
        <c:spPr>
          <a:ln>
            <a:solidFill>
              <a:schemeClr val="tx1"/>
            </a:solidFill>
          </a:ln>
        </c:spPr>
        <c:crossAx val="97283072"/>
        <c:crosses val="autoZero"/>
        <c:auto val="1"/>
        <c:lblAlgn val="ctr"/>
        <c:lblOffset val="10"/>
        <c:noMultiLvlLbl val="0"/>
      </c:catAx>
      <c:valAx>
        <c:axId val="97283072"/>
        <c:scaling>
          <c:orientation val="minMax"/>
          <c:max val="2"/>
          <c:min val="-3"/>
        </c:scaling>
        <c:delete val="0"/>
        <c:axPos val="l"/>
        <c:majorGridlines>
          <c:spPr>
            <a:ln w="6350">
              <a:solidFill>
                <a:schemeClr val="bg1">
                  <a:lumMod val="75000"/>
                </a:schemeClr>
              </a:solidFill>
            </a:ln>
          </c:spPr>
        </c:majorGridlines>
        <c:numFmt formatCode="0.0" sourceLinked="0"/>
        <c:majorTickMark val="out"/>
        <c:minorTickMark val="none"/>
        <c:tickLblPos val="nextTo"/>
        <c:spPr>
          <a:ln>
            <a:solidFill>
              <a:schemeClr val="tx1"/>
            </a:solidFill>
          </a:ln>
        </c:spPr>
        <c:crossAx val="97281536"/>
        <c:crosses val="autoZero"/>
        <c:crossBetween val="between"/>
        <c:majorUnit val="0.5"/>
      </c:valAx>
      <c:spPr>
        <a:ln>
          <a:solidFill>
            <a:schemeClr val="tx1"/>
          </a:solidFill>
        </a:ln>
      </c:spPr>
    </c:plotArea>
    <c:legend>
      <c:legendPos val="b"/>
      <c:layout>
        <c:manualLayout>
          <c:xMode val="edge"/>
          <c:yMode val="edge"/>
          <c:x val="5.558243082206888E-2"/>
          <c:y val="0.83458955395312773"/>
          <c:w val="0.9272008319203987"/>
          <c:h val="0.16181455650038748"/>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320339467771782E-2"/>
          <c:y val="1.6432481201459938E-2"/>
          <c:w val="0.93326558329929998"/>
          <c:h val="0.75753478190891832"/>
        </c:manualLayout>
      </c:layout>
      <c:areaChart>
        <c:grouping val="standard"/>
        <c:varyColors val="0"/>
        <c:ser>
          <c:idx val="0"/>
          <c:order val="0"/>
          <c:tx>
            <c:strRef>
              <c:f>'Trh práce-2'!$A$29</c:f>
              <c:strCache>
                <c:ptCount val="1"/>
                <c:pt idx="0">
                  <c:v>EU28</c:v>
                </c:pt>
              </c:strCache>
            </c:strRef>
          </c:tx>
          <c:spPr>
            <a:solidFill>
              <a:schemeClr val="bg2">
                <a:lumMod val="90000"/>
              </a:schemeClr>
            </a:solidFill>
            <a:ln>
              <a:noFill/>
            </a:ln>
          </c:spP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práce-2'!$B$29:$AU$29</c:f>
              <c:numCache>
                <c:formatCode>#\ ##0.0</c:formatCode>
                <c:ptCount val="46"/>
                <c:pt idx="0">
                  <c:v>6.8</c:v>
                </c:pt>
                <c:pt idx="1">
                  <c:v>6.9</c:v>
                </c:pt>
                <c:pt idx="2">
                  <c:v>7</c:v>
                </c:pt>
                <c:pt idx="3">
                  <c:v>7.4</c:v>
                </c:pt>
                <c:pt idx="4">
                  <c:v>8.3000000000000007</c:v>
                </c:pt>
                <c:pt idx="5">
                  <c:v>8.9</c:v>
                </c:pt>
                <c:pt idx="6">
                  <c:v>9.2000000000000011</c:v>
                </c:pt>
                <c:pt idx="7">
                  <c:v>9.4</c:v>
                </c:pt>
                <c:pt idx="8">
                  <c:v>9.7000000000000011</c:v>
                </c:pt>
                <c:pt idx="9">
                  <c:v>9.7000000000000011</c:v>
                </c:pt>
                <c:pt idx="10">
                  <c:v>9.6</c:v>
                </c:pt>
                <c:pt idx="11">
                  <c:v>9.6</c:v>
                </c:pt>
                <c:pt idx="12">
                  <c:v>9.5</c:v>
                </c:pt>
                <c:pt idx="13">
                  <c:v>9.5</c:v>
                </c:pt>
                <c:pt idx="14">
                  <c:v>9.7000000000000011</c:v>
                </c:pt>
                <c:pt idx="15">
                  <c:v>10</c:v>
                </c:pt>
                <c:pt idx="16">
                  <c:v>10.200000000000001</c:v>
                </c:pt>
                <c:pt idx="17">
                  <c:v>10.4</c:v>
                </c:pt>
                <c:pt idx="18">
                  <c:v>10.6</c:v>
                </c:pt>
                <c:pt idx="19">
                  <c:v>10.8</c:v>
                </c:pt>
                <c:pt idx="20">
                  <c:v>11</c:v>
                </c:pt>
                <c:pt idx="21">
                  <c:v>11</c:v>
                </c:pt>
                <c:pt idx="22">
                  <c:v>10.9</c:v>
                </c:pt>
                <c:pt idx="23">
                  <c:v>10.7</c:v>
                </c:pt>
                <c:pt idx="24">
                  <c:v>10.6</c:v>
                </c:pt>
                <c:pt idx="25">
                  <c:v>10.3</c:v>
                </c:pt>
                <c:pt idx="26">
                  <c:v>10.1</c:v>
                </c:pt>
                <c:pt idx="27">
                  <c:v>10</c:v>
                </c:pt>
                <c:pt idx="28">
                  <c:v>9.8000000000000007</c:v>
                </c:pt>
                <c:pt idx="29">
                  <c:v>9.6</c:v>
                </c:pt>
                <c:pt idx="30">
                  <c:v>9.3000000000000007</c:v>
                </c:pt>
                <c:pt idx="31">
                  <c:v>9</c:v>
                </c:pt>
                <c:pt idx="32">
                  <c:v>8.8000000000000007</c:v>
                </c:pt>
                <c:pt idx="33">
                  <c:v>8.7000000000000011</c:v>
                </c:pt>
                <c:pt idx="34">
                  <c:v>8.5</c:v>
                </c:pt>
                <c:pt idx="35">
                  <c:v>8.2000000000000011</c:v>
                </c:pt>
                <c:pt idx="36">
                  <c:v>8</c:v>
                </c:pt>
                <c:pt idx="37">
                  <c:v>7.7</c:v>
                </c:pt>
                <c:pt idx="38">
                  <c:v>7.5</c:v>
                </c:pt>
                <c:pt idx="39">
                  <c:v>7.3</c:v>
                </c:pt>
                <c:pt idx="40">
                  <c:v>7.1</c:v>
                </c:pt>
                <c:pt idx="41">
                  <c:v>6.9</c:v>
                </c:pt>
                <c:pt idx="42">
                  <c:v>6.7</c:v>
                </c:pt>
                <c:pt idx="43">
                  <c:v>6.6</c:v>
                </c:pt>
                <c:pt idx="44">
                  <c:v>6.5</c:v>
                </c:pt>
                <c:pt idx="45">
                  <c:v>6.3</c:v>
                </c:pt>
              </c:numCache>
            </c:numRef>
          </c:val>
          <c:extLst>
            <c:ext xmlns:c16="http://schemas.microsoft.com/office/drawing/2014/chart" uri="{C3380CC4-5D6E-409C-BE32-E72D297353CC}">
              <c16:uniqueId val="{00000000-FA0B-472B-A5F1-BF9BDD524F93}"/>
            </c:ext>
          </c:extLst>
        </c:ser>
        <c:dLbls>
          <c:showLegendKey val="0"/>
          <c:showVal val="0"/>
          <c:showCatName val="0"/>
          <c:showSerName val="0"/>
          <c:showPercent val="0"/>
          <c:showBubbleSize val="0"/>
        </c:dLbls>
        <c:axId val="100320768"/>
        <c:axId val="100322304"/>
      </c:areaChart>
      <c:lineChart>
        <c:grouping val="standard"/>
        <c:varyColors val="0"/>
        <c:ser>
          <c:idx val="1"/>
          <c:order val="1"/>
          <c:tx>
            <c:strRef>
              <c:f>'Trh práce-2'!$A$30</c:f>
              <c:strCache>
                <c:ptCount val="1"/>
                <c:pt idx="0">
                  <c:v>Česko</c:v>
                </c:pt>
              </c:strCache>
            </c:strRef>
          </c:tx>
          <c:spPr>
            <a:ln w="19050"/>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práce-2'!$B$30:$AU$30</c:f>
              <c:numCache>
                <c:formatCode>#\ ##0.0</c:formatCode>
                <c:ptCount val="46"/>
                <c:pt idx="0">
                  <c:v>4.5</c:v>
                </c:pt>
                <c:pt idx="1">
                  <c:v>4.3</c:v>
                </c:pt>
                <c:pt idx="2">
                  <c:v>4.2</c:v>
                </c:pt>
                <c:pt idx="3">
                  <c:v>4.4000000000000004</c:v>
                </c:pt>
                <c:pt idx="4">
                  <c:v>5.6</c:v>
                </c:pt>
                <c:pt idx="5">
                  <c:v>6.5</c:v>
                </c:pt>
                <c:pt idx="6">
                  <c:v>7.3</c:v>
                </c:pt>
                <c:pt idx="7">
                  <c:v>7.4</c:v>
                </c:pt>
                <c:pt idx="8">
                  <c:v>7.7</c:v>
                </c:pt>
                <c:pt idx="9">
                  <c:v>7.3</c:v>
                </c:pt>
                <c:pt idx="10">
                  <c:v>7.1</c:v>
                </c:pt>
                <c:pt idx="11">
                  <c:v>7</c:v>
                </c:pt>
                <c:pt idx="12">
                  <c:v>6.9</c:v>
                </c:pt>
                <c:pt idx="13">
                  <c:v>6.9</c:v>
                </c:pt>
                <c:pt idx="14">
                  <c:v>6.6</c:v>
                </c:pt>
                <c:pt idx="15">
                  <c:v>6.5</c:v>
                </c:pt>
                <c:pt idx="16">
                  <c:v>6.9</c:v>
                </c:pt>
                <c:pt idx="17">
                  <c:v>6.9</c:v>
                </c:pt>
                <c:pt idx="18">
                  <c:v>7</c:v>
                </c:pt>
                <c:pt idx="19">
                  <c:v>7.2</c:v>
                </c:pt>
                <c:pt idx="20">
                  <c:v>7.2</c:v>
                </c:pt>
                <c:pt idx="21">
                  <c:v>7</c:v>
                </c:pt>
                <c:pt idx="22">
                  <c:v>6.9</c:v>
                </c:pt>
                <c:pt idx="23">
                  <c:v>6.8</c:v>
                </c:pt>
                <c:pt idx="24">
                  <c:v>6.6</c:v>
                </c:pt>
                <c:pt idx="25">
                  <c:v>6.2</c:v>
                </c:pt>
                <c:pt idx="26">
                  <c:v>5.9</c:v>
                </c:pt>
                <c:pt idx="27">
                  <c:v>5.8</c:v>
                </c:pt>
                <c:pt idx="28">
                  <c:v>5.8</c:v>
                </c:pt>
                <c:pt idx="29">
                  <c:v>5.0999999999999996</c:v>
                </c:pt>
                <c:pt idx="30">
                  <c:v>4.8</c:v>
                </c:pt>
                <c:pt idx="31">
                  <c:v>4.5</c:v>
                </c:pt>
                <c:pt idx="32">
                  <c:v>4.2</c:v>
                </c:pt>
                <c:pt idx="33">
                  <c:v>4.0999999999999996</c:v>
                </c:pt>
                <c:pt idx="34">
                  <c:v>3.9</c:v>
                </c:pt>
                <c:pt idx="35">
                  <c:v>3.6</c:v>
                </c:pt>
                <c:pt idx="36">
                  <c:v>3.3</c:v>
                </c:pt>
                <c:pt idx="37">
                  <c:v>3.1</c:v>
                </c:pt>
                <c:pt idx="38">
                  <c:v>2.7</c:v>
                </c:pt>
                <c:pt idx="39">
                  <c:v>2.4</c:v>
                </c:pt>
                <c:pt idx="40">
                  <c:v>2.2999999999999998</c:v>
                </c:pt>
                <c:pt idx="41">
                  <c:v>2.2999999999999998</c:v>
                </c:pt>
                <c:pt idx="42">
                  <c:v>2.2999999999999998</c:v>
                </c:pt>
                <c:pt idx="43">
                  <c:v>2.1</c:v>
                </c:pt>
                <c:pt idx="44">
                  <c:v>2</c:v>
                </c:pt>
                <c:pt idx="45">
                  <c:v>2</c:v>
                </c:pt>
              </c:numCache>
            </c:numRef>
          </c:val>
          <c:smooth val="0"/>
          <c:extLst>
            <c:ext xmlns:c16="http://schemas.microsoft.com/office/drawing/2014/chart" uri="{C3380CC4-5D6E-409C-BE32-E72D297353CC}">
              <c16:uniqueId val="{00000001-FA0B-472B-A5F1-BF9BDD524F93}"/>
            </c:ext>
          </c:extLst>
        </c:ser>
        <c:ser>
          <c:idx val="2"/>
          <c:order val="2"/>
          <c:tx>
            <c:strRef>
              <c:f>'Trh práce-2'!$A$31</c:f>
              <c:strCache>
                <c:ptCount val="1"/>
                <c:pt idx="0">
                  <c:v>Slovensko</c:v>
                </c:pt>
              </c:strCache>
            </c:strRef>
          </c:tx>
          <c:spPr>
            <a:ln w="19050">
              <a:solidFill>
                <a:srgbClr val="C00000"/>
              </a:solidFill>
              <a:prstDash val="sysDash"/>
            </a:ln>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práce-2'!$B$31:$AU$31</c:f>
              <c:numCache>
                <c:formatCode>#\ ##0.0</c:formatCode>
                <c:ptCount val="46"/>
                <c:pt idx="0">
                  <c:v>10.3</c:v>
                </c:pt>
                <c:pt idx="1">
                  <c:v>10.1</c:v>
                </c:pt>
                <c:pt idx="2">
                  <c:v>9.1</c:v>
                </c:pt>
                <c:pt idx="3">
                  <c:v>8.9</c:v>
                </c:pt>
                <c:pt idx="4">
                  <c:v>10.200000000000001</c:v>
                </c:pt>
                <c:pt idx="5">
                  <c:v>11.4</c:v>
                </c:pt>
                <c:pt idx="6">
                  <c:v>12.8</c:v>
                </c:pt>
                <c:pt idx="7">
                  <c:v>14.1</c:v>
                </c:pt>
                <c:pt idx="8">
                  <c:v>15</c:v>
                </c:pt>
                <c:pt idx="9">
                  <c:v>14.7</c:v>
                </c:pt>
                <c:pt idx="10">
                  <c:v>14.3</c:v>
                </c:pt>
                <c:pt idx="11">
                  <c:v>13.9</c:v>
                </c:pt>
                <c:pt idx="12">
                  <c:v>13.9</c:v>
                </c:pt>
                <c:pt idx="13">
                  <c:v>13.6</c:v>
                </c:pt>
                <c:pt idx="14">
                  <c:v>13.5</c:v>
                </c:pt>
                <c:pt idx="15">
                  <c:v>13.8</c:v>
                </c:pt>
                <c:pt idx="16">
                  <c:v>13.9</c:v>
                </c:pt>
                <c:pt idx="17">
                  <c:v>13.9</c:v>
                </c:pt>
                <c:pt idx="18">
                  <c:v>13.9</c:v>
                </c:pt>
                <c:pt idx="19">
                  <c:v>14.2</c:v>
                </c:pt>
                <c:pt idx="20">
                  <c:v>14.4</c:v>
                </c:pt>
                <c:pt idx="21">
                  <c:v>14.3</c:v>
                </c:pt>
                <c:pt idx="22">
                  <c:v>14.2</c:v>
                </c:pt>
                <c:pt idx="23">
                  <c:v>14</c:v>
                </c:pt>
                <c:pt idx="24">
                  <c:v>13.8</c:v>
                </c:pt>
                <c:pt idx="25">
                  <c:v>13.4</c:v>
                </c:pt>
                <c:pt idx="26">
                  <c:v>13</c:v>
                </c:pt>
                <c:pt idx="27">
                  <c:v>12.5</c:v>
                </c:pt>
                <c:pt idx="28">
                  <c:v>12.2</c:v>
                </c:pt>
                <c:pt idx="29">
                  <c:v>11.6</c:v>
                </c:pt>
                <c:pt idx="30">
                  <c:v>11.3</c:v>
                </c:pt>
                <c:pt idx="31">
                  <c:v>10.8</c:v>
                </c:pt>
                <c:pt idx="32">
                  <c:v>10.3</c:v>
                </c:pt>
                <c:pt idx="33">
                  <c:v>9.9</c:v>
                </c:pt>
                <c:pt idx="34">
                  <c:v>9.5</c:v>
                </c:pt>
                <c:pt idx="35">
                  <c:v>9</c:v>
                </c:pt>
                <c:pt idx="36">
                  <c:v>8.6</c:v>
                </c:pt>
                <c:pt idx="37">
                  <c:v>8.3000000000000007</c:v>
                </c:pt>
                <c:pt idx="38">
                  <c:v>7.9</c:v>
                </c:pt>
                <c:pt idx="39">
                  <c:v>7.7</c:v>
                </c:pt>
                <c:pt idx="40">
                  <c:v>7</c:v>
                </c:pt>
                <c:pt idx="41">
                  <c:v>6.8</c:v>
                </c:pt>
                <c:pt idx="42">
                  <c:v>6.4</c:v>
                </c:pt>
                <c:pt idx="43">
                  <c:v>6</c:v>
                </c:pt>
                <c:pt idx="44">
                  <c:v>5.7</c:v>
                </c:pt>
                <c:pt idx="45">
                  <c:v>5.4</c:v>
                </c:pt>
              </c:numCache>
            </c:numRef>
          </c:val>
          <c:smooth val="0"/>
          <c:extLst>
            <c:ext xmlns:c16="http://schemas.microsoft.com/office/drawing/2014/chart" uri="{C3380CC4-5D6E-409C-BE32-E72D297353CC}">
              <c16:uniqueId val="{00000002-FA0B-472B-A5F1-BF9BDD524F93}"/>
            </c:ext>
          </c:extLst>
        </c:ser>
        <c:ser>
          <c:idx val="3"/>
          <c:order val="3"/>
          <c:tx>
            <c:strRef>
              <c:f>'Trh práce-2'!$A$32</c:f>
              <c:strCache>
                <c:ptCount val="1"/>
                <c:pt idx="0">
                  <c:v>Polsko</c:v>
                </c:pt>
              </c:strCache>
            </c:strRef>
          </c:tx>
          <c:spPr>
            <a:ln w="19050">
              <a:solidFill>
                <a:srgbClr val="F8A124"/>
              </a:solidFill>
            </a:ln>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práce-2'!$B$32:$AU$32</c:f>
              <c:numCache>
                <c:formatCode>#\ ##0.0</c:formatCode>
                <c:ptCount val="46"/>
                <c:pt idx="0">
                  <c:v>7.5</c:v>
                </c:pt>
                <c:pt idx="1">
                  <c:v>7.2</c:v>
                </c:pt>
                <c:pt idx="2">
                  <c:v>6.8</c:v>
                </c:pt>
                <c:pt idx="3">
                  <c:v>6.8</c:v>
                </c:pt>
                <c:pt idx="4">
                  <c:v>7.6</c:v>
                </c:pt>
                <c:pt idx="5">
                  <c:v>7.9</c:v>
                </c:pt>
                <c:pt idx="6">
                  <c:v>8.3000000000000007</c:v>
                </c:pt>
                <c:pt idx="7">
                  <c:v>8.7000000000000011</c:v>
                </c:pt>
                <c:pt idx="8">
                  <c:v>9.8000000000000007</c:v>
                </c:pt>
                <c:pt idx="9">
                  <c:v>9.8000000000000007</c:v>
                </c:pt>
                <c:pt idx="10">
                  <c:v>9.6</c:v>
                </c:pt>
                <c:pt idx="11">
                  <c:v>9.5</c:v>
                </c:pt>
                <c:pt idx="12">
                  <c:v>9.4</c:v>
                </c:pt>
                <c:pt idx="13">
                  <c:v>9.7000000000000011</c:v>
                </c:pt>
                <c:pt idx="14">
                  <c:v>9.8000000000000007</c:v>
                </c:pt>
                <c:pt idx="15">
                  <c:v>9.9</c:v>
                </c:pt>
                <c:pt idx="16">
                  <c:v>9.8000000000000007</c:v>
                </c:pt>
                <c:pt idx="17">
                  <c:v>10.1</c:v>
                </c:pt>
                <c:pt idx="18">
                  <c:v>10.3</c:v>
                </c:pt>
                <c:pt idx="19">
                  <c:v>10.3</c:v>
                </c:pt>
                <c:pt idx="20">
                  <c:v>10.5</c:v>
                </c:pt>
                <c:pt idx="21">
                  <c:v>10.7</c:v>
                </c:pt>
                <c:pt idx="22">
                  <c:v>10.3</c:v>
                </c:pt>
                <c:pt idx="23">
                  <c:v>10</c:v>
                </c:pt>
                <c:pt idx="24">
                  <c:v>9.8000000000000007</c:v>
                </c:pt>
                <c:pt idx="25">
                  <c:v>9.3000000000000007</c:v>
                </c:pt>
                <c:pt idx="26">
                  <c:v>8.6</c:v>
                </c:pt>
                <c:pt idx="27">
                  <c:v>8.2000000000000011</c:v>
                </c:pt>
                <c:pt idx="28">
                  <c:v>8</c:v>
                </c:pt>
                <c:pt idx="29">
                  <c:v>7.6</c:v>
                </c:pt>
                <c:pt idx="30">
                  <c:v>7.4</c:v>
                </c:pt>
                <c:pt idx="31">
                  <c:v>7</c:v>
                </c:pt>
                <c:pt idx="32">
                  <c:v>6.6</c:v>
                </c:pt>
                <c:pt idx="33">
                  <c:v>6.3</c:v>
                </c:pt>
                <c:pt idx="34">
                  <c:v>6.1</c:v>
                </c:pt>
                <c:pt idx="35">
                  <c:v>5.6</c:v>
                </c:pt>
                <c:pt idx="36">
                  <c:v>5.2</c:v>
                </c:pt>
                <c:pt idx="37">
                  <c:v>5.0999999999999996</c:v>
                </c:pt>
                <c:pt idx="38">
                  <c:v>4.8</c:v>
                </c:pt>
                <c:pt idx="39">
                  <c:v>4.5</c:v>
                </c:pt>
                <c:pt idx="40">
                  <c:v>4</c:v>
                </c:pt>
                <c:pt idx="41">
                  <c:v>3.8</c:v>
                </c:pt>
                <c:pt idx="42">
                  <c:v>3.8</c:v>
                </c:pt>
                <c:pt idx="43">
                  <c:v>3.8</c:v>
                </c:pt>
                <c:pt idx="44">
                  <c:v>3.8</c:v>
                </c:pt>
                <c:pt idx="45">
                  <c:v>3.4</c:v>
                </c:pt>
              </c:numCache>
            </c:numRef>
          </c:val>
          <c:smooth val="0"/>
          <c:extLst>
            <c:ext xmlns:c16="http://schemas.microsoft.com/office/drawing/2014/chart" uri="{C3380CC4-5D6E-409C-BE32-E72D297353CC}">
              <c16:uniqueId val="{00000003-FA0B-472B-A5F1-BF9BDD524F93}"/>
            </c:ext>
          </c:extLst>
        </c:ser>
        <c:ser>
          <c:idx val="4"/>
          <c:order val="4"/>
          <c:tx>
            <c:strRef>
              <c:f>'Trh práce-2'!$A$33</c:f>
              <c:strCache>
                <c:ptCount val="1"/>
                <c:pt idx="0">
                  <c:v>Maďarsko</c:v>
                </c:pt>
              </c:strCache>
            </c:strRef>
          </c:tx>
          <c:spPr>
            <a:ln w="19050">
              <a:solidFill>
                <a:srgbClr val="F8A124"/>
              </a:solidFill>
              <a:prstDash val="sysDash"/>
            </a:ln>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práce-2'!$B$33:$AU$33</c:f>
              <c:numCache>
                <c:formatCode>#\ ##0.0</c:formatCode>
                <c:ptCount val="46"/>
                <c:pt idx="0">
                  <c:v>7.6</c:v>
                </c:pt>
                <c:pt idx="1">
                  <c:v>7.6</c:v>
                </c:pt>
                <c:pt idx="2">
                  <c:v>7.8</c:v>
                </c:pt>
                <c:pt idx="3">
                  <c:v>8.2000000000000011</c:v>
                </c:pt>
                <c:pt idx="4">
                  <c:v>9.3000000000000007</c:v>
                </c:pt>
                <c:pt idx="5">
                  <c:v>9.8000000000000007</c:v>
                </c:pt>
                <c:pt idx="6">
                  <c:v>10.4</c:v>
                </c:pt>
                <c:pt idx="7">
                  <c:v>10.7</c:v>
                </c:pt>
                <c:pt idx="8">
                  <c:v>11.2</c:v>
                </c:pt>
                <c:pt idx="9">
                  <c:v>11.3</c:v>
                </c:pt>
                <c:pt idx="10">
                  <c:v>11.1</c:v>
                </c:pt>
                <c:pt idx="11">
                  <c:v>11</c:v>
                </c:pt>
                <c:pt idx="12">
                  <c:v>11.2</c:v>
                </c:pt>
                <c:pt idx="13">
                  <c:v>11</c:v>
                </c:pt>
                <c:pt idx="14">
                  <c:v>11</c:v>
                </c:pt>
                <c:pt idx="15">
                  <c:v>11</c:v>
                </c:pt>
                <c:pt idx="16">
                  <c:v>11.4</c:v>
                </c:pt>
                <c:pt idx="17">
                  <c:v>11.1</c:v>
                </c:pt>
                <c:pt idx="18">
                  <c:v>10.7</c:v>
                </c:pt>
                <c:pt idx="19">
                  <c:v>10.9</c:v>
                </c:pt>
                <c:pt idx="20">
                  <c:v>10.9</c:v>
                </c:pt>
                <c:pt idx="21">
                  <c:v>10.3</c:v>
                </c:pt>
                <c:pt idx="22">
                  <c:v>10</c:v>
                </c:pt>
                <c:pt idx="23">
                  <c:v>9.2000000000000011</c:v>
                </c:pt>
                <c:pt idx="24">
                  <c:v>8</c:v>
                </c:pt>
                <c:pt idx="25">
                  <c:v>8.1</c:v>
                </c:pt>
                <c:pt idx="26">
                  <c:v>7.5</c:v>
                </c:pt>
                <c:pt idx="27">
                  <c:v>7.3</c:v>
                </c:pt>
                <c:pt idx="28">
                  <c:v>7.4</c:v>
                </c:pt>
                <c:pt idx="29">
                  <c:v>7</c:v>
                </c:pt>
                <c:pt idx="30">
                  <c:v>6.6</c:v>
                </c:pt>
                <c:pt idx="31">
                  <c:v>6.3</c:v>
                </c:pt>
                <c:pt idx="32">
                  <c:v>5.8</c:v>
                </c:pt>
                <c:pt idx="33">
                  <c:v>5.2</c:v>
                </c:pt>
                <c:pt idx="34">
                  <c:v>4.9000000000000004</c:v>
                </c:pt>
                <c:pt idx="35">
                  <c:v>4.5</c:v>
                </c:pt>
                <c:pt idx="36">
                  <c:v>4.3</c:v>
                </c:pt>
                <c:pt idx="37">
                  <c:v>4.3</c:v>
                </c:pt>
                <c:pt idx="38">
                  <c:v>4.0999999999999996</c:v>
                </c:pt>
                <c:pt idx="39">
                  <c:v>3.9</c:v>
                </c:pt>
                <c:pt idx="40">
                  <c:v>3.7</c:v>
                </c:pt>
                <c:pt idx="41">
                  <c:v>3.7</c:v>
                </c:pt>
                <c:pt idx="42">
                  <c:v>3.8</c:v>
                </c:pt>
                <c:pt idx="43">
                  <c:v>3.7</c:v>
                </c:pt>
                <c:pt idx="44">
                  <c:v>3.4</c:v>
                </c:pt>
                <c:pt idx="45">
                  <c:v>3.5</c:v>
                </c:pt>
              </c:numCache>
            </c:numRef>
          </c:val>
          <c:smooth val="0"/>
          <c:extLst>
            <c:ext xmlns:c16="http://schemas.microsoft.com/office/drawing/2014/chart" uri="{C3380CC4-5D6E-409C-BE32-E72D297353CC}">
              <c16:uniqueId val="{00000004-FA0B-472B-A5F1-BF9BDD524F93}"/>
            </c:ext>
          </c:extLst>
        </c:ser>
        <c:ser>
          <c:idx val="5"/>
          <c:order val="5"/>
          <c:tx>
            <c:strRef>
              <c:f>'Trh práce-2'!$A$34</c:f>
              <c:strCache>
                <c:ptCount val="1"/>
                <c:pt idx="0">
                  <c:v>Lotyšsko</c:v>
                </c:pt>
              </c:strCache>
            </c:strRef>
          </c:tx>
          <c:spPr>
            <a:ln w="19050">
              <a:solidFill>
                <a:srgbClr val="F6F000"/>
              </a:solidFill>
            </a:ln>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práce-2'!$B$34:$AU$34</c:f>
              <c:numCache>
                <c:formatCode>#\ ##0.0</c:formatCode>
                <c:ptCount val="46"/>
                <c:pt idx="0">
                  <c:v>6.4</c:v>
                </c:pt>
                <c:pt idx="1">
                  <c:v>6.5</c:v>
                </c:pt>
                <c:pt idx="2">
                  <c:v>7.7</c:v>
                </c:pt>
                <c:pt idx="3">
                  <c:v>10.5</c:v>
                </c:pt>
                <c:pt idx="4">
                  <c:v>13.7</c:v>
                </c:pt>
                <c:pt idx="5">
                  <c:v>17.100000000000001</c:v>
                </c:pt>
                <c:pt idx="6">
                  <c:v>19.399999999999999</c:v>
                </c:pt>
                <c:pt idx="7">
                  <c:v>20.2</c:v>
                </c:pt>
                <c:pt idx="8">
                  <c:v>20.5</c:v>
                </c:pt>
                <c:pt idx="9">
                  <c:v>20.2</c:v>
                </c:pt>
                <c:pt idx="10">
                  <c:v>19.100000000000001</c:v>
                </c:pt>
                <c:pt idx="11">
                  <c:v>18.100000000000001</c:v>
                </c:pt>
                <c:pt idx="12">
                  <c:v>17</c:v>
                </c:pt>
                <c:pt idx="13">
                  <c:v>17</c:v>
                </c:pt>
                <c:pt idx="14">
                  <c:v>15.5</c:v>
                </c:pt>
                <c:pt idx="15">
                  <c:v>15.3</c:v>
                </c:pt>
                <c:pt idx="16">
                  <c:v>15.8</c:v>
                </c:pt>
                <c:pt idx="17">
                  <c:v>16.2</c:v>
                </c:pt>
                <c:pt idx="18">
                  <c:v>14</c:v>
                </c:pt>
                <c:pt idx="19">
                  <c:v>14.2</c:v>
                </c:pt>
                <c:pt idx="20">
                  <c:v>12.6</c:v>
                </c:pt>
                <c:pt idx="21">
                  <c:v>11.4</c:v>
                </c:pt>
                <c:pt idx="22">
                  <c:v>11.9</c:v>
                </c:pt>
                <c:pt idx="23">
                  <c:v>11.4</c:v>
                </c:pt>
                <c:pt idx="24">
                  <c:v>11.4</c:v>
                </c:pt>
                <c:pt idx="25">
                  <c:v>10.7</c:v>
                </c:pt>
                <c:pt idx="26">
                  <c:v>10.8</c:v>
                </c:pt>
                <c:pt idx="27">
                  <c:v>10.4</c:v>
                </c:pt>
                <c:pt idx="28">
                  <c:v>9.9</c:v>
                </c:pt>
                <c:pt idx="29">
                  <c:v>9.8000000000000007</c:v>
                </c:pt>
                <c:pt idx="30">
                  <c:v>9.9</c:v>
                </c:pt>
                <c:pt idx="31">
                  <c:v>9.9</c:v>
                </c:pt>
                <c:pt idx="32">
                  <c:v>9.9</c:v>
                </c:pt>
                <c:pt idx="33">
                  <c:v>9.6</c:v>
                </c:pt>
                <c:pt idx="34">
                  <c:v>9.8000000000000007</c:v>
                </c:pt>
                <c:pt idx="35">
                  <c:v>9.4</c:v>
                </c:pt>
                <c:pt idx="36">
                  <c:v>9</c:v>
                </c:pt>
                <c:pt idx="37">
                  <c:v>9</c:v>
                </c:pt>
                <c:pt idx="38">
                  <c:v>8.7000000000000011</c:v>
                </c:pt>
                <c:pt idx="39">
                  <c:v>8.2000000000000011</c:v>
                </c:pt>
                <c:pt idx="40">
                  <c:v>7.8</c:v>
                </c:pt>
                <c:pt idx="41">
                  <c:v>7.7</c:v>
                </c:pt>
                <c:pt idx="42">
                  <c:v>7.1</c:v>
                </c:pt>
                <c:pt idx="43">
                  <c:v>6.9</c:v>
                </c:pt>
                <c:pt idx="44">
                  <c:v>6.6</c:v>
                </c:pt>
                <c:pt idx="45">
                  <c:v>6.4</c:v>
                </c:pt>
              </c:numCache>
            </c:numRef>
          </c:val>
          <c:smooth val="0"/>
          <c:extLst>
            <c:ext xmlns:c16="http://schemas.microsoft.com/office/drawing/2014/chart" uri="{C3380CC4-5D6E-409C-BE32-E72D297353CC}">
              <c16:uniqueId val="{00000005-FA0B-472B-A5F1-BF9BDD524F93}"/>
            </c:ext>
          </c:extLst>
        </c:ser>
        <c:ser>
          <c:idx val="6"/>
          <c:order val="6"/>
          <c:tx>
            <c:strRef>
              <c:f>'Trh práce-2'!$A$35</c:f>
              <c:strCache>
                <c:ptCount val="1"/>
                <c:pt idx="0">
                  <c:v>Německo</c:v>
                </c:pt>
              </c:strCache>
            </c:strRef>
          </c:tx>
          <c:spPr>
            <a:ln w="19050">
              <a:solidFill>
                <a:srgbClr val="0071BC"/>
              </a:solidFill>
            </a:ln>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práce-2'!$B$35:$AU$35</c:f>
              <c:numCache>
                <c:formatCode>#\ ##0.0</c:formatCode>
                <c:ptCount val="46"/>
                <c:pt idx="0">
                  <c:v>7.8</c:v>
                </c:pt>
                <c:pt idx="1">
                  <c:v>7.5</c:v>
                </c:pt>
                <c:pt idx="2">
                  <c:v>7.1</c:v>
                </c:pt>
                <c:pt idx="3">
                  <c:v>7.1</c:v>
                </c:pt>
                <c:pt idx="4">
                  <c:v>7.5</c:v>
                </c:pt>
                <c:pt idx="5">
                  <c:v>7.8</c:v>
                </c:pt>
                <c:pt idx="6">
                  <c:v>7.8</c:v>
                </c:pt>
                <c:pt idx="7">
                  <c:v>7.6</c:v>
                </c:pt>
                <c:pt idx="8">
                  <c:v>7.3</c:v>
                </c:pt>
                <c:pt idx="9">
                  <c:v>7</c:v>
                </c:pt>
                <c:pt idx="10">
                  <c:v>6.8</c:v>
                </c:pt>
                <c:pt idx="11">
                  <c:v>6.6</c:v>
                </c:pt>
                <c:pt idx="12">
                  <c:v>6.2</c:v>
                </c:pt>
                <c:pt idx="13">
                  <c:v>5.9</c:v>
                </c:pt>
                <c:pt idx="14">
                  <c:v>5.7</c:v>
                </c:pt>
                <c:pt idx="15">
                  <c:v>5.6</c:v>
                </c:pt>
                <c:pt idx="16">
                  <c:v>5.4</c:v>
                </c:pt>
                <c:pt idx="17">
                  <c:v>5.4</c:v>
                </c:pt>
                <c:pt idx="18">
                  <c:v>5.3</c:v>
                </c:pt>
                <c:pt idx="19">
                  <c:v>5.3</c:v>
                </c:pt>
                <c:pt idx="20">
                  <c:v>5.4</c:v>
                </c:pt>
                <c:pt idx="21">
                  <c:v>5.3</c:v>
                </c:pt>
                <c:pt idx="22">
                  <c:v>5.2</c:v>
                </c:pt>
                <c:pt idx="23">
                  <c:v>5.0999999999999996</c:v>
                </c:pt>
                <c:pt idx="24">
                  <c:v>5.0999999999999996</c:v>
                </c:pt>
                <c:pt idx="25">
                  <c:v>5</c:v>
                </c:pt>
                <c:pt idx="26">
                  <c:v>5</c:v>
                </c:pt>
                <c:pt idx="27">
                  <c:v>4.9000000000000004</c:v>
                </c:pt>
                <c:pt idx="28">
                  <c:v>4.8</c:v>
                </c:pt>
                <c:pt idx="29">
                  <c:v>4.7</c:v>
                </c:pt>
                <c:pt idx="30">
                  <c:v>4.5999999999999996</c:v>
                </c:pt>
                <c:pt idx="31">
                  <c:v>4.5</c:v>
                </c:pt>
                <c:pt idx="32">
                  <c:v>4.3</c:v>
                </c:pt>
                <c:pt idx="33">
                  <c:v>4.3</c:v>
                </c:pt>
                <c:pt idx="34">
                  <c:v>4.0999999999999996</c:v>
                </c:pt>
                <c:pt idx="35">
                  <c:v>3.9</c:v>
                </c:pt>
                <c:pt idx="36">
                  <c:v>3.9</c:v>
                </c:pt>
                <c:pt idx="37">
                  <c:v>3.8</c:v>
                </c:pt>
                <c:pt idx="38">
                  <c:v>3.7</c:v>
                </c:pt>
                <c:pt idx="39">
                  <c:v>3.6</c:v>
                </c:pt>
                <c:pt idx="40">
                  <c:v>3.5</c:v>
                </c:pt>
                <c:pt idx="41">
                  <c:v>3.4</c:v>
                </c:pt>
                <c:pt idx="42">
                  <c:v>3.4</c:v>
                </c:pt>
                <c:pt idx="43">
                  <c:v>3.3</c:v>
                </c:pt>
                <c:pt idx="44">
                  <c:v>3.2</c:v>
                </c:pt>
                <c:pt idx="45">
                  <c:v>3.1</c:v>
                </c:pt>
              </c:numCache>
            </c:numRef>
          </c:val>
          <c:smooth val="0"/>
          <c:extLst>
            <c:ext xmlns:c16="http://schemas.microsoft.com/office/drawing/2014/chart" uri="{C3380CC4-5D6E-409C-BE32-E72D297353CC}">
              <c16:uniqueId val="{00000006-FA0B-472B-A5F1-BF9BDD524F93}"/>
            </c:ext>
          </c:extLst>
        </c:ser>
        <c:ser>
          <c:idx val="7"/>
          <c:order val="7"/>
          <c:tx>
            <c:strRef>
              <c:f>'Trh práce-2'!$A$36</c:f>
              <c:strCache>
                <c:ptCount val="1"/>
                <c:pt idx="0">
                  <c:v>Francie</c:v>
                </c:pt>
              </c:strCache>
            </c:strRef>
          </c:tx>
          <c:spPr>
            <a:ln w="19050">
              <a:solidFill>
                <a:srgbClr val="48AEE7"/>
              </a:solidFill>
            </a:ln>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práce-2'!$B$36:$AU$36</c:f>
              <c:numCache>
                <c:formatCode>#\ ##0.0</c:formatCode>
                <c:ptCount val="46"/>
                <c:pt idx="0">
                  <c:v>7.3</c:v>
                </c:pt>
                <c:pt idx="1">
                  <c:v>7.3</c:v>
                </c:pt>
                <c:pt idx="2">
                  <c:v>7.5</c:v>
                </c:pt>
                <c:pt idx="3">
                  <c:v>7.8</c:v>
                </c:pt>
                <c:pt idx="4">
                  <c:v>8.5</c:v>
                </c:pt>
                <c:pt idx="5">
                  <c:v>9.1</c:v>
                </c:pt>
                <c:pt idx="6">
                  <c:v>9.2000000000000011</c:v>
                </c:pt>
                <c:pt idx="7">
                  <c:v>9.5</c:v>
                </c:pt>
                <c:pt idx="8">
                  <c:v>9.3000000000000007</c:v>
                </c:pt>
                <c:pt idx="9">
                  <c:v>9.3000000000000007</c:v>
                </c:pt>
                <c:pt idx="10">
                  <c:v>9.2000000000000011</c:v>
                </c:pt>
                <c:pt idx="11">
                  <c:v>9.2000000000000011</c:v>
                </c:pt>
                <c:pt idx="12">
                  <c:v>9.1</c:v>
                </c:pt>
                <c:pt idx="13">
                  <c:v>9.1</c:v>
                </c:pt>
                <c:pt idx="14">
                  <c:v>9.2000000000000011</c:v>
                </c:pt>
                <c:pt idx="15">
                  <c:v>9.4</c:v>
                </c:pt>
                <c:pt idx="16">
                  <c:v>9.5</c:v>
                </c:pt>
                <c:pt idx="17">
                  <c:v>9.7000000000000011</c:v>
                </c:pt>
                <c:pt idx="18">
                  <c:v>9.8000000000000007</c:v>
                </c:pt>
                <c:pt idx="19">
                  <c:v>10.1</c:v>
                </c:pt>
                <c:pt idx="20">
                  <c:v>10.3</c:v>
                </c:pt>
                <c:pt idx="21">
                  <c:v>10.4</c:v>
                </c:pt>
                <c:pt idx="22">
                  <c:v>10.3</c:v>
                </c:pt>
                <c:pt idx="23">
                  <c:v>10.200000000000001</c:v>
                </c:pt>
                <c:pt idx="24">
                  <c:v>10.200000000000001</c:v>
                </c:pt>
                <c:pt idx="25">
                  <c:v>10.200000000000001</c:v>
                </c:pt>
                <c:pt idx="26">
                  <c:v>10.3</c:v>
                </c:pt>
                <c:pt idx="27">
                  <c:v>10.4</c:v>
                </c:pt>
                <c:pt idx="28">
                  <c:v>10.4</c:v>
                </c:pt>
                <c:pt idx="29">
                  <c:v>10.5</c:v>
                </c:pt>
                <c:pt idx="30">
                  <c:v>10.4</c:v>
                </c:pt>
                <c:pt idx="31">
                  <c:v>10.200000000000001</c:v>
                </c:pt>
                <c:pt idx="32">
                  <c:v>10.200000000000001</c:v>
                </c:pt>
                <c:pt idx="33">
                  <c:v>10.1</c:v>
                </c:pt>
                <c:pt idx="34">
                  <c:v>9.9</c:v>
                </c:pt>
                <c:pt idx="35">
                  <c:v>10</c:v>
                </c:pt>
                <c:pt idx="36">
                  <c:v>9.6</c:v>
                </c:pt>
                <c:pt idx="37">
                  <c:v>9.5</c:v>
                </c:pt>
                <c:pt idx="38">
                  <c:v>9.5</c:v>
                </c:pt>
                <c:pt idx="39">
                  <c:v>9.1</c:v>
                </c:pt>
                <c:pt idx="40">
                  <c:v>9.2000000000000011</c:v>
                </c:pt>
                <c:pt idx="41">
                  <c:v>9.1</c:v>
                </c:pt>
                <c:pt idx="42">
                  <c:v>9</c:v>
                </c:pt>
                <c:pt idx="43">
                  <c:v>8.9</c:v>
                </c:pt>
                <c:pt idx="44">
                  <c:v>8.7000000000000011</c:v>
                </c:pt>
                <c:pt idx="45">
                  <c:v>8.5</c:v>
                </c:pt>
              </c:numCache>
            </c:numRef>
          </c:val>
          <c:smooth val="0"/>
          <c:extLst>
            <c:ext xmlns:c16="http://schemas.microsoft.com/office/drawing/2014/chart" uri="{C3380CC4-5D6E-409C-BE32-E72D297353CC}">
              <c16:uniqueId val="{00000007-FA0B-472B-A5F1-BF9BDD524F93}"/>
            </c:ext>
          </c:extLst>
        </c:ser>
        <c:ser>
          <c:idx val="8"/>
          <c:order val="8"/>
          <c:tx>
            <c:strRef>
              <c:f>'Trh práce-2'!$A$37</c:f>
              <c:strCache>
                <c:ptCount val="1"/>
                <c:pt idx="0">
                  <c:v>Itálie</c:v>
                </c:pt>
              </c:strCache>
            </c:strRef>
          </c:tx>
          <c:spPr>
            <a:ln w="19050">
              <a:solidFill>
                <a:srgbClr val="00B050"/>
              </a:solidFill>
            </a:ln>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práce-2'!$B$37:$AU$37</c:f>
              <c:numCache>
                <c:formatCode>#\ ##0.0</c:formatCode>
                <c:ptCount val="46"/>
                <c:pt idx="0">
                  <c:v>6.6</c:v>
                </c:pt>
                <c:pt idx="1">
                  <c:v>6.8</c:v>
                </c:pt>
                <c:pt idx="2">
                  <c:v>6.7</c:v>
                </c:pt>
                <c:pt idx="3">
                  <c:v>6.9</c:v>
                </c:pt>
                <c:pt idx="4">
                  <c:v>7.3</c:v>
                </c:pt>
                <c:pt idx="5">
                  <c:v>7.5</c:v>
                </c:pt>
                <c:pt idx="6">
                  <c:v>7.9</c:v>
                </c:pt>
                <c:pt idx="7">
                  <c:v>8.2000000000000011</c:v>
                </c:pt>
                <c:pt idx="8">
                  <c:v>8.4</c:v>
                </c:pt>
                <c:pt idx="9">
                  <c:v>8.5</c:v>
                </c:pt>
                <c:pt idx="10">
                  <c:v>8.2000000000000011</c:v>
                </c:pt>
                <c:pt idx="11">
                  <c:v>8.2000000000000011</c:v>
                </c:pt>
                <c:pt idx="12">
                  <c:v>8</c:v>
                </c:pt>
                <c:pt idx="13">
                  <c:v>8</c:v>
                </c:pt>
                <c:pt idx="14">
                  <c:v>8.5</c:v>
                </c:pt>
                <c:pt idx="15">
                  <c:v>9.2000000000000011</c:v>
                </c:pt>
                <c:pt idx="16">
                  <c:v>10</c:v>
                </c:pt>
                <c:pt idx="17">
                  <c:v>10.6</c:v>
                </c:pt>
                <c:pt idx="18">
                  <c:v>10.8</c:v>
                </c:pt>
                <c:pt idx="19">
                  <c:v>11.4</c:v>
                </c:pt>
                <c:pt idx="20">
                  <c:v>11.8</c:v>
                </c:pt>
                <c:pt idx="21">
                  <c:v>12.1</c:v>
                </c:pt>
                <c:pt idx="22">
                  <c:v>12.2</c:v>
                </c:pt>
                <c:pt idx="23">
                  <c:v>12.4</c:v>
                </c:pt>
                <c:pt idx="24">
                  <c:v>12.7</c:v>
                </c:pt>
                <c:pt idx="25">
                  <c:v>12.4</c:v>
                </c:pt>
                <c:pt idx="26">
                  <c:v>12.6</c:v>
                </c:pt>
                <c:pt idx="27">
                  <c:v>12.7</c:v>
                </c:pt>
                <c:pt idx="28">
                  <c:v>12.4</c:v>
                </c:pt>
                <c:pt idx="29">
                  <c:v>12.2</c:v>
                </c:pt>
                <c:pt idx="30">
                  <c:v>11.5</c:v>
                </c:pt>
                <c:pt idx="31">
                  <c:v>11.5</c:v>
                </c:pt>
                <c:pt idx="32">
                  <c:v>11.6</c:v>
                </c:pt>
                <c:pt idx="33">
                  <c:v>11.6</c:v>
                </c:pt>
                <c:pt idx="34">
                  <c:v>11.7</c:v>
                </c:pt>
                <c:pt idx="35">
                  <c:v>11.8</c:v>
                </c:pt>
                <c:pt idx="36">
                  <c:v>11.5</c:v>
                </c:pt>
                <c:pt idx="37">
                  <c:v>11.2</c:v>
                </c:pt>
                <c:pt idx="38">
                  <c:v>11.3</c:v>
                </c:pt>
                <c:pt idx="39">
                  <c:v>11</c:v>
                </c:pt>
                <c:pt idx="40">
                  <c:v>10.9</c:v>
                </c:pt>
                <c:pt idx="41">
                  <c:v>10.8</c:v>
                </c:pt>
                <c:pt idx="42">
                  <c:v>10.3</c:v>
                </c:pt>
                <c:pt idx="43">
                  <c:v>10.5</c:v>
                </c:pt>
                <c:pt idx="44">
                  <c:v>10.3</c:v>
                </c:pt>
                <c:pt idx="45">
                  <c:v>10</c:v>
                </c:pt>
              </c:numCache>
            </c:numRef>
          </c:val>
          <c:smooth val="0"/>
          <c:extLst>
            <c:ext xmlns:c16="http://schemas.microsoft.com/office/drawing/2014/chart" uri="{C3380CC4-5D6E-409C-BE32-E72D297353CC}">
              <c16:uniqueId val="{00000008-FA0B-472B-A5F1-BF9BDD524F93}"/>
            </c:ext>
          </c:extLst>
        </c:ser>
        <c:ser>
          <c:idx val="9"/>
          <c:order val="9"/>
          <c:tx>
            <c:strRef>
              <c:f>'Trh práce-2'!$A$38</c:f>
              <c:strCache>
                <c:ptCount val="1"/>
                <c:pt idx="0">
                  <c:v>Španělsko</c:v>
                </c:pt>
              </c:strCache>
            </c:strRef>
          </c:tx>
          <c:spPr>
            <a:ln w="19050">
              <a:solidFill>
                <a:srgbClr val="92D050"/>
              </a:solidFill>
            </a:ln>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práce-2'!$B$38:$AU$38</c:f>
              <c:numCache>
                <c:formatCode>#\ ##0.0</c:formatCode>
                <c:ptCount val="46"/>
                <c:pt idx="0">
                  <c:v>9.3000000000000007</c:v>
                </c:pt>
                <c:pt idx="1">
                  <c:v>10.4</c:v>
                </c:pt>
                <c:pt idx="2">
                  <c:v>11.5</c:v>
                </c:pt>
                <c:pt idx="3">
                  <c:v>13.8</c:v>
                </c:pt>
                <c:pt idx="4">
                  <c:v>16.7</c:v>
                </c:pt>
                <c:pt idx="5">
                  <c:v>17.899999999999999</c:v>
                </c:pt>
                <c:pt idx="6">
                  <c:v>18.2</c:v>
                </c:pt>
                <c:pt idx="7">
                  <c:v>18.7</c:v>
                </c:pt>
                <c:pt idx="8">
                  <c:v>19.3</c:v>
                </c:pt>
                <c:pt idx="9">
                  <c:v>20</c:v>
                </c:pt>
                <c:pt idx="10">
                  <c:v>20.100000000000001</c:v>
                </c:pt>
                <c:pt idx="11">
                  <c:v>20.2</c:v>
                </c:pt>
                <c:pt idx="12">
                  <c:v>20.5</c:v>
                </c:pt>
                <c:pt idx="13">
                  <c:v>20.7</c:v>
                </c:pt>
                <c:pt idx="14">
                  <c:v>21.8</c:v>
                </c:pt>
                <c:pt idx="15">
                  <c:v>22.6</c:v>
                </c:pt>
                <c:pt idx="16">
                  <c:v>23.5</c:v>
                </c:pt>
                <c:pt idx="17">
                  <c:v>24.5</c:v>
                </c:pt>
                <c:pt idx="18">
                  <c:v>25.3</c:v>
                </c:pt>
                <c:pt idx="19">
                  <c:v>25.9</c:v>
                </c:pt>
                <c:pt idx="20">
                  <c:v>26.2</c:v>
                </c:pt>
                <c:pt idx="21">
                  <c:v>26.2</c:v>
                </c:pt>
                <c:pt idx="22">
                  <c:v>26.2</c:v>
                </c:pt>
                <c:pt idx="23">
                  <c:v>25.8</c:v>
                </c:pt>
                <c:pt idx="24">
                  <c:v>25.2</c:v>
                </c:pt>
                <c:pt idx="25">
                  <c:v>24.6</c:v>
                </c:pt>
                <c:pt idx="26">
                  <c:v>24.2</c:v>
                </c:pt>
                <c:pt idx="27">
                  <c:v>23.8</c:v>
                </c:pt>
                <c:pt idx="28">
                  <c:v>23.1</c:v>
                </c:pt>
                <c:pt idx="29">
                  <c:v>22.5</c:v>
                </c:pt>
                <c:pt idx="30">
                  <c:v>21.7</c:v>
                </c:pt>
                <c:pt idx="31">
                  <c:v>21</c:v>
                </c:pt>
                <c:pt idx="32">
                  <c:v>20.399999999999999</c:v>
                </c:pt>
                <c:pt idx="33">
                  <c:v>20.100000000000001</c:v>
                </c:pt>
                <c:pt idx="34">
                  <c:v>19.399999999999999</c:v>
                </c:pt>
                <c:pt idx="35">
                  <c:v>18.7</c:v>
                </c:pt>
                <c:pt idx="36">
                  <c:v>18.2</c:v>
                </c:pt>
                <c:pt idx="37">
                  <c:v>17.3</c:v>
                </c:pt>
                <c:pt idx="38">
                  <c:v>16.8</c:v>
                </c:pt>
                <c:pt idx="39">
                  <c:v>16.600000000000001</c:v>
                </c:pt>
                <c:pt idx="40">
                  <c:v>16.2</c:v>
                </c:pt>
                <c:pt idx="41">
                  <c:v>15.4</c:v>
                </c:pt>
                <c:pt idx="42">
                  <c:v>14.9</c:v>
                </c:pt>
                <c:pt idx="43">
                  <c:v>14.5</c:v>
                </c:pt>
                <c:pt idx="44">
                  <c:v>14.2</c:v>
                </c:pt>
                <c:pt idx="45">
                  <c:v>14.1</c:v>
                </c:pt>
              </c:numCache>
            </c:numRef>
          </c:val>
          <c:smooth val="0"/>
          <c:extLst>
            <c:ext xmlns:c16="http://schemas.microsoft.com/office/drawing/2014/chart" uri="{C3380CC4-5D6E-409C-BE32-E72D297353CC}">
              <c16:uniqueId val="{00000009-FA0B-472B-A5F1-BF9BDD524F93}"/>
            </c:ext>
          </c:extLst>
        </c:ser>
        <c:ser>
          <c:idx val="10"/>
          <c:order val="10"/>
          <c:tx>
            <c:strRef>
              <c:f>'Trh práce-2'!$A$39</c:f>
              <c:strCache>
                <c:ptCount val="1"/>
                <c:pt idx="0">
                  <c:v>Irsko</c:v>
                </c:pt>
              </c:strCache>
            </c:strRef>
          </c:tx>
          <c:spPr>
            <a:ln w="19050">
              <a:solidFill>
                <a:schemeClr val="tx1">
                  <a:lumMod val="95000"/>
                  <a:lumOff val="5000"/>
                </a:schemeClr>
              </a:solidFill>
              <a:prstDash val="solid"/>
            </a:ln>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práce-2'!$B$39:$AU$39</c:f>
              <c:numCache>
                <c:formatCode>#\ ##0.0</c:formatCode>
                <c:ptCount val="46"/>
                <c:pt idx="0">
                  <c:v>5.4</c:v>
                </c:pt>
                <c:pt idx="1">
                  <c:v>5.9</c:v>
                </c:pt>
                <c:pt idx="2">
                  <c:v>7.4</c:v>
                </c:pt>
                <c:pt idx="3">
                  <c:v>8.6</c:v>
                </c:pt>
                <c:pt idx="4">
                  <c:v>10.9</c:v>
                </c:pt>
                <c:pt idx="5">
                  <c:v>12.6</c:v>
                </c:pt>
                <c:pt idx="6">
                  <c:v>13.3</c:v>
                </c:pt>
                <c:pt idx="7">
                  <c:v>13.8</c:v>
                </c:pt>
                <c:pt idx="8">
                  <c:v>13.9</c:v>
                </c:pt>
                <c:pt idx="9">
                  <c:v>14.3</c:v>
                </c:pt>
                <c:pt idx="10">
                  <c:v>14.6</c:v>
                </c:pt>
                <c:pt idx="11">
                  <c:v>15.6</c:v>
                </c:pt>
                <c:pt idx="12">
                  <c:v>15.2</c:v>
                </c:pt>
                <c:pt idx="13">
                  <c:v>15.1</c:v>
                </c:pt>
                <c:pt idx="14">
                  <c:v>15.6</c:v>
                </c:pt>
                <c:pt idx="15">
                  <c:v>15.8</c:v>
                </c:pt>
                <c:pt idx="16">
                  <c:v>16</c:v>
                </c:pt>
                <c:pt idx="17">
                  <c:v>15.5</c:v>
                </c:pt>
                <c:pt idx="18">
                  <c:v>15.5</c:v>
                </c:pt>
                <c:pt idx="19">
                  <c:v>15</c:v>
                </c:pt>
                <c:pt idx="20">
                  <c:v>14.6</c:v>
                </c:pt>
                <c:pt idx="21">
                  <c:v>14.4</c:v>
                </c:pt>
                <c:pt idx="22">
                  <c:v>13.4</c:v>
                </c:pt>
                <c:pt idx="23">
                  <c:v>12.9</c:v>
                </c:pt>
                <c:pt idx="24">
                  <c:v>12.9</c:v>
                </c:pt>
                <c:pt idx="25">
                  <c:v>12.2</c:v>
                </c:pt>
                <c:pt idx="26">
                  <c:v>11.7</c:v>
                </c:pt>
                <c:pt idx="27">
                  <c:v>10.9</c:v>
                </c:pt>
                <c:pt idx="28">
                  <c:v>10.7</c:v>
                </c:pt>
                <c:pt idx="29">
                  <c:v>10.1</c:v>
                </c:pt>
                <c:pt idx="30">
                  <c:v>9.6</c:v>
                </c:pt>
                <c:pt idx="31">
                  <c:v>9.5</c:v>
                </c:pt>
                <c:pt idx="32">
                  <c:v>9</c:v>
                </c:pt>
                <c:pt idx="33">
                  <c:v>8.9</c:v>
                </c:pt>
                <c:pt idx="34">
                  <c:v>8.2000000000000011</c:v>
                </c:pt>
                <c:pt idx="35">
                  <c:v>7.6</c:v>
                </c:pt>
                <c:pt idx="36">
                  <c:v>7.3</c:v>
                </c:pt>
                <c:pt idx="37">
                  <c:v>6.7</c:v>
                </c:pt>
                <c:pt idx="38">
                  <c:v>6.6</c:v>
                </c:pt>
                <c:pt idx="39">
                  <c:v>6.4</c:v>
                </c:pt>
                <c:pt idx="40">
                  <c:v>6</c:v>
                </c:pt>
                <c:pt idx="41">
                  <c:v>5.9</c:v>
                </c:pt>
                <c:pt idx="42">
                  <c:v>5.6</c:v>
                </c:pt>
                <c:pt idx="43">
                  <c:v>5.6</c:v>
                </c:pt>
                <c:pt idx="44">
                  <c:v>5.0999999999999996</c:v>
                </c:pt>
                <c:pt idx="45">
                  <c:v>5.2</c:v>
                </c:pt>
              </c:numCache>
            </c:numRef>
          </c:val>
          <c:smooth val="0"/>
          <c:extLst>
            <c:ext xmlns:c16="http://schemas.microsoft.com/office/drawing/2014/chart" uri="{C3380CC4-5D6E-409C-BE32-E72D297353CC}">
              <c16:uniqueId val="{0000000A-FA0B-472B-A5F1-BF9BDD524F93}"/>
            </c:ext>
          </c:extLst>
        </c:ser>
        <c:ser>
          <c:idx val="11"/>
          <c:order val="11"/>
          <c:tx>
            <c:strRef>
              <c:f>'Trh práce-2'!$A$40</c:f>
              <c:strCache>
                <c:ptCount val="1"/>
                <c:pt idx="0">
                  <c:v>Řecko</c:v>
                </c:pt>
              </c:strCache>
            </c:strRef>
          </c:tx>
          <c:spPr>
            <a:ln w="19050">
              <a:solidFill>
                <a:schemeClr val="bg1">
                  <a:lumMod val="50000"/>
                </a:schemeClr>
              </a:solidFill>
              <a:prstDash val="sysDash"/>
            </a:ln>
          </c:spPr>
          <c:marker>
            <c:symbol val="none"/>
          </c:marker>
          <c:cat>
            <c:multiLvlStrRef>
              <c:f>'Trh práce-2'!$B$27:$AU$28</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lvl>
              </c:multiLvlStrCache>
            </c:multiLvlStrRef>
          </c:cat>
          <c:val>
            <c:numRef>
              <c:f>'Trh práce-2'!$B$40:$AU$40</c:f>
              <c:numCache>
                <c:formatCode>#\ ##0.0</c:formatCode>
                <c:ptCount val="46"/>
                <c:pt idx="0">
                  <c:v>8</c:v>
                </c:pt>
                <c:pt idx="1">
                  <c:v>7.6</c:v>
                </c:pt>
                <c:pt idx="2">
                  <c:v>7.6</c:v>
                </c:pt>
                <c:pt idx="3">
                  <c:v>8</c:v>
                </c:pt>
                <c:pt idx="4">
                  <c:v>9.1</c:v>
                </c:pt>
                <c:pt idx="5">
                  <c:v>9.3000000000000007</c:v>
                </c:pt>
                <c:pt idx="6">
                  <c:v>9.8000000000000007</c:v>
                </c:pt>
                <c:pt idx="7">
                  <c:v>10.4</c:v>
                </c:pt>
                <c:pt idx="8">
                  <c:v>11.3</c:v>
                </c:pt>
                <c:pt idx="9">
                  <c:v>12.2</c:v>
                </c:pt>
                <c:pt idx="10">
                  <c:v>13</c:v>
                </c:pt>
                <c:pt idx="11">
                  <c:v>14.3</c:v>
                </c:pt>
                <c:pt idx="12">
                  <c:v>15.5</c:v>
                </c:pt>
                <c:pt idx="13">
                  <c:v>16.899999999999999</c:v>
                </c:pt>
                <c:pt idx="14">
                  <c:v>18.5</c:v>
                </c:pt>
                <c:pt idx="15">
                  <c:v>20.6</c:v>
                </c:pt>
                <c:pt idx="16">
                  <c:v>22.2</c:v>
                </c:pt>
                <c:pt idx="17">
                  <c:v>24.1</c:v>
                </c:pt>
                <c:pt idx="18">
                  <c:v>25.6</c:v>
                </c:pt>
                <c:pt idx="19">
                  <c:v>26.3</c:v>
                </c:pt>
                <c:pt idx="20">
                  <c:v>26.9</c:v>
                </c:pt>
                <c:pt idx="21">
                  <c:v>27.7</c:v>
                </c:pt>
                <c:pt idx="22">
                  <c:v>27.7</c:v>
                </c:pt>
                <c:pt idx="23">
                  <c:v>27.6</c:v>
                </c:pt>
                <c:pt idx="24">
                  <c:v>27.1</c:v>
                </c:pt>
                <c:pt idx="25">
                  <c:v>26.9</c:v>
                </c:pt>
                <c:pt idx="26">
                  <c:v>26.2</c:v>
                </c:pt>
                <c:pt idx="27">
                  <c:v>25.9</c:v>
                </c:pt>
                <c:pt idx="28">
                  <c:v>25.8</c:v>
                </c:pt>
                <c:pt idx="29">
                  <c:v>25</c:v>
                </c:pt>
                <c:pt idx="30">
                  <c:v>24.7</c:v>
                </c:pt>
                <c:pt idx="31">
                  <c:v>24.3</c:v>
                </c:pt>
                <c:pt idx="32">
                  <c:v>24</c:v>
                </c:pt>
                <c:pt idx="33">
                  <c:v>23.5</c:v>
                </c:pt>
                <c:pt idx="34">
                  <c:v>23.3</c:v>
                </c:pt>
                <c:pt idx="35">
                  <c:v>23.4</c:v>
                </c:pt>
                <c:pt idx="36">
                  <c:v>22.6</c:v>
                </c:pt>
                <c:pt idx="37">
                  <c:v>21.5</c:v>
                </c:pt>
                <c:pt idx="38">
                  <c:v>20.9</c:v>
                </c:pt>
                <c:pt idx="39">
                  <c:v>21</c:v>
                </c:pt>
                <c:pt idx="40">
                  <c:v>20.399999999999999</c:v>
                </c:pt>
                <c:pt idx="41">
                  <c:v>19.5</c:v>
                </c:pt>
                <c:pt idx="42">
                  <c:v>18.899999999999999</c:v>
                </c:pt>
                <c:pt idx="43">
                  <c:v>18.600000000000001</c:v>
                </c:pt>
                <c:pt idx="44">
                  <c:v>18.399999999999999</c:v>
                </c:pt>
                <c:pt idx="45">
                  <c:v>17.299999999999986</c:v>
                </c:pt>
              </c:numCache>
            </c:numRef>
          </c:val>
          <c:smooth val="0"/>
          <c:extLst>
            <c:ext xmlns:c16="http://schemas.microsoft.com/office/drawing/2014/chart" uri="{C3380CC4-5D6E-409C-BE32-E72D297353CC}">
              <c16:uniqueId val="{0000000B-FA0B-472B-A5F1-BF9BDD524F93}"/>
            </c:ext>
          </c:extLst>
        </c:ser>
        <c:dLbls>
          <c:showLegendKey val="0"/>
          <c:showVal val="0"/>
          <c:showCatName val="0"/>
          <c:showSerName val="0"/>
          <c:showPercent val="0"/>
          <c:showBubbleSize val="0"/>
        </c:dLbls>
        <c:marker val="1"/>
        <c:smooth val="0"/>
        <c:axId val="100320768"/>
        <c:axId val="100322304"/>
      </c:lineChart>
      <c:catAx>
        <c:axId val="100320768"/>
        <c:scaling>
          <c:orientation val="minMax"/>
        </c:scaling>
        <c:delete val="0"/>
        <c:axPos val="b"/>
        <c:numFmt formatCode="General" sourceLinked="0"/>
        <c:majorTickMark val="out"/>
        <c:minorTickMark val="none"/>
        <c:tickLblPos val="low"/>
        <c:spPr>
          <a:ln>
            <a:solidFill>
              <a:schemeClr val="tx1"/>
            </a:solidFill>
          </a:ln>
        </c:spPr>
        <c:crossAx val="100322304"/>
        <c:crossesAt val="-50"/>
        <c:auto val="1"/>
        <c:lblAlgn val="ctr"/>
        <c:lblOffset val="0"/>
        <c:noMultiLvlLbl val="0"/>
      </c:catAx>
      <c:valAx>
        <c:axId val="100322304"/>
        <c:scaling>
          <c:orientation val="minMax"/>
          <c:max val="28"/>
          <c:min val="0"/>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00320768"/>
        <c:crosses val="autoZero"/>
        <c:crossBetween val="midCat"/>
        <c:majorUnit val="2"/>
      </c:valAx>
      <c:spPr>
        <a:ln>
          <a:solidFill>
            <a:schemeClr val="tx1"/>
          </a:solidFill>
        </a:ln>
      </c:spPr>
    </c:plotArea>
    <c:legend>
      <c:legendPos val="b"/>
      <c:layout>
        <c:manualLayout>
          <c:xMode val="edge"/>
          <c:yMode val="edge"/>
          <c:x val="4.4648318690984533E-2"/>
          <c:y val="0.8735881640558395"/>
          <c:w val="0.93397790842348294"/>
          <c:h val="0.10825866470974498"/>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091348527306885E-2"/>
          <c:y val="1.6549886621315273E-2"/>
          <c:w val="0.94100987714831696"/>
          <c:h val="0.76395209750566906"/>
        </c:manualLayout>
      </c:layout>
      <c:barChart>
        <c:barDir val="col"/>
        <c:grouping val="clustered"/>
        <c:varyColors val="0"/>
        <c:ser>
          <c:idx val="4"/>
          <c:order val="1"/>
          <c:tx>
            <c:strRef>
              <c:f>'Trh práce 3'!$D$8</c:f>
              <c:strCache>
                <c:ptCount val="1"/>
                <c:pt idx="0">
                  <c:v>Průměrná mzda celkem (reálně)</c:v>
                </c:pt>
              </c:strCache>
            </c:strRef>
          </c:tx>
          <c:spPr>
            <a:solidFill>
              <a:srgbClr val="DBDBDB"/>
            </a:solidFill>
            <a:ln w="19050">
              <a:noFill/>
            </a:ln>
          </c:spPr>
          <c:invertIfNegative val="0"/>
          <c:cat>
            <c:multiLvlStrRef>
              <c:f>'Trh práce 3'!$A$9:$B$46</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3'!$D$9:$D$46</c:f>
              <c:numCache>
                <c:formatCode>#\ ##0.0</c:formatCode>
                <c:ptCount val="38"/>
                <c:pt idx="0">
                  <c:v>2.0999999999999943</c:v>
                </c:pt>
                <c:pt idx="1">
                  <c:v>1.9000000000000057</c:v>
                </c:pt>
                <c:pt idx="2">
                  <c:v>0.29999999999999716</c:v>
                </c:pt>
                <c:pt idx="3">
                  <c:v>-1.4000000000000057</c:v>
                </c:pt>
                <c:pt idx="4">
                  <c:v>1.0999999999999943</c:v>
                </c:pt>
                <c:pt idx="5">
                  <c:v>0.79999999999999716</c:v>
                </c:pt>
                <c:pt idx="6">
                  <c:v>0.29999999999999716</c:v>
                </c:pt>
                <c:pt idx="7">
                  <c:v>0</c:v>
                </c:pt>
                <c:pt idx="8">
                  <c:v>-0.5</c:v>
                </c:pt>
                <c:pt idx="9">
                  <c:v>-1.2999999999999972</c:v>
                </c:pt>
                <c:pt idx="10">
                  <c:v>-1.7999999999999972</c:v>
                </c:pt>
                <c:pt idx="11">
                  <c:v>0.40000000000000568</c:v>
                </c:pt>
                <c:pt idx="12">
                  <c:v>-2.4000000000000057</c:v>
                </c:pt>
                <c:pt idx="13">
                  <c:v>-0.5</c:v>
                </c:pt>
                <c:pt idx="14">
                  <c:v>0</c:v>
                </c:pt>
                <c:pt idx="15">
                  <c:v>-3.0999999999999943</c:v>
                </c:pt>
                <c:pt idx="16">
                  <c:v>3.7000000000000028</c:v>
                </c:pt>
                <c:pt idx="17">
                  <c:v>2.5999999999999943</c:v>
                </c:pt>
                <c:pt idx="18">
                  <c:v>1.5999999999999943</c:v>
                </c:pt>
                <c:pt idx="19">
                  <c:v>2.2999999999999972</c:v>
                </c:pt>
                <c:pt idx="20">
                  <c:v>2.2000000000000028</c:v>
                </c:pt>
                <c:pt idx="21">
                  <c:v>2.5999999999999943</c:v>
                </c:pt>
                <c:pt idx="22">
                  <c:v>3.0999999999999943</c:v>
                </c:pt>
                <c:pt idx="23">
                  <c:v>3.5999999999999943</c:v>
                </c:pt>
                <c:pt idx="24">
                  <c:v>4.2000000000000028</c:v>
                </c:pt>
                <c:pt idx="25">
                  <c:v>3.7999999999999972</c:v>
                </c:pt>
                <c:pt idx="26">
                  <c:v>4.2000000000000028</c:v>
                </c:pt>
                <c:pt idx="27">
                  <c:v>3</c:v>
                </c:pt>
                <c:pt idx="28">
                  <c:v>2.5999999999999943</c:v>
                </c:pt>
                <c:pt idx="29">
                  <c:v>4.9000000000000057</c:v>
                </c:pt>
                <c:pt idx="30">
                  <c:v>4.0999999999999943</c:v>
                </c:pt>
                <c:pt idx="31">
                  <c:v>5.0999999999999943</c:v>
                </c:pt>
                <c:pt idx="32">
                  <c:v>5.7999999999999972</c:v>
                </c:pt>
                <c:pt idx="33">
                  <c:v>5.7000000000000028</c:v>
                </c:pt>
                <c:pt idx="34">
                  <c:v>5.4000000000000057</c:v>
                </c:pt>
                <c:pt idx="35">
                  <c:v>4.2999999999999972</c:v>
                </c:pt>
                <c:pt idx="36">
                  <c:v>4.7000000000000028</c:v>
                </c:pt>
                <c:pt idx="37">
                  <c:v>4.2999999999999972</c:v>
                </c:pt>
              </c:numCache>
            </c:numRef>
          </c:val>
          <c:extLst>
            <c:ext xmlns:c16="http://schemas.microsoft.com/office/drawing/2014/chart" uri="{C3380CC4-5D6E-409C-BE32-E72D297353CC}">
              <c16:uniqueId val="{00000000-F02F-40D2-8893-E9EE24EFFF8A}"/>
            </c:ext>
          </c:extLst>
        </c:ser>
        <c:dLbls>
          <c:showLegendKey val="0"/>
          <c:showVal val="0"/>
          <c:showCatName val="0"/>
          <c:showSerName val="0"/>
          <c:showPercent val="0"/>
          <c:showBubbleSize val="0"/>
        </c:dLbls>
        <c:gapWidth val="37"/>
        <c:axId val="100688640"/>
        <c:axId val="100690560"/>
      </c:barChart>
      <c:lineChart>
        <c:grouping val="standard"/>
        <c:varyColors val="0"/>
        <c:ser>
          <c:idx val="0"/>
          <c:order val="0"/>
          <c:tx>
            <c:strRef>
              <c:f>'Trh práce 3'!$C$8</c:f>
              <c:strCache>
                <c:ptCount val="1"/>
                <c:pt idx="0">
                  <c:v>Průměrná mzda celkem (nominálně)</c:v>
                </c:pt>
              </c:strCache>
            </c:strRef>
          </c:tx>
          <c:spPr>
            <a:ln w="19050">
              <a:solidFill>
                <a:schemeClr val="tx1">
                  <a:lumMod val="95000"/>
                  <a:lumOff val="5000"/>
                </a:schemeClr>
              </a:solidFill>
            </a:ln>
          </c:spPr>
          <c:marker>
            <c:symbol val="none"/>
          </c:marker>
          <c:cat>
            <c:multiLvlStrRef>
              <c:f>'Trh práce 3'!$A$9:$B$46</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3'!$C$9:$C$46</c:f>
              <c:numCache>
                <c:formatCode>0.0</c:formatCode>
                <c:ptCount val="38"/>
                <c:pt idx="0">
                  <c:v>2.7999999999999972</c:v>
                </c:pt>
                <c:pt idx="1">
                  <c:v>3.0999999999999943</c:v>
                </c:pt>
                <c:pt idx="2">
                  <c:v>2.2000000000000028</c:v>
                </c:pt>
                <c:pt idx="3">
                  <c:v>0.70000000000000284</c:v>
                </c:pt>
                <c:pt idx="4">
                  <c:v>2.7999999999999972</c:v>
                </c:pt>
                <c:pt idx="5">
                  <c:v>2.5999999999999943</c:v>
                </c:pt>
                <c:pt idx="6">
                  <c:v>2.0999999999999943</c:v>
                </c:pt>
                <c:pt idx="7">
                  <c:v>2.4000000000000057</c:v>
                </c:pt>
                <c:pt idx="8">
                  <c:v>3.2000000000000028</c:v>
                </c:pt>
                <c:pt idx="9">
                  <c:v>2.0999999999999943</c:v>
                </c:pt>
                <c:pt idx="10">
                  <c:v>1.4000000000000057</c:v>
                </c:pt>
                <c:pt idx="11">
                  <c:v>3.2000000000000028</c:v>
                </c:pt>
                <c:pt idx="12">
                  <c:v>-0.59999999999999432</c:v>
                </c:pt>
                <c:pt idx="13">
                  <c:v>1</c:v>
                </c:pt>
                <c:pt idx="14">
                  <c:v>1.2000000000000028</c:v>
                </c:pt>
                <c:pt idx="15">
                  <c:v>-2</c:v>
                </c:pt>
                <c:pt idx="16">
                  <c:v>3.9000000000000057</c:v>
                </c:pt>
                <c:pt idx="17">
                  <c:v>2.7999999999999972</c:v>
                </c:pt>
                <c:pt idx="18">
                  <c:v>2.2000000000000028</c:v>
                </c:pt>
                <c:pt idx="19">
                  <c:v>2.7999999999999972</c:v>
                </c:pt>
                <c:pt idx="20">
                  <c:v>2.2999999999999972</c:v>
                </c:pt>
                <c:pt idx="21">
                  <c:v>3.2999999999999972</c:v>
                </c:pt>
                <c:pt idx="22">
                  <c:v>3.5</c:v>
                </c:pt>
                <c:pt idx="23">
                  <c:v>3.7000000000000028</c:v>
                </c:pt>
                <c:pt idx="24">
                  <c:v>4.7000000000000028</c:v>
                </c:pt>
                <c:pt idx="25">
                  <c:v>4</c:v>
                </c:pt>
                <c:pt idx="26">
                  <c:v>4.7000000000000028</c:v>
                </c:pt>
                <c:pt idx="27">
                  <c:v>4.4000000000000057</c:v>
                </c:pt>
                <c:pt idx="28">
                  <c:v>5.0999999999999943</c:v>
                </c:pt>
                <c:pt idx="29">
                  <c:v>7.2000000000000028</c:v>
                </c:pt>
                <c:pt idx="30">
                  <c:v>6.7000000000000028</c:v>
                </c:pt>
                <c:pt idx="31">
                  <c:v>7.7999999999999972</c:v>
                </c:pt>
                <c:pt idx="32">
                  <c:v>7.7999999999999972</c:v>
                </c:pt>
                <c:pt idx="33">
                  <c:v>8.0999999999999943</c:v>
                </c:pt>
                <c:pt idx="34">
                  <c:v>7.9000000000000057</c:v>
                </c:pt>
                <c:pt idx="35">
                  <c:v>6.5</c:v>
                </c:pt>
                <c:pt idx="36">
                  <c:v>7.5</c:v>
                </c:pt>
                <c:pt idx="37">
                  <c:v>7.2000000000000028</c:v>
                </c:pt>
              </c:numCache>
            </c:numRef>
          </c:val>
          <c:smooth val="0"/>
          <c:extLst>
            <c:ext xmlns:c16="http://schemas.microsoft.com/office/drawing/2014/chart" uri="{C3380CC4-5D6E-409C-BE32-E72D297353CC}">
              <c16:uniqueId val="{00000001-F02F-40D2-8893-E9EE24EFFF8A}"/>
            </c:ext>
          </c:extLst>
        </c:ser>
        <c:ser>
          <c:idx val="5"/>
          <c:order val="2"/>
          <c:tx>
            <c:strRef>
              <c:f>'Trh práce 3'!$E$8</c:f>
              <c:strCache>
                <c:ptCount val="1"/>
                <c:pt idx="0">
                  <c:v>Prům. mzda ve zprac. průmyslu (nomin.)</c:v>
                </c:pt>
              </c:strCache>
            </c:strRef>
          </c:tx>
          <c:spPr>
            <a:ln w="15875">
              <a:prstDash val="sysDash"/>
            </a:ln>
          </c:spPr>
          <c:marker>
            <c:symbol val="none"/>
          </c:marker>
          <c:cat>
            <c:multiLvlStrRef>
              <c:f>'Trh práce 3'!$A$9:$B$46</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3'!$E$9:$E$46</c:f>
              <c:numCache>
                <c:formatCode>0.0</c:formatCode>
                <c:ptCount val="38"/>
                <c:pt idx="0">
                  <c:v>5.5741522340270677</c:v>
                </c:pt>
                <c:pt idx="1">
                  <c:v>4.6596136154553705</c:v>
                </c:pt>
                <c:pt idx="2">
                  <c:v>3.4155684253727827</c:v>
                </c:pt>
                <c:pt idx="3">
                  <c:v>4.1331027793007422</c:v>
                </c:pt>
                <c:pt idx="4">
                  <c:v>4.0529363110008347</c:v>
                </c:pt>
                <c:pt idx="5">
                  <c:v>4.5092954775194301</c:v>
                </c:pt>
                <c:pt idx="6">
                  <c:v>3.2013405062174769</c:v>
                </c:pt>
                <c:pt idx="7">
                  <c:v>2.3814345308006892</c:v>
                </c:pt>
                <c:pt idx="8">
                  <c:v>3.8288288288288186</c:v>
                </c:pt>
                <c:pt idx="9">
                  <c:v>3.0152655704613238</c:v>
                </c:pt>
                <c:pt idx="10">
                  <c:v>1.9056571526234762</c:v>
                </c:pt>
                <c:pt idx="11">
                  <c:v>2.9589778076664572</c:v>
                </c:pt>
                <c:pt idx="12">
                  <c:v>0.506146059291396</c:v>
                </c:pt>
                <c:pt idx="13">
                  <c:v>1.9962442847811843</c:v>
                </c:pt>
                <c:pt idx="14">
                  <c:v>2.259958071278831</c:v>
                </c:pt>
                <c:pt idx="15">
                  <c:v>0.53021861912630186</c:v>
                </c:pt>
                <c:pt idx="16">
                  <c:v>4.7947524333474405</c:v>
                </c:pt>
                <c:pt idx="17">
                  <c:v>3.366019611767058</c:v>
                </c:pt>
                <c:pt idx="18">
                  <c:v>2.8824470047972568</c:v>
                </c:pt>
                <c:pt idx="19">
                  <c:v>3.6690235046818316</c:v>
                </c:pt>
                <c:pt idx="20">
                  <c:v>1.9747203489076384</c:v>
                </c:pt>
                <c:pt idx="21">
                  <c:v>3.0821652598156817</c:v>
                </c:pt>
                <c:pt idx="22">
                  <c:v>3.263988522238165</c:v>
                </c:pt>
                <c:pt idx="23">
                  <c:v>3.2258064516128968</c:v>
                </c:pt>
                <c:pt idx="24">
                  <c:v>4.9619832092507465</c:v>
                </c:pt>
                <c:pt idx="25">
                  <c:v>4.2070468033956985</c:v>
                </c:pt>
                <c:pt idx="26">
                  <c:v>4.939986878159857</c:v>
                </c:pt>
                <c:pt idx="27">
                  <c:v>4.4500000000000028</c:v>
                </c:pt>
                <c:pt idx="28">
                  <c:v>5.3386153555932765</c:v>
                </c:pt>
                <c:pt idx="29">
                  <c:v>8.1825391103741651</c:v>
                </c:pt>
                <c:pt idx="30">
                  <c:v>6.9545070059946283</c:v>
                </c:pt>
                <c:pt idx="31">
                  <c:v>6.9958284893660618</c:v>
                </c:pt>
                <c:pt idx="32">
                  <c:v>7.0128939828080235</c:v>
                </c:pt>
                <c:pt idx="33">
                  <c:v>7.5503132080501132</c:v>
                </c:pt>
                <c:pt idx="34">
                  <c:v>6.6914242486761424</c:v>
                </c:pt>
                <c:pt idx="35">
                  <c:v>7.0241595295922394</c:v>
                </c:pt>
                <c:pt idx="36">
                  <c:v>6.6838476470981902</c:v>
                </c:pt>
                <c:pt idx="37">
                  <c:v>6.462606109424371</c:v>
                </c:pt>
              </c:numCache>
            </c:numRef>
          </c:val>
          <c:smooth val="0"/>
          <c:extLst>
            <c:ext xmlns:c16="http://schemas.microsoft.com/office/drawing/2014/chart" uri="{C3380CC4-5D6E-409C-BE32-E72D297353CC}">
              <c16:uniqueId val="{00000002-F02F-40D2-8893-E9EE24EFFF8A}"/>
            </c:ext>
          </c:extLst>
        </c:ser>
        <c:ser>
          <c:idx val="1"/>
          <c:order val="3"/>
          <c:tx>
            <c:strRef>
              <c:f>'Trh práce 3'!$F$8</c:f>
              <c:strCache>
                <c:ptCount val="1"/>
                <c:pt idx="0">
                  <c:v>Prům. mzda v obchodu (nominálně)</c:v>
                </c:pt>
              </c:strCache>
            </c:strRef>
          </c:tx>
          <c:spPr>
            <a:ln w="15875">
              <a:solidFill>
                <a:schemeClr val="accent1"/>
              </a:solidFill>
              <a:prstDash val="sysDash"/>
            </a:ln>
          </c:spPr>
          <c:marker>
            <c:symbol val="none"/>
          </c:marker>
          <c:cat>
            <c:multiLvlStrRef>
              <c:f>'Trh práce 3'!$A$9:$B$46</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3'!$F$9:$F$46</c:f>
              <c:numCache>
                <c:formatCode>0.0</c:formatCode>
                <c:ptCount val="38"/>
                <c:pt idx="0">
                  <c:v>2.4757068216221541</c:v>
                </c:pt>
                <c:pt idx="1">
                  <c:v>3.7727708533077617</c:v>
                </c:pt>
                <c:pt idx="2">
                  <c:v>2.8297025064417909</c:v>
                </c:pt>
                <c:pt idx="3">
                  <c:v>3.460238001141704</c:v>
                </c:pt>
                <c:pt idx="4">
                  <c:v>3.2593157342990509</c:v>
                </c:pt>
                <c:pt idx="5">
                  <c:v>3.7187601053263677</c:v>
                </c:pt>
                <c:pt idx="6">
                  <c:v>2.6743815207982209</c:v>
                </c:pt>
                <c:pt idx="7">
                  <c:v>4.3291880650227199</c:v>
                </c:pt>
                <c:pt idx="8">
                  <c:v>4.0793724042454897</c:v>
                </c:pt>
                <c:pt idx="9">
                  <c:v>0.74380901478710371</c:v>
                </c:pt>
                <c:pt idx="10">
                  <c:v>0.80315938942136711</c:v>
                </c:pt>
                <c:pt idx="11">
                  <c:v>3.3521825800414859</c:v>
                </c:pt>
                <c:pt idx="12">
                  <c:v>-0.36357187195176266</c:v>
                </c:pt>
                <c:pt idx="13">
                  <c:v>0.83115964454663072</c:v>
                </c:pt>
                <c:pt idx="14">
                  <c:v>1.2941849716071658</c:v>
                </c:pt>
                <c:pt idx="15">
                  <c:v>-4.6290100373942096</c:v>
                </c:pt>
                <c:pt idx="16">
                  <c:v>3.4576361694553128</c:v>
                </c:pt>
                <c:pt idx="17">
                  <c:v>4.1785416758012985</c:v>
                </c:pt>
                <c:pt idx="18">
                  <c:v>2.8899222111164136</c:v>
                </c:pt>
                <c:pt idx="19">
                  <c:v>2.761153989021409</c:v>
                </c:pt>
                <c:pt idx="20">
                  <c:v>3.1055099144049194</c:v>
                </c:pt>
                <c:pt idx="21">
                  <c:v>3.9141414141414117</c:v>
                </c:pt>
                <c:pt idx="22">
                  <c:v>3.949146815340427</c:v>
                </c:pt>
                <c:pt idx="23">
                  <c:v>5.7916298497871423</c:v>
                </c:pt>
                <c:pt idx="24">
                  <c:v>5.6443202202661524</c:v>
                </c:pt>
                <c:pt idx="25">
                  <c:v>3.9570676387201189</c:v>
                </c:pt>
                <c:pt idx="26">
                  <c:v>4.9977652269310511</c:v>
                </c:pt>
                <c:pt idx="27">
                  <c:v>4.4950645406226215</c:v>
                </c:pt>
                <c:pt idx="28">
                  <c:v>5.6231243089559229</c:v>
                </c:pt>
                <c:pt idx="29">
                  <c:v>7.9284684614485457</c:v>
                </c:pt>
                <c:pt idx="30">
                  <c:v>7.693200727526019</c:v>
                </c:pt>
                <c:pt idx="31">
                  <c:v>8.3926754832146457</c:v>
                </c:pt>
                <c:pt idx="32">
                  <c:v>7.2416629280693883</c:v>
                </c:pt>
                <c:pt idx="33">
                  <c:v>6.9272976680384062</c:v>
                </c:pt>
                <c:pt idx="34">
                  <c:v>6.7016421718351324</c:v>
                </c:pt>
                <c:pt idx="35">
                  <c:v>6.4389622578266312</c:v>
                </c:pt>
                <c:pt idx="36">
                  <c:v>8.1261983615129765</c:v>
                </c:pt>
                <c:pt idx="37">
                  <c:v>5.8066911988116487</c:v>
                </c:pt>
              </c:numCache>
            </c:numRef>
          </c:val>
          <c:smooth val="0"/>
          <c:extLst>
            <c:ext xmlns:c16="http://schemas.microsoft.com/office/drawing/2014/chart" uri="{C3380CC4-5D6E-409C-BE32-E72D297353CC}">
              <c16:uniqueId val="{00000003-F02F-40D2-8893-E9EE24EFFF8A}"/>
            </c:ext>
          </c:extLst>
        </c:ser>
        <c:ser>
          <c:idx val="2"/>
          <c:order val="4"/>
          <c:tx>
            <c:strRef>
              <c:f>'Trh práce 3'!$G$8</c:f>
              <c:strCache>
                <c:ptCount val="1"/>
                <c:pt idx="0">
                  <c:v>Prům. mzda ve veř. službách (nomin.)*</c:v>
                </c:pt>
              </c:strCache>
            </c:strRef>
          </c:tx>
          <c:spPr>
            <a:ln w="15875">
              <a:prstDash val="sysDash"/>
            </a:ln>
          </c:spPr>
          <c:marker>
            <c:symbol val="none"/>
          </c:marker>
          <c:cat>
            <c:multiLvlStrRef>
              <c:f>'Trh práce 3'!$A$9:$B$46</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3'!$G$9:$G$46</c:f>
              <c:numCache>
                <c:formatCode>0.0</c:formatCode>
                <c:ptCount val="38"/>
                <c:pt idx="0">
                  <c:v>4.0490391739471931</c:v>
                </c:pt>
                <c:pt idx="1">
                  <c:v>1.6283315509305112</c:v>
                </c:pt>
                <c:pt idx="2">
                  <c:v>-0.55283553368845162</c:v>
                </c:pt>
                <c:pt idx="3">
                  <c:v>-3.7979173937266069</c:v>
                </c:pt>
                <c:pt idx="4">
                  <c:v>-0.36529704002306573</c:v>
                </c:pt>
                <c:pt idx="5">
                  <c:v>0.75226666267364806</c:v>
                </c:pt>
                <c:pt idx="6">
                  <c:v>2.1176725674165766</c:v>
                </c:pt>
                <c:pt idx="7">
                  <c:v>2.8398131342035384</c:v>
                </c:pt>
                <c:pt idx="8">
                  <c:v>3.2279568792093158</c:v>
                </c:pt>
                <c:pt idx="9">
                  <c:v>1.7574406830760836</c:v>
                </c:pt>
                <c:pt idx="10">
                  <c:v>1.8920783570674899</c:v>
                </c:pt>
                <c:pt idx="11">
                  <c:v>1.0598177996607347</c:v>
                </c:pt>
                <c:pt idx="12">
                  <c:v>2.4966291616905778E-2</c:v>
                </c:pt>
                <c:pt idx="13">
                  <c:v>1.6016040487050844</c:v>
                </c:pt>
                <c:pt idx="14">
                  <c:v>0.63880459502811959</c:v>
                </c:pt>
                <c:pt idx="15">
                  <c:v>0.17964165062377901</c:v>
                </c:pt>
                <c:pt idx="16">
                  <c:v>2.280760005771441</c:v>
                </c:pt>
                <c:pt idx="17">
                  <c:v>1.7741806147294312</c:v>
                </c:pt>
                <c:pt idx="18">
                  <c:v>2.0112509376191809</c:v>
                </c:pt>
                <c:pt idx="19">
                  <c:v>4.0222566728863427</c:v>
                </c:pt>
                <c:pt idx="20">
                  <c:v>3.2925091204843113</c:v>
                </c:pt>
                <c:pt idx="21">
                  <c:v>4.3135889286729565</c:v>
                </c:pt>
                <c:pt idx="22">
                  <c:v>3.8145419077079765</c:v>
                </c:pt>
                <c:pt idx="23">
                  <c:v>3.6381766938736746</c:v>
                </c:pt>
                <c:pt idx="24">
                  <c:v>4.64178325585614</c:v>
                </c:pt>
                <c:pt idx="25">
                  <c:v>3.8061258933532116</c:v>
                </c:pt>
                <c:pt idx="26">
                  <c:v>4.8526374704253925</c:v>
                </c:pt>
                <c:pt idx="27">
                  <c:v>6.1351981806606375</c:v>
                </c:pt>
                <c:pt idx="28">
                  <c:v>5.4566112929361736</c:v>
                </c:pt>
                <c:pt idx="29">
                  <c:v>7.3192456135908941</c:v>
                </c:pt>
                <c:pt idx="30">
                  <c:v>7.9981713137873669</c:v>
                </c:pt>
                <c:pt idx="31">
                  <c:v>10.484072576559413</c:v>
                </c:pt>
                <c:pt idx="32">
                  <c:v>11.633239761769048</c:v>
                </c:pt>
                <c:pt idx="33">
                  <c:v>11.426031898018365</c:v>
                </c:pt>
                <c:pt idx="34">
                  <c:v>10.917120973616747</c:v>
                </c:pt>
                <c:pt idx="35">
                  <c:v>5.6896822744079429</c:v>
                </c:pt>
                <c:pt idx="36">
                  <c:v>8.8372973382255395</c:v>
                </c:pt>
                <c:pt idx="37">
                  <c:v>8.6669754799301018</c:v>
                </c:pt>
              </c:numCache>
            </c:numRef>
          </c:val>
          <c:smooth val="0"/>
          <c:extLst>
            <c:ext xmlns:c16="http://schemas.microsoft.com/office/drawing/2014/chart" uri="{C3380CC4-5D6E-409C-BE32-E72D297353CC}">
              <c16:uniqueId val="{00000004-F02F-40D2-8893-E9EE24EFFF8A}"/>
            </c:ext>
          </c:extLst>
        </c:ser>
        <c:ser>
          <c:idx val="3"/>
          <c:order val="5"/>
          <c:tx>
            <c:strRef>
              <c:f>'Trh práce 3'!$H$8</c:f>
              <c:strCache>
                <c:ptCount val="1"/>
                <c:pt idx="0">
                  <c:v>Produktivita práce v NH (reálně)**</c:v>
                </c:pt>
              </c:strCache>
            </c:strRef>
          </c:tx>
          <c:spPr>
            <a:ln w="19050">
              <a:noFill/>
            </a:ln>
          </c:spPr>
          <c:marker>
            <c:symbol val="diamond"/>
            <c:size val="5"/>
            <c:spPr>
              <a:solidFill>
                <a:srgbClr val="F6F000"/>
              </a:solidFill>
              <a:ln w="6350">
                <a:solidFill>
                  <a:schemeClr val="tx1">
                    <a:lumMod val="95000"/>
                    <a:lumOff val="5000"/>
                  </a:schemeClr>
                </a:solidFill>
              </a:ln>
            </c:spPr>
          </c:marker>
          <c:cat>
            <c:multiLvlStrRef>
              <c:f>'Trh práce 3'!$A$9:$B$46</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3'!$H$9:$H$46</c:f>
              <c:numCache>
                <c:formatCode>0.0</c:formatCode>
                <c:ptCount val="38"/>
                <c:pt idx="0">
                  <c:v>3.5332846838865208</c:v>
                </c:pt>
                <c:pt idx="1">
                  <c:v>4.425122650740704</c:v>
                </c:pt>
                <c:pt idx="2">
                  <c:v>2.3152819998793319</c:v>
                </c:pt>
                <c:pt idx="3">
                  <c:v>2.9717863026053948</c:v>
                </c:pt>
                <c:pt idx="4">
                  <c:v>2.9527260280244576</c:v>
                </c:pt>
                <c:pt idx="5">
                  <c:v>2.0923191727528945</c:v>
                </c:pt>
                <c:pt idx="6">
                  <c:v>1.8080251400873806</c:v>
                </c:pt>
                <c:pt idx="7">
                  <c:v>1.5019620723850409</c:v>
                </c:pt>
                <c:pt idx="8">
                  <c:v>0.41537995919813397</c:v>
                </c:pt>
                <c:pt idx="9">
                  <c:v>-1.2819231607881107</c:v>
                </c:pt>
                <c:pt idx="10">
                  <c:v>-1.8249350322319771</c:v>
                </c:pt>
                <c:pt idx="11">
                  <c:v>-2.0588258996494346</c:v>
                </c:pt>
                <c:pt idx="12">
                  <c:v>-2.8802810421720295</c:v>
                </c:pt>
                <c:pt idx="13">
                  <c:v>-1.8279480046633836</c:v>
                </c:pt>
                <c:pt idx="14">
                  <c:v>0.4046193699375209</c:v>
                </c:pt>
                <c:pt idx="15">
                  <c:v>0.95515229453815209</c:v>
                </c:pt>
                <c:pt idx="16">
                  <c:v>1.7448585072078089</c:v>
                </c:pt>
                <c:pt idx="17">
                  <c:v>2.7515963261383547</c:v>
                </c:pt>
                <c:pt idx="18">
                  <c:v>3.0294730201186439</c:v>
                </c:pt>
                <c:pt idx="19">
                  <c:v>1.0840279704352724</c:v>
                </c:pt>
                <c:pt idx="20">
                  <c:v>3.7518410336967918</c:v>
                </c:pt>
                <c:pt idx="21">
                  <c:v>4.1202609165826658</c:v>
                </c:pt>
                <c:pt idx="22">
                  <c:v>3.76028698995718</c:v>
                </c:pt>
                <c:pt idx="23">
                  <c:v>3.6745015563024737</c:v>
                </c:pt>
                <c:pt idx="24">
                  <c:v>1.4752745888902723</c:v>
                </c:pt>
                <c:pt idx="25">
                  <c:v>2.0687313721092977</c:v>
                </c:pt>
                <c:pt idx="26">
                  <c:v>6.7689948363209851E-2</c:v>
                </c:pt>
                <c:pt idx="27">
                  <c:v>-0.12588932224844029</c:v>
                </c:pt>
                <c:pt idx="28">
                  <c:v>2.1906602546173986</c:v>
                </c:pt>
                <c:pt idx="29">
                  <c:v>2.4032448321291326</c:v>
                </c:pt>
                <c:pt idx="30">
                  <c:v>2.7730189049163272</c:v>
                </c:pt>
                <c:pt idx="31">
                  <c:v>3.598660449921212</c:v>
                </c:pt>
                <c:pt idx="32">
                  <c:v>1.9711231502793822</c:v>
                </c:pt>
                <c:pt idx="33">
                  <c:v>1.0416773737980378</c:v>
                </c:pt>
                <c:pt idx="34">
                  <c:v>1.5570017997824692</c:v>
                </c:pt>
                <c:pt idx="35">
                  <c:v>1.8257488602716734</c:v>
                </c:pt>
                <c:pt idx="36">
                  <c:v>1.3014328722822768</c:v>
                </c:pt>
                <c:pt idx="37">
                  <c:v>1.5840908001048888</c:v>
                </c:pt>
              </c:numCache>
            </c:numRef>
          </c:val>
          <c:smooth val="0"/>
          <c:extLst>
            <c:ext xmlns:c16="http://schemas.microsoft.com/office/drawing/2014/chart" uri="{C3380CC4-5D6E-409C-BE32-E72D297353CC}">
              <c16:uniqueId val="{00000005-F02F-40D2-8893-E9EE24EFFF8A}"/>
            </c:ext>
          </c:extLst>
        </c:ser>
        <c:dLbls>
          <c:showLegendKey val="0"/>
          <c:showVal val="0"/>
          <c:showCatName val="0"/>
          <c:showSerName val="0"/>
          <c:showPercent val="0"/>
          <c:showBubbleSize val="0"/>
        </c:dLbls>
        <c:marker val="1"/>
        <c:smooth val="0"/>
        <c:axId val="100688640"/>
        <c:axId val="100690560"/>
      </c:lineChart>
      <c:catAx>
        <c:axId val="100688640"/>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00690560"/>
        <c:crosses val="autoZero"/>
        <c:auto val="1"/>
        <c:lblAlgn val="ctr"/>
        <c:lblOffset val="0"/>
        <c:tickMarkSkip val="4"/>
        <c:noMultiLvlLbl val="0"/>
      </c:catAx>
      <c:valAx>
        <c:axId val="100690560"/>
        <c:scaling>
          <c:orientation val="minMax"/>
          <c:max val="12"/>
          <c:min val="-5"/>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00688640"/>
        <c:crosses val="autoZero"/>
        <c:crossBetween val="between"/>
        <c:majorUnit val="1"/>
      </c:valAx>
      <c:spPr>
        <a:ln>
          <a:solidFill>
            <a:schemeClr val="tx1"/>
          </a:solidFill>
        </a:ln>
      </c:spPr>
    </c:plotArea>
    <c:legend>
      <c:legendPos val="b"/>
      <c:layout>
        <c:manualLayout>
          <c:xMode val="edge"/>
          <c:yMode val="edge"/>
          <c:x val="3.1246167703413017E-2"/>
          <c:y val="0.87578174603174608"/>
          <c:w val="0.95532757942632895"/>
          <c:h val="0.1134189342403628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53F7C-8772-43D5-94AB-50CBBF7B1A45}">
  <ds:schemaRefs>
    <ds:schemaRef ds:uri="http://schemas.openxmlformats.org/officeDocument/2006/bibliography"/>
  </ds:schemaRefs>
</ds:datastoreItem>
</file>

<file path=customXml/itemProps2.xml><?xml version="1.0" encoding="utf-8"?>
<ds:datastoreItem xmlns:ds="http://schemas.openxmlformats.org/officeDocument/2006/customXml" ds:itemID="{A106F5C8-5C30-4947-836C-EA877746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7</TotalTime>
  <Pages>4</Pages>
  <Words>1764</Words>
  <Characters>10413</Characters>
  <Application>Microsoft Office Word</Application>
  <DocSecurity>0</DocSecurity>
  <Lines>86</Lines>
  <Paragraphs>24</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12153</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Zábojníková</cp:lastModifiedBy>
  <cp:revision>5</cp:revision>
  <cp:lastPrinted>2019-04-08T10:52:00Z</cp:lastPrinted>
  <dcterms:created xsi:type="dcterms:W3CDTF">2019-09-12T08:38:00Z</dcterms:created>
  <dcterms:modified xsi:type="dcterms:W3CDTF">2019-09-12T09:05:00Z</dcterms:modified>
</cp:coreProperties>
</file>