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10B3B" w14:textId="22423A02" w:rsidR="00C715CC" w:rsidRPr="009110F7" w:rsidRDefault="00C715CC" w:rsidP="00C715CC">
      <w:pPr>
        <w:pStyle w:val="Nadpis11"/>
      </w:pPr>
      <w:bookmarkStart w:id="0" w:name="_Toc532558284"/>
      <w:bookmarkStart w:id="1" w:name="_Toc26539341"/>
      <w:bookmarkStart w:id="2" w:name="_Toc37403643"/>
      <w:r w:rsidRPr="009110F7">
        <w:t>4. Vnější vztahy</w:t>
      </w:r>
      <w:bookmarkEnd w:id="0"/>
      <w:bookmarkEnd w:id="2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3"/>
        <w:gridCol w:w="222"/>
        <w:gridCol w:w="7654"/>
      </w:tblGrid>
      <w:tr w:rsidR="0080346B" w:rsidRPr="009110F7" w14:paraId="4C34FE21" w14:textId="77777777" w:rsidTr="00CA5EAD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04189EF8" w14:textId="71419717" w:rsidR="0080346B" w:rsidRDefault="0080346B" w:rsidP="0080346B">
            <w:pPr>
              <w:pStyle w:val="Marginlie"/>
            </w:pPr>
            <w:r>
              <w:t>V roce 2019 se hodnota vývozu zboží celkově zvýšila. Ve 4. čtvrtletí ale došlo k propadu.</w:t>
            </w:r>
          </w:p>
        </w:tc>
        <w:tc>
          <w:tcPr>
            <w:tcW w:w="222" w:type="dxa"/>
            <w:shd w:val="clear" w:color="auto" w:fill="auto"/>
            <w:tcMar>
              <w:left w:w="0" w:type="dxa"/>
            </w:tcMar>
          </w:tcPr>
          <w:p w14:paraId="3F973CFA" w14:textId="77777777" w:rsidR="0080346B" w:rsidRDefault="0080346B" w:rsidP="0080346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280B1518" w14:textId="153AE4FE" w:rsidR="0080346B" w:rsidRPr="00DB613B" w:rsidRDefault="0080346B" w:rsidP="0080346B">
            <w:pPr>
              <w:spacing w:after="200"/>
            </w:pPr>
            <w:r w:rsidRPr="00DB613B">
              <w:t>Hodnota vývozu zboží v roce 2019 dosáhla 3 687,5 mld. korun</w:t>
            </w:r>
            <w:r w:rsidRPr="00DB613B">
              <w:rPr>
                <w:rStyle w:val="Znakapoznpodarou"/>
              </w:rPr>
              <w:footnoteReference w:id="1"/>
            </w:r>
            <w:r w:rsidRPr="00DB613B">
              <w:t>. Export zboží roste nepřetržitě již deset let a loni tomu nezabránilo ani ekonomické zpomalení u významných obchodních partnerů. Navýšení hodnoty vývozu loni činilo 71,3 mld. korun (2,0 %), nejméně od roku 2016. Celoroční výsledek zhoršilo zejména 4. čtvrtletí, kdy export dosáhl hodnoty 912,2 mld. korun a meziročně se propadl o 34,8 mld. (</w:t>
            </w:r>
            <w:r w:rsidR="00495145">
              <w:noBreakHyphen/>
            </w:r>
            <w:r w:rsidRPr="00DB613B">
              <w:t>3,7 %). K meziročnímu poklesu došlo poprvé od 1. kvartálu 2018, zčásti ale šlo o důsledek vysoké srovnávací základny</w:t>
            </w:r>
            <w:r w:rsidRPr="00DB613B">
              <w:rPr>
                <w:rStyle w:val="Znakapoznpodarou"/>
              </w:rPr>
              <w:footnoteReference w:id="2"/>
            </w:r>
            <w:r w:rsidRPr="00DB613B">
              <w:t>. Loňské 4. čtvrtletí mělo také o jeden pracovní den méně oproti roku 2018.</w:t>
            </w:r>
          </w:p>
        </w:tc>
      </w:tr>
      <w:tr w:rsidR="0080346B" w:rsidRPr="009110F7" w14:paraId="6C3733E9" w14:textId="77777777" w:rsidTr="00CA5EAD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28060B9C" w14:textId="07E570C1" w:rsidR="0080346B" w:rsidRDefault="0080346B" w:rsidP="0080346B">
            <w:pPr>
              <w:pStyle w:val="Marginlie"/>
            </w:pPr>
            <w:r>
              <w:t>Vývoz do EU rostl pomaleji než mimo Unii.</w:t>
            </w:r>
          </w:p>
        </w:tc>
        <w:tc>
          <w:tcPr>
            <w:tcW w:w="222" w:type="dxa"/>
            <w:shd w:val="clear" w:color="auto" w:fill="auto"/>
            <w:tcMar>
              <w:left w:w="0" w:type="dxa"/>
            </w:tcMar>
          </w:tcPr>
          <w:p w14:paraId="0AF82E6D" w14:textId="77777777" w:rsidR="0080346B" w:rsidRDefault="0080346B" w:rsidP="0080346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6E19BB66" w14:textId="7201568B" w:rsidR="0080346B" w:rsidRPr="00DB613B" w:rsidRDefault="0080346B" w:rsidP="0080346B">
            <w:pPr>
              <w:spacing w:after="200"/>
            </w:pPr>
            <w:r w:rsidRPr="00DB613B">
              <w:t>Zvolnění ekonomického růstu v Evropské unii se loni mírně projevilo i na struktuře výsledků českého exportu. Hodnota exportu mířícího do EU</w:t>
            </w:r>
            <w:r w:rsidRPr="00DB613B">
              <w:rPr>
                <w:rStyle w:val="Znakapoznpodarou"/>
              </w:rPr>
              <w:footnoteReference w:id="3"/>
            </w:r>
            <w:r w:rsidRPr="00DB613B">
              <w:t xml:space="preserve"> i mimo ni se zvýšila, nárůst exportu do EU byl ale mírnější (1,4 %, 41,8 mld. korun). U vývozu mimo Unii došlo k nárůstu o 5,1 % (29,5 mld.). Slabý přírůstek měl loni vývoz do Německa (1,1 %, 12,0 mld. korun), Nizozemska (1,1 %, 1,4 mld.) a Polska (1,3 %, 2,9 mld.). Zatímco v případě Nizozemska byly předchozí dva roky z hlediska českého exportu mimořádně úspěšné (přírůstky o 34,0 a 12,7 mld. korun v letech 2017 a 2018), export do Německa měl slabý přírůstek už v roce 2018. Loni poklesla hodnota vývozu do Švédska </w:t>
            </w:r>
            <w:r w:rsidR="00495145">
              <w:t>(-</w:t>
            </w:r>
            <w:r w:rsidRPr="00DB613B">
              <w:t>5,9 %,</w:t>
            </w:r>
            <w:r w:rsidR="00495145">
              <w:t xml:space="preserve"> -</w:t>
            </w:r>
            <w:r w:rsidRPr="00DB613B">
              <w:t>3,7 mld.</w:t>
            </w:r>
            <w:r w:rsidR="00495145">
              <w:t xml:space="preserve"> </w:t>
            </w:r>
            <w:r w:rsidRPr="00DB613B">
              <w:t>korun),</w:t>
            </w:r>
            <w:r w:rsidR="00495145">
              <w:t xml:space="preserve"> </w:t>
            </w:r>
            <w:r w:rsidRPr="00DB613B">
              <w:t>Itálie</w:t>
            </w:r>
            <w:r w:rsidR="00495145">
              <w:t xml:space="preserve"> </w:t>
            </w:r>
            <w:r w:rsidRPr="00DB613B">
              <w:t>(</w:t>
            </w:r>
            <w:r w:rsidR="00495145">
              <w:t>-</w:t>
            </w:r>
            <w:r w:rsidRPr="00DB613B">
              <w:t>3,6 %,</w:t>
            </w:r>
            <w:r w:rsidR="00495145">
              <w:t xml:space="preserve"> </w:t>
            </w:r>
            <w:r w:rsidRPr="00DB613B">
              <w:t>–4,9 mld.),</w:t>
            </w:r>
            <w:r w:rsidR="00495145">
              <w:t xml:space="preserve"> </w:t>
            </w:r>
            <w:r w:rsidRPr="00DB613B">
              <w:t>Velké Británie</w:t>
            </w:r>
            <w:r w:rsidR="00495145">
              <w:t xml:space="preserve"> </w:t>
            </w:r>
            <w:r w:rsidRPr="00DB613B">
              <w:t>(</w:t>
            </w:r>
            <w:r w:rsidR="00495145">
              <w:t>-</w:t>
            </w:r>
            <w:r w:rsidRPr="00DB613B">
              <w:t>2,1 %,</w:t>
            </w:r>
            <w:r w:rsidR="00495145">
              <w:t xml:space="preserve"> -</w:t>
            </w:r>
            <w:r w:rsidRPr="00DB613B">
              <w:t>3,4 mld.)</w:t>
            </w:r>
            <w:r w:rsidR="00495145">
              <w:t xml:space="preserve"> </w:t>
            </w:r>
            <w:r w:rsidRPr="00DB613B">
              <w:t>nebo</w:t>
            </w:r>
            <w:r w:rsidR="00495145">
              <w:t xml:space="preserve"> </w:t>
            </w:r>
            <w:r w:rsidRPr="00DB613B">
              <w:t>Rakouska</w:t>
            </w:r>
            <w:r w:rsidR="00495145">
              <w:t xml:space="preserve"> </w:t>
            </w:r>
            <w:r w:rsidRPr="00DB613B">
              <w:t>(</w:t>
            </w:r>
            <w:r w:rsidR="00495145">
              <w:noBreakHyphen/>
            </w:r>
            <w:r w:rsidRPr="00DB613B">
              <w:t>1,2 %,</w:t>
            </w:r>
            <w:r w:rsidR="00495145">
              <w:t xml:space="preserve"> </w:t>
            </w:r>
            <w:r w:rsidR="00495145">
              <w:noBreakHyphen/>
            </w:r>
            <w:r w:rsidRPr="00DB613B">
              <w:t>1,9 mld.). Naopak výrazně se zvýšil export do Maďarska (10,4 %, 11,5 mld. korun) a solidní zůstala tempa růstu vývozu do Rumunska (6,3 %, 3,5 mld.), Španělska (4,4 %, 5,2 mld.), na Slovensko (3,9 %, 12,6 mld.) a do Francie (3,3 %, 5,9 mld.). O 10,5 % (přes 8,0 mld. korun) vzrostla hodnota vývozu do Ruska i Spojených států. Přírůstek ve výši 8,7 % (4,2 mld.) zaznamenal export do Švýcarska. Poměrně výrazný byl nárůst vývozu do Japonska (11,4 %, 1,5 mld.). V samotném 4. čtvrtletí došlo k meziročnímu poklesu vývozu do zemí EU o 5,0 % (</w:t>
            </w:r>
            <w:r w:rsidR="00495145">
              <w:t>-</w:t>
            </w:r>
            <w:r w:rsidRPr="00DB613B">
              <w:t xml:space="preserve">39,8 mld. korun), zatímco růst exportu do </w:t>
            </w:r>
            <w:proofErr w:type="spellStart"/>
            <w:r w:rsidRPr="00DB613B">
              <w:t>mimounijních</w:t>
            </w:r>
            <w:proofErr w:type="spellEnd"/>
            <w:r w:rsidRPr="00DB613B">
              <w:t xml:space="preserve"> zemí se udržel na 3,2 % (5,0 mld.). Meziročně klesl v tomto čtvrtletí vývoz do většiny zemí EU, se kterými má ČR významné obchodní vztahy. Výjimkou bylo Maďarsko (+9,8 %) a Rumunsko (+7,0 %). Ve 4. čtvrtletí se udržel silný růst vývozu do Ruska (9,3 %).</w:t>
            </w:r>
          </w:p>
        </w:tc>
      </w:tr>
      <w:tr w:rsidR="0080346B" w:rsidRPr="009110F7" w14:paraId="7B6DB945" w14:textId="77777777" w:rsidTr="00CA5EAD">
        <w:trPr>
          <w:trHeight w:val="170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1CCF553A" w14:textId="6B72DE57" w:rsidR="0080346B" w:rsidRDefault="0080346B" w:rsidP="0080346B">
            <w:pPr>
              <w:pStyle w:val="Marginlie"/>
            </w:pPr>
            <w:r>
              <w:t>Export motorových vozidel k celkovému přírůstku přispěl nejvíce. Vývoz ostatních výrobků rostl pomaleji.</w:t>
            </w:r>
          </w:p>
        </w:tc>
        <w:tc>
          <w:tcPr>
            <w:tcW w:w="222" w:type="dxa"/>
            <w:shd w:val="clear" w:color="auto" w:fill="auto"/>
            <w:tcMar>
              <w:left w:w="0" w:type="dxa"/>
            </w:tcMar>
          </w:tcPr>
          <w:p w14:paraId="590554FB" w14:textId="77777777" w:rsidR="0080346B" w:rsidRDefault="0080346B" w:rsidP="0080346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3C9A02E4" w14:textId="26D8D01C" w:rsidR="0080346B" w:rsidRPr="00DB613B" w:rsidRDefault="0080346B" w:rsidP="0080346B">
            <w:pPr>
              <w:spacing w:after="200"/>
            </w:pPr>
            <w:r w:rsidRPr="00DB613B">
              <w:t>Růst hodnoty exportu loni nejvíce podpořila motorová vozidla (+38,3 mld. korun, 3,9 %, poprvé hodnota jejich vývozu překonala 1 bilion korun). Silný byl také přírůstek vývozu ostatních dopravních prostředků (+6,8 mld., 13,1 %), potravinářských výrobků (+6,6 mld., 6,1 %, zčásti kvůli silnému růstu cen) a základních farmaceutických výrobků (4,8 mld., 10,3 %). Kalamitní kůrovcová situace vedla také k prudkému nárůstu vývozu produktů lesnictví a těžby dřeva (+4,4 mld., 32,0 %). Solidní bylo navýšení exportu chemických látek a přípravků (+5,2 mld., 3,1 %). Z menších odvětví se dařilo například vývozu oděvů (+2,9 mld. korun, 10,8 %) nebo papíru a výrobků z něj (+3,9 mld., 6,8 %). Oslabení nastalo u některých významných vývozních artiklů. Vývoz strojů a zařízení se loni zvýšil o 8,6 mld. korun (2,1 %), což je nejméně od poklesu v roce 2013. Jen o 2,3 mld. (0,7 %) rostl export elektrických zařízení a o 2,1 mld. (0,9 %) se navýšil vývoz kovodělných výrobků. Silný pokles zaznamenal export základních kovů (–11,3 mld. korun, –7,6 %). Po mimořádně silném navýšení v letech 2017 a 2018 poklesl o 2,5 mld. (–0,6 %) vývoz počítačů, elektronických a optických přístrojů</w:t>
            </w:r>
            <w:r w:rsidRPr="00DB613B">
              <w:rPr>
                <w:rStyle w:val="Znakapoznpodarou"/>
              </w:rPr>
              <w:footnoteReference w:id="4"/>
            </w:r>
            <w:r w:rsidRPr="00DB613B">
              <w:t xml:space="preserve">. Výrazně klesla také hodnota exportu elektřiny, plynu, páry a klimatizovaného vzduchu (–2,9 mld. korun, </w:t>
            </w:r>
            <w:r w:rsidR="00495145">
              <w:noBreakHyphen/>
            </w:r>
            <w:r w:rsidRPr="00DB613B">
              <w:t xml:space="preserve">8,7 %), černého a hnědého uhlí a lignitu (–1,9 mld., –24,3 %) a dřeva </w:t>
            </w:r>
            <w:r w:rsidRPr="00DB613B">
              <w:lastRenderedPageBreak/>
              <w:t>a dřevěných výrobků (–1,6 mld., –3,9 %, první pokles od roku 2009). Ve 4. čtvrtletí k celkovému meziročnímu poklesu nejvýrazněji přispěly počítače, elektronické a optické</w:t>
            </w:r>
            <w:r w:rsidR="00495145">
              <w:t xml:space="preserve"> </w:t>
            </w:r>
            <w:r w:rsidRPr="00DB613B">
              <w:t>přístroje</w:t>
            </w:r>
            <w:r w:rsidR="00495145">
              <w:t xml:space="preserve"> </w:t>
            </w:r>
            <w:r w:rsidRPr="00DB613B">
              <w:t>(–9,2 mld.</w:t>
            </w:r>
            <w:r w:rsidR="00495145">
              <w:t xml:space="preserve"> </w:t>
            </w:r>
            <w:r w:rsidRPr="00DB613B">
              <w:t>korun,</w:t>
            </w:r>
            <w:r w:rsidR="00495145">
              <w:t xml:space="preserve"> </w:t>
            </w:r>
            <w:r w:rsidRPr="00DB613B">
              <w:t>–8,3 %),</w:t>
            </w:r>
            <w:r w:rsidR="00495145">
              <w:t xml:space="preserve"> </w:t>
            </w:r>
            <w:r w:rsidRPr="00DB613B">
              <w:t>dále</w:t>
            </w:r>
            <w:r w:rsidR="00495145">
              <w:t xml:space="preserve"> </w:t>
            </w:r>
            <w:r w:rsidRPr="00DB613B">
              <w:t>motorová</w:t>
            </w:r>
            <w:r w:rsidR="00495145">
              <w:t xml:space="preserve"> </w:t>
            </w:r>
            <w:r w:rsidRPr="00DB613B">
              <w:t>vozidla</w:t>
            </w:r>
            <w:r w:rsidR="00495145">
              <w:t xml:space="preserve"> </w:t>
            </w:r>
            <w:r w:rsidRPr="00DB613B">
              <w:t>(–7,1 mld., –2,8 %), základní</w:t>
            </w:r>
            <w:r w:rsidR="00495145">
              <w:t xml:space="preserve"> </w:t>
            </w:r>
            <w:r w:rsidRPr="00DB613B">
              <w:t>kovy</w:t>
            </w:r>
            <w:r w:rsidR="00495145">
              <w:t xml:space="preserve"> </w:t>
            </w:r>
            <w:r w:rsidRPr="00DB613B">
              <w:t>(–5,6 mld.,</w:t>
            </w:r>
            <w:r w:rsidR="00495145">
              <w:t xml:space="preserve"> </w:t>
            </w:r>
            <w:r w:rsidRPr="00DB613B">
              <w:t>–16,0 %</w:t>
            </w:r>
            <w:r w:rsidR="00495145" w:rsidRPr="00DB613B">
              <w:t>), stroje</w:t>
            </w:r>
            <w:r w:rsidR="00495145">
              <w:t xml:space="preserve"> </w:t>
            </w:r>
            <w:r w:rsidRPr="00DB613B">
              <w:t>a zařízení</w:t>
            </w:r>
            <w:r w:rsidR="00495145">
              <w:t xml:space="preserve"> </w:t>
            </w:r>
            <w:r w:rsidRPr="00DB613B">
              <w:t>(–3,1 mld.,</w:t>
            </w:r>
            <w:r w:rsidR="00495145">
              <w:t xml:space="preserve"> </w:t>
            </w:r>
            <w:r w:rsidRPr="00DB613B">
              <w:t>–3,0 %) a elektřina, plyn, pára a klimatizovaný vzduch (–3,0 mld., –27,3 %).</w:t>
            </w:r>
          </w:p>
        </w:tc>
      </w:tr>
      <w:tr w:rsidR="0080346B" w:rsidRPr="009110F7" w14:paraId="3ED40684" w14:textId="77777777" w:rsidTr="00CA5EAD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3B69811B" w14:textId="7A7CBB1F" w:rsidR="0080346B" w:rsidRDefault="0080346B" w:rsidP="0080346B">
            <w:pPr>
              <w:pStyle w:val="Marginlie"/>
            </w:pPr>
            <w:r>
              <w:lastRenderedPageBreak/>
              <w:t>Dovoz loni rostl pomaleji než vývoz a v závěru roku byl jeho propad rovněž výraznější.</w:t>
            </w:r>
          </w:p>
        </w:tc>
        <w:tc>
          <w:tcPr>
            <w:tcW w:w="222" w:type="dxa"/>
            <w:shd w:val="clear" w:color="auto" w:fill="auto"/>
            <w:tcMar>
              <w:left w:w="0" w:type="dxa"/>
            </w:tcMar>
          </w:tcPr>
          <w:p w14:paraId="598AB828" w14:textId="77777777" w:rsidR="0080346B" w:rsidRDefault="0080346B" w:rsidP="0080346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39C7BE15" w14:textId="150649A3" w:rsidR="0080346B" w:rsidRPr="00DB613B" w:rsidRDefault="0080346B" w:rsidP="0080346B">
            <w:r w:rsidRPr="00DB613B">
              <w:t>Dovoz v roce 2019 celkově dosáhl hodnoty 3 542,0 mld. korun. Vzhledem k úzkým vazbám importu na výrobu v domácí ekonomice jsou charakteristiky vývoje dovozu i vývozu podobné. Meziroční navýšení hodnoty importu dosáhlo loni celkem 24,2 mld. korun (0,7 %), opět nejméně od roku 2016. Podobně jako u vývozu došlo ve 4. čtvrtletí k výraznému meziročnímu propadu hodnoty importu (–34,3 mld. korun, –3,7 %), a dovoz tak dosáhl hodnoty 900,9 mld. korun. V roce 2019 meziročně klesla hodnota dovozu</w:t>
            </w:r>
            <w:r w:rsidR="00495145">
              <w:t xml:space="preserve"> </w:t>
            </w:r>
            <w:r w:rsidRPr="00DB613B">
              <w:t>z</w:t>
            </w:r>
            <w:r w:rsidR="00495145">
              <w:t xml:space="preserve"> </w:t>
            </w:r>
            <w:r w:rsidRPr="00DB613B">
              <w:t>EU</w:t>
            </w:r>
            <w:r w:rsidR="00495145">
              <w:t xml:space="preserve"> </w:t>
            </w:r>
            <w:r w:rsidRPr="00DB613B">
              <w:t>(–0,8 %, –18,3 mld. korun) a rostl import z ostatních destinací (3,4 %, 38,5 mld.), ovšem slaběji než v předchozím roce. Za snížením dovozu z EU stojí zejména</w:t>
            </w:r>
            <w:r w:rsidR="00495145">
              <w:t xml:space="preserve"> </w:t>
            </w:r>
            <w:r w:rsidRPr="00DB613B">
              <w:t>Slovensko</w:t>
            </w:r>
            <w:r w:rsidR="00495145">
              <w:t xml:space="preserve"> </w:t>
            </w:r>
            <w:r w:rsidRPr="00DB613B">
              <w:t>(–9,0 %,</w:t>
            </w:r>
            <w:r w:rsidR="00495145">
              <w:t xml:space="preserve"> </w:t>
            </w:r>
            <w:r w:rsidRPr="00DB613B">
              <w:t>–17,3 mld. korun), nezanedbatelný byl také pokles u Velké Británie (–7,4 %, –4,5 mld., dovoz klesal třetím rokem) a Německa (–0,4 %, –3,9 mld., první propad od roku 2009). Výrazně se propadl dovoz z Ruska (–10,5 %, –13,4 mld. korun). Významně však narostla hodnota importu z Číny (5,2 %, 19,0 mld.), ze Spojených států (5,6 %, 5,1 mld.) nebo Japonska (4,9 %, 3,0 mld.). Samotné 4. čtvrtletí přineslo propad dovozu z většiny zemí významných obchodních partnerů s výjimkou Spojených států (+10,2 %), Španělska (+2,8 %), Nizozemska (+2,5 %) a Japonska (+1,8 %).</w:t>
            </w:r>
          </w:p>
        </w:tc>
      </w:tr>
      <w:tr w:rsidR="0080346B" w:rsidRPr="009110F7" w14:paraId="416BD4D5" w14:textId="77777777" w:rsidTr="00CA5EAD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670ADC74" w14:textId="78679A73" w:rsidR="0080346B" w:rsidRDefault="0080346B" w:rsidP="0080346B">
            <w:pPr>
              <w:pStyle w:val="Marginlie"/>
            </w:pPr>
            <w:r>
              <w:t>Nárůst cen posílil hodnotu dovozu potravinářských výrobků.</w:t>
            </w:r>
          </w:p>
        </w:tc>
        <w:tc>
          <w:tcPr>
            <w:tcW w:w="222" w:type="dxa"/>
            <w:shd w:val="clear" w:color="auto" w:fill="auto"/>
            <w:tcMar>
              <w:left w:w="0" w:type="dxa"/>
            </w:tcMar>
          </w:tcPr>
          <w:p w14:paraId="26B83A90" w14:textId="77777777" w:rsidR="0080346B" w:rsidRDefault="0080346B" w:rsidP="0080346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04AB79C9" w14:textId="5A5C3192" w:rsidR="0080346B" w:rsidRPr="00DB613B" w:rsidRDefault="0080346B" w:rsidP="0080346B">
            <w:r w:rsidRPr="00DB613B">
              <w:t xml:space="preserve">K poměrně nízkému přírůstku hodnoty dovozu loni nejvíce pozitivně přispěla motorová vozidla (+13,1 mld. korun, 2,4 %), potravinářské výrobky (+11,4 mld., 7,8 %, zčásti kvůli cenovému nárůstu) a základní farmaceutické výrobky (+8,5 mld., 8,8 %). Celkem výrazné bylo rovněž navýšení u oděvů (5,9 mld. korun, 10,3 %). Prudce se zmírnil růst dovozu některých významných položek – strojů a zařízení (5,6 mld., 1,6 %), počítačů, elektronických a optických přístrojů (4,1 mld., 1,0 %) nebo chemických látek a přípravků (0,2 mld., 0,1 %). Silné poklesy byly zaznamenány u základních kovů (–16,5 mld. korun, </w:t>
            </w:r>
            <w:r w:rsidRPr="00DB613B">
              <w:br/>
              <w:t xml:space="preserve">–5,9 %), elektřiny, plynu, páry a klimatizovaného vzduchu (–9,1 mld. –33,1 %), koksu a rafinovaných ropných výrobků (–7,9 mld., –11,5 %), ropy a zemního plynu (–5,9 mld., </w:t>
            </w:r>
            <w:r w:rsidRPr="00DB613B">
              <w:br/>
              <w:t xml:space="preserve">–4,4 %) nebo ostatních dopravních prostředků (–5,4 mld., –11,5 %). K silnému meziročnímu propadu hodnoty importu, který se odehrál ve 4. čtvrtletí, přispěly nejvíce základní kovy (–8,4 mld. korun, –12,3 %), ropa a zemní plyn (–7,0 mld., –17,2 %), stroje a zařízení (–6,9 mld., –7,5 %) a elektřina, plyn, pára a klimatizovaný vzduch (–4,1 mld., </w:t>
            </w:r>
            <w:r w:rsidRPr="00DB613B">
              <w:br/>
              <w:t>–49,8 %). Nejvíce se meziročně v posledním čtvrtletí zvýšil dovoz potravinářských výrobků (3,2 mld., 8,0 %) a základních farmaceutických výrobků (1,9 mld., 7,6 %).</w:t>
            </w:r>
          </w:p>
        </w:tc>
      </w:tr>
      <w:tr w:rsidR="0080346B" w:rsidRPr="009110F7" w14:paraId="19CC0611" w14:textId="77777777" w:rsidTr="00CA5EAD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60D0CDC9" w14:textId="3455C21A" w:rsidR="0080346B" w:rsidRPr="000B78B7" w:rsidRDefault="0080346B" w:rsidP="0080346B">
            <w:pPr>
              <w:pStyle w:val="Marginlie"/>
            </w:pPr>
            <w:r>
              <w:t>Tradiční přebytek obchodu se zbožím se loni zvýšil nejvíce od roku 2012.</w:t>
            </w:r>
          </w:p>
        </w:tc>
        <w:tc>
          <w:tcPr>
            <w:tcW w:w="222" w:type="dxa"/>
            <w:shd w:val="clear" w:color="auto" w:fill="auto"/>
            <w:tcMar>
              <w:left w:w="0" w:type="dxa"/>
            </w:tcMar>
          </w:tcPr>
          <w:p w14:paraId="45739320" w14:textId="77777777" w:rsidR="0080346B" w:rsidRDefault="0080346B" w:rsidP="0080346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7DE01D2B" w14:textId="1740E896" w:rsidR="0080346B" w:rsidRPr="00DB613B" w:rsidRDefault="0080346B" w:rsidP="0080346B">
            <w:r w:rsidRPr="00DB613B">
              <w:t>Bilance zahraničního obchodu se zbožím loni dosáhla přebytku 145,6 mld. korun. Kladné saldo se zároveň meziročně navýšilo o 47,1 mld. korun, nejvíce od roku 2012 (ovlivněného intervencí ČNB a oslabením směnného kurzu). Výsledek ovlivnilo především oslabení dovozu. Popsaný nárůst přebytku vznikl zejména ve 2.</w:t>
            </w:r>
            <w:r w:rsidR="00495145">
              <w:t> </w:t>
            </w:r>
            <w:r w:rsidRPr="00DB613B">
              <w:t xml:space="preserve">a 3. kvartálu. Ve 4. čtvrtletí přebytek dosáhl 11,3 mld. korun a meziročně klesl o 0,5 mld. korun. Na loňském nárůstu přebytku se podílelo výhradně kladné saldo obchodu s EU (+60,1 mld. korun), naopak existující deficit se zbytkem světa se prohloubil o 9,0 mld. Zlepšila se zejména bilance se Slovenskem (+30,0 mld. korun), Německem (+15,9 mld.) a Maďarskem (+13,0 mld.). Výrazného zmírnění deficitu (o 21,5 mld. korun) dosáhl obchod s Ruskem. Ve směru deficitu obchodu se zbožím loni působila především Čína (–18,0 mld. korun). Ve 4. čtvrtletí byla situace opačná oproti kumulaci za celý rok. Přebytek obchodu s EU se meziročně propadl o 12,5 mld. korun a naopak deficit se zeměmi mimo EU se zmírnil o 12,3 mld. Bilanci obchodu s EU v posledním čtvrtletí negativně ovlivnil hlavně propad přebytku u Německa (–7,7 mld.), </w:t>
            </w:r>
            <w:r w:rsidRPr="00DB613B">
              <w:lastRenderedPageBreak/>
              <w:t>Nizozemska (–4,0 mld.), Španělska (–2,8 mld.) a Rakouska (–2,9 mld.). V závěru roku se zlepšila bilance obchodu s Ruskem (+7,2 mld.).</w:t>
            </w:r>
          </w:p>
        </w:tc>
      </w:tr>
      <w:tr w:rsidR="0080346B" w:rsidRPr="009110F7" w14:paraId="33317B83" w14:textId="77777777" w:rsidTr="00CA5EAD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43116F00" w14:textId="56E2A6E9" w:rsidR="0080346B" w:rsidRDefault="0080346B" w:rsidP="0080346B">
            <w:pPr>
              <w:pStyle w:val="Marginlie"/>
            </w:pPr>
            <w:r>
              <w:lastRenderedPageBreak/>
              <w:t>Motorová vozidla podpořila zlepšení bilance nejvíce.</w:t>
            </w:r>
          </w:p>
        </w:tc>
        <w:tc>
          <w:tcPr>
            <w:tcW w:w="222" w:type="dxa"/>
            <w:shd w:val="clear" w:color="auto" w:fill="auto"/>
            <w:tcMar>
              <w:left w:w="0" w:type="dxa"/>
            </w:tcMar>
          </w:tcPr>
          <w:p w14:paraId="0EDC2F04" w14:textId="77777777" w:rsidR="0080346B" w:rsidRDefault="0080346B" w:rsidP="0080346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30046207" w14:textId="508B207C" w:rsidR="0080346B" w:rsidRPr="00DB613B" w:rsidRDefault="0080346B" w:rsidP="00495145">
            <w:r w:rsidRPr="00DB613B">
              <w:t>K loňskému přebytku nejvýrazněji přispěl v meziročním srovnání obchod s motorovými vozidly (+25,2 mld. korun) a ostatními dopravními prostředky (+12,2 mld.). Významné bylo rovněž zlepšení bilance u koksu a rafinovaných ropných výrobků (+7,4 mld. korun), elektřiny, plynu, páry a klimatizovaného vzduchu (+6,1 mld.), ropy a zemního plynu (+5,0 mld.) a chemických látek a přípravků (+4,9 mld.). Přebytek se silně navýšil u obchodu s produkty lesnictví a těžby dřeva (+4,8 mld. korun) a díky zlepšení o 4,8 mld. se z deficitu do přebytku poprvé v dostupné časové řadě dostal obchod s papírem a výrobky z něj. Loni se výrazněji zhoršila bilance obchodu s počítači, elektronickými</w:t>
            </w:r>
            <w:r w:rsidR="00495145">
              <w:t xml:space="preserve"> </w:t>
            </w:r>
            <w:r w:rsidRPr="00DB613B">
              <w:t>a optickými</w:t>
            </w:r>
            <w:r w:rsidR="00495145">
              <w:t xml:space="preserve"> </w:t>
            </w:r>
            <w:r w:rsidRPr="00DB613B">
              <w:t>přístroji</w:t>
            </w:r>
            <w:r w:rsidR="00495145">
              <w:t xml:space="preserve"> </w:t>
            </w:r>
            <w:r w:rsidRPr="00DB613B">
              <w:t>(–6,6 mld. korun) a základními farmaceutickými výrobky (–3,7 mld.). V samotném 4. čtvrtletí nejvíce přispíval ve směru přebytku obchod s ropou a zemním plynem (+6,2 mld. korun), stroji a zařízením (+3,8 mld.), základními kovy (+2,8 mld.) a chemickými látkami a přípravky (+2,6 mld.). Deficitně působily zejména</w:t>
            </w:r>
            <w:r w:rsidR="00495145">
              <w:t xml:space="preserve"> </w:t>
            </w:r>
            <w:r w:rsidRPr="00DB613B">
              <w:t>počítače, elektronické</w:t>
            </w:r>
            <w:r w:rsidR="00495145">
              <w:t xml:space="preserve"> </w:t>
            </w:r>
            <w:r w:rsidRPr="00DB613B">
              <w:t>a optické</w:t>
            </w:r>
            <w:r w:rsidR="00495145">
              <w:t xml:space="preserve"> </w:t>
            </w:r>
            <w:r w:rsidRPr="00DB613B">
              <w:t>přístroje</w:t>
            </w:r>
            <w:r w:rsidR="00495145">
              <w:t xml:space="preserve"> </w:t>
            </w:r>
            <w:r w:rsidRPr="00DB613B">
              <w:t>(–8,3 mld.), motorová vozidla (</w:t>
            </w:r>
            <w:r w:rsidR="00495145">
              <w:noBreakHyphen/>
            </w:r>
            <w:r w:rsidRPr="00DB613B">
              <w:t>7,1 mld. korun) a potravinářské výrobky (–1,9 mld.).</w:t>
            </w:r>
          </w:p>
        </w:tc>
      </w:tr>
      <w:tr w:rsidR="0080346B" w:rsidRPr="009110F7" w14:paraId="2D19373E" w14:textId="77777777" w:rsidTr="00CA5EAD">
        <w:trPr>
          <w:trHeight w:val="170"/>
        </w:trPr>
        <w:tc>
          <w:tcPr>
            <w:tcW w:w="1763" w:type="dxa"/>
            <w:vMerge w:val="restart"/>
            <w:shd w:val="clear" w:color="auto" w:fill="auto"/>
            <w:tcMar>
              <w:left w:w="0" w:type="dxa"/>
            </w:tcMar>
          </w:tcPr>
          <w:p w14:paraId="38496118" w14:textId="77777777" w:rsidR="0080346B" w:rsidRDefault="0080346B" w:rsidP="0080346B">
            <w:pPr>
              <w:pStyle w:val="Marginlie"/>
            </w:pPr>
          </w:p>
        </w:tc>
        <w:tc>
          <w:tcPr>
            <w:tcW w:w="222" w:type="dxa"/>
            <w:vMerge w:val="restart"/>
            <w:shd w:val="clear" w:color="auto" w:fill="auto"/>
            <w:tcMar>
              <w:left w:w="0" w:type="dxa"/>
            </w:tcMar>
          </w:tcPr>
          <w:p w14:paraId="721EAB6F" w14:textId="77777777" w:rsidR="0080346B" w:rsidRDefault="0080346B" w:rsidP="0080346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1DA3B9BD" w14:textId="795FA2EB" w:rsidR="0080346B" w:rsidRPr="00DB613B" w:rsidRDefault="000767F5" w:rsidP="0080346B">
            <w:pPr>
              <w:spacing w:after="0"/>
            </w:pPr>
            <w:r w:rsidRPr="00DB613B">
              <w:rPr>
                <w:rFonts w:cs="Arial"/>
                <w:b/>
                <w:bCs/>
                <w:color w:val="000000"/>
                <w:sz w:val="18"/>
                <w:szCs w:val="18"/>
              </w:rPr>
              <w:t>Graf č. 8</w:t>
            </w:r>
            <w:r w:rsidR="0080346B" w:rsidRPr="00DB613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80346B" w:rsidRPr="00DB613B">
              <w:rPr>
                <w:b/>
                <w:sz w:val="18"/>
                <w:szCs w:val="18"/>
              </w:rPr>
              <w:t>Bilance zahraničního obchodu ve statistice zahraničního obchodu (kumulace celého roku, v mld. korun, vybrané oddíly klasifikace CPA)</w:t>
            </w:r>
          </w:p>
        </w:tc>
      </w:tr>
      <w:tr w:rsidR="0080346B" w:rsidRPr="009110F7" w14:paraId="43987404" w14:textId="77777777" w:rsidTr="00CA5EAD">
        <w:trPr>
          <w:trHeight w:val="170"/>
        </w:trPr>
        <w:tc>
          <w:tcPr>
            <w:tcW w:w="1763" w:type="dxa"/>
            <w:vMerge/>
            <w:shd w:val="clear" w:color="auto" w:fill="auto"/>
            <w:tcMar>
              <w:left w:w="0" w:type="dxa"/>
            </w:tcMar>
          </w:tcPr>
          <w:p w14:paraId="7DECEC15" w14:textId="77777777" w:rsidR="0080346B" w:rsidRDefault="0080346B" w:rsidP="0080346B">
            <w:pPr>
              <w:pStyle w:val="Marginlie"/>
            </w:pPr>
          </w:p>
        </w:tc>
        <w:tc>
          <w:tcPr>
            <w:tcW w:w="222" w:type="dxa"/>
            <w:vMerge/>
            <w:shd w:val="clear" w:color="auto" w:fill="auto"/>
            <w:tcMar>
              <w:left w:w="0" w:type="dxa"/>
            </w:tcMar>
          </w:tcPr>
          <w:p w14:paraId="0529D147" w14:textId="77777777" w:rsidR="0080346B" w:rsidRDefault="0080346B" w:rsidP="0080346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304E36C8" w14:textId="4283EA70" w:rsidR="0080346B" w:rsidRPr="00DB613B" w:rsidRDefault="0080346B" w:rsidP="0080346B">
            <w:pPr>
              <w:spacing w:after="0"/>
            </w:pPr>
            <w:r w:rsidRPr="00DB613B">
              <w:rPr>
                <w:noProof/>
              </w:rPr>
              <w:drawing>
                <wp:inline distT="0" distB="0" distL="0" distR="0" wp14:anchorId="59C5A427" wp14:editId="0E37415D">
                  <wp:extent cx="4771467" cy="3553200"/>
                  <wp:effectExtent l="0" t="0" r="0" b="0"/>
                  <wp:docPr id="25" name="Graf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80346B" w:rsidRPr="009110F7" w14:paraId="13F2C9BA" w14:textId="77777777" w:rsidTr="00CA5EAD">
        <w:trPr>
          <w:trHeight w:val="170"/>
        </w:trPr>
        <w:tc>
          <w:tcPr>
            <w:tcW w:w="1763" w:type="dxa"/>
            <w:vMerge/>
            <w:shd w:val="clear" w:color="auto" w:fill="auto"/>
            <w:tcMar>
              <w:left w:w="0" w:type="dxa"/>
            </w:tcMar>
          </w:tcPr>
          <w:p w14:paraId="4AA7A3BB" w14:textId="77777777" w:rsidR="0080346B" w:rsidRDefault="0080346B" w:rsidP="0080346B">
            <w:pPr>
              <w:pStyle w:val="Marginlie"/>
            </w:pPr>
          </w:p>
        </w:tc>
        <w:tc>
          <w:tcPr>
            <w:tcW w:w="222" w:type="dxa"/>
            <w:vMerge/>
            <w:shd w:val="clear" w:color="auto" w:fill="auto"/>
            <w:tcMar>
              <w:left w:w="0" w:type="dxa"/>
            </w:tcMar>
          </w:tcPr>
          <w:p w14:paraId="1C411474" w14:textId="77777777" w:rsidR="0080346B" w:rsidRDefault="0080346B" w:rsidP="0080346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07BA5F9D" w14:textId="5E5A5939" w:rsidR="0080346B" w:rsidRPr="00DB613B" w:rsidRDefault="0080346B" w:rsidP="0080346B">
            <w:r w:rsidRPr="00DB613B">
              <w:rPr>
                <w:sz w:val="14"/>
                <w:szCs w:val="14"/>
              </w:rPr>
              <w:t>Zdroj: ČSÚ</w:t>
            </w:r>
          </w:p>
        </w:tc>
      </w:tr>
      <w:tr w:rsidR="0080346B" w:rsidRPr="009110F7" w14:paraId="58E343BD" w14:textId="77777777" w:rsidTr="00CA5EAD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33C7C8B3" w14:textId="4EEDFB53" w:rsidR="0080346B" w:rsidRDefault="0080346B" w:rsidP="0080346B">
            <w:pPr>
              <w:pStyle w:val="Marginlie"/>
            </w:pPr>
            <w:r>
              <w:t>Přebytek zahraničního obchodu se službami se loni výrazně snížil.</w:t>
            </w:r>
          </w:p>
        </w:tc>
        <w:tc>
          <w:tcPr>
            <w:tcW w:w="222" w:type="dxa"/>
            <w:shd w:val="clear" w:color="auto" w:fill="auto"/>
            <w:tcMar>
              <w:left w:w="0" w:type="dxa"/>
            </w:tcMar>
          </w:tcPr>
          <w:p w14:paraId="126B5060" w14:textId="77777777" w:rsidR="0080346B" w:rsidRDefault="0080346B" w:rsidP="0080346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39F72215" w14:textId="236A4512" w:rsidR="0080346B" w:rsidRPr="00DB613B" w:rsidRDefault="0080346B" w:rsidP="0080346B">
            <w:r w:rsidRPr="00DB613B">
              <w:t>Podle údajů ČNB o platební bilanci se přebytek obchodu se službami loni meziročně snížil o 18,3 mld. korun a dosáhl 103,7 mld. Podrobnější údaje ukazují na výrazné prohloubení deficitu u ostatních podnikatelských služeb</w:t>
            </w:r>
            <w:r w:rsidRPr="00DB613B">
              <w:rPr>
                <w:rStyle w:val="Znakapoznpodarou"/>
              </w:rPr>
              <w:footnoteReference w:id="5"/>
            </w:r>
            <w:r w:rsidRPr="00DB613B">
              <w:t xml:space="preserve"> (o 16,7 mld. korun). Deficit se zde prohloubil kvůli prudkému navýšení dovozu. Propad přebytku nastal také u služeb v dopravě (pokles o 12,5 mld. korun na 22,3 mld.). Souběžně zde loni poklesla hodnota vývozu a narostl jejich dovoz. Naopak příznivě na bilanci služeb působil obchod s telekomunikačními službami a službami v oblasti počítačů a informačních služeb (nárůst přebytku o 10,5 mld. korun na 50,3 mld.). Loni se výrazně zvýšila hodnota jejich </w:t>
            </w:r>
            <w:r w:rsidRPr="00DB613B">
              <w:lastRenderedPageBreak/>
              <w:t>vývozu a tyto služby tvořily také největší část z celkového přebytku. Prakticky nezměněn zůstal přebytek obchodu s výrobními službami u cizích fyzických vstupů</w:t>
            </w:r>
            <w:r w:rsidRPr="00DB613B">
              <w:rPr>
                <w:rStyle w:val="Znakapoznpodarou"/>
              </w:rPr>
              <w:footnoteReference w:id="6"/>
            </w:r>
            <w:r w:rsidRPr="00DB613B">
              <w:t xml:space="preserve"> (42,0 mld. korun) a cestovního ruchu (32,7 mld.).</w:t>
            </w:r>
          </w:p>
        </w:tc>
      </w:tr>
      <w:tr w:rsidR="0080346B" w:rsidRPr="009110F7" w14:paraId="675855E2" w14:textId="77777777" w:rsidTr="00CA5EAD">
        <w:trPr>
          <w:trHeight w:val="170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48A8069F" w14:textId="74930645" w:rsidR="0080346B" w:rsidRPr="00127BC2" w:rsidRDefault="0080346B" w:rsidP="0080346B">
            <w:pPr>
              <w:pStyle w:val="Marginlie"/>
            </w:pPr>
            <w:r w:rsidRPr="00127BC2">
              <w:lastRenderedPageBreak/>
              <w:t>Deficit prvotních důchodů se loni zmírnil o</w:t>
            </w:r>
            <w:r>
              <w:t> </w:t>
            </w:r>
            <w:r w:rsidRPr="00127BC2">
              <w:t>37,6</w:t>
            </w:r>
            <w:r>
              <w:t> mld.</w:t>
            </w:r>
            <w:r w:rsidRPr="00127BC2">
              <w:t xml:space="preserve"> korun.</w:t>
            </w:r>
          </w:p>
        </w:tc>
        <w:tc>
          <w:tcPr>
            <w:tcW w:w="222" w:type="dxa"/>
            <w:shd w:val="clear" w:color="auto" w:fill="auto"/>
            <w:tcMar>
              <w:left w:w="0" w:type="dxa"/>
            </w:tcMar>
          </w:tcPr>
          <w:p w14:paraId="7112E5DD" w14:textId="77777777" w:rsidR="0080346B" w:rsidRPr="00A601E7" w:rsidRDefault="0080346B" w:rsidP="0080346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7D0942E5" w14:textId="774DCEBE" w:rsidR="0080346B" w:rsidRPr="00DB613B" w:rsidRDefault="0080346B" w:rsidP="0080346B">
            <w:r w:rsidRPr="00DB613B">
              <w:t>Saldo toků prvotních důchodů mezi rezidenty a nerezidenty loni dosáhlo –254,0 mld. korun. Tradiční deficit se loni zmírnil o 37,6 mld. Hlavním zdrojem deficitu bylo záporné saldo důchodů z vlastnictví, které loni činilo –293,1 mld. korun. Jeho zlepšení o 50,1 mld. vzniklo zejména navýšením důchodů z vlastnictví rezidentů v zahraničí o 40,7 mld. korun (prakticky celý nárůst připadl na reinvestované zisky rezidentů z přímých zahraničních investic, které vzrostly na 91,7 mld.). Důchody z vlastnictví nerezidentů v domácí ekonomice činily loni 485,9 mld. korun, z toho téměř 401 mld. (7,1 % HDP) představovaly zisky z přímých investic. Z toho reinvestováno bylo 82,0 mld. korun (o 52,4 mld. méně než v roce 2018) a 321,2 mld. odešlo do zahraničí ve formě rozdělovaných důchodů společností (meziročně o 15,7 mld. více). Protiváhou k deficitu důchodů z vlastnictví je kladné saldo náhrad zaměstnancům, které loni dosáhlo 17,4 mld. korun a meziročně se snížilo o 13,3 mld. Jen mírný nárůst prostředků, které si připsali rezidenti ve formě náhrad od nerezidentů (68,1 mld. korun, +1,4 mld.), byl doprovázen nárůstem náhrad vyplacených nerezidentům o 14,7 mld. na 50,8 mld.</w:t>
            </w:r>
          </w:p>
        </w:tc>
      </w:tr>
      <w:tr w:rsidR="0080346B" w:rsidRPr="009110F7" w14:paraId="645A31E9" w14:textId="77777777" w:rsidTr="00CA5EAD">
        <w:trPr>
          <w:trHeight w:val="170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013942CA" w14:textId="6F775F55" w:rsidR="0080346B" w:rsidRPr="00127BC2" w:rsidRDefault="0080346B" w:rsidP="0080346B">
            <w:pPr>
              <w:pStyle w:val="Marginlie"/>
            </w:pPr>
            <w:r w:rsidRPr="00127BC2">
              <w:t>Objem investičních dotací ze zahraničí loni dosáhl 61,3</w:t>
            </w:r>
            <w:r>
              <w:t> mld.</w:t>
            </w:r>
            <w:r w:rsidRPr="00127BC2">
              <w:t xml:space="preserve"> korun.</w:t>
            </w:r>
          </w:p>
        </w:tc>
        <w:tc>
          <w:tcPr>
            <w:tcW w:w="222" w:type="dxa"/>
            <w:shd w:val="clear" w:color="auto" w:fill="auto"/>
            <w:tcMar>
              <w:left w:w="0" w:type="dxa"/>
            </w:tcMar>
          </w:tcPr>
          <w:p w14:paraId="0CC3FD47" w14:textId="77777777" w:rsidR="0080346B" w:rsidRPr="00974782" w:rsidRDefault="0080346B" w:rsidP="0080346B">
            <w:pPr>
              <w:pStyle w:val="Textpoznpodarou"/>
              <w:jc w:val="both"/>
              <w:rPr>
                <w:spacing w:val="-4"/>
                <w:highlight w:val="yellow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55D8419E" w14:textId="47B3ECA8" w:rsidR="0080346B" w:rsidRPr="00DB613B" w:rsidRDefault="0080346B" w:rsidP="0080346B">
            <w:r w:rsidRPr="00DB613B">
              <w:t>Prostřednictvím ostatních transferů</w:t>
            </w:r>
            <w:r w:rsidRPr="00DB613B">
              <w:rPr>
                <w:rStyle w:val="Znakapoznpodarou"/>
              </w:rPr>
              <w:footnoteReference w:id="7"/>
            </w:r>
            <w:r w:rsidRPr="00DB613B">
              <w:t xml:space="preserve"> si nerezidenti připsali 138,6 mld. korun, v opačném směru to bylo 89,2 mld. Výsledné saldo se tak zmírnilo o 6,3 mld. korun na 49,4 mld. Společně s deficitem prvotních důchodů to působilo ve směru deficitu běžných transakcí rezidentů s nerezidenty, přebytek zahraničního obchodu byl ale dostatečně vysoký, aby konečné saldo bylo kladné a dosáhlo 40,8 mld. korun (zlepšení o 48,0 mld.). Přebytek bilance kapitálových transferů loni činil 53,9 mld. korun, zejména díky výraznému přílivu prostředků ze zahraničí (63,3 mld. korun, z toho 61,3 mld. ve formě investičních dotací). Čisté výpůjčky</w:t>
            </w:r>
            <w:r w:rsidRPr="00DB613B">
              <w:rPr>
                <w:rStyle w:val="Znakapoznpodarou"/>
              </w:rPr>
              <w:footnoteReference w:id="8"/>
            </w:r>
            <w:r w:rsidRPr="00DB613B">
              <w:t xml:space="preserve"> se tak loni zvýšily o 20,7 mld. korun a dosáhly 62,1 mld.</w:t>
            </w:r>
          </w:p>
        </w:tc>
      </w:tr>
    </w:tbl>
    <w:p w14:paraId="71F71560" w14:textId="77777777" w:rsidR="00C715CC" w:rsidRPr="009110F7" w:rsidRDefault="00C715CC" w:rsidP="00C715CC">
      <w:pPr>
        <w:pStyle w:val="Nadpis11"/>
        <w:rPr>
          <w:sz w:val="2"/>
          <w:szCs w:val="2"/>
        </w:rPr>
      </w:pPr>
      <w:bookmarkStart w:id="3" w:name="_Toc511215218"/>
      <w:bookmarkEnd w:id="3"/>
    </w:p>
    <w:p w14:paraId="33954BD7" w14:textId="28C449B6" w:rsidR="00CA5EAD" w:rsidRDefault="00CA5EAD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28"/>
        </w:rPr>
      </w:pPr>
      <w:bookmarkStart w:id="4" w:name="_Toc19090678"/>
      <w:bookmarkStart w:id="5" w:name="_Toc26539342"/>
      <w:bookmarkEnd w:id="1"/>
    </w:p>
    <w:bookmarkEnd w:id="4"/>
    <w:bookmarkEnd w:id="5"/>
    <w:sectPr w:rsidR="00CA5EAD" w:rsidSect="008D1FC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D2585" w14:textId="77777777" w:rsidR="00C831E7" w:rsidRDefault="00C831E7" w:rsidP="00E71A58">
      <w:r>
        <w:separator/>
      </w:r>
    </w:p>
  </w:endnote>
  <w:endnote w:type="continuationSeparator" w:id="0">
    <w:p w14:paraId="62146C34" w14:textId="77777777" w:rsidR="00C831E7" w:rsidRDefault="00C831E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51A0D" w14:textId="68C31C39" w:rsidR="003474B6" w:rsidRPr="00932443" w:rsidRDefault="003474B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4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>
      <w:rPr>
        <w:szCs w:val="16"/>
      </w:rPr>
      <w:t>22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Rok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17E4B" w14:textId="540E6951" w:rsidR="003474B6" w:rsidRPr="00932443" w:rsidRDefault="003474B6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 xml:space="preserve">Rok 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45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>
      <w:t>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>
      <w:rPr>
        <w:rStyle w:val="ZpatChar"/>
        <w:szCs w:val="16"/>
      </w:rPr>
      <w:t>23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9B6B6" w14:textId="77777777" w:rsidR="00C831E7" w:rsidRDefault="00C831E7" w:rsidP="00A21B4D">
      <w:pPr>
        <w:spacing w:after="0"/>
      </w:pPr>
      <w:r>
        <w:separator/>
      </w:r>
    </w:p>
  </w:footnote>
  <w:footnote w:type="continuationSeparator" w:id="0">
    <w:p w14:paraId="0072FE5B" w14:textId="77777777" w:rsidR="00C831E7" w:rsidRDefault="00C831E7" w:rsidP="00E71A58">
      <w:r>
        <w:continuationSeparator/>
      </w:r>
    </w:p>
  </w:footnote>
  <w:footnote w:id="1">
    <w:p w14:paraId="47BCBE3E" w14:textId="77777777" w:rsidR="003474B6" w:rsidRPr="003279A7" w:rsidRDefault="003474B6" w:rsidP="00C715CC">
      <w:pPr>
        <w:pStyle w:val="Textpoznpodarou"/>
        <w:rPr>
          <w:sz w:val="16"/>
          <w:szCs w:val="16"/>
        </w:rPr>
      </w:pPr>
      <w:r w:rsidRPr="003279A7">
        <w:rPr>
          <w:rStyle w:val="Znakapoznpodarou"/>
          <w:sz w:val="16"/>
          <w:szCs w:val="16"/>
        </w:rPr>
        <w:footnoteRef/>
      </w:r>
      <w:r w:rsidRPr="003279A7">
        <w:rPr>
          <w:sz w:val="16"/>
          <w:szCs w:val="16"/>
        </w:rPr>
        <w:t xml:space="preserve"> Údaje </w:t>
      </w:r>
      <w:r>
        <w:rPr>
          <w:sz w:val="16"/>
          <w:szCs w:val="16"/>
        </w:rPr>
        <w:t xml:space="preserve">statistiky zahraničního obchodu </w:t>
      </w:r>
      <w:r w:rsidRPr="003279A7">
        <w:rPr>
          <w:sz w:val="16"/>
          <w:szCs w:val="16"/>
        </w:rPr>
        <w:t>v nominálním vyjádření zahrnující pouze obchod se zbožím. Hodnota vývozu je zachycena v</w:t>
      </w:r>
      <w:r>
        <w:rPr>
          <w:sz w:val="16"/>
          <w:szCs w:val="16"/>
        </w:rPr>
        <w:t> </w:t>
      </w:r>
      <w:r w:rsidRPr="003279A7">
        <w:rPr>
          <w:sz w:val="16"/>
          <w:szCs w:val="16"/>
        </w:rPr>
        <w:t>cenách</w:t>
      </w:r>
      <w:r>
        <w:rPr>
          <w:sz w:val="16"/>
          <w:szCs w:val="16"/>
        </w:rPr>
        <w:t xml:space="preserve"> </w:t>
      </w:r>
      <w:r w:rsidRPr="003279A7">
        <w:rPr>
          <w:sz w:val="16"/>
          <w:szCs w:val="16"/>
        </w:rPr>
        <w:t>FOB, tj.</w:t>
      </w:r>
      <w:r>
        <w:rPr>
          <w:sz w:val="16"/>
          <w:szCs w:val="16"/>
        </w:rPr>
        <w:t> </w:t>
      </w:r>
      <w:r w:rsidRPr="003279A7">
        <w:rPr>
          <w:sz w:val="16"/>
          <w:szCs w:val="16"/>
        </w:rPr>
        <w:t>včetně nákladů souvisejících s dopravou na hranice</w:t>
      </w:r>
      <w:r>
        <w:rPr>
          <w:sz w:val="16"/>
          <w:szCs w:val="16"/>
        </w:rPr>
        <w:t> </w:t>
      </w:r>
      <w:r w:rsidRPr="003279A7">
        <w:rPr>
          <w:sz w:val="16"/>
          <w:szCs w:val="16"/>
        </w:rPr>
        <w:t>ČR. Dovoz</w:t>
      </w:r>
      <w:r>
        <w:rPr>
          <w:sz w:val="16"/>
          <w:szCs w:val="16"/>
        </w:rPr>
        <w:t xml:space="preserve"> uvedený níže v této kapitole</w:t>
      </w:r>
      <w:r w:rsidRPr="003279A7">
        <w:rPr>
          <w:sz w:val="16"/>
          <w:szCs w:val="16"/>
        </w:rPr>
        <w:t xml:space="preserve"> je v cenách CIF, tj.</w:t>
      </w:r>
      <w:r>
        <w:rPr>
          <w:sz w:val="16"/>
          <w:szCs w:val="16"/>
        </w:rPr>
        <w:t> </w:t>
      </w:r>
      <w:r w:rsidRPr="003279A7">
        <w:rPr>
          <w:sz w:val="16"/>
          <w:szCs w:val="16"/>
        </w:rPr>
        <w:t>včetně nákladů souvisejících s dopravou v zahraničí na hranice</w:t>
      </w:r>
      <w:r>
        <w:rPr>
          <w:sz w:val="16"/>
          <w:szCs w:val="16"/>
        </w:rPr>
        <w:t> </w:t>
      </w:r>
      <w:r w:rsidRPr="003279A7">
        <w:rPr>
          <w:sz w:val="16"/>
          <w:szCs w:val="16"/>
        </w:rPr>
        <w:t>ČR. Data jsou platná k</w:t>
      </w:r>
      <w:r>
        <w:rPr>
          <w:sz w:val="16"/>
          <w:szCs w:val="16"/>
        </w:rPr>
        <w:t> 9. 3. 2020.</w:t>
      </w:r>
    </w:p>
  </w:footnote>
  <w:footnote w:id="2">
    <w:p w14:paraId="2EDB2917" w14:textId="77777777" w:rsidR="003474B6" w:rsidRPr="007A024B" w:rsidRDefault="003474B6" w:rsidP="00C715CC">
      <w:pPr>
        <w:pStyle w:val="Textpoznpodarou"/>
        <w:rPr>
          <w:sz w:val="16"/>
          <w:szCs w:val="16"/>
        </w:rPr>
      </w:pPr>
      <w:r w:rsidRPr="007A024B">
        <w:rPr>
          <w:rStyle w:val="Znakapoznpodarou"/>
          <w:sz w:val="16"/>
          <w:szCs w:val="16"/>
        </w:rPr>
        <w:footnoteRef/>
      </w:r>
      <w:r w:rsidRPr="007A024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 hlediska vývozu bylo </w:t>
      </w:r>
      <w:r w:rsidRPr="007A024B">
        <w:rPr>
          <w:spacing w:val="-4"/>
          <w:sz w:val="16"/>
          <w:szCs w:val="16"/>
        </w:rPr>
        <w:t>4</w:t>
      </w:r>
      <w:r>
        <w:rPr>
          <w:spacing w:val="-4"/>
          <w:sz w:val="16"/>
          <w:szCs w:val="16"/>
        </w:rPr>
        <w:t>. čtvrtlet</w:t>
      </w:r>
      <w:r w:rsidRPr="007A024B">
        <w:rPr>
          <w:spacing w:val="-4"/>
          <w:sz w:val="16"/>
          <w:szCs w:val="16"/>
        </w:rPr>
        <w:t>í 2018 nejlepším kvartálem příslušného roku, ale rovněž celé předchozí časové řady, překonalo jej pouze letošní 2</w:t>
      </w:r>
      <w:r>
        <w:rPr>
          <w:spacing w:val="-4"/>
          <w:sz w:val="16"/>
          <w:szCs w:val="16"/>
        </w:rPr>
        <w:t>. čtvrtlet</w:t>
      </w:r>
      <w:r w:rsidRPr="007A024B">
        <w:rPr>
          <w:spacing w:val="-4"/>
          <w:sz w:val="16"/>
          <w:szCs w:val="16"/>
        </w:rPr>
        <w:t>í, které bývá pravidelně nejsilnějším obdobím roku</w:t>
      </w:r>
      <w:r>
        <w:rPr>
          <w:spacing w:val="-4"/>
          <w:sz w:val="16"/>
          <w:szCs w:val="16"/>
        </w:rPr>
        <w:t>.</w:t>
      </w:r>
    </w:p>
  </w:footnote>
  <w:footnote w:id="3">
    <w:p w14:paraId="4ACA07B1" w14:textId="77777777" w:rsidR="003474B6" w:rsidRPr="007A024B" w:rsidRDefault="003474B6" w:rsidP="00C715CC">
      <w:pPr>
        <w:pStyle w:val="Textpoznpodarou"/>
        <w:rPr>
          <w:sz w:val="16"/>
          <w:szCs w:val="16"/>
        </w:rPr>
      </w:pPr>
      <w:r w:rsidRPr="007A024B">
        <w:rPr>
          <w:rStyle w:val="Znakapoznpodarou"/>
          <w:sz w:val="16"/>
          <w:szCs w:val="16"/>
        </w:rPr>
        <w:footnoteRef/>
      </w:r>
      <w:r w:rsidRPr="007A024B">
        <w:rPr>
          <w:sz w:val="16"/>
          <w:szCs w:val="16"/>
        </w:rPr>
        <w:t xml:space="preserve"> EU28 včetně velké Británie.</w:t>
      </w:r>
    </w:p>
  </w:footnote>
  <w:footnote w:id="4">
    <w:p w14:paraId="2592C89F" w14:textId="77777777" w:rsidR="003474B6" w:rsidRPr="00F44399" w:rsidRDefault="003474B6" w:rsidP="00C715CC">
      <w:pPr>
        <w:pStyle w:val="Textpoznpodarou"/>
        <w:rPr>
          <w:sz w:val="16"/>
          <w:szCs w:val="16"/>
        </w:rPr>
      </w:pPr>
      <w:r w:rsidRPr="00F44399">
        <w:rPr>
          <w:rStyle w:val="Znakapoznpodarou"/>
          <w:sz w:val="16"/>
          <w:szCs w:val="16"/>
        </w:rPr>
        <w:footnoteRef/>
      </w:r>
      <w:r w:rsidRPr="00F44399">
        <w:rPr>
          <w:sz w:val="16"/>
          <w:szCs w:val="16"/>
        </w:rPr>
        <w:t xml:space="preserve"> </w:t>
      </w:r>
      <w:r w:rsidRPr="00F44399">
        <w:rPr>
          <w:spacing w:val="-4"/>
          <w:sz w:val="16"/>
          <w:szCs w:val="16"/>
        </w:rPr>
        <w:t>Kromě vysoké srovnávací základny se v odvětví projevil přesun některých částí produkce z kategorie zboží do služeb.</w:t>
      </w:r>
    </w:p>
  </w:footnote>
  <w:footnote w:id="5">
    <w:p w14:paraId="3EE87FB5" w14:textId="77777777" w:rsidR="003474B6" w:rsidRPr="00302165" w:rsidRDefault="003474B6" w:rsidP="00302165">
      <w:pPr>
        <w:pStyle w:val="Textpoznpodarou"/>
        <w:rPr>
          <w:sz w:val="16"/>
          <w:szCs w:val="16"/>
        </w:rPr>
      </w:pPr>
      <w:r w:rsidRPr="00302165">
        <w:rPr>
          <w:rStyle w:val="Znakapoznpodarou"/>
          <w:sz w:val="16"/>
          <w:szCs w:val="16"/>
        </w:rPr>
        <w:footnoteRef/>
      </w:r>
      <w:r w:rsidRPr="00302165">
        <w:rPr>
          <w:sz w:val="16"/>
          <w:szCs w:val="16"/>
        </w:rPr>
        <w:t xml:space="preserve"> Jedná se o</w:t>
      </w:r>
      <w:r>
        <w:rPr>
          <w:sz w:val="16"/>
          <w:szCs w:val="16"/>
        </w:rPr>
        <w:t> heterogenní uskupení</w:t>
      </w:r>
      <w:r w:rsidRPr="00302165">
        <w:rPr>
          <w:sz w:val="16"/>
          <w:szCs w:val="16"/>
        </w:rPr>
        <w:t xml:space="preserve"> zahrnující služby výzkumu a</w:t>
      </w:r>
      <w:r>
        <w:rPr>
          <w:sz w:val="16"/>
          <w:szCs w:val="16"/>
        </w:rPr>
        <w:t> </w:t>
      </w:r>
      <w:r w:rsidRPr="00302165">
        <w:rPr>
          <w:sz w:val="16"/>
          <w:szCs w:val="16"/>
        </w:rPr>
        <w:t>vývoje, profesní a</w:t>
      </w:r>
      <w:r>
        <w:rPr>
          <w:sz w:val="16"/>
          <w:szCs w:val="16"/>
        </w:rPr>
        <w:t> </w:t>
      </w:r>
      <w:r w:rsidRPr="00302165">
        <w:rPr>
          <w:sz w:val="16"/>
          <w:szCs w:val="16"/>
        </w:rPr>
        <w:t>administrativní konzultační služby, služby související s</w:t>
      </w:r>
      <w:r>
        <w:rPr>
          <w:sz w:val="16"/>
          <w:szCs w:val="16"/>
        </w:rPr>
        <w:t> </w:t>
      </w:r>
      <w:r w:rsidRPr="00302165">
        <w:rPr>
          <w:sz w:val="16"/>
          <w:szCs w:val="16"/>
        </w:rPr>
        <w:t>odpady a</w:t>
      </w:r>
      <w:r>
        <w:rPr>
          <w:sz w:val="16"/>
          <w:szCs w:val="16"/>
        </w:rPr>
        <w:t> </w:t>
      </w:r>
      <w:r w:rsidRPr="00302165">
        <w:rPr>
          <w:sz w:val="16"/>
          <w:szCs w:val="16"/>
        </w:rPr>
        <w:t>znečištěním, zemědělské a</w:t>
      </w:r>
      <w:r>
        <w:rPr>
          <w:sz w:val="16"/>
          <w:szCs w:val="16"/>
        </w:rPr>
        <w:t> </w:t>
      </w:r>
      <w:r w:rsidRPr="00302165">
        <w:rPr>
          <w:sz w:val="16"/>
          <w:szCs w:val="16"/>
        </w:rPr>
        <w:t>důlní služby, operativní leasing a</w:t>
      </w:r>
      <w:r>
        <w:rPr>
          <w:sz w:val="16"/>
          <w:szCs w:val="16"/>
        </w:rPr>
        <w:t> </w:t>
      </w:r>
      <w:r w:rsidRPr="00302165">
        <w:rPr>
          <w:sz w:val="16"/>
          <w:szCs w:val="16"/>
        </w:rPr>
        <w:t>služby související s přenosem vody, plynu, páry, ropných produktů a</w:t>
      </w:r>
      <w:r>
        <w:rPr>
          <w:sz w:val="16"/>
          <w:szCs w:val="16"/>
        </w:rPr>
        <w:t> </w:t>
      </w:r>
      <w:r w:rsidRPr="00302165">
        <w:rPr>
          <w:sz w:val="16"/>
          <w:szCs w:val="16"/>
        </w:rPr>
        <w:t>klimatizovaného vzduchu.</w:t>
      </w:r>
    </w:p>
  </w:footnote>
  <w:footnote w:id="6">
    <w:p w14:paraId="7878171F" w14:textId="77777777" w:rsidR="003474B6" w:rsidRPr="0048372F" w:rsidRDefault="003474B6">
      <w:pPr>
        <w:pStyle w:val="Textpoznpodarou"/>
        <w:rPr>
          <w:sz w:val="16"/>
          <w:szCs w:val="16"/>
        </w:rPr>
      </w:pPr>
      <w:r w:rsidRPr="0048372F">
        <w:rPr>
          <w:rStyle w:val="Znakapoznpodarou"/>
          <w:sz w:val="16"/>
          <w:szCs w:val="16"/>
        </w:rPr>
        <w:footnoteRef/>
      </w:r>
      <w:r w:rsidRPr="0048372F">
        <w:rPr>
          <w:sz w:val="16"/>
          <w:szCs w:val="16"/>
        </w:rPr>
        <w:t xml:space="preserve"> Jde o</w:t>
      </w:r>
      <w:r>
        <w:rPr>
          <w:sz w:val="16"/>
          <w:szCs w:val="16"/>
        </w:rPr>
        <w:t> </w:t>
      </w:r>
      <w:r w:rsidRPr="0048372F">
        <w:rPr>
          <w:sz w:val="16"/>
          <w:szCs w:val="16"/>
        </w:rPr>
        <w:t>kompletaci výrobk</w:t>
      </w:r>
      <w:r>
        <w:rPr>
          <w:sz w:val="16"/>
          <w:szCs w:val="16"/>
        </w:rPr>
        <w:t>ů</w:t>
      </w:r>
      <w:r w:rsidRPr="0048372F">
        <w:rPr>
          <w:sz w:val="16"/>
          <w:szCs w:val="16"/>
        </w:rPr>
        <w:t xml:space="preserve"> z dodaných součástek.</w:t>
      </w:r>
    </w:p>
  </w:footnote>
  <w:footnote w:id="7">
    <w:p w14:paraId="5C8AD347" w14:textId="77777777" w:rsidR="003474B6" w:rsidRPr="004066D0" w:rsidRDefault="003474B6">
      <w:pPr>
        <w:pStyle w:val="Textpoznpodarou"/>
        <w:rPr>
          <w:sz w:val="16"/>
          <w:szCs w:val="16"/>
        </w:rPr>
      </w:pPr>
      <w:r w:rsidRPr="004066D0">
        <w:rPr>
          <w:rStyle w:val="Znakapoznpodarou"/>
          <w:sz w:val="16"/>
          <w:szCs w:val="16"/>
        </w:rPr>
        <w:footnoteRef/>
      </w:r>
      <w:r w:rsidRPr="004066D0">
        <w:rPr>
          <w:sz w:val="16"/>
          <w:szCs w:val="16"/>
        </w:rPr>
        <w:t xml:space="preserve"> Daně, sociální příspěvky a</w:t>
      </w:r>
      <w:r>
        <w:rPr>
          <w:sz w:val="16"/>
          <w:szCs w:val="16"/>
        </w:rPr>
        <w:t> </w:t>
      </w:r>
      <w:r w:rsidRPr="004066D0">
        <w:rPr>
          <w:sz w:val="16"/>
          <w:szCs w:val="16"/>
        </w:rPr>
        <w:t>dávky a</w:t>
      </w:r>
      <w:r>
        <w:rPr>
          <w:sz w:val="16"/>
          <w:szCs w:val="16"/>
        </w:rPr>
        <w:t> </w:t>
      </w:r>
      <w:r w:rsidRPr="004066D0">
        <w:rPr>
          <w:sz w:val="16"/>
          <w:szCs w:val="16"/>
        </w:rPr>
        <w:t>ostatní běžné transfery.</w:t>
      </w:r>
    </w:p>
  </w:footnote>
  <w:footnote w:id="8">
    <w:p w14:paraId="54D83A5C" w14:textId="77777777" w:rsidR="003474B6" w:rsidRPr="004066D0" w:rsidRDefault="003474B6">
      <w:pPr>
        <w:pStyle w:val="Textpoznpodarou"/>
        <w:rPr>
          <w:sz w:val="16"/>
          <w:szCs w:val="16"/>
        </w:rPr>
      </w:pPr>
      <w:r w:rsidRPr="004066D0">
        <w:rPr>
          <w:rStyle w:val="Znakapoznpodarou"/>
          <w:sz w:val="16"/>
          <w:szCs w:val="16"/>
        </w:rPr>
        <w:footnoteRef/>
      </w:r>
      <w:r w:rsidRPr="004066D0">
        <w:rPr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 w:rsidRPr="004066D0">
        <w:rPr>
          <w:sz w:val="16"/>
          <w:szCs w:val="16"/>
        </w:rPr>
        <w:t>oučet salda běžných a kapitálových transferů očištěného o</w:t>
      </w:r>
      <w:r>
        <w:rPr>
          <w:sz w:val="16"/>
          <w:szCs w:val="16"/>
        </w:rPr>
        <w:t> </w:t>
      </w:r>
      <w:r w:rsidRPr="004066D0">
        <w:rPr>
          <w:sz w:val="16"/>
          <w:szCs w:val="16"/>
        </w:rPr>
        <w:t>čisté pořízení nefinančních aktiv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985C8" w14:textId="77777777" w:rsidR="003474B6" w:rsidRDefault="003474B6" w:rsidP="00937AE2">
    <w:pPr>
      <w:pStyle w:val="Zhlav"/>
    </w:pPr>
    <w:r>
      <w:t>Vývoj ekonomiky České republiky</w:t>
    </w:r>
  </w:p>
  <w:p w14:paraId="675E4C41" w14:textId="77777777" w:rsidR="003474B6" w:rsidRPr="006F5416" w:rsidRDefault="003474B6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812FB" w14:textId="77777777" w:rsidR="003474B6" w:rsidRDefault="003474B6" w:rsidP="00937AE2">
    <w:pPr>
      <w:pStyle w:val="Zhlav"/>
    </w:pPr>
    <w:r>
      <w:t>Vývoj ekonomiky České republiky</w:t>
    </w:r>
  </w:p>
  <w:p w14:paraId="0CDCFD48" w14:textId="77777777" w:rsidR="003474B6" w:rsidRPr="006F5416" w:rsidRDefault="003474B6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14"/>
  </w:num>
  <w:num w:numId="17">
    <w:abstractNumId w:val="25"/>
  </w:num>
  <w:num w:numId="18">
    <w:abstractNumId w:val="19"/>
  </w:num>
  <w:num w:numId="19">
    <w:abstractNumId w:val="26"/>
  </w:num>
  <w:num w:numId="20">
    <w:abstractNumId w:val="27"/>
  </w:num>
  <w:num w:numId="21">
    <w:abstractNumId w:val="23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8"/>
    <w:rsid w:val="000005AF"/>
    <w:rsid w:val="00000B55"/>
    <w:rsid w:val="0000209D"/>
    <w:rsid w:val="00002566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387D"/>
    <w:rsid w:val="00016420"/>
    <w:rsid w:val="00017B01"/>
    <w:rsid w:val="000205D1"/>
    <w:rsid w:val="00020F22"/>
    <w:rsid w:val="0002195D"/>
    <w:rsid w:val="000228AE"/>
    <w:rsid w:val="000233D1"/>
    <w:rsid w:val="000234D6"/>
    <w:rsid w:val="00023D29"/>
    <w:rsid w:val="00024348"/>
    <w:rsid w:val="00026389"/>
    <w:rsid w:val="000279E5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4183"/>
    <w:rsid w:val="0004431D"/>
    <w:rsid w:val="0004694F"/>
    <w:rsid w:val="00046F2F"/>
    <w:rsid w:val="00047AD4"/>
    <w:rsid w:val="00047D54"/>
    <w:rsid w:val="00051506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A75"/>
    <w:rsid w:val="00066558"/>
    <w:rsid w:val="00070A87"/>
    <w:rsid w:val="000712B3"/>
    <w:rsid w:val="00072FF5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FC6"/>
    <w:rsid w:val="000913B1"/>
    <w:rsid w:val="00093241"/>
    <w:rsid w:val="00094A84"/>
    <w:rsid w:val="00095025"/>
    <w:rsid w:val="00095135"/>
    <w:rsid w:val="0009626E"/>
    <w:rsid w:val="00097191"/>
    <w:rsid w:val="000974D1"/>
    <w:rsid w:val="0009799E"/>
    <w:rsid w:val="000A07CB"/>
    <w:rsid w:val="000A0BC0"/>
    <w:rsid w:val="000A1183"/>
    <w:rsid w:val="000A212B"/>
    <w:rsid w:val="000A242D"/>
    <w:rsid w:val="000A256D"/>
    <w:rsid w:val="000A3A2C"/>
    <w:rsid w:val="000A3D9E"/>
    <w:rsid w:val="000A4A54"/>
    <w:rsid w:val="000A4ED9"/>
    <w:rsid w:val="000A5DB7"/>
    <w:rsid w:val="000A6D94"/>
    <w:rsid w:val="000A7377"/>
    <w:rsid w:val="000A7FF4"/>
    <w:rsid w:val="000B03CC"/>
    <w:rsid w:val="000B4212"/>
    <w:rsid w:val="000C0EA8"/>
    <w:rsid w:val="000C13A2"/>
    <w:rsid w:val="000C21E7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98B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531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7BB"/>
    <w:rsid w:val="00184B08"/>
    <w:rsid w:val="00185010"/>
    <w:rsid w:val="00185C22"/>
    <w:rsid w:val="00186BA9"/>
    <w:rsid w:val="0019196C"/>
    <w:rsid w:val="00192F05"/>
    <w:rsid w:val="00194729"/>
    <w:rsid w:val="00194850"/>
    <w:rsid w:val="00195234"/>
    <w:rsid w:val="00196016"/>
    <w:rsid w:val="00196117"/>
    <w:rsid w:val="00197A70"/>
    <w:rsid w:val="00197C0F"/>
    <w:rsid w:val="001A0487"/>
    <w:rsid w:val="001A1F68"/>
    <w:rsid w:val="001A21FA"/>
    <w:rsid w:val="001A4EF0"/>
    <w:rsid w:val="001A552F"/>
    <w:rsid w:val="001B2CA9"/>
    <w:rsid w:val="001B3110"/>
    <w:rsid w:val="001B3E38"/>
    <w:rsid w:val="001B40F5"/>
    <w:rsid w:val="001B4729"/>
    <w:rsid w:val="001B4F0E"/>
    <w:rsid w:val="001B6310"/>
    <w:rsid w:val="001B6C09"/>
    <w:rsid w:val="001B6E12"/>
    <w:rsid w:val="001C05CD"/>
    <w:rsid w:val="001C0F17"/>
    <w:rsid w:val="001C1B24"/>
    <w:rsid w:val="001C1B66"/>
    <w:rsid w:val="001C31A2"/>
    <w:rsid w:val="001C4BB8"/>
    <w:rsid w:val="001C4FD0"/>
    <w:rsid w:val="001C5E46"/>
    <w:rsid w:val="001C6B3B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5186"/>
    <w:rsid w:val="00206516"/>
    <w:rsid w:val="002071D5"/>
    <w:rsid w:val="002111E5"/>
    <w:rsid w:val="002118B9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6A8"/>
    <w:rsid w:val="002320C9"/>
    <w:rsid w:val="0023288F"/>
    <w:rsid w:val="00233603"/>
    <w:rsid w:val="002340EF"/>
    <w:rsid w:val="00234B82"/>
    <w:rsid w:val="00236443"/>
    <w:rsid w:val="00236700"/>
    <w:rsid w:val="00240391"/>
    <w:rsid w:val="00240AF3"/>
    <w:rsid w:val="002418D5"/>
    <w:rsid w:val="00241B06"/>
    <w:rsid w:val="002436BA"/>
    <w:rsid w:val="00244652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575F3"/>
    <w:rsid w:val="002603E1"/>
    <w:rsid w:val="0026120E"/>
    <w:rsid w:val="00262582"/>
    <w:rsid w:val="0026291D"/>
    <w:rsid w:val="00264309"/>
    <w:rsid w:val="0026564B"/>
    <w:rsid w:val="00265C83"/>
    <w:rsid w:val="00265E85"/>
    <w:rsid w:val="00267B49"/>
    <w:rsid w:val="002700D9"/>
    <w:rsid w:val="0027025F"/>
    <w:rsid w:val="002709CC"/>
    <w:rsid w:val="00270D25"/>
    <w:rsid w:val="00271022"/>
    <w:rsid w:val="00271465"/>
    <w:rsid w:val="00271E47"/>
    <w:rsid w:val="002721F5"/>
    <w:rsid w:val="00272DF4"/>
    <w:rsid w:val="0027583D"/>
    <w:rsid w:val="00275DEF"/>
    <w:rsid w:val="002763A2"/>
    <w:rsid w:val="00276B33"/>
    <w:rsid w:val="002812E3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F09"/>
    <w:rsid w:val="002C22A4"/>
    <w:rsid w:val="002C260B"/>
    <w:rsid w:val="002C27A6"/>
    <w:rsid w:val="002C398D"/>
    <w:rsid w:val="002C40D2"/>
    <w:rsid w:val="002C43BD"/>
    <w:rsid w:val="002C5245"/>
    <w:rsid w:val="002C59D8"/>
    <w:rsid w:val="002D05CB"/>
    <w:rsid w:val="002D0E59"/>
    <w:rsid w:val="002D2C4F"/>
    <w:rsid w:val="002D3EBB"/>
    <w:rsid w:val="002D455C"/>
    <w:rsid w:val="002D6066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300C31"/>
    <w:rsid w:val="003017EC"/>
    <w:rsid w:val="00302165"/>
    <w:rsid w:val="00304771"/>
    <w:rsid w:val="003052D4"/>
    <w:rsid w:val="003060E9"/>
    <w:rsid w:val="00306C5B"/>
    <w:rsid w:val="00307529"/>
    <w:rsid w:val="00307DB3"/>
    <w:rsid w:val="00307ED2"/>
    <w:rsid w:val="0031076D"/>
    <w:rsid w:val="00311AA6"/>
    <w:rsid w:val="00311C4D"/>
    <w:rsid w:val="003121AB"/>
    <w:rsid w:val="00315169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2788F"/>
    <w:rsid w:val="00332190"/>
    <w:rsid w:val="00332A98"/>
    <w:rsid w:val="00333973"/>
    <w:rsid w:val="00333CD0"/>
    <w:rsid w:val="0033448D"/>
    <w:rsid w:val="00334AD2"/>
    <w:rsid w:val="0033709C"/>
    <w:rsid w:val="003370C5"/>
    <w:rsid w:val="003373C6"/>
    <w:rsid w:val="00340BF3"/>
    <w:rsid w:val="00341D26"/>
    <w:rsid w:val="00341F05"/>
    <w:rsid w:val="0034335E"/>
    <w:rsid w:val="00344668"/>
    <w:rsid w:val="00346234"/>
    <w:rsid w:val="003462D9"/>
    <w:rsid w:val="0034723F"/>
    <w:rsid w:val="00347247"/>
    <w:rsid w:val="003474B6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7B2E"/>
    <w:rsid w:val="003810F0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A04F6"/>
    <w:rsid w:val="003A0837"/>
    <w:rsid w:val="003A2B4D"/>
    <w:rsid w:val="003A2D12"/>
    <w:rsid w:val="003A2EBA"/>
    <w:rsid w:val="003A45E3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461F"/>
    <w:rsid w:val="003B483F"/>
    <w:rsid w:val="003B4998"/>
    <w:rsid w:val="003B5A32"/>
    <w:rsid w:val="003B7B50"/>
    <w:rsid w:val="003C0B07"/>
    <w:rsid w:val="003C2CE7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1EF8"/>
    <w:rsid w:val="003E2DFB"/>
    <w:rsid w:val="003E4C91"/>
    <w:rsid w:val="003E52D8"/>
    <w:rsid w:val="003E62F1"/>
    <w:rsid w:val="003F313C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30C96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279E"/>
    <w:rsid w:val="004441A0"/>
    <w:rsid w:val="00445861"/>
    <w:rsid w:val="00445A8E"/>
    <w:rsid w:val="00446D44"/>
    <w:rsid w:val="0045078A"/>
    <w:rsid w:val="0045086D"/>
    <w:rsid w:val="00450DAB"/>
    <w:rsid w:val="00451EF1"/>
    <w:rsid w:val="00452E60"/>
    <w:rsid w:val="0045321B"/>
    <w:rsid w:val="00456FE5"/>
    <w:rsid w:val="00457490"/>
    <w:rsid w:val="00457953"/>
    <w:rsid w:val="004604D8"/>
    <w:rsid w:val="00460656"/>
    <w:rsid w:val="00460FB3"/>
    <w:rsid w:val="00463D3C"/>
    <w:rsid w:val="00464851"/>
    <w:rsid w:val="0046746A"/>
    <w:rsid w:val="00467B14"/>
    <w:rsid w:val="004707FE"/>
    <w:rsid w:val="00470EDC"/>
    <w:rsid w:val="0047276D"/>
    <w:rsid w:val="00472AF6"/>
    <w:rsid w:val="00473482"/>
    <w:rsid w:val="00474A04"/>
    <w:rsid w:val="00476240"/>
    <w:rsid w:val="00476439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372F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79A5"/>
    <w:rsid w:val="004A0144"/>
    <w:rsid w:val="004A036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39A"/>
    <w:rsid w:val="004B4C83"/>
    <w:rsid w:val="004B55B7"/>
    <w:rsid w:val="004B5BFA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DE6"/>
    <w:rsid w:val="004E765E"/>
    <w:rsid w:val="004E7815"/>
    <w:rsid w:val="004F06F5"/>
    <w:rsid w:val="004F12A4"/>
    <w:rsid w:val="004F253F"/>
    <w:rsid w:val="004F33A0"/>
    <w:rsid w:val="004F3BD2"/>
    <w:rsid w:val="004F46ED"/>
    <w:rsid w:val="004F4C99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45"/>
    <w:rsid w:val="00561F44"/>
    <w:rsid w:val="00562B4D"/>
    <w:rsid w:val="00563EB8"/>
    <w:rsid w:val="005647BF"/>
    <w:rsid w:val="00564AF1"/>
    <w:rsid w:val="005655DB"/>
    <w:rsid w:val="00565E88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3E52"/>
    <w:rsid w:val="00583FFD"/>
    <w:rsid w:val="0058519A"/>
    <w:rsid w:val="005856BD"/>
    <w:rsid w:val="00586BCA"/>
    <w:rsid w:val="00587038"/>
    <w:rsid w:val="00590B28"/>
    <w:rsid w:val="005911BE"/>
    <w:rsid w:val="00591273"/>
    <w:rsid w:val="00591E9E"/>
    <w:rsid w:val="005927A4"/>
    <w:rsid w:val="00593152"/>
    <w:rsid w:val="005956A3"/>
    <w:rsid w:val="00595958"/>
    <w:rsid w:val="00595CAB"/>
    <w:rsid w:val="0059622E"/>
    <w:rsid w:val="00597671"/>
    <w:rsid w:val="00597BBF"/>
    <w:rsid w:val="005A0948"/>
    <w:rsid w:val="005A0A03"/>
    <w:rsid w:val="005A10F2"/>
    <w:rsid w:val="005A21E0"/>
    <w:rsid w:val="005A28FF"/>
    <w:rsid w:val="005A2C09"/>
    <w:rsid w:val="005A3778"/>
    <w:rsid w:val="005A3DF8"/>
    <w:rsid w:val="005A5549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11B8"/>
    <w:rsid w:val="005C216C"/>
    <w:rsid w:val="005C2609"/>
    <w:rsid w:val="005C2B30"/>
    <w:rsid w:val="005C412B"/>
    <w:rsid w:val="005C43EC"/>
    <w:rsid w:val="005C45DD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D7F"/>
    <w:rsid w:val="005F7174"/>
    <w:rsid w:val="00601ADE"/>
    <w:rsid w:val="00601EEF"/>
    <w:rsid w:val="0060255A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0B77"/>
    <w:rsid w:val="0062131B"/>
    <w:rsid w:val="00621E26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179B"/>
    <w:rsid w:val="00642489"/>
    <w:rsid w:val="00644055"/>
    <w:rsid w:val="00644137"/>
    <w:rsid w:val="0064478C"/>
    <w:rsid w:val="00645160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2586"/>
    <w:rsid w:val="006741CD"/>
    <w:rsid w:val="00674D89"/>
    <w:rsid w:val="0067514E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109C"/>
    <w:rsid w:val="006A5F4B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5416"/>
    <w:rsid w:val="006F624B"/>
    <w:rsid w:val="006F6D87"/>
    <w:rsid w:val="0070398A"/>
    <w:rsid w:val="00705242"/>
    <w:rsid w:val="007055E0"/>
    <w:rsid w:val="007056ED"/>
    <w:rsid w:val="00705F4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E4D"/>
    <w:rsid w:val="0071677A"/>
    <w:rsid w:val="00716F48"/>
    <w:rsid w:val="00717114"/>
    <w:rsid w:val="0071779F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777"/>
    <w:rsid w:val="0077130E"/>
    <w:rsid w:val="007715EE"/>
    <w:rsid w:val="00771972"/>
    <w:rsid w:val="00772279"/>
    <w:rsid w:val="00772DAB"/>
    <w:rsid w:val="00772FF9"/>
    <w:rsid w:val="00774D2C"/>
    <w:rsid w:val="0077605B"/>
    <w:rsid w:val="00776169"/>
    <w:rsid w:val="00776527"/>
    <w:rsid w:val="00777040"/>
    <w:rsid w:val="00777CE6"/>
    <w:rsid w:val="00780EF1"/>
    <w:rsid w:val="00781A91"/>
    <w:rsid w:val="00781F3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782"/>
    <w:rsid w:val="007A516D"/>
    <w:rsid w:val="007A5E65"/>
    <w:rsid w:val="007A65E1"/>
    <w:rsid w:val="007A6AAA"/>
    <w:rsid w:val="007A7033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C10BD"/>
    <w:rsid w:val="007C1F0C"/>
    <w:rsid w:val="007C1FFB"/>
    <w:rsid w:val="007C2D94"/>
    <w:rsid w:val="007C5F92"/>
    <w:rsid w:val="007C6227"/>
    <w:rsid w:val="007C6BBD"/>
    <w:rsid w:val="007C6D89"/>
    <w:rsid w:val="007C6F5E"/>
    <w:rsid w:val="007D0382"/>
    <w:rsid w:val="007D1A1F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78B6"/>
    <w:rsid w:val="007E7E61"/>
    <w:rsid w:val="007F0845"/>
    <w:rsid w:val="007F20F3"/>
    <w:rsid w:val="007F2353"/>
    <w:rsid w:val="007F2390"/>
    <w:rsid w:val="007F2CAC"/>
    <w:rsid w:val="007F4740"/>
    <w:rsid w:val="007F595A"/>
    <w:rsid w:val="007F708D"/>
    <w:rsid w:val="008006B3"/>
    <w:rsid w:val="0080158A"/>
    <w:rsid w:val="00801E13"/>
    <w:rsid w:val="00803008"/>
    <w:rsid w:val="00803069"/>
    <w:rsid w:val="0080346B"/>
    <w:rsid w:val="00804155"/>
    <w:rsid w:val="0080559E"/>
    <w:rsid w:val="00805AF3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2F77"/>
    <w:rsid w:val="00834304"/>
    <w:rsid w:val="00834FAA"/>
    <w:rsid w:val="008354FB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5408"/>
    <w:rsid w:val="00855D03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E83"/>
    <w:rsid w:val="008772BC"/>
    <w:rsid w:val="00880A0E"/>
    <w:rsid w:val="00881CD7"/>
    <w:rsid w:val="00882911"/>
    <w:rsid w:val="00882F6E"/>
    <w:rsid w:val="00884E02"/>
    <w:rsid w:val="00885D40"/>
    <w:rsid w:val="008873D4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3537"/>
    <w:rsid w:val="008B3690"/>
    <w:rsid w:val="008B3A80"/>
    <w:rsid w:val="008B3AEC"/>
    <w:rsid w:val="008B3C07"/>
    <w:rsid w:val="008B3F7B"/>
    <w:rsid w:val="008B5324"/>
    <w:rsid w:val="008B6106"/>
    <w:rsid w:val="008B7C02"/>
    <w:rsid w:val="008B7D2B"/>
    <w:rsid w:val="008B7EF9"/>
    <w:rsid w:val="008C0049"/>
    <w:rsid w:val="008C0E88"/>
    <w:rsid w:val="008C1717"/>
    <w:rsid w:val="008C4B50"/>
    <w:rsid w:val="008C5A37"/>
    <w:rsid w:val="008C7569"/>
    <w:rsid w:val="008D033D"/>
    <w:rsid w:val="008D0DBD"/>
    <w:rsid w:val="008D117E"/>
    <w:rsid w:val="008D127E"/>
    <w:rsid w:val="008D1CA8"/>
    <w:rsid w:val="008D1E0A"/>
    <w:rsid w:val="008D1E6A"/>
    <w:rsid w:val="008D1FC1"/>
    <w:rsid w:val="008D2A16"/>
    <w:rsid w:val="008D33F5"/>
    <w:rsid w:val="008D35E4"/>
    <w:rsid w:val="008D6C3A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0589"/>
    <w:rsid w:val="008F2A5D"/>
    <w:rsid w:val="008F3636"/>
    <w:rsid w:val="008F3FC9"/>
    <w:rsid w:val="008F5383"/>
    <w:rsid w:val="008F585B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B7B"/>
    <w:rsid w:val="00954F39"/>
    <w:rsid w:val="009555FD"/>
    <w:rsid w:val="0095664B"/>
    <w:rsid w:val="009568DC"/>
    <w:rsid w:val="00957445"/>
    <w:rsid w:val="0095759C"/>
    <w:rsid w:val="009618EE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70A3"/>
    <w:rsid w:val="009674BE"/>
    <w:rsid w:val="00970FB5"/>
    <w:rsid w:val="00971710"/>
    <w:rsid w:val="00971B87"/>
    <w:rsid w:val="00971C77"/>
    <w:rsid w:val="00972FCD"/>
    <w:rsid w:val="00973324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6246"/>
    <w:rsid w:val="00987A30"/>
    <w:rsid w:val="00990312"/>
    <w:rsid w:val="0099182E"/>
    <w:rsid w:val="00992CF3"/>
    <w:rsid w:val="00993194"/>
    <w:rsid w:val="0099321E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3ACD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982"/>
    <w:rsid w:val="009F4CA7"/>
    <w:rsid w:val="009F4F6A"/>
    <w:rsid w:val="009F55BA"/>
    <w:rsid w:val="009F7D36"/>
    <w:rsid w:val="00A00E71"/>
    <w:rsid w:val="00A0306F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E1"/>
    <w:rsid w:val="00A20FE1"/>
    <w:rsid w:val="00A21B4D"/>
    <w:rsid w:val="00A22073"/>
    <w:rsid w:val="00A223E0"/>
    <w:rsid w:val="00A23E43"/>
    <w:rsid w:val="00A24726"/>
    <w:rsid w:val="00A24DEB"/>
    <w:rsid w:val="00A24ED9"/>
    <w:rsid w:val="00A25216"/>
    <w:rsid w:val="00A2597D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7D1D"/>
    <w:rsid w:val="00A81652"/>
    <w:rsid w:val="00A83150"/>
    <w:rsid w:val="00A83398"/>
    <w:rsid w:val="00A83D6E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5F1A"/>
    <w:rsid w:val="00A96116"/>
    <w:rsid w:val="00A9614E"/>
    <w:rsid w:val="00A96C0F"/>
    <w:rsid w:val="00AA0E80"/>
    <w:rsid w:val="00AA17CD"/>
    <w:rsid w:val="00AA1D85"/>
    <w:rsid w:val="00AA212F"/>
    <w:rsid w:val="00AA2996"/>
    <w:rsid w:val="00AA2AF4"/>
    <w:rsid w:val="00AA4282"/>
    <w:rsid w:val="00AA4790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0799C"/>
    <w:rsid w:val="00B102CE"/>
    <w:rsid w:val="00B10A4D"/>
    <w:rsid w:val="00B10C90"/>
    <w:rsid w:val="00B11002"/>
    <w:rsid w:val="00B121B2"/>
    <w:rsid w:val="00B141B6"/>
    <w:rsid w:val="00B14BC1"/>
    <w:rsid w:val="00B16DD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42C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7ACC"/>
    <w:rsid w:val="00B97FE2"/>
    <w:rsid w:val="00BA0E0B"/>
    <w:rsid w:val="00BA201A"/>
    <w:rsid w:val="00BA3787"/>
    <w:rsid w:val="00BA46E8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493E"/>
    <w:rsid w:val="00C15DBD"/>
    <w:rsid w:val="00C2010D"/>
    <w:rsid w:val="00C20CB5"/>
    <w:rsid w:val="00C21430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70C9"/>
    <w:rsid w:val="00C81070"/>
    <w:rsid w:val="00C8174E"/>
    <w:rsid w:val="00C82191"/>
    <w:rsid w:val="00C83134"/>
    <w:rsid w:val="00C831E7"/>
    <w:rsid w:val="00C832F3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A0346"/>
    <w:rsid w:val="00CA1BD6"/>
    <w:rsid w:val="00CA37FF"/>
    <w:rsid w:val="00CA423A"/>
    <w:rsid w:val="00CA47BC"/>
    <w:rsid w:val="00CA5EAD"/>
    <w:rsid w:val="00CA6AB4"/>
    <w:rsid w:val="00CA7255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834"/>
    <w:rsid w:val="00CC20FE"/>
    <w:rsid w:val="00CC2E7D"/>
    <w:rsid w:val="00CC612B"/>
    <w:rsid w:val="00CC655F"/>
    <w:rsid w:val="00CC66F9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020B"/>
    <w:rsid w:val="00CF2E4D"/>
    <w:rsid w:val="00CF4205"/>
    <w:rsid w:val="00CF4908"/>
    <w:rsid w:val="00CF51EC"/>
    <w:rsid w:val="00CF545D"/>
    <w:rsid w:val="00CF5873"/>
    <w:rsid w:val="00CF73AE"/>
    <w:rsid w:val="00CF7777"/>
    <w:rsid w:val="00D0085A"/>
    <w:rsid w:val="00D0197F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10C15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35B7"/>
    <w:rsid w:val="00D23FAE"/>
    <w:rsid w:val="00D25F28"/>
    <w:rsid w:val="00D26071"/>
    <w:rsid w:val="00D269B9"/>
    <w:rsid w:val="00D27973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60415"/>
    <w:rsid w:val="00D60E3C"/>
    <w:rsid w:val="00D61FAB"/>
    <w:rsid w:val="00D63BE5"/>
    <w:rsid w:val="00D6475F"/>
    <w:rsid w:val="00D66223"/>
    <w:rsid w:val="00D667B8"/>
    <w:rsid w:val="00D70289"/>
    <w:rsid w:val="00D70822"/>
    <w:rsid w:val="00D72076"/>
    <w:rsid w:val="00D726A9"/>
    <w:rsid w:val="00D743E0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544C"/>
    <w:rsid w:val="00DA5F8E"/>
    <w:rsid w:val="00DA6364"/>
    <w:rsid w:val="00DA7114"/>
    <w:rsid w:val="00DA7C0C"/>
    <w:rsid w:val="00DB03DD"/>
    <w:rsid w:val="00DB08A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5287"/>
    <w:rsid w:val="00DD5B36"/>
    <w:rsid w:val="00DE0D8B"/>
    <w:rsid w:val="00DE1237"/>
    <w:rsid w:val="00DE140F"/>
    <w:rsid w:val="00DE2491"/>
    <w:rsid w:val="00DE5CA6"/>
    <w:rsid w:val="00DE7AC8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1C0E"/>
    <w:rsid w:val="00E0368F"/>
    <w:rsid w:val="00E03D73"/>
    <w:rsid w:val="00E03F9A"/>
    <w:rsid w:val="00E04694"/>
    <w:rsid w:val="00E12191"/>
    <w:rsid w:val="00E129E7"/>
    <w:rsid w:val="00E12ABE"/>
    <w:rsid w:val="00E12B1E"/>
    <w:rsid w:val="00E1444C"/>
    <w:rsid w:val="00E17262"/>
    <w:rsid w:val="00E20016"/>
    <w:rsid w:val="00E2009B"/>
    <w:rsid w:val="00E20BB9"/>
    <w:rsid w:val="00E20BCC"/>
    <w:rsid w:val="00E2251C"/>
    <w:rsid w:val="00E2363D"/>
    <w:rsid w:val="00E23C6A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A53"/>
    <w:rsid w:val="00E3724A"/>
    <w:rsid w:val="00E378B1"/>
    <w:rsid w:val="00E417BE"/>
    <w:rsid w:val="00E41CD5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3470"/>
    <w:rsid w:val="00E539F6"/>
    <w:rsid w:val="00E54698"/>
    <w:rsid w:val="00E54FB4"/>
    <w:rsid w:val="00E5539A"/>
    <w:rsid w:val="00E55791"/>
    <w:rsid w:val="00E55E1A"/>
    <w:rsid w:val="00E578A2"/>
    <w:rsid w:val="00E60043"/>
    <w:rsid w:val="00E61740"/>
    <w:rsid w:val="00E61EB5"/>
    <w:rsid w:val="00E6324D"/>
    <w:rsid w:val="00E65084"/>
    <w:rsid w:val="00E6519D"/>
    <w:rsid w:val="00E66062"/>
    <w:rsid w:val="00E6660E"/>
    <w:rsid w:val="00E67305"/>
    <w:rsid w:val="00E67696"/>
    <w:rsid w:val="00E70C5F"/>
    <w:rsid w:val="00E71A58"/>
    <w:rsid w:val="00E72A26"/>
    <w:rsid w:val="00E72A7A"/>
    <w:rsid w:val="00E7335A"/>
    <w:rsid w:val="00E747DC"/>
    <w:rsid w:val="00E74A2D"/>
    <w:rsid w:val="00E75C94"/>
    <w:rsid w:val="00E76B9B"/>
    <w:rsid w:val="00E76E61"/>
    <w:rsid w:val="00E77CC0"/>
    <w:rsid w:val="00E80B3D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A0C68"/>
    <w:rsid w:val="00EA1D0E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F10"/>
    <w:rsid w:val="00ED4D04"/>
    <w:rsid w:val="00ED566D"/>
    <w:rsid w:val="00ED5907"/>
    <w:rsid w:val="00ED5F5B"/>
    <w:rsid w:val="00ED62C6"/>
    <w:rsid w:val="00ED64C1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150D"/>
    <w:rsid w:val="00EF1F5A"/>
    <w:rsid w:val="00EF47BF"/>
    <w:rsid w:val="00EF59B1"/>
    <w:rsid w:val="00EF5A13"/>
    <w:rsid w:val="00EF5FF9"/>
    <w:rsid w:val="00EF77D4"/>
    <w:rsid w:val="00EF7CC7"/>
    <w:rsid w:val="00F00853"/>
    <w:rsid w:val="00F00866"/>
    <w:rsid w:val="00F0160B"/>
    <w:rsid w:val="00F0193E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E60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7EDC"/>
    <w:rsid w:val="00F437CC"/>
    <w:rsid w:val="00F44537"/>
    <w:rsid w:val="00F46185"/>
    <w:rsid w:val="00F46423"/>
    <w:rsid w:val="00F4696A"/>
    <w:rsid w:val="00F47067"/>
    <w:rsid w:val="00F525AB"/>
    <w:rsid w:val="00F525EB"/>
    <w:rsid w:val="00F52CB5"/>
    <w:rsid w:val="00F53A68"/>
    <w:rsid w:val="00F54934"/>
    <w:rsid w:val="00F55A92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84E7D"/>
    <w:rsid w:val="00F85066"/>
    <w:rsid w:val="00F87A4D"/>
    <w:rsid w:val="00F93688"/>
    <w:rsid w:val="00F939F3"/>
    <w:rsid w:val="00F93C6E"/>
    <w:rsid w:val="00F93F2C"/>
    <w:rsid w:val="00F9644E"/>
    <w:rsid w:val="00FA0105"/>
    <w:rsid w:val="00FA05A0"/>
    <w:rsid w:val="00FA0AEF"/>
    <w:rsid w:val="00FA17CC"/>
    <w:rsid w:val="00FA1F01"/>
    <w:rsid w:val="00FA26DF"/>
    <w:rsid w:val="00FA32BC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9Q4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481551840594413E-2"/>
          <c:y val="2.3304908251716772E-2"/>
          <c:w val="0.90781408308004052"/>
          <c:h val="0.612553754362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'Vnější vztahy 2'!$A$6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</c:spPr>
          <c:invertIfNegative val="0"/>
          <c:cat>
            <c:strRef>
              <c:f>'Vnější vztahy 2'!$B$5:$N$5</c:f>
              <c:strCache>
                <c:ptCount val="13"/>
                <c:pt idx="0">
                  <c:v>Ropa a zemní plyn</c:v>
                </c:pt>
                <c:pt idx="1">
                  <c:v>Potrav. výrobky</c:v>
                </c:pt>
                <c:pt idx="2">
                  <c:v>Oděvy</c:v>
                </c:pt>
                <c:pt idx="3">
                  <c:v>Koks, raf. ropné prod.</c:v>
                </c:pt>
                <c:pt idx="4">
                  <c:v>Chem. látky a přípr.</c:v>
                </c:pt>
                <c:pt idx="5">
                  <c:v>Farmac. výrobky</c:v>
                </c:pt>
                <c:pt idx="6">
                  <c:v>Ostat. nekov. minerály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opt.                                          a elektron. přístr.</c:v>
                </c:pt>
                <c:pt idx="10">
                  <c:v>Elektrická zařízení</c:v>
                </c:pt>
                <c:pt idx="11">
                  <c:v>Stroje a zařízení j. n.</c:v>
                </c:pt>
                <c:pt idx="12">
                  <c:v>Motorová vozidla</c:v>
                </c:pt>
              </c:strCache>
            </c:strRef>
          </c:cat>
          <c:val>
            <c:numRef>
              <c:f>'Vnější vztahy 2'!$B$6:$N$6</c:f>
              <c:numCache>
                <c:formatCode>General</c:formatCode>
                <c:ptCount val="13"/>
                <c:pt idx="0">
                  <c:v>-131.042</c:v>
                </c:pt>
                <c:pt idx="1">
                  <c:v>-39.988</c:v>
                </c:pt>
                <c:pt idx="2">
                  <c:v>-30.158000000000001</c:v>
                </c:pt>
                <c:pt idx="3">
                  <c:v>-28.908000000000001</c:v>
                </c:pt>
                <c:pt idx="4">
                  <c:v>-116.961</c:v>
                </c:pt>
                <c:pt idx="5">
                  <c:v>-50.207999999999998</c:v>
                </c:pt>
                <c:pt idx="6">
                  <c:v>22.904</c:v>
                </c:pt>
                <c:pt idx="7">
                  <c:v>-129.42699999999999</c:v>
                </c:pt>
                <c:pt idx="8">
                  <c:v>56.871000000000002</c:v>
                </c:pt>
                <c:pt idx="9">
                  <c:v>-25.367000000000001</c:v>
                </c:pt>
                <c:pt idx="10">
                  <c:v>44.972999999999999</c:v>
                </c:pt>
                <c:pt idx="11">
                  <c:v>62.290999999999997</c:v>
                </c:pt>
                <c:pt idx="12">
                  <c:v>438.8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BC-4E87-A2A6-D88D386EAC41}"/>
            </c:ext>
          </c:extLst>
        </c:ser>
        <c:ser>
          <c:idx val="1"/>
          <c:order val="1"/>
          <c:tx>
            <c:strRef>
              <c:f>'Vnější vztahy 2'!$A$7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val>
            <c:numRef>
              <c:f>'Vnější vztahy 2'!$B$7:$N$7</c:f>
              <c:numCache>
                <c:formatCode>General</c:formatCode>
                <c:ptCount val="13"/>
                <c:pt idx="0">
                  <c:v>-126.05200000000001</c:v>
                </c:pt>
                <c:pt idx="1">
                  <c:v>-44.838999999999999</c:v>
                </c:pt>
                <c:pt idx="2">
                  <c:v>-33.115000000000002</c:v>
                </c:pt>
                <c:pt idx="3">
                  <c:v>-21.524000000000001</c:v>
                </c:pt>
                <c:pt idx="4">
                  <c:v>-112.04900000000001</c:v>
                </c:pt>
                <c:pt idx="5">
                  <c:v>-53.94</c:v>
                </c:pt>
                <c:pt idx="6">
                  <c:v>22.908000000000001</c:v>
                </c:pt>
                <c:pt idx="7">
                  <c:v>-124.312</c:v>
                </c:pt>
                <c:pt idx="8">
                  <c:v>57.139000000000003</c:v>
                </c:pt>
                <c:pt idx="9">
                  <c:v>-31.956</c:v>
                </c:pt>
                <c:pt idx="10">
                  <c:v>41.584000000000003</c:v>
                </c:pt>
                <c:pt idx="11">
                  <c:v>65.299000000000007</c:v>
                </c:pt>
                <c:pt idx="12">
                  <c:v>463.98700000000002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BC-4E87-A2A6-D88D386EAC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7"/>
        <c:axId val="269967744"/>
        <c:axId val="269969280"/>
      </c:barChart>
      <c:catAx>
        <c:axId val="269967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269969280"/>
        <c:crosses val="autoZero"/>
        <c:auto val="1"/>
        <c:lblAlgn val="ctr"/>
        <c:lblOffset val="100"/>
        <c:noMultiLvlLbl val="0"/>
      </c:catAx>
      <c:valAx>
        <c:axId val="269969280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6996774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9999155690645057E-2"/>
          <c:y val="0.93271781816746591"/>
          <c:w val="0.90181273218507263"/>
          <c:h val="5.4750853511732103E-2"/>
        </c:manualLayout>
      </c:layout>
      <c:overlay val="1"/>
      <c:spPr>
        <a:ln w="6350">
          <a:solidFill>
            <a:sysClr val="windowText" lastClr="000000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A779-585E-4413-B15A-AC8BA44AFE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C4F1AD-715F-40BD-ADB3-1640A615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</Template>
  <TotalTime>14</TotalTime>
  <Pages>4</Pages>
  <Words>1814</Words>
  <Characters>10706</Characters>
  <Application>Microsoft Office Word</Application>
  <DocSecurity>0</DocSecurity>
  <Lines>89</Lines>
  <Paragraphs>24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12496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Karolina Sukupova</cp:lastModifiedBy>
  <cp:revision>7</cp:revision>
  <cp:lastPrinted>2019-04-08T10:52:00Z</cp:lastPrinted>
  <dcterms:created xsi:type="dcterms:W3CDTF">2020-04-10T07:26:00Z</dcterms:created>
  <dcterms:modified xsi:type="dcterms:W3CDTF">2020-04-10T07:48:00Z</dcterms:modified>
</cp:coreProperties>
</file>