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B8FDB" w14:textId="77777777" w:rsidR="00935BD4" w:rsidRPr="009110F7" w:rsidRDefault="00935BD4" w:rsidP="001554C2">
      <w:pPr>
        <w:pStyle w:val="Nadpis11"/>
      </w:pPr>
      <w:bookmarkStart w:id="0" w:name="_Toc11237633"/>
      <w:r w:rsidRPr="009110F7">
        <w:t>3</w:t>
      </w:r>
      <w:r w:rsidR="001554C2" w:rsidRPr="009110F7">
        <w:t xml:space="preserve">. </w:t>
      </w:r>
      <w:bookmarkStart w:id="1" w:name="_Toc454185150"/>
      <w:bookmarkStart w:id="2" w:name="_Toc493683635"/>
      <w:r w:rsidRPr="009110F7">
        <w:t>Výkonnost odvětví</w:t>
      </w:r>
      <w:bookmarkEnd w:id="0"/>
      <w:bookmarkEnd w:id="1"/>
      <w:bookmarkEnd w:id="2"/>
    </w:p>
    <w:tbl>
      <w:tblPr>
        <w:tblW w:w="9639" w:type="dxa"/>
        <w:tblInd w:w="-15" w:type="dxa"/>
        <w:tblCellMar>
          <w:left w:w="0" w:type="dxa"/>
          <w:right w:w="0" w:type="dxa"/>
        </w:tblCellMar>
        <w:tblLook w:val="00A0" w:firstRow="1" w:lastRow="0" w:firstColumn="1" w:lastColumn="0" w:noHBand="0" w:noVBand="0"/>
      </w:tblPr>
      <w:tblGrid>
        <w:gridCol w:w="1764"/>
        <w:gridCol w:w="175"/>
        <w:gridCol w:w="7700"/>
      </w:tblGrid>
      <w:tr w:rsidR="00C35A2A" w:rsidRPr="005C012F" w14:paraId="1E57740C" w14:textId="77777777" w:rsidTr="000A3D9E">
        <w:trPr>
          <w:trHeight w:val="145"/>
        </w:trPr>
        <w:tc>
          <w:tcPr>
            <w:tcW w:w="1764" w:type="dxa"/>
            <w:shd w:val="clear" w:color="auto" w:fill="auto"/>
            <w:tcMar>
              <w:left w:w="0" w:type="dxa"/>
            </w:tcMar>
          </w:tcPr>
          <w:p w14:paraId="25AAB879" w14:textId="77777777" w:rsidR="00C35A2A" w:rsidRDefault="00C35A2A" w:rsidP="000A3D9E">
            <w:pPr>
              <w:pStyle w:val="Marginlie"/>
            </w:pPr>
            <w:r>
              <w:t>Tuzemská ekonomika v 1. čtvrtletí odolávala méně příznivým vnějším vlivům. Tempo růstu HPH zpomalovalo jen mírně.</w:t>
            </w:r>
          </w:p>
        </w:tc>
        <w:tc>
          <w:tcPr>
            <w:tcW w:w="175" w:type="dxa"/>
            <w:shd w:val="clear" w:color="auto" w:fill="auto"/>
            <w:tcMar>
              <w:left w:w="0" w:type="dxa"/>
            </w:tcMar>
          </w:tcPr>
          <w:p w14:paraId="2173D3CC" w14:textId="77777777" w:rsidR="00C35A2A" w:rsidRDefault="00C35A2A" w:rsidP="000A3D9E">
            <w:pPr>
              <w:pStyle w:val="Textpoznpodarou"/>
              <w:jc w:val="both"/>
              <w:rPr>
                <w:spacing w:val="-4"/>
              </w:rPr>
            </w:pPr>
          </w:p>
        </w:tc>
        <w:tc>
          <w:tcPr>
            <w:tcW w:w="7700" w:type="dxa"/>
            <w:shd w:val="clear" w:color="auto" w:fill="auto"/>
            <w:tcMar>
              <w:left w:w="0" w:type="dxa"/>
            </w:tcMar>
          </w:tcPr>
          <w:p w14:paraId="73910AC7" w14:textId="3BE84669" w:rsidR="00C35A2A" w:rsidRPr="005C012F" w:rsidRDefault="00C35A2A" w:rsidP="000A3D9E">
            <w:pPr>
              <w:spacing w:after="200"/>
              <w:rPr>
                <w:spacing w:val="-4"/>
              </w:rPr>
            </w:pPr>
            <w:r w:rsidRPr="005C012F">
              <w:rPr>
                <w:spacing w:val="-4"/>
              </w:rPr>
              <w:t>Navzdory množícím se méně příznivým vnějším faktorům (slabší hospodářský růst zemí</w:t>
            </w:r>
            <w:r w:rsidR="00063CEA">
              <w:rPr>
                <w:spacing w:val="-4"/>
              </w:rPr>
              <w:t>,</w:t>
            </w:r>
            <w:r w:rsidRPr="005C012F">
              <w:rPr>
                <w:spacing w:val="-4"/>
              </w:rPr>
              <w:t xml:space="preserve"> </w:t>
            </w:r>
            <w:r w:rsidR="00063CEA">
              <w:rPr>
                <w:spacing w:val="-4"/>
              </w:rPr>
              <w:t>jež jsou hlavními obchodními partnery</w:t>
            </w:r>
            <w:r w:rsidRPr="005C012F">
              <w:rPr>
                <w:spacing w:val="-4"/>
              </w:rPr>
              <w:t xml:space="preserve"> ČR, narůstající napětí v mezinárodních obchodních vztazích, přetrvávající nejistoty ohledně postavení Velké Británie vůči EU) stvrdily údaje z p</w:t>
            </w:r>
            <w:r>
              <w:rPr>
                <w:spacing w:val="-4"/>
              </w:rPr>
              <w:t>očátku roku 2019</w:t>
            </w:r>
            <w:r w:rsidRPr="005C012F">
              <w:rPr>
                <w:spacing w:val="-4"/>
              </w:rPr>
              <w:t xml:space="preserve"> solidní kondici tuzemské ekonomiky. Hrubá přidaná hodnota (HPH)</w:t>
            </w:r>
            <w:r w:rsidRPr="005C012F">
              <w:rPr>
                <w:rStyle w:val="Znakapoznpodarou"/>
                <w:spacing w:val="-4"/>
              </w:rPr>
              <w:footnoteReference w:id="1"/>
            </w:r>
            <w:r w:rsidRPr="005C012F">
              <w:rPr>
                <w:spacing w:val="-4"/>
              </w:rPr>
              <w:t xml:space="preserve"> vzrostla meziročně o 2,6</w:t>
            </w:r>
            <w:r w:rsidR="00870ECD">
              <w:rPr>
                <w:spacing w:val="-4"/>
              </w:rPr>
              <w:t> %</w:t>
            </w:r>
            <w:r w:rsidRPr="005C012F">
              <w:rPr>
                <w:spacing w:val="-4"/>
              </w:rPr>
              <w:t xml:space="preserve"> a jen mírně tak zaostala za tempem z celého loňského roku (3,0</w:t>
            </w:r>
            <w:r w:rsidR="00870ECD">
              <w:rPr>
                <w:spacing w:val="-4"/>
              </w:rPr>
              <w:t> %</w:t>
            </w:r>
            <w:r w:rsidRPr="005C012F">
              <w:rPr>
                <w:spacing w:val="-4"/>
              </w:rPr>
              <w:t>). V mezičtvrtletním vyjádření výkon všech odvětví posílil o 0,6</w:t>
            </w:r>
            <w:r w:rsidR="00870ECD">
              <w:rPr>
                <w:spacing w:val="-4"/>
              </w:rPr>
              <w:t> %</w:t>
            </w:r>
            <w:r w:rsidRPr="005C012F">
              <w:rPr>
                <w:spacing w:val="-4"/>
              </w:rPr>
              <w:t>, což ve srovnání s obdobným tempem z konce loňského roku (1,0</w:t>
            </w:r>
            <w:r w:rsidR="00870ECD">
              <w:rPr>
                <w:spacing w:val="-4"/>
              </w:rPr>
              <w:t> %</w:t>
            </w:r>
            <w:r w:rsidRPr="005C012F">
              <w:rPr>
                <w:spacing w:val="-4"/>
              </w:rPr>
              <w:t>) naznačovalo mírné zpomalení. Mezikvartální růst přetrvával v ekonomice již dvacet čtyři čtvrtletí v řadě, v úhrnu se za toto období HPH navýšila o 21,9</w:t>
            </w:r>
            <w:r w:rsidR="00870ECD">
              <w:rPr>
                <w:spacing w:val="-4"/>
              </w:rPr>
              <w:t> %</w:t>
            </w:r>
            <w:r w:rsidRPr="005C012F">
              <w:rPr>
                <w:spacing w:val="-4"/>
              </w:rPr>
              <w:t>.</w:t>
            </w:r>
          </w:p>
        </w:tc>
      </w:tr>
      <w:tr w:rsidR="00C35A2A" w:rsidRPr="005C012F" w14:paraId="6F6D5882" w14:textId="77777777" w:rsidTr="000A3D9E">
        <w:trPr>
          <w:trHeight w:val="145"/>
        </w:trPr>
        <w:tc>
          <w:tcPr>
            <w:tcW w:w="1764" w:type="dxa"/>
            <w:shd w:val="clear" w:color="auto" w:fill="auto"/>
            <w:tcMar>
              <w:left w:w="0" w:type="dxa"/>
            </w:tcMar>
          </w:tcPr>
          <w:p w14:paraId="1C0BBEA9" w14:textId="77777777" w:rsidR="00C35A2A" w:rsidRDefault="00C35A2A" w:rsidP="000A3D9E">
            <w:pPr>
              <w:pStyle w:val="Marginlie"/>
            </w:pPr>
            <w:r>
              <w:t>Hlavním zdrojem růstu ekonomiky na produkční straně byly již druhým rokem v řadě služby. V průmyslu HPH mírně zvolnila a v primárním sektoru se její pokles dále prohloubil.</w:t>
            </w:r>
          </w:p>
          <w:p w14:paraId="099E2C1E" w14:textId="77777777" w:rsidR="00C35A2A" w:rsidRDefault="00C35A2A" w:rsidP="000A3D9E">
            <w:pPr>
              <w:pStyle w:val="Marginlie"/>
            </w:pPr>
          </w:p>
        </w:tc>
        <w:tc>
          <w:tcPr>
            <w:tcW w:w="175" w:type="dxa"/>
            <w:shd w:val="clear" w:color="auto" w:fill="auto"/>
            <w:tcMar>
              <w:left w:w="0" w:type="dxa"/>
            </w:tcMar>
          </w:tcPr>
          <w:p w14:paraId="140F42C2" w14:textId="77777777" w:rsidR="00C35A2A" w:rsidRDefault="00C35A2A" w:rsidP="000A3D9E">
            <w:pPr>
              <w:pStyle w:val="Textpoznpodarou"/>
              <w:jc w:val="both"/>
              <w:rPr>
                <w:spacing w:val="-4"/>
              </w:rPr>
            </w:pPr>
          </w:p>
        </w:tc>
        <w:tc>
          <w:tcPr>
            <w:tcW w:w="7700" w:type="dxa"/>
            <w:shd w:val="clear" w:color="auto" w:fill="auto"/>
            <w:tcMar>
              <w:left w:w="0" w:type="dxa"/>
            </w:tcMar>
          </w:tcPr>
          <w:p w14:paraId="2880C75F" w14:textId="292C668D" w:rsidR="00C35A2A" w:rsidRPr="005C012F" w:rsidRDefault="00C35A2A" w:rsidP="00CE3E48">
            <w:pPr>
              <w:spacing w:after="200"/>
              <w:rPr>
                <w:spacing w:val="-4"/>
              </w:rPr>
            </w:pPr>
            <w:r w:rsidRPr="005C012F">
              <w:rPr>
                <w:spacing w:val="-4"/>
              </w:rPr>
              <w:t>V pozadí mírného zpomalení meziročního tempa HPH v 1. čtvrtletí 2019 (ve srovnání s celým loňským rokem) stálo dílčí zvolnění růstu ve zpracovatelském průmyslu umocněné prohloubením poklesu výkonu primárního sektoru. Naopak přidaná hodnota v terciárním sektoru vzrostla o</w:t>
            </w:r>
            <w:r>
              <w:rPr>
                <w:spacing w:val="-4"/>
              </w:rPr>
              <w:t xml:space="preserve"> rovná 3</w:t>
            </w:r>
            <w:r w:rsidR="00870ECD">
              <w:rPr>
                <w:spacing w:val="-4"/>
              </w:rPr>
              <w:t> %</w:t>
            </w:r>
            <w:r>
              <w:rPr>
                <w:spacing w:val="-4"/>
              </w:rPr>
              <w:t xml:space="preserve"> (podobn</w:t>
            </w:r>
            <w:r w:rsidRPr="005C012F">
              <w:rPr>
                <w:spacing w:val="-4"/>
              </w:rPr>
              <w:t>ě jako v roce 2018) a k růstu HPH v celé ekonomice přispěla 1,8</w:t>
            </w:r>
            <w:r w:rsidR="00870ECD">
              <w:rPr>
                <w:spacing w:val="-4"/>
              </w:rPr>
              <w:t> p. b.</w:t>
            </w:r>
            <w:r w:rsidRPr="005C012F">
              <w:rPr>
                <w:spacing w:val="-4"/>
              </w:rPr>
              <w:t xml:space="preserve"> Do výkonu služeb se otiskl dynamický růst informačních a komunikačních činností (+4,8</w:t>
            </w:r>
            <w:r w:rsidR="00870ECD">
              <w:rPr>
                <w:spacing w:val="-4"/>
              </w:rPr>
              <w:t> %</w:t>
            </w:r>
            <w:r w:rsidRPr="005C012F">
              <w:rPr>
                <w:spacing w:val="-4"/>
              </w:rPr>
              <w:t xml:space="preserve"> v</w:t>
            </w:r>
            <w:r w:rsidR="008A66B7">
              <w:rPr>
                <w:spacing w:val="-4"/>
              </w:rPr>
              <w:t> </w:t>
            </w:r>
            <w:r w:rsidRPr="005C012F">
              <w:rPr>
                <w:spacing w:val="-4"/>
              </w:rPr>
              <w:t>1</w:t>
            </w:r>
            <w:r w:rsidR="008A66B7">
              <w:rPr>
                <w:spacing w:val="-4"/>
              </w:rPr>
              <w:t>. </w:t>
            </w:r>
            <w:r w:rsidRPr="005C012F">
              <w:rPr>
                <w:spacing w:val="-4"/>
              </w:rPr>
              <w:t>čtvrtletí, resp. +6,3</w:t>
            </w:r>
            <w:r w:rsidR="00870ECD">
              <w:rPr>
                <w:spacing w:val="-4"/>
              </w:rPr>
              <w:t> %</w:t>
            </w:r>
            <w:r>
              <w:rPr>
                <w:spacing w:val="-4"/>
              </w:rPr>
              <w:t xml:space="preserve"> v ročním průměru za předešlých šest let) a</w:t>
            </w:r>
            <w:r w:rsidRPr="005C012F">
              <w:rPr>
                <w:spacing w:val="-4"/>
              </w:rPr>
              <w:t> peněžnictví i pojišťovnictví (4,3</w:t>
            </w:r>
            <w:r w:rsidR="00870ECD">
              <w:rPr>
                <w:spacing w:val="-4"/>
              </w:rPr>
              <w:t> %</w:t>
            </w:r>
            <w:r w:rsidRPr="005C012F">
              <w:rPr>
                <w:spacing w:val="-4"/>
              </w:rPr>
              <w:t>, resp. 5,5</w:t>
            </w:r>
            <w:r w:rsidR="00870ECD">
              <w:rPr>
                <w:spacing w:val="-4"/>
              </w:rPr>
              <w:t> %</w:t>
            </w:r>
            <w:r w:rsidRPr="005C012F">
              <w:rPr>
                <w:spacing w:val="-4"/>
              </w:rPr>
              <w:t>). Především ze stabilní domácí poptávky těžilo i váhově dominantní uskupení odvětví obchod, doprava, ubytování a pohostinství (+2,8</w:t>
            </w:r>
            <w:r w:rsidR="00870ECD">
              <w:rPr>
                <w:spacing w:val="-4"/>
              </w:rPr>
              <w:t> %</w:t>
            </w:r>
            <w:r w:rsidRPr="005C012F">
              <w:rPr>
                <w:spacing w:val="-4"/>
              </w:rPr>
              <w:t>). Ve srovnání s</w:t>
            </w:r>
            <w:r>
              <w:rPr>
                <w:spacing w:val="-4"/>
              </w:rPr>
              <w:t xml:space="preserve"> celým </w:t>
            </w:r>
            <w:r w:rsidRPr="005C012F">
              <w:rPr>
                <w:spacing w:val="-4"/>
              </w:rPr>
              <w:t>loňským rokem významně zrychlil růst výkonu v odvětví profesní, vědecké, technické a administrativní činnosti a také v oblasti veřejných služeb. Ve</w:t>
            </w:r>
            <w:r w:rsidR="00CE3E48">
              <w:rPr>
                <w:spacing w:val="-4"/>
              </w:rPr>
              <w:t> </w:t>
            </w:r>
            <w:r w:rsidRPr="005C012F">
              <w:rPr>
                <w:spacing w:val="-4"/>
              </w:rPr>
              <w:t xml:space="preserve">zpracovatelském průmyslu HPH navýšila o 2,5 % a </w:t>
            </w:r>
            <w:r w:rsidR="008A66B7">
              <w:rPr>
                <w:spacing w:val="-4"/>
              </w:rPr>
              <w:t>k </w:t>
            </w:r>
            <w:r w:rsidRPr="005C012F">
              <w:rPr>
                <w:spacing w:val="-4"/>
              </w:rPr>
              <w:t>růstu celé ekonomiky přispěla 0</w:t>
            </w:r>
            <w:r>
              <w:rPr>
                <w:spacing w:val="-4"/>
              </w:rPr>
              <w:t>,7</w:t>
            </w:r>
            <w:r w:rsidRPr="005C012F">
              <w:rPr>
                <w:spacing w:val="-4"/>
              </w:rPr>
              <w:t> </w:t>
            </w:r>
            <w:r>
              <w:rPr>
                <w:spacing w:val="-4"/>
              </w:rPr>
              <w:t>p.</w:t>
            </w:r>
            <w:r w:rsidRPr="005C012F">
              <w:rPr>
                <w:spacing w:val="-4"/>
              </w:rPr>
              <w:t> b. Slábnoucí růst pocítila váhově dominantní výroba dopravních prostředků (vč.</w:t>
            </w:r>
            <w:r w:rsidR="00CE3E48">
              <w:rPr>
                <w:spacing w:val="-4"/>
              </w:rPr>
              <w:t> </w:t>
            </w:r>
            <w:r w:rsidRPr="005C012F">
              <w:rPr>
                <w:spacing w:val="-4"/>
              </w:rPr>
              <w:t>návazných oborů). Dařilo se naopak výrobě strojů či pryžových a plastových výrobků. Mimo zpracovatelská odvětví pokračoval vleklý útlum v těžbě a dobývání, jenž byl plně kompenzován mírným růstem HPH v energetice. V odvětví zemědělství, lesnictví a rybářství klesla HPH o 6,3</w:t>
            </w:r>
            <w:r w:rsidR="00870ECD">
              <w:rPr>
                <w:spacing w:val="-4"/>
              </w:rPr>
              <w:t> %</w:t>
            </w:r>
            <w:r w:rsidRPr="005C012F">
              <w:rPr>
                <w:spacing w:val="-4"/>
              </w:rPr>
              <w:t>. S nižší výkonností se toto odvětví potýkalo již třetím rokem v řadě. Naopak na úspěšný loňský rok navázalo stavebnictví. HPH zde v 1. čtvrtletí posílila o 3,1</w:t>
            </w:r>
            <w:r w:rsidR="00870ECD">
              <w:rPr>
                <w:spacing w:val="-4"/>
              </w:rPr>
              <w:t> %</w:t>
            </w:r>
            <w:r w:rsidRPr="005C012F">
              <w:rPr>
                <w:spacing w:val="-4"/>
              </w:rPr>
              <w:t xml:space="preserve"> a k růstu celé ekonomiky přispěla téměř 0,2</w:t>
            </w:r>
            <w:r w:rsidR="00870ECD">
              <w:rPr>
                <w:spacing w:val="-4"/>
              </w:rPr>
              <w:t> p. b.</w:t>
            </w:r>
            <w:r w:rsidRPr="005C012F">
              <w:rPr>
                <w:spacing w:val="-4"/>
              </w:rPr>
              <w:t xml:space="preserve"> </w:t>
            </w:r>
          </w:p>
        </w:tc>
      </w:tr>
      <w:tr w:rsidR="00C35A2A" w:rsidRPr="005C012F" w14:paraId="54E8B9A2" w14:textId="77777777" w:rsidTr="000A3D9E">
        <w:trPr>
          <w:trHeight w:val="145"/>
        </w:trPr>
        <w:tc>
          <w:tcPr>
            <w:tcW w:w="1764" w:type="dxa"/>
            <w:shd w:val="clear" w:color="auto" w:fill="auto"/>
            <w:tcMar>
              <w:left w:w="0" w:type="dxa"/>
            </w:tcMar>
          </w:tcPr>
          <w:p w14:paraId="50E95AA0" w14:textId="77777777" w:rsidR="00C35A2A" w:rsidRDefault="00C35A2A" w:rsidP="000A3D9E">
            <w:pPr>
              <w:pStyle w:val="Marginlie"/>
            </w:pPr>
            <w:r>
              <w:t>Průmyslová produkce meziročně stagnovala, mezičtvrtletně poklesla nejvíce od konce poslední recese.</w:t>
            </w:r>
          </w:p>
        </w:tc>
        <w:tc>
          <w:tcPr>
            <w:tcW w:w="175" w:type="dxa"/>
            <w:shd w:val="clear" w:color="auto" w:fill="auto"/>
            <w:tcMar>
              <w:left w:w="0" w:type="dxa"/>
            </w:tcMar>
          </w:tcPr>
          <w:p w14:paraId="23469F71" w14:textId="77777777" w:rsidR="00C35A2A" w:rsidRDefault="00C35A2A" w:rsidP="000A3D9E">
            <w:pPr>
              <w:pStyle w:val="Textpoznpodarou"/>
              <w:jc w:val="both"/>
              <w:rPr>
                <w:spacing w:val="-4"/>
              </w:rPr>
            </w:pPr>
          </w:p>
        </w:tc>
        <w:tc>
          <w:tcPr>
            <w:tcW w:w="7700" w:type="dxa"/>
            <w:shd w:val="clear" w:color="auto" w:fill="auto"/>
            <w:tcMar>
              <w:left w:w="0" w:type="dxa"/>
            </w:tcMar>
          </w:tcPr>
          <w:p w14:paraId="675F7A6E" w14:textId="5DD9FE6A" w:rsidR="00C35A2A" w:rsidRPr="005C012F" w:rsidRDefault="00C35A2A" w:rsidP="000A3D9E">
            <w:pPr>
              <w:spacing w:after="200"/>
              <w:rPr>
                <w:spacing w:val="-4"/>
              </w:rPr>
            </w:pPr>
            <w:r w:rsidRPr="005C012F">
              <w:rPr>
                <w:spacing w:val="-4"/>
              </w:rPr>
              <w:t>Obtížnější vstup průmyslu do nového roku potvrzují i detailnější údaje z podnikových statistik. Hodnota i</w:t>
            </w:r>
            <w:r w:rsidRPr="005C012F">
              <w:rPr>
                <w:color w:val="000000" w:themeColor="text1"/>
                <w:spacing w:val="-4"/>
              </w:rPr>
              <w:t>ndexu průmyslové produkce</w:t>
            </w:r>
            <w:r w:rsidRPr="005C012F">
              <w:rPr>
                <w:color w:val="000000" w:themeColor="text1"/>
                <w:spacing w:val="-4"/>
                <w:vertAlign w:val="superscript"/>
              </w:rPr>
              <w:footnoteReference w:id="2"/>
            </w:r>
            <w:r w:rsidRPr="005C012F">
              <w:rPr>
                <w:color w:val="000000" w:themeColor="text1"/>
                <w:spacing w:val="-4"/>
              </w:rPr>
              <w:t xml:space="preserve"> se ve srovnání s posledním loňským čtvrtletím</w:t>
            </w:r>
            <w:r>
              <w:rPr>
                <w:color w:val="000000" w:themeColor="text1"/>
                <w:spacing w:val="-4"/>
              </w:rPr>
              <w:t xml:space="preserve"> snížila o 0,9</w:t>
            </w:r>
            <w:r w:rsidR="00870ECD">
              <w:rPr>
                <w:color w:val="000000" w:themeColor="text1"/>
                <w:spacing w:val="-4"/>
              </w:rPr>
              <w:t> %</w:t>
            </w:r>
            <w:r w:rsidRPr="005C012F">
              <w:rPr>
                <w:color w:val="000000" w:themeColor="text1"/>
                <w:spacing w:val="-4"/>
              </w:rPr>
              <w:t>. Šlo o nejhlubší mezičtvrtletní pokles od konce poslední recese. Podílely se na tom všechny hlavní odvětvové sekce – těžba a dobývání, zpracovatelský průmysl i</w:t>
            </w:r>
            <w:r w:rsidRPr="005C012F">
              <w:rPr>
                <w:spacing w:val="-4"/>
              </w:rPr>
              <w:t> </w:t>
            </w:r>
            <w:r w:rsidRPr="005C012F">
              <w:rPr>
                <w:color w:val="000000" w:themeColor="text1"/>
                <w:spacing w:val="-4"/>
              </w:rPr>
              <w:t>energetika. Z velké části se jednalo o opožděnou reakci na výraznější zpomalení průmyslu v eurozóně, které vrcholilo na sklonku loňského roku</w:t>
            </w:r>
            <w:r w:rsidRPr="005C012F">
              <w:rPr>
                <w:color w:val="000000" w:themeColor="text1"/>
                <w:spacing w:val="-4"/>
                <w:vertAlign w:val="superscript"/>
              </w:rPr>
              <w:footnoteReference w:id="3"/>
            </w:r>
            <w:r w:rsidRPr="005C012F">
              <w:rPr>
                <w:color w:val="000000" w:themeColor="text1"/>
                <w:spacing w:val="-4"/>
              </w:rPr>
              <w:t xml:space="preserve">. Kumulace méně příznivých vnějších faktorů s domácími vlivy (nedostatek volné pracovní síly, rostoucí náklady vlivem navyšování průměrných mezd i bobtnajících cen energií) se </w:t>
            </w:r>
            <w:r w:rsidR="00626079" w:rsidRPr="005C012F">
              <w:rPr>
                <w:color w:val="000000" w:themeColor="text1"/>
                <w:spacing w:val="-4"/>
              </w:rPr>
              <w:t>odrazil</w:t>
            </w:r>
            <w:r w:rsidR="00626079">
              <w:rPr>
                <w:color w:val="000000" w:themeColor="text1"/>
                <w:spacing w:val="-4"/>
              </w:rPr>
              <w:t>a</w:t>
            </w:r>
            <w:r w:rsidR="00626079" w:rsidRPr="005C012F">
              <w:rPr>
                <w:color w:val="000000" w:themeColor="text1"/>
                <w:spacing w:val="-4"/>
              </w:rPr>
              <w:t xml:space="preserve"> </w:t>
            </w:r>
            <w:r w:rsidRPr="005C012F">
              <w:rPr>
                <w:color w:val="000000" w:themeColor="text1"/>
                <w:spacing w:val="-4"/>
              </w:rPr>
              <w:t>ve faktické stagnaci průmyslové produkce (+0,3</w:t>
            </w:r>
            <w:r w:rsidR="00870ECD">
              <w:rPr>
                <w:color w:val="000000" w:themeColor="text1"/>
                <w:spacing w:val="-4"/>
              </w:rPr>
              <w:t> %</w:t>
            </w:r>
            <w:r w:rsidRPr="005C012F">
              <w:rPr>
                <w:color w:val="000000" w:themeColor="text1"/>
                <w:spacing w:val="-4"/>
              </w:rPr>
              <w:t xml:space="preserve"> meziročně, v 1. loňském čtvrtletí +4,2</w:t>
            </w:r>
            <w:r w:rsidR="00870ECD">
              <w:rPr>
                <w:color w:val="000000" w:themeColor="text1"/>
                <w:spacing w:val="-4"/>
              </w:rPr>
              <w:t> %</w:t>
            </w:r>
            <w:r w:rsidRPr="005C012F">
              <w:rPr>
                <w:color w:val="000000" w:themeColor="text1"/>
                <w:spacing w:val="-4"/>
              </w:rPr>
              <w:t xml:space="preserve">). </w:t>
            </w:r>
          </w:p>
        </w:tc>
      </w:tr>
      <w:tr w:rsidR="00C35A2A" w:rsidRPr="005C012F" w14:paraId="4F73E1D4" w14:textId="77777777" w:rsidTr="000A3D9E">
        <w:trPr>
          <w:trHeight w:val="145"/>
        </w:trPr>
        <w:tc>
          <w:tcPr>
            <w:tcW w:w="1764" w:type="dxa"/>
            <w:shd w:val="clear" w:color="auto" w:fill="auto"/>
            <w:tcMar>
              <w:left w:w="0" w:type="dxa"/>
            </w:tcMar>
          </w:tcPr>
          <w:p w14:paraId="7F26565D" w14:textId="77777777" w:rsidR="00C35A2A" w:rsidRDefault="00C35A2A" w:rsidP="000A3D9E">
            <w:pPr>
              <w:pStyle w:val="Marginlie"/>
              <w:rPr>
                <w:spacing w:val="-3"/>
              </w:rPr>
            </w:pPr>
            <w:r>
              <w:rPr>
                <w:spacing w:val="-3"/>
              </w:rPr>
              <w:t>Ve směru růstu průmyslové produkce působily na počátku roku nejvýznamněji energetika a odvětví výroby počítačů a</w:t>
            </w:r>
            <w:r>
              <w:t> </w:t>
            </w:r>
            <w:r>
              <w:rPr>
                <w:spacing w:val="-3"/>
              </w:rPr>
              <w:t>elektronických a</w:t>
            </w:r>
            <w:r>
              <w:t> </w:t>
            </w:r>
            <w:r>
              <w:rPr>
                <w:spacing w:val="-3"/>
              </w:rPr>
              <w:t>optických přístrojů.</w:t>
            </w:r>
          </w:p>
        </w:tc>
        <w:tc>
          <w:tcPr>
            <w:tcW w:w="175" w:type="dxa"/>
            <w:shd w:val="clear" w:color="auto" w:fill="auto"/>
            <w:tcMar>
              <w:left w:w="0" w:type="dxa"/>
            </w:tcMar>
          </w:tcPr>
          <w:p w14:paraId="7CCC17CE" w14:textId="77777777" w:rsidR="00C35A2A" w:rsidRDefault="00C35A2A" w:rsidP="000A3D9E">
            <w:pPr>
              <w:pStyle w:val="Textpoznpodarou"/>
              <w:jc w:val="both"/>
              <w:rPr>
                <w:spacing w:val="-4"/>
              </w:rPr>
            </w:pPr>
          </w:p>
        </w:tc>
        <w:tc>
          <w:tcPr>
            <w:tcW w:w="7700" w:type="dxa"/>
            <w:shd w:val="clear" w:color="auto" w:fill="auto"/>
            <w:tcMar>
              <w:left w:w="0" w:type="dxa"/>
            </w:tcMar>
          </w:tcPr>
          <w:p w14:paraId="3CBA3AF0" w14:textId="32957488" w:rsidR="00C35A2A" w:rsidRPr="005C012F" w:rsidRDefault="00C35A2A" w:rsidP="000A3D9E">
            <w:pPr>
              <w:spacing w:after="200"/>
              <w:rPr>
                <w:spacing w:val="-4"/>
              </w:rPr>
            </w:pPr>
            <w:r w:rsidRPr="005C012F">
              <w:rPr>
                <w:spacing w:val="-4"/>
              </w:rPr>
              <w:t>Z větších průmyslových oborů rostla meziročně produkce v 1. čtvrtletí významněji jen v energetice (+2,</w:t>
            </w:r>
            <w:r>
              <w:rPr>
                <w:spacing w:val="-4"/>
              </w:rPr>
              <w:t>3</w:t>
            </w:r>
            <w:r w:rsidRPr="005C012F">
              <w:rPr>
                <w:color w:val="000000" w:themeColor="text1"/>
                <w:spacing w:val="-4"/>
              </w:rPr>
              <w:t> </w:t>
            </w:r>
            <w:r w:rsidRPr="005C012F">
              <w:rPr>
                <w:spacing w:val="-4"/>
              </w:rPr>
              <w:t>%, příspěvek k růstu celého odvětví +0,3</w:t>
            </w:r>
            <w:r w:rsidR="00870ECD">
              <w:rPr>
                <w:spacing w:val="-4"/>
              </w:rPr>
              <w:t> p. b.</w:t>
            </w:r>
            <w:r w:rsidRPr="005C012F">
              <w:rPr>
                <w:spacing w:val="-4"/>
              </w:rPr>
              <w:t>), výrobě počítačů, elektron</w:t>
            </w:r>
            <w:r>
              <w:rPr>
                <w:spacing w:val="-4"/>
              </w:rPr>
              <w:t>ických a optických přístrojů (+5,2</w:t>
            </w:r>
            <w:r w:rsidR="00870ECD">
              <w:rPr>
                <w:spacing w:val="-4"/>
              </w:rPr>
              <w:t> %</w:t>
            </w:r>
            <w:r w:rsidRPr="005C012F">
              <w:rPr>
                <w:spacing w:val="-4"/>
              </w:rPr>
              <w:t>, 0,2</w:t>
            </w:r>
            <w:r w:rsidR="00870ECD">
              <w:rPr>
                <w:spacing w:val="-4"/>
              </w:rPr>
              <w:t> p. b.</w:t>
            </w:r>
            <w:r>
              <w:rPr>
                <w:spacing w:val="-4"/>
              </w:rPr>
              <w:t>) a v potravinářství (+2,0</w:t>
            </w:r>
            <w:r w:rsidR="00870ECD">
              <w:rPr>
                <w:spacing w:val="-4"/>
              </w:rPr>
              <w:t> %</w:t>
            </w:r>
            <w:r w:rsidRPr="005C012F">
              <w:rPr>
                <w:spacing w:val="-4"/>
              </w:rPr>
              <w:t>, 0,1</w:t>
            </w:r>
            <w:r w:rsidR="00870ECD">
              <w:rPr>
                <w:spacing w:val="-4"/>
              </w:rPr>
              <w:t> p. b.</w:t>
            </w:r>
            <w:r w:rsidRPr="005C012F">
              <w:rPr>
                <w:spacing w:val="-4"/>
              </w:rPr>
              <w:t xml:space="preserve">). Naopak ve směru redukce průmyslové produkce působila i přes relativně mělký pokles nejvíce výroba motorových vozidel </w:t>
            </w:r>
            <w:r>
              <w:rPr>
                <w:spacing w:val="-4"/>
              </w:rPr>
              <w:t>(–0,9</w:t>
            </w:r>
            <w:r w:rsidR="00870ECD">
              <w:rPr>
                <w:spacing w:val="-4"/>
              </w:rPr>
              <w:t> %</w:t>
            </w:r>
            <w:r>
              <w:rPr>
                <w:spacing w:val="-4"/>
              </w:rPr>
              <w:t>, příspěvek –0,2</w:t>
            </w:r>
            <w:r w:rsidR="00870ECD">
              <w:rPr>
                <w:spacing w:val="-4"/>
              </w:rPr>
              <w:t> p. b.</w:t>
            </w:r>
            <w:r w:rsidRPr="005C012F">
              <w:rPr>
                <w:spacing w:val="-4"/>
              </w:rPr>
              <w:t>)</w:t>
            </w:r>
            <w:r>
              <w:rPr>
                <w:spacing w:val="-4"/>
              </w:rPr>
              <w:t>, což dokreslují i údaje o</w:t>
            </w:r>
            <w:r w:rsidRPr="005C012F">
              <w:rPr>
                <w:spacing w:val="-4"/>
              </w:rPr>
              <w:t> fyzické produkci</w:t>
            </w:r>
            <w:r w:rsidRPr="005C012F">
              <w:rPr>
                <w:color w:val="000000" w:themeColor="text1"/>
                <w:spacing w:val="-4"/>
                <w:vertAlign w:val="superscript"/>
              </w:rPr>
              <w:footnoteReference w:id="4"/>
            </w:r>
            <w:r w:rsidRPr="005C012F">
              <w:rPr>
                <w:spacing w:val="-4"/>
              </w:rPr>
              <w:t xml:space="preserve">. Tento vývoj se odrazil i ve stagnaci nejbližších subdodavatelských </w:t>
            </w:r>
            <w:r w:rsidRPr="005C012F">
              <w:rPr>
                <w:spacing w:val="-4"/>
              </w:rPr>
              <w:lastRenderedPageBreak/>
              <w:t>odvětví (v</w:t>
            </w:r>
            <w:r w:rsidRPr="005C012F">
              <w:rPr>
                <w:color w:val="000000" w:themeColor="text1"/>
                <w:spacing w:val="-4"/>
              </w:rPr>
              <w:t> </w:t>
            </w:r>
            <w:r w:rsidRPr="005C012F">
              <w:rPr>
                <w:spacing w:val="-4"/>
              </w:rPr>
              <w:t xml:space="preserve">elektrotechnickém průmyslu přitom </w:t>
            </w:r>
            <w:r w:rsidR="00AA7752">
              <w:rPr>
                <w:spacing w:val="-4"/>
              </w:rPr>
              <w:t>v </w:t>
            </w:r>
            <w:r w:rsidRPr="005C012F">
              <w:rPr>
                <w:spacing w:val="-4"/>
              </w:rPr>
              <w:t>1. čtvrtletí 2018 rostla produkce meziročně o</w:t>
            </w:r>
            <w:r w:rsidR="00AA7752">
              <w:rPr>
                <w:spacing w:val="-4"/>
              </w:rPr>
              <w:t> </w:t>
            </w:r>
            <w:r w:rsidRPr="005C012F">
              <w:rPr>
                <w:spacing w:val="-4"/>
              </w:rPr>
              <w:t>celou desetinu). Tempo růstu letos oproti loňsku citelně zvolnilo i v dalších významných od</w:t>
            </w:r>
            <w:r>
              <w:rPr>
                <w:spacing w:val="-4"/>
              </w:rPr>
              <w:t>větvích – ve strojírenství (na 0,5</w:t>
            </w:r>
            <w:r w:rsidR="00870ECD">
              <w:rPr>
                <w:spacing w:val="-4"/>
              </w:rPr>
              <w:t> %</w:t>
            </w:r>
            <w:r>
              <w:rPr>
                <w:spacing w:val="-4"/>
              </w:rPr>
              <w:t>) či kovovýrobě (1,5</w:t>
            </w:r>
            <w:r w:rsidR="00870ECD">
              <w:rPr>
                <w:spacing w:val="-4"/>
              </w:rPr>
              <w:t> %</w:t>
            </w:r>
            <w:r w:rsidRPr="005C012F">
              <w:rPr>
                <w:spacing w:val="-4"/>
              </w:rPr>
              <w:t>). Navzdory pokračujícímu rozvoji tuzemského stavebnictví produkce ve výrobě ostatních nekovových minerálních výrobků</w:t>
            </w:r>
            <w:r>
              <w:rPr>
                <w:spacing w:val="-4"/>
              </w:rPr>
              <w:t xml:space="preserve"> klesla (o 4,4</w:t>
            </w:r>
            <w:r w:rsidR="00870ECD">
              <w:rPr>
                <w:spacing w:val="-4"/>
              </w:rPr>
              <w:t> %</w:t>
            </w:r>
            <w:r>
              <w:rPr>
                <w:spacing w:val="-4"/>
              </w:rPr>
              <w:t>, o rok dříve činil růst 9,5</w:t>
            </w:r>
            <w:r w:rsidR="00870ECD">
              <w:rPr>
                <w:spacing w:val="-4"/>
              </w:rPr>
              <w:t> %</w:t>
            </w:r>
            <w:r w:rsidRPr="005C012F">
              <w:rPr>
                <w:spacing w:val="-4"/>
              </w:rPr>
              <w:t>), neboť došlo ke snížení zahraniční poptávky. Podobný vývoj byl v menší míře patrný i v hutnictví a slévárenství. Stála za n</w:t>
            </w:r>
            <w:r>
              <w:rPr>
                <w:spacing w:val="-4"/>
              </w:rPr>
              <w:t xml:space="preserve">ím zejména slabší domácí </w:t>
            </w:r>
            <w:r w:rsidRPr="005C012F">
              <w:rPr>
                <w:spacing w:val="-4"/>
              </w:rPr>
              <w:t xml:space="preserve">poptávka. Mírné snížení produkce v chemickém průmyslu </w:t>
            </w:r>
            <w:r>
              <w:rPr>
                <w:spacing w:val="-4"/>
              </w:rPr>
              <w:t>(</w:t>
            </w:r>
            <w:r w:rsidR="00AA7752">
              <w:rPr>
                <w:spacing w:val="-4"/>
              </w:rPr>
              <w:t>–</w:t>
            </w:r>
            <w:r>
              <w:rPr>
                <w:spacing w:val="-4"/>
              </w:rPr>
              <w:t>1,5</w:t>
            </w:r>
            <w:r w:rsidR="00870ECD">
              <w:rPr>
                <w:spacing w:val="-4"/>
              </w:rPr>
              <w:t> %</w:t>
            </w:r>
            <w:r w:rsidRPr="005C012F">
              <w:rPr>
                <w:spacing w:val="-4"/>
              </w:rPr>
              <w:t>) souviselo naopak s nepravidelnostmi ve využití výrobních kapacit, jež jsou pro toto odvětví typické.</w:t>
            </w:r>
          </w:p>
        </w:tc>
      </w:tr>
      <w:tr w:rsidR="00C35A2A" w:rsidRPr="00F704D2" w14:paraId="15BC17FC" w14:textId="77777777" w:rsidTr="000A3D9E">
        <w:trPr>
          <w:trHeight w:val="170"/>
        </w:trPr>
        <w:tc>
          <w:tcPr>
            <w:tcW w:w="1764" w:type="dxa"/>
            <w:vMerge w:val="restart"/>
            <w:shd w:val="clear" w:color="auto" w:fill="auto"/>
            <w:tcMar>
              <w:left w:w="0" w:type="dxa"/>
            </w:tcMar>
          </w:tcPr>
          <w:p w14:paraId="2BAB5749" w14:textId="77777777" w:rsidR="00C35A2A" w:rsidRDefault="00C35A2A" w:rsidP="000A3D9E">
            <w:pPr>
              <w:pStyle w:val="Marginlie"/>
            </w:pPr>
          </w:p>
        </w:tc>
        <w:tc>
          <w:tcPr>
            <w:tcW w:w="175" w:type="dxa"/>
            <w:vMerge w:val="restart"/>
            <w:shd w:val="clear" w:color="auto" w:fill="auto"/>
            <w:tcMar>
              <w:left w:w="0" w:type="dxa"/>
            </w:tcMar>
          </w:tcPr>
          <w:p w14:paraId="67405A1E" w14:textId="77777777" w:rsidR="00C35A2A" w:rsidRDefault="00C35A2A" w:rsidP="000A3D9E">
            <w:pPr>
              <w:pStyle w:val="Textpoznpodarou"/>
              <w:jc w:val="both"/>
              <w:rPr>
                <w:spacing w:val="-4"/>
              </w:rPr>
            </w:pPr>
          </w:p>
        </w:tc>
        <w:tc>
          <w:tcPr>
            <w:tcW w:w="7700" w:type="dxa"/>
            <w:shd w:val="clear" w:color="auto" w:fill="auto"/>
            <w:tcMar>
              <w:left w:w="0" w:type="dxa"/>
            </w:tcMar>
          </w:tcPr>
          <w:p w14:paraId="2ACE1F7F" w14:textId="77777777" w:rsidR="00C35A2A" w:rsidRDefault="00C35A2A" w:rsidP="000A3D9E">
            <w:pPr>
              <w:spacing w:after="0"/>
              <w:rPr>
                <w:b/>
              </w:rPr>
            </w:pPr>
            <w:r w:rsidRPr="00C06323">
              <w:rPr>
                <w:rFonts w:cs="Arial"/>
                <w:b/>
                <w:bCs/>
                <w:color w:val="000000"/>
                <w:szCs w:val="20"/>
              </w:rPr>
              <w:t xml:space="preserve">Graf č. </w:t>
            </w:r>
            <w:r>
              <w:rPr>
                <w:rFonts w:cs="Arial"/>
                <w:b/>
                <w:bCs/>
                <w:color w:val="000000"/>
                <w:szCs w:val="20"/>
              </w:rPr>
              <w:t>5</w:t>
            </w:r>
            <w:r w:rsidRPr="00631BC9">
              <w:rPr>
                <w:rFonts w:cs="Arial"/>
                <w:b/>
                <w:bCs/>
                <w:color w:val="000000"/>
                <w:sz w:val="18"/>
                <w:szCs w:val="18"/>
              </w:rPr>
              <w:t xml:space="preserve"> </w:t>
            </w:r>
            <w:r>
              <w:rPr>
                <w:rFonts w:cs="Arial"/>
                <w:b/>
                <w:bCs/>
                <w:color w:val="000000"/>
                <w:sz w:val="18"/>
                <w:szCs w:val="18"/>
              </w:rPr>
              <w:t xml:space="preserve"> </w:t>
            </w:r>
            <w:r>
              <w:rPr>
                <w:b/>
              </w:rPr>
              <w:t>Příspěvky dílčích odvětví k meziroční změně průmyslové produkce</w:t>
            </w:r>
          </w:p>
          <w:p w14:paraId="409B0282" w14:textId="77777777" w:rsidR="00C35A2A" w:rsidRPr="00F704D2" w:rsidRDefault="00C35A2A" w:rsidP="000A3D9E">
            <w:pPr>
              <w:spacing w:after="0"/>
              <w:jc w:val="left"/>
              <w:rPr>
                <w:rFonts w:cs="Arial"/>
                <w:bCs/>
              </w:rPr>
            </w:pPr>
            <w:r>
              <w:t>(v procentních bodech, očištěno o kalendářní vlivy</w:t>
            </w:r>
            <w:r w:rsidRPr="001D04BA">
              <w:t>)</w:t>
            </w:r>
          </w:p>
        </w:tc>
      </w:tr>
      <w:tr w:rsidR="00C35A2A" w14:paraId="20508F7D" w14:textId="77777777" w:rsidTr="000A3D9E">
        <w:tblPrEx>
          <w:tblCellMar>
            <w:left w:w="70" w:type="dxa"/>
            <w:right w:w="70" w:type="dxa"/>
          </w:tblCellMar>
        </w:tblPrEx>
        <w:trPr>
          <w:trHeight w:val="170"/>
        </w:trPr>
        <w:tc>
          <w:tcPr>
            <w:tcW w:w="1764" w:type="dxa"/>
            <w:vMerge/>
            <w:shd w:val="clear" w:color="auto" w:fill="auto"/>
          </w:tcPr>
          <w:p w14:paraId="6BF0E175" w14:textId="77777777" w:rsidR="00C35A2A" w:rsidRDefault="00C35A2A" w:rsidP="000A3D9E">
            <w:pPr>
              <w:pStyle w:val="Marginlie"/>
            </w:pPr>
          </w:p>
        </w:tc>
        <w:tc>
          <w:tcPr>
            <w:tcW w:w="175" w:type="dxa"/>
            <w:vMerge/>
            <w:shd w:val="clear" w:color="auto" w:fill="auto"/>
          </w:tcPr>
          <w:p w14:paraId="13062737" w14:textId="77777777" w:rsidR="00C35A2A" w:rsidRDefault="00C35A2A" w:rsidP="000A3D9E">
            <w:pPr>
              <w:pStyle w:val="Textpoznpodarou"/>
              <w:jc w:val="both"/>
              <w:rPr>
                <w:spacing w:val="-4"/>
              </w:rPr>
            </w:pPr>
          </w:p>
        </w:tc>
        <w:tc>
          <w:tcPr>
            <w:tcW w:w="7700" w:type="dxa"/>
            <w:shd w:val="clear" w:color="auto" w:fill="auto"/>
          </w:tcPr>
          <w:p w14:paraId="6E1B170F" w14:textId="77777777" w:rsidR="00C35A2A" w:rsidRDefault="00C35A2A" w:rsidP="000A3D9E">
            <w:pPr>
              <w:spacing w:after="0"/>
            </w:pPr>
            <w:r w:rsidRPr="005C012F">
              <w:rPr>
                <w:noProof/>
              </w:rPr>
              <w:drawing>
                <wp:inline distT="0" distB="0" distL="0" distR="0" wp14:anchorId="39E470DF" wp14:editId="0BCAF514">
                  <wp:extent cx="4730750" cy="3384550"/>
                  <wp:effectExtent l="1905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35A2A" w:rsidRPr="007B3A78" w14:paraId="6BB70876" w14:textId="77777777" w:rsidTr="000A3D9E">
        <w:trPr>
          <w:trHeight w:val="170"/>
        </w:trPr>
        <w:tc>
          <w:tcPr>
            <w:tcW w:w="1764" w:type="dxa"/>
            <w:vMerge/>
            <w:shd w:val="clear" w:color="auto" w:fill="auto"/>
            <w:tcMar>
              <w:left w:w="0" w:type="dxa"/>
            </w:tcMar>
          </w:tcPr>
          <w:p w14:paraId="4D9D7DC2" w14:textId="77777777" w:rsidR="00C35A2A" w:rsidRDefault="00C35A2A" w:rsidP="000A3D9E">
            <w:pPr>
              <w:pStyle w:val="Marginlie"/>
            </w:pPr>
          </w:p>
        </w:tc>
        <w:tc>
          <w:tcPr>
            <w:tcW w:w="175" w:type="dxa"/>
            <w:vMerge/>
            <w:shd w:val="clear" w:color="auto" w:fill="auto"/>
            <w:tcMar>
              <w:left w:w="0" w:type="dxa"/>
            </w:tcMar>
          </w:tcPr>
          <w:p w14:paraId="2DEE6307" w14:textId="77777777" w:rsidR="00C35A2A" w:rsidRDefault="00C35A2A" w:rsidP="000A3D9E">
            <w:pPr>
              <w:pStyle w:val="Textpoznpodarou"/>
              <w:jc w:val="both"/>
              <w:rPr>
                <w:spacing w:val="-4"/>
              </w:rPr>
            </w:pPr>
          </w:p>
        </w:tc>
        <w:tc>
          <w:tcPr>
            <w:tcW w:w="7700" w:type="dxa"/>
            <w:shd w:val="clear" w:color="auto" w:fill="auto"/>
            <w:tcMar>
              <w:left w:w="0" w:type="dxa"/>
            </w:tcMar>
          </w:tcPr>
          <w:p w14:paraId="2D59DE6F" w14:textId="77777777" w:rsidR="00C35A2A" w:rsidRPr="007B3A78" w:rsidRDefault="00C35A2A" w:rsidP="000A3D9E">
            <w:pPr>
              <w:spacing w:after="200" w:line="240" w:lineRule="auto"/>
              <w:jc w:val="left"/>
              <w:rPr>
                <w:rFonts w:cs="Arial"/>
                <w:sz w:val="14"/>
                <w:szCs w:val="14"/>
              </w:rPr>
            </w:pPr>
            <w:r w:rsidRPr="00535F78">
              <w:rPr>
                <w:rFonts w:cs="Arial"/>
                <w:sz w:val="14"/>
                <w:szCs w:val="14"/>
              </w:rPr>
              <w:t xml:space="preserve">Zdroj: </w:t>
            </w:r>
            <w:r>
              <w:rPr>
                <w:rFonts w:cs="Arial"/>
                <w:sz w:val="14"/>
                <w:szCs w:val="14"/>
              </w:rPr>
              <w:t>ČSÚ</w:t>
            </w:r>
          </w:p>
        </w:tc>
      </w:tr>
      <w:tr w:rsidR="00C35A2A" w14:paraId="169BF351" w14:textId="77777777" w:rsidTr="0052200D">
        <w:trPr>
          <w:trHeight w:val="145"/>
        </w:trPr>
        <w:tc>
          <w:tcPr>
            <w:tcW w:w="1764" w:type="dxa"/>
            <w:shd w:val="clear" w:color="auto" w:fill="auto"/>
            <w:tcMar>
              <w:left w:w="0" w:type="dxa"/>
            </w:tcMar>
          </w:tcPr>
          <w:p w14:paraId="67CC8349" w14:textId="77777777" w:rsidR="00C35A2A" w:rsidRDefault="00C35A2A" w:rsidP="000A3D9E">
            <w:pPr>
              <w:pStyle w:val="Marginlie"/>
            </w:pPr>
            <w:r>
              <w:t>Produkce klesla i ve většině menších zpracovatelských oborů.</w:t>
            </w:r>
          </w:p>
        </w:tc>
        <w:tc>
          <w:tcPr>
            <w:tcW w:w="175" w:type="dxa"/>
            <w:shd w:val="clear" w:color="auto" w:fill="auto"/>
            <w:tcMar>
              <w:left w:w="0" w:type="dxa"/>
            </w:tcMar>
          </w:tcPr>
          <w:p w14:paraId="2BD5816E" w14:textId="77777777" w:rsidR="00C35A2A" w:rsidRDefault="00C35A2A" w:rsidP="000A3D9E">
            <w:pPr>
              <w:pStyle w:val="Textpoznpodarou"/>
              <w:jc w:val="both"/>
              <w:rPr>
                <w:spacing w:val="-4"/>
              </w:rPr>
            </w:pPr>
          </w:p>
        </w:tc>
        <w:tc>
          <w:tcPr>
            <w:tcW w:w="7700" w:type="dxa"/>
            <w:shd w:val="clear" w:color="auto" w:fill="auto"/>
            <w:tcMar>
              <w:left w:w="0" w:type="dxa"/>
            </w:tcMar>
          </w:tcPr>
          <w:p w14:paraId="38D320BE" w14:textId="77777777" w:rsidR="00C35A2A" w:rsidRDefault="00C35A2A" w:rsidP="000A3D9E">
            <w:pPr>
              <w:spacing w:after="200"/>
              <w:rPr>
                <w:color w:val="000000" w:themeColor="text1"/>
                <w:spacing w:val="-4"/>
              </w:rPr>
            </w:pPr>
            <w:r>
              <w:rPr>
                <w:spacing w:val="-4"/>
              </w:rPr>
              <w:t xml:space="preserve">Na rozdíl od předešlých let se s nižší produkcí potýkala i většina menších zpracovatelských oborů. To platilo zejména pro textilní, tiskařský, dřevozpracující a nábytkářský průmysl, v dlouhodobějším útlumu pak setrval kožedělný průmysl. V mírném růstu naopak pokračovaly výroba nápojů či papírenský průmysl, jež jsou více zaměřeny na tuzemský trh. Rostoucí tuzemská i zahraniční poptávka poháněla svižný růst výkonů exportně orientovaných oborů farmaceutického průmyslu i výroby ostatních (především kolejových) dopravních prostředků. </w:t>
            </w:r>
          </w:p>
        </w:tc>
      </w:tr>
      <w:tr w:rsidR="00C35A2A" w:rsidRPr="004D53B1" w14:paraId="712F114F" w14:textId="77777777" w:rsidTr="0052200D">
        <w:trPr>
          <w:trHeight w:val="145"/>
        </w:trPr>
        <w:tc>
          <w:tcPr>
            <w:tcW w:w="1764" w:type="dxa"/>
            <w:shd w:val="clear" w:color="auto" w:fill="auto"/>
            <w:tcMar>
              <w:left w:w="0" w:type="dxa"/>
            </w:tcMar>
          </w:tcPr>
          <w:p w14:paraId="77D2192E" w14:textId="77777777" w:rsidR="00C35A2A" w:rsidRDefault="00C35A2A" w:rsidP="000A3D9E">
            <w:pPr>
              <w:pStyle w:val="Marginlie"/>
            </w:pPr>
            <w:r>
              <w:t>Pokračoval útlum těžby uhlí i růst výkonů v těžbě stavebních surovin.</w:t>
            </w:r>
          </w:p>
          <w:p w14:paraId="521CE0BD" w14:textId="77777777" w:rsidR="00C35A2A" w:rsidRDefault="00C35A2A" w:rsidP="000A3D9E">
            <w:pPr>
              <w:pStyle w:val="Marginlie"/>
            </w:pPr>
          </w:p>
          <w:p w14:paraId="38E68335" w14:textId="77777777" w:rsidR="00C35A2A" w:rsidRDefault="00C35A2A" w:rsidP="000A3D9E">
            <w:pPr>
              <w:pStyle w:val="Marginlie"/>
            </w:pPr>
          </w:p>
          <w:p w14:paraId="7E446C34" w14:textId="77777777" w:rsidR="00C35A2A" w:rsidRDefault="00C35A2A" w:rsidP="000A3D9E">
            <w:pPr>
              <w:pStyle w:val="Marginlie"/>
            </w:pPr>
            <w:r>
              <w:t>Navzdory teplejší zimě i menším odstávkám výrobních zařízení výkon energetiky mírně vzrostl.</w:t>
            </w:r>
          </w:p>
        </w:tc>
        <w:tc>
          <w:tcPr>
            <w:tcW w:w="175" w:type="dxa"/>
            <w:shd w:val="clear" w:color="auto" w:fill="auto"/>
            <w:tcMar>
              <w:left w:w="0" w:type="dxa"/>
            </w:tcMar>
          </w:tcPr>
          <w:p w14:paraId="21F812EF" w14:textId="77777777" w:rsidR="00C35A2A" w:rsidRDefault="00C35A2A" w:rsidP="000A3D9E">
            <w:pPr>
              <w:pStyle w:val="Textpoznpodarou"/>
              <w:jc w:val="both"/>
              <w:rPr>
                <w:spacing w:val="-4"/>
              </w:rPr>
            </w:pPr>
          </w:p>
        </w:tc>
        <w:tc>
          <w:tcPr>
            <w:tcW w:w="7700" w:type="dxa"/>
            <w:shd w:val="clear" w:color="auto" w:fill="auto"/>
            <w:tcMar>
              <w:left w:w="0" w:type="dxa"/>
            </w:tcMar>
          </w:tcPr>
          <w:p w14:paraId="44FB2108" w14:textId="1DDE9295" w:rsidR="00C35A2A" w:rsidRPr="004D53B1" w:rsidRDefault="00C35A2A" w:rsidP="000A3D9E">
            <w:pPr>
              <w:pStyle w:val="Textpoznpodarou"/>
              <w:spacing w:line="276" w:lineRule="auto"/>
              <w:jc w:val="both"/>
              <w:rPr>
                <w:spacing w:val="-3"/>
              </w:rPr>
            </w:pPr>
            <w:r>
              <w:rPr>
                <w:spacing w:val="-3"/>
              </w:rPr>
              <w:t>Vývoj v nezpracovatelských odvětvích průmyslu byl ovlivněn pokračujícím útlumem v odvětví těžby a dobývání (</w:t>
            </w:r>
            <w:r>
              <w:rPr>
                <w:spacing w:val="-4"/>
              </w:rPr>
              <w:t>–</w:t>
            </w:r>
            <w:r>
              <w:rPr>
                <w:spacing w:val="-3"/>
              </w:rPr>
              <w:t>2,7</w:t>
            </w:r>
            <w:r w:rsidR="00870ECD">
              <w:rPr>
                <w:spacing w:val="-3"/>
              </w:rPr>
              <w:t> %</w:t>
            </w:r>
            <w:r>
              <w:rPr>
                <w:spacing w:val="-3"/>
              </w:rPr>
              <w:t xml:space="preserve">, za posledních deset let </w:t>
            </w:r>
            <w:r>
              <w:rPr>
                <w:spacing w:val="-4"/>
              </w:rPr>
              <w:t>–</w:t>
            </w:r>
            <w:r>
              <w:rPr>
                <w:spacing w:val="-3"/>
              </w:rPr>
              <w:t>38</w:t>
            </w:r>
            <w:r w:rsidR="00870ECD">
              <w:rPr>
                <w:spacing w:val="-3"/>
              </w:rPr>
              <w:t> %</w:t>
            </w:r>
            <w:r>
              <w:rPr>
                <w:spacing w:val="-3"/>
              </w:rPr>
              <w:t>). Ten se týkal především těžby uhlí, naopak již třetím rokem v řadě přetrvával svižný růst výkonů v dosud okrajovém segmentu těžby stavebních materiálů. Mírný růst zaznamenalo odvětví energetiky, na které i v letošním roce zčásti působily odstávky výrobních zařízení. Výkon energetiky tlumilo i</w:t>
            </w:r>
            <w:r w:rsidR="00544011">
              <w:rPr>
                <w:spacing w:val="-3"/>
              </w:rPr>
              <w:t> </w:t>
            </w:r>
            <w:r>
              <w:rPr>
                <w:spacing w:val="-3"/>
              </w:rPr>
              <w:t>teplejší počasí v druhé polovině zimního období. Mírný meziroční růst fyzického množství vyrobené elektřiny (+3,4</w:t>
            </w:r>
            <w:r w:rsidR="00870ECD">
              <w:rPr>
                <w:spacing w:val="-3"/>
              </w:rPr>
              <w:t> %</w:t>
            </w:r>
            <w:r>
              <w:rPr>
                <w:spacing w:val="-3"/>
              </w:rPr>
              <w:t>) byl ovlivněn primárně vyššími výkony jaderných elektráren (+7,3</w:t>
            </w:r>
            <w:r w:rsidR="00870ECD">
              <w:rPr>
                <w:spacing w:val="-3"/>
              </w:rPr>
              <w:t> %</w:t>
            </w:r>
            <w:r>
              <w:rPr>
                <w:spacing w:val="-3"/>
              </w:rPr>
              <w:t>).</w:t>
            </w:r>
          </w:p>
        </w:tc>
      </w:tr>
      <w:tr w:rsidR="00C35A2A" w14:paraId="7A3F616C" w14:textId="77777777" w:rsidTr="0052200D">
        <w:trPr>
          <w:trHeight w:val="145"/>
        </w:trPr>
        <w:tc>
          <w:tcPr>
            <w:tcW w:w="1764" w:type="dxa"/>
            <w:shd w:val="clear" w:color="auto" w:fill="auto"/>
            <w:tcMar>
              <w:left w:w="0" w:type="dxa"/>
            </w:tcMar>
          </w:tcPr>
          <w:p w14:paraId="4F54FCA0" w14:textId="77777777" w:rsidR="00C35A2A" w:rsidRDefault="00C35A2A" w:rsidP="000A3D9E">
            <w:pPr>
              <w:pStyle w:val="Marginlie"/>
            </w:pPr>
            <w:r>
              <w:lastRenderedPageBreak/>
              <w:t>Tržby průmyslových podniků vlivem vzlínání cen v ekonomice vzrostly.</w:t>
            </w:r>
          </w:p>
        </w:tc>
        <w:tc>
          <w:tcPr>
            <w:tcW w:w="175" w:type="dxa"/>
            <w:shd w:val="clear" w:color="auto" w:fill="auto"/>
            <w:tcMar>
              <w:left w:w="0" w:type="dxa"/>
            </w:tcMar>
          </w:tcPr>
          <w:p w14:paraId="0A6C5494" w14:textId="77777777" w:rsidR="00C35A2A" w:rsidRPr="002A4B98" w:rsidRDefault="00C35A2A" w:rsidP="000A3D9E">
            <w:pPr>
              <w:pStyle w:val="Textpoznpodarou"/>
              <w:jc w:val="both"/>
              <w:rPr>
                <w:spacing w:val="-3"/>
              </w:rPr>
            </w:pPr>
          </w:p>
        </w:tc>
        <w:tc>
          <w:tcPr>
            <w:tcW w:w="7700" w:type="dxa"/>
            <w:shd w:val="clear" w:color="auto" w:fill="auto"/>
            <w:tcMar>
              <w:left w:w="0" w:type="dxa"/>
            </w:tcMar>
          </w:tcPr>
          <w:p w14:paraId="78F56C0F" w14:textId="537DBDC7" w:rsidR="00C35A2A" w:rsidRDefault="00C35A2A" w:rsidP="000A3D9E">
            <w:pPr>
              <w:pStyle w:val="Textpoznpodarou"/>
              <w:spacing w:after="200" w:line="276" w:lineRule="auto"/>
              <w:jc w:val="both"/>
              <w:rPr>
                <w:color w:val="0D0D0D" w:themeColor="text1" w:themeTint="F2"/>
                <w:spacing w:val="-4"/>
              </w:rPr>
            </w:pPr>
            <w:r>
              <w:rPr>
                <w:color w:val="0D0D0D" w:themeColor="text1" w:themeTint="F2"/>
                <w:spacing w:val="-4"/>
              </w:rPr>
              <w:t>Přestože průmyslová produkce v 1. čtvrtletí fakticky stagnovala, tržby v běžných cenách</w:t>
            </w:r>
            <w:r w:rsidR="00206516">
              <w:rPr>
                <w:color w:val="0D0D0D" w:themeColor="text1" w:themeTint="F2"/>
                <w:spacing w:val="-4"/>
              </w:rPr>
              <w:t xml:space="preserve"> </w:t>
            </w:r>
            <w:r>
              <w:rPr>
                <w:color w:val="0D0D0D" w:themeColor="text1" w:themeTint="F2"/>
                <w:spacing w:val="-4"/>
              </w:rPr>
              <w:t>vzrostly meziročně o 2,9</w:t>
            </w:r>
            <w:r w:rsidR="00870ECD">
              <w:rPr>
                <w:color w:val="0D0D0D" w:themeColor="text1" w:themeTint="F2"/>
                <w:spacing w:val="-4"/>
              </w:rPr>
              <w:t> %</w:t>
            </w:r>
            <w:r>
              <w:rPr>
                <w:color w:val="0D0D0D" w:themeColor="text1" w:themeTint="F2"/>
                <w:spacing w:val="-4"/>
              </w:rPr>
              <w:t xml:space="preserve"> (bez významnějších rozdílů dynamiky tržeb v tuzemsku a z přímého vývozu). Šlo o mírně slabší tempo než za celý rok 2018 (3,</w:t>
            </w:r>
            <w:r w:rsidR="00C300E2">
              <w:rPr>
                <w:color w:val="0D0D0D" w:themeColor="text1" w:themeTint="F2"/>
                <w:spacing w:val="-4"/>
              </w:rPr>
              <w:t>5</w:t>
            </w:r>
            <w:r w:rsidR="00870ECD">
              <w:rPr>
                <w:color w:val="0D0D0D" w:themeColor="text1" w:themeTint="F2"/>
                <w:spacing w:val="-4"/>
              </w:rPr>
              <w:t> %</w:t>
            </w:r>
            <w:r>
              <w:rPr>
                <w:color w:val="0D0D0D" w:themeColor="text1" w:themeTint="F2"/>
                <w:spacing w:val="-4"/>
              </w:rPr>
              <w:t>). To potvrzuje postupné vzlínání cen v ekonomice, v jehož pozadí stojí rostoucí cena lidské práce i ceny meziproduktů a energií (umocněné pro dovozně náročnou tuzemskou ekonomiku i oslabováním české koruny). Nejvíce rostly tržby podnikům ve farmaceutickém průmyslu (o</w:t>
            </w:r>
            <w:r w:rsidR="00A60AC1">
              <w:rPr>
                <w:color w:val="0D0D0D" w:themeColor="text1" w:themeTint="F2"/>
                <w:spacing w:val="-4"/>
              </w:rPr>
              <w:t> </w:t>
            </w:r>
            <w:r>
              <w:rPr>
                <w:color w:val="0D0D0D" w:themeColor="text1" w:themeTint="F2"/>
                <w:spacing w:val="-4"/>
              </w:rPr>
              <w:t>bezmála šestinu) a ve výrobě</w:t>
            </w:r>
            <w:r w:rsidRPr="002D47D1">
              <w:rPr>
                <w:color w:val="0D0D0D" w:themeColor="text1" w:themeTint="F2"/>
                <w:spacing w:val="-4"/>
              </w:rPr>
              <w:t xml:space="preserve"> ostatních dopravních prostředků a zařízení</w:t>
            </w:r>
            <w:r>
              <w:rPr>
                <w:color w:val="0D0D0D" w:themeColor="text1" w:themeTint="F2"/>
                <w:spacing w:val="-4"/>
              </w:rPr>
              <w:t xml:space="preserve"> (o více než desetinu). Alespoň mírně posílily tržby ve všech průmyslových oborech vyjma chemického a dřevozpracujícího průmyslu a také těžby uhlí.</w:t>
            </w:r>
          </w:p>
        </w:tc>
      </w:tr>
      <w:tr w:rsidR="00C35A2A" w:rsidRPr="00D83158" w14:paraId="300AA355" w14:textId="77777777" w:rsidTr="0052200D">
        <w:trPr>
          <w:trHeight w:val="145"/>
        </w:trPr>
        <w:tc>
          <w:tcPr>
            <w:tcW w:w="1764" w:type="dxa"/>
            <w:shd w:val="clear" w:color="auto" w:fill="auto"/>
            <w:tcMar>
              <w:left w:w="0" w:type="dxa"/>
            </w:tcMar>
          </w:tcPr>
          <w:p w14:paraId="6C8974AD" w14:textId="77777777" w:rsidR="00C35A2A" w:rsidRDefault="00C35A2A" w:rsidP="000A3D9E">
            <w:pPr>
              <w:pStyle w:val="Marginlie"/>
            </w:pPr>
            <w:r>
              <w:t>Saldo důvěry průmyslových podniků sestoupilo poprvé po pěti a půl letech do záporného pásma.</w:t>
            </w:r>
          </w:p>
          <w:p w14:paraId="704E0835" w14:textId="77777777" w:rsidR="00C35A2A" w:rsidRDefault="00C35A2A" w:rsidP="000A3D9E">
            <w:pPr>
              <w:pStyle w:val="Marginlie"/>
            </w:pPr>
          </w:p>
          <w:p w14:paraId="7C9DC0BA" w14:textId="77777777" w:rsidR="00C35A2A" w:rsidRDefault="00C35A2A" w:rsidP="000A3D9E">
            <w:pPr>
              <w:pStyle w:val="Marginlie"/>
            </w:pPr>
          </w:p>
          <w:p w14:paraId="4AF799EE" w14:textId="77777777" w:rsidR="00C35A2A" w:rsidRDefault="00C35A2A" w:rsidP="000A3D9E">
            <w:pPr>
              <w:pStyle w:val="Marginlie"/>
            </w:pPr>
          </w:p>
          <w:p w14:paraId="17D90AC4" w14:textId="77777777" w:rsidR="00C35A2A" w:rsidRDefault="00C35A2A" w:rsidP="000A3D9E">
            <w:pPr>
              <w:pStyle w:val="Marginlie"/>
            </w:pPr>
          </w:p>
          <w:p w14:paraId="7C7EC9BB" w14:textId="77777777" w:rsidR="00C35A2A" w:rsidRDefault="00C35A2A" w:rsidP="000A3D9E">
            <w:pPr>
              <w:pStyle w:val="Marginlie"/>
            </w:pPr>
          </w:p>
          <w:p w14:paraId="270E048B" w14:textId="77777777" w:rsidR="00C35A2A" w:rsidRDefault="00C35A2A" w:rsidP="000A3D9E">
            <w:pPr>
              <w:pStyle w:val="Marginlie"/>
            </w:pPr>
            <w:r>
              <w:t>Mírný růst hodnoty nových zakázek ve většině sledovaných průmyslových odvětví přetrvával.</w:t>
            </w:r>
          </w:p>
        </w:tc>
        <w:tc>
          <w:tcPr>
            <w:tcW w:w="175" w:type="dxa"/>
            <w:shd w:val="clear" w:color="auto" w:fill="auto"/>
            <w:tcMar>
              <w:left w:w="0" w:type="dxa"/>
            </w:tcMar>
          </w:tcPr>
          <w:p w14:paraId="5FD11AD7" w14:textId="77777777" w:rsidR="00C35A2A" w:rsidRPr="002A4B98" w:rsidRDefault="00C35A2A" w:rsidP="000A3D9E">
            <w:pPr>
              <w:pStyle w:val="Textpoznpodarou"/>
              <w:jc w:val="both"/>
              <w:rPr>
                <w:spacing w:val="-3"/>
              </w:rPr>
            </w:pPr>
          </w:p>
        </w:tc>
        <w:tc>
          <w:tcPr>
            <w:tcW w:w="7700" w:type="dxa"/>
            <w:shd w:val="clear" w:color="auto" w:fill="auto"/>
            <w:tcMar>
              <w:left w:w="0" w:type="dxa"/>
            </w:tcMar>
          </w:tcPr>
          <w:p w14:paraId="73FF9BD8" w14:textId="2F3D6AC3" w:rsidR="00C35A2A" w:rsidRPr="00D83158" w:rsidRDefault="00C35A2A" w:rsidP="0052200D">
            <w:pPr>
              <w:spacing w:after="200"/>
              <w:rPr>
                <w:color w:val="0D0D0D" w:themeColor="text1" w:themeTint="F2"/>
                <w:spacing w:val="-4"/>
              </w:rPr>
            </w:pPr>
            <w:r>
              <w:rPr>
                <w:color w:val="0D0D0D" w:themeColor="text1" w:themeTint="F2"/>
                <w:spacing w:val="-4"/>
              </w:rPr>
              <w:t xml:space="preserve">Krátkodobé vyhlídky průmyslu zůstávají nejisté a nedávají jednoznačně pozitivní ani negativní signál. Saldo podnikatelské důvěry se v tomto odvětví na konci 1. čtvrtletí </w:t>
            </w:r>
            <w:r w:rsidR="00CE3E48">
              <w:rPr>
                <w:color w:val="0D0D0D" w:themeColor="text1" w:themeTint="F2"/>
                <w:spacing w:val="-4"/>
              </w:rPr>
              <w:t>2019 ocitlo</w:t>
            </w:r>
            <w:r>
              <w:rPr>
                <w:color w:val="0D0D0D" w:themeColor="text1" w:themeTint="F2"/>
                <w:spacing w:val="-4"/>
              </w:rPr>
              <w:t xml:space="preserve"> poprvé od října 2013 v záporném pásmu (v letošním květnu se ještě mírně prohloubilo na </w:t>
            </w:r>
            <w:r>
              <w:rPr>
                <w:rFonts w:cs="Arial"/>
                <w:szCs w:val="20"/>
              </w:rPr>
              <w:t>–</w:t>
            </w:r>
            <w:r>
              <w:rPr>
                <w:color w:val="0D0D0D" w:themeColor="text1" w:themeTint="F2"/>
                <w:spacing w:val="-4"/>
              </w:rPr>
              <w:t>2,0 body). Již třetí čtvrtletí v řadě mírně rostl podíl podniků pociťujících nedostatečnou poptávku jako bariéru růstu (na počátku 2. čtvrtletí 2019 již 35</w:t>
            </w:r>
            <w:r w:rsidR="00870ECD">
              <w:rPr>
                <w:color w:val="0D0D0D" w:themeColor="text1" w:themeTint="F2"/>
                <w:spacing w:val="-4"/>
              </w:rPr>
              <w:t> %</w:t>
            </w:r>
            <w:r>
              <w:rPr>
                <w:color w:val="0D0D0D" w:themeColor="text1" w:themeTint="F2"/>
                <w:spacing w:val="-4"/>
              </w:rPr>
              <w:t xml:space="preserve">). Naopak </w:t>
            </w:r>
            <w:r>
              <w:t>slabší očekávání růstu zaměstnanosti vedla k oslabení váhy nedostatku pracovníků (na 36</w:t>
            </w:r>
            <w:r w:rsidR="00870ECD">
              <w:t> %</w:t>
            </w:r>
            <w:r>
              <w:t>, již druhé čtvrtletí po sobě)</w:t>
            </w:r>
            <w:r w:rsidRPr="008D59A9">
              <w:rPr>
                <w:color w:val="000000" w:themeColor="text1"/>
                <w:spacing w:val="-4"/>
                <w:vertAlign w:val="superscript"/>
              </w:rPr>
              <w:footnoteReference w:id="5"/>
            </w:r>
            <w:r>
              <w:t>.</w:t>
            </w:r>
            <w:r>
              <w:rPr>
                <w:color w:val="0D0D0D" w:themeColor="text1" w:themeTint="F2"/>
                <w:spacing w:val="-4"/>
              </w:rPr>
              <w:t xml:space="preserve"> Na </w:t>
            </w:r>
            <w:r w:rsidR="00ED1DF0">
              <w:rPr>
                <w:color w:val="0D0D0D" w:themeColor="text1" w:themeTint="F2"/>
                <w:spacing w:val="-4"/>
              </w:rPr>
              <w:t xml:space="preserve">druhé straně </w:t>
            </w:r>
            <w:r>
              <w:rPr>
                <w:color w:val="0D0D0D" w:themeColor="text1" w:themeTint="F2"/>
                <w:spacing w:val="-4"/>
              </w:rPr>
              <w:t>mírně posílil i podíl podniků, které žádnou bariéru neindikovaly (na 22</w:t>
            </w:r>
            <w:r w:rsidR="00870ECD">
              <w:rPr>
                <w:color w:val="0D0D0D" w:themeColor="text1" w:themeTint="F2"/>
                <w:spacing w:val="-4"/>
              </w:rPr>
              <w:t> %</w:t>
            </w:r>
            <w:r>
              <w:rPr>
                <w:color w:val="0D0D0D" w:themeColor="text1" w:themeTint="F2"/>
                <w:spacing w:val="-4"/>
              </w:rPr>
              <w:t>, o rok dříve 19</w:t>
            </w:r>
            <w:r w:rsidR="00870ECD">
              <w:rPr>
                <w:color w:val="0D0D0D" w:themeColor="text1" w:themeTint="F2"/>
                <w:spacing w:val="-4"/>
              </w:rPr>
              <w:t> %</w:t>
            </w:r>
            <w:r>
              <w:rPr>
                <w:color w:val="0D0D0D" w:themeColor="text1" w:themeTint="F2"/>
                <w:spacing w:val="-4"/>
              </w:rPr>
              <w:t>), nejvyšší byl v gumárenství a plastikářství a rovněž v petrochemickém průmyslu. Příznivěji vyznívá vývoj nových průmyslových zakázek v hlavních odvětvích</w:t>
            </w:r>
            <w:r w:rsidRPr="008D59A9">
              <w:rPr>
                <w:color w:val="000000" w:themeColor="text1"/>
                <w:spacing w:val="-4"/>
                <w:vertAlign w:val="superscript"/>
              </w:rPr>
              <w:footnoteReference w:id="6"/>
            </w:r>
            <w:r>
              <w:rPr>
                <w:color w:val="0D0D0D" w:themeColor="text1" w:themeTint="F2"/>
                <w:spacing w:val="-4"/>
              </w:rPr>
              <w:t>. Jejich růst v 1. čtvrtletí (+3,</w:t>
            </w:r>
            <w:r w:rsidR="00C300E2">
              <w:rPr>
                <w:color w:val="0D0D0D" w:themeColor="text1" w:themeTint="F2"/>
                <w:spacing w:val="-4"/>
              </w:rPr>
              <w:t>3</w:t>
            </w:r>
            <w:r w:rsidR="00870ECD">
              <w:rPr>
                <w:color w:val="0D0D0D" w:themeColor="text1" w:themeTint="F2"/>
                <w:spacing w:val="-4"/>
              </w:rPr>
              <w:t> %</w:t>
            </w:r>
            <w:r>
              <w:rPr>
                <w:color w:val="0D0D0D" w:themeColor="text1" w:themeTint="F2"/>
                <w:spacing w:val="-4"/>
              </w:rPr>
              <w:t xml:space="preserve">) za tempy z loňského roku zaostal jen mírně. Z dvanácti sledovaných odvětví naznačovaly mírné snížení poptávky jen chemický a elektrotechnický průmysl. Ve výrobě motorových vozidel činil růst zakázek </w:t>
            </w:r>
            <w:r w:rsidR="00C300E2">
              <w:rPr>
                <w:color w:val="0D0D0D" w:themeColor="text1" w:themeTint="F2"/>
                <w:spacing w:val="-4"/>
              </w:rPr>
              <w:t>3,2</w:t>
            </w:r>
            <w:r>
              <w:rPr>
                <w:color w:val="0D0D0D" w:themeColor="text1" w:themeTint="F2"/>
                <w:spacing w:val="-4"/>
              </w:rPr>
              <w:t xml:space="preserve"> %. Svižněji rostla tuzemská poptávka, hlavně vlivem silné dynamiky v odvětví výroby ostatních dopravních prostředků. Pozitivním signálem pro český průmysl může být </w:t>
            </w:r>
            <w:r w:rsidR="00ED1DF0">
              <w:rPr>
                <w:color w:val="0D0D0D" w:themeColor="text1" w:themeTint="F2"/>
                <w:spacing w:val="-4"/>
              </w:rPr>
              <w:t xml:space="preserve">také </w:t>
            </w:r>
            <w:r>
              <w:rPr>
                <w:color w:val="0D0D0D" w:themeColor="text1" w:themeTint="F2"/>
                <w:spacing w:val="-4"/>
              </w:rPr>
              <w:t>dílčí oživení růstu průmyslu v eurozóně v 1. čtvrtletí (+0,7</w:t>
            </w:r>
            <w:r w:rsidR="00870ECD">
              <w:rPr>
                <w:color w:val="0D0D0D" w:themeColor="text1" w:themeTint="F2"/>
                <w:spacing w:val="-4"/>
              </w:rPr>
              <w:t> %</w:t>
            </w:r>
            <w:r>
              <w:rPr>
                <w:color w:val="0D0D0D" w:themeColor="text1" w:themeTint="F2"/>
                <w:spacing w:val="-4"/>
              </w:rPr>
              <w:t xml:space="preserve"> mezikvartálně) i jemné zrychlení růstu ekonomiky v Německu i zemích platících eurem (shodně o 0,4</w:t>
            </w:r>
            <w:r w:rsidR="00870ECD">
              <w:rPr>
                <w:color w:val="0D0D0D" w:themeColor="text1" w:themeTint="F2"/>
                <w:spacing w:val="-4"/>
              </w:rPr>
              <w:t> %</w:t>
            </w:r>
            <w:r>
              <w:rPr>
                <w:color w:val="0D0D0D" w:themeColor="text1" w:themeTint="F2"/>
                <w:spacing w:val="-4"/>
              </w:rPr>
              <w:t>).</w:t>
            </w:r>
          </w:p>
        </w:tc>
      </w:tr>
      <w:tr w:rsidR="00C35A2A" w:rsidRPr="001800C4" w14:paraId="6534B376" w14:textId="77777777" w:rsidTr="0052200D">
        <w:trPr>
          <w:trHeight w:val="145"/>
        </w:trPr>
        <w:tc>
          <w:tcPr>
            <w:tcW w:w="1764" w:type="dxa"/>
            <w:shd w:val="clear" w:color="auto" w:fill="auto"/>
            <w:tcMar>
              <w:left w:w="0" w:type="dxa"/>
            </w:tcMar>
          </w:tcPr>
          <w:p w14:paraId="2328C315" w14:textId="77777777" w:rsidR="00C35A2A" w:rsidRDefault="00C35A2A" w:rsidP="000A3D9E">
            <w:pPr>
              <w:pStyle w:val="Marginlie"/>
            </w:pPr>
          </w:p>
        </w:tc>
        <w:tc>
          <w:tcPr>
            <w:tcW w:w="175" w:type="dxa"/>
            <w:shd w:val="clear" w:color="auto" w:fill="auto"/>
            <w:tcMar>
              <w:left w:w="0" w:type="dxa"/>
            </w:tcMar>
          </w:tcPr>
          <w:p w14:paraId="6DD0AFE1" w14:textId="77777777" w:rsidR="00C35A2A" w:rsidRDefault="00C35A2A" w:rsidP="000A3D9E">
            <w:pPr>
              <w:pStyle w:val="Textpoznpodarou"/>
              <w:jc w:val="both"/>
              <w:rPr>
                <w:spacing w:val="-4"/>
              </w:rPr>
            </w:pPr>
          </w:p>
        </w:tc>
        <w:tc>
          <w:tcPr>
            <w:tcW w:w="7700" w:type="dxa"/>
            <w:shd w:val="clear" w:color="auto" w:fill="auto"/>
            <w:tcMar>
              <w:left w:w="0" w:type="dxa"/>
            </w:tcMar>
          </w:tcPr>
          <w:p w14:paraId="4104837A" w14:textId="340E804F" w:rsidR="00C35A2A" w:rsidRPr="001800C4" w:rsidRDefault="00C35A2A" w:rsidP="000A3D9E">
            <w:pPr>
              <w:pStyle w:val="Textpoznpodarou"/>
              <w:spacing w:line="276" w:lineRule="auto"/>
              <w:rPr>
                <w:bCs/>
              </w:rPr>
            </w:pPr>
            <w:r w:rsidRPr="00EA2E2E">
              <w:rPr>
                <w:spacing w:val="-2"/>
              </w:rPr>
              <w:t xml:space="preserve"> </w:t>
            </w:r>
            <w:r w:rsidR="00D215B0" w:rsidRPr="002A4B98">
              <w:rPr>
                <w:b/>
                <w:spacing w:val="-3"/>
              </w:rPr>
              <w:t xml:space="preserve">Graf č. 6  Nové </w:t>
            </w:r>
            <w:r w:rsidR="00D215B0">
              <w:rPr>
                <w:b/>
                <w:spacing w:val="-3"/>
              </w:rPr>
              <w:t xml:space="preserve">průmyslové </w:t>
            </w:r>
            <w:r w:rsidR="00D215B0" w:rsidRPr="002A4B98">
              <w:rPr>
                <w:b/>
                <w:spacing w:val="-3"/>
              </w:rPr>
              <w:t xml:space="preserve">zakázky </w:t>
            </w:r>
            <w:r w:rsidR="00D215B0" w:rsidRPr="002A4B98">
              <w:rPr>
                <w:bCs/>
                <w:spacing w:val="-3"/>
              </w:rPr>
              <w:t xml:space="preserve">(v běžných cenách, </w:t>
            </w:r>
            <w:r w:rsidR="00D215B0" w:rsidRPr="002A4B98">
              <w:rPr>
                <w:spacing w:val="-3"/>
              </w:rPr>
              <w:t>meziročně</w:t>
            </w:r>
            <w:r w:rsidR="00D215B0" w:rsidRPr="002A4B98">
              <w:rPr>
                <w:bCs/>
                <w:spacing w:val="-3"/>
              </w:rPr>
              <w:t xml:space="preserve"> v</w:t>
            </w:r>
            <w:r w:rsidR="00D215B0">
              <w:rPr>
                <w:bCs/>
                <w:spacing w:val="-3"/>
              </w:rPr>
              <w:t> %</w:t>
            </w:r>
            <w:r w:rsidR="00D215B0" w:rsidRPr="002A4B98">
              <w:rPr>
                <w:bCs/>
                <w:spacing w:val="-3"/>
              </w:rPr>
              <w:t>)</w:t>
            </w:r>
            <w:r w:rsidR="00D215B0">
              <w:rPr>
                <w:bCs/>
                <w:spacing w:val="-3"/>
              </w:rPr>
              <w:t>,</w:t>
            </w:r>
            <w:r w:rsidR="00D215B0" w:rsidRPr="002A4B98">
              <w:rPr>
                <w:b/>
                <w:spacing w:val="-3"/>
              </w:rPr>
              <w:t xml:space="preserve"> saldo</w:t>
            </w:r>
            <w:r w:rsidR="00D215B0">
              <w:rPr>
                <w:b/>
                <w:spacing w:val="-3"/>
              </w:rPr>
              <w:t xml:space="preserve"> </w:t>
            </w:r>
            <w:r w:rsidR="00D215B0" w:rsidRPr="002D47D1">
              <w:rPr>
                <w:b/>
                <w:spacing w:val="-2"/>
              </w:rPr>
              <w:t xml:space="preserve">indikátoru důvěry v průmyslu* </w:t>
            </w:r>
            <w:r w:rsidR="00D215B0" w:rsidRPr="002D47D1">
              <w:rPr>
                <w:spacing w:val="-2"/>
              </w:rPr>
              <w:t xml:space="preserve">(v bodech) </w:t>
            </w:r>
            <w:r w:rsidR="00D215B0" w:rsidRPr="002D47D1">
              <w:rPr>
                <w:b/>
                <w:spacing w:val="-2"/>
              </w:rPr>
              <w:t>a využití výrob. kapacit v průmyslu*</w:t>
            </w:r>
            <w:r w:rsidR="00D215B0" w:rsidRPr="002D47D1">
              <w:rPr>
                <w:spacing w:val="-2"/>
              </w:rPr>
              <w:t xml:space="preserve"> (v</w:t>
            </w:r>
            <w:r w:rsidR="00D215B0">
              <w:rPr>
                <w:spacing w:val="-2"/>
              </w:rPr>
              <w:t> %</w:t>
            </w:r>
            <w:r w:rsidR="00D215B0" w:rsidRPr="002D47D1">
              <w:rPr>
                <w:spacing w:val="-2"/>
              </w:rPr>
              <w:t>)</w:t>
            </w:r>
          </w:p>
        </w:tc>
      </w:tr>
      <w:tr w:rsidR="00C35A2A" w:rsidRPr="00B4411A" w14:paraId="10BF0821" w14:textId="77777777" w:rsidTr="0052200D">
        <w:tblPrEx>
          <w:tblCellMar>
            <w:left w:w="70" w:type="dxa"/>
            <w:right w:w="70" w:type="dxa"/>
          </w:tblCellMar>
        </w:tblPrEx>
        <w:trPr>
          <w:trHeight w:val="145"/>
        </w:trPr>
        <w:tc>
          <w:tcPr>
            <w:tcW w:w="1764" w:type="dxa"/>
            <w:shd w:val="clear" w:color="auto" w:fill="auto"/>
          </w:tcPr>
          <w:p w14:paraId="31D5B565" w14:textId="77777777" w:rsidR="00C35A2A" w:rsidRDefault="00C35A2A" w:rsidP="000A3D9E">
            <w:pPr>
              <w:pStyle w:val="Marginlie"/>
            </w:pPr>
          </w:p>
        </w:tc>
        <w:tc>
          <w:tcPr>
            <w:tcW w:w="175" w:type="dxa"/>
            <w:shd w:val="clear" w:color="auto" w:fill="auto"/>
          </w:tcPr>
          <w:p w14:paraId="6E9CC35F" w14:textId="77777777" w:rsidR="00C35A2A" w:rsidRDefault="00C35A2A" w:rsidP="000A3D9E">
            <w:pPr>
              <w:pStyle w:val="Textpoznpodarou"/>
              <w:jc w:val="both"/>
              <w:rPr>
                <w:spacing w:val="-4"/>
              </w:rPr>
            </w:pPr>
          </w:p>
        </w:tc>
        <w:tc>
          <w:tcPr>
            <w:tcW w:w="7700" w:type="dxa"/>
            <w:shd w:val="clear" w:color="auto" w:fill="auto"/>
          </w:tcPr>
          <w:p w14:paraId="0F0011FE" w14:textId="39B128D9" w:rsidR="00C35A2A" w:rsidRPr="00B4411A" w:rsidRDefault="00D215B0" w:rsidP="000A3D9E">
            <w:pPr>
              <w:spacing w:after="0"/>
              <w:rPr>
                <w:spacing w:val="-4"/>
              </w:rPr>
            </w:pPr>
            <w:r w:rsidRPr="008B0F71">
              <w:rPr>
                <w:noProof/>
                <w:spacing w:val="-2"/>
                <w:szCs w:val="20"/>
              </w:rPr>
              <w:drawing>
                <wp:inline distT="0" distB="0" distL="0" distR="0" wp14:anchorId="06E6786B" wp14:editId="5B590B21">
                  <wp:extent cx="4762500" cy="3396343"/>
                  <wp:effectExtent l="0" t="0" r="0" b="0"/>
                  <wp:docPr id="4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35A2A" w:rsidRPr="004621FE" w14:paraId="2B1A9693" w14:textId="77777777" w:rsidTr="0052200D">
        <w:trPr>
          <w:trHeight w:val="145"/>
        </w:trPr>
        <w:tc>
          <w:tcPr>
            <w:tcW w:w="1764" w:type="dxa"/>
            <w:shd w:val="clear" w:color="auto" w:fill="auto"/>
            <w:tcMar>
              <w:left w:w="0" w:type="dxa"/>
            </w:tcMar>
          </w:tcPr>
          <w:p w14:paraId="0BA79F13" w14:textId="77777777" w:rsidR="00C35A2A" w:rsidRDefault="00C35A2A" w:rsidP="000A3D9E">
            <w:pPr>
              <w:pStyle w:val="Marginlie"/>
            </w:pPr>
          </w:p>
        </w:tc>
        <w:tc>
          <w:tcPr>
            <w:tcW w:w="175" w:type="dxa"/>
            <w:shd w:val="clear" w:color="auto" w:fill="auto"/>
            <w:tcMar>
              <w:left w:w="0" w:type="dxa"/>
            </w:tcMar>
          </w:tcPr>
          <w:p w14:paraId="388E6183" w14:textId="77777777" w:rsidR="00C35A2A" w:rsidRDefault="00C35A2A" w:rsidP="000A3D9E">
            <w:pPr>
              <w:pStyle w:val="Textpoznpodarou"/>
              <w:jc w:val="both"/>
              <w:rPr>
                <w:spacing w:val="-4"/>
              </w:rPr>
            </w:pPr>
          </w:p>
        </w:tc>
        <w:tc>
          <w:tcPr>
            <w:tcW w:w="7700" w:type="dxa"/>
            <w:shd w:val="clear" w:color="auto" w:fill="auto"/>
            <w:tcMar>
              <w:left w:w="0" w:type="dxa"/>
            </w:tcMar>
          </w:tcPr>
          <w:p w14:paraId="493FAE9D" w14:textId="07746346" w:rsidR="00C35A2A" w:rsidRPr="004621FE" w:rsidRDefault="00D215B0" w:rsidP="0052200D">
            <w:pPr>
              <w:spacing w:after="0"/>
              <w:rPr>
                <w:rFonts w:cs="Arial"/>
                <w:color w:val="0D0D0D" w:themeColor="text1" w:themeTint="F2"/>
                <w:spacing w:val="-4"/>
              </w:rPr>
            </w:pPr>
            <w:r>
              <w:rPr>
                <w:rFonts w:cs="Arial"/>
                <w:sz w:val="14"/>
                <w:szCs w:val="14"/>
              </w:rPr>
              <w:t xml:space="preserve">*Údaje jsou sezónně očištěny.                                                                                                                         </w:t>
            </w:r>
            <w:r w:rsidRPr="00535F78">
              <w:rPr>
                <w:rFonts w:cs="Arial"/>
                <w:sz w:val="14"/>
                <w:szCs w:val="14"/>
              </w:rPr>
              <w:t xml:space="preserve">Zdroj: </w:t>
            </w:r>
            <w:r>
              <w:rPr>
                <w:rFonts w:cs="Arial"/>
                <w:sz w:val="14"/>
                <w:szCs w:val="14"/>
              </w:rPr>
              <w:t>ČSÚ</w:t>
            </w:r>
            <w:r w:rsidDel="00D215B0">
              <w:rPr>
                <w:rFonts w:cs="Arial"/>
                <w:sz w:val="14"/>
                <w:szCs w:val="14"/>
              </w:rPr>
              <w:t xml:space="preserve"> </w:t>
            </w:r>
          </w:p>
        </w:tc>
      </w:tr>
      <w:tr w:rsidR="00C35A2A" w:rsidRPr="00AD78E9" w14:paraId="353A3E19" w14:textId="77777777" w:rsidTr="0052200D">
        <w:trPr>
          <w:trHeight w:val="145"/>
        </w:trPr>
        <w:tc>
          <w:tcPr>
            <w:tcW w:w="1764" w:type="dxa"/>
            <w:shd w:val="clear" w:color="auto" w:fill="auto"/>
            <w:tcMar>
              <w:left w:w="0" w:type="dxa"/>
            </w:tcMar>
          </w:tcPr>
          <w:p w14:paraId="360F6191" w14:textId="77777777" w:rsidR="00C35A2A" w:rsidRDefault="00C35A2A" w:rsidP="000A3D9E">
            <w:pPr>
              <w:pStyle w:val="Marginlie"/>
            </w:pPr>
            <w:r>
              <w:lastRenderedPageBreak/>
              <w:t>Silný mezičtvrtletní růst stavební produkce byl na počátku roku ovlivněn příznivým počasím i svižným růstem veřejných investic.</w:t>
            </w:r>
          </w:p>
        </w:tc>
        <w:tc>
          <w:tcPr>
            <w:tcW w:w="175" w:type="dxa"/>
            <w:shd w:val="clear" w:color="auto" w:fill="auto"/>
            <w:tcMar>
              <w:left w:w="0" w:type="dxa"/>
            </w:tcMar>
          </w:tcPr>
          <w:p w14:paraId="071EBB31" w14:textId="77777777" w:rsidR="00C35A2A" w:rsidRDefault="00C35A2A" w:rsidP="000A3D9E">
            <w:pPr>
              <w:pStyle w:val="Textpoznpodarou"/>
              <w:jc w:val="both"/>
              <w:rPr>
                <w:spacing w:val="-4"/>
              </w:rPr>
            </w:pPr>
          </w:p>
        </w:tc>
        <w:tc>
          <w:tcPr>
            <w:tcW w:w="7700" w:type="dxa"/>
            <w:shd w:val="clear" w:color="auto" w:fill="auto"/>
            <w:tcMar>
              <w:left w:w="0" w:type="dxa"/>
            </w:tcMar>
          </w:tcPr>
          <w:p w14:paraId="40FFED2A" w14:textId="77777777" w:rsidR="00C35A2A" w:rsidRPr="00AD78E9" w:rsidRDefault="00C35A2A" w:rsidP="000A3D9E">
            <w:pPr>
              <w:spacing w:after="190"/>
              <w:rPr>
                <w:rFonts w:cs="Arial"/>
                <w:szCs w:val="20"/>
              </w:rPr>
            </w:pPr>
            <w:r w:rsidRPr="00AD78E9">
              <w:rPr>
                <w:rFonts w:cs="Arial"/>
                <w:szCs w:val="20"/>
              </w:rPr>
              <w:t xml:space="preserve">Stavebnictví vstoupilo do nového roku v dobré kondici. </w:t>
            </w:r>
            <w:r>
              <w:rPr>
                <w:color w:val="0D0D0D" w:themeColor="text1" w:themeTint="F2"/>
                <w:spacing w:val="-4"/>
                <w:szCs w:val="20"/>
              </w:rPr>
              <w:t>Jeho</w:t>
            </w:r>
            <w:r w:rsidRPr="00AD78E9">
              <w:rPr>
                <w:spacing w:val="-3"/>
                <w:szCs w:val="20"/>
              </w:rPr>
              <w:t xml:space="preserve"> produkce</w:t>
            </w:r>
            <w:r>
              <w:rPr>
                <w:rStyle w:val="Znakapoznpodarou"/>
                <w:spacing w:val="-4"/>
              </w:rPr>
              <w:footnoteReference w:id="7"/>
            </w:r>
            <w:r w:rsidRPr="00AD78E9">
              <w:rPr>
                <w:rFonts w:cs="Arial"/>
                <w:szCs w:val="20"/>
              </w:rPr>
              <w:t xml:space="preserve"> po krátkodobém zpomalení na sklonku loňského roku </w:t>
            </w:r>
            <w:r>
              <w:rPr>
                <w:rFonts w:cs="Arial"/>
                <w:szCs w:val="20"/>
              </w:rPr>
              <w:t>(způsobeném vyšší srovnávací základnou i slabší dynamikou nových zakázek) v 1. čtvrtletí 2019 opět výražně ožila. Mezičtvrtletně se zvýšila o 4,2</w:t>
            </w:r>
            <w:r w:rsidR="00870ECD">
              <w:rPr>
                <w:rFonts w:cs="Arial"/>
                <w:szCs w:val="20"/>
              </w:rPr>
              <w:t> %</w:t>
            </w:r>
            <w:r>
              <w:rPr>
                <w:rFonts w:cs="Arial"/>
                <w:szCs w:val="20"/>
              </w:rPr>
              <w:t>, meziročně posílila skromněji – o 2,4</w:t>
            </w:r>
            <w:r w:rsidRPr="00AD78E9">
              <w:rPr>
                <w:rFonts w:cs="Arial"/>
                <w:szCs w:val="20"/>
              </w:rPr>
              <w:t> </w:t>
            </w:r>
            <w:r>
              <w:rPr>
                <w:rFonts w:cs="Arial"/>
                <w:szCs w:val="20"/>
              </w:rPr>
              <w:t>% (primárně vlivem vysoké srovnávací základny</w:t>
            </w:r>
            <w:r>
              <w:rPr>
                <w:rStyle w:val="Znakapoznpodarou"/>
                <w:spacing w:val="-4"/>
              </w:rPr>
              <w:footnoteReference w:id="8"/>
            </w:r>
            <w:r>
              <w:rPr>
                <w:rFonts w:cs="Arial"/>
                <w:szCs w:val="20"/>
              </w:rPr>
              <w:t>). Pozitivně se promítl vliv teplejšího počasí (ve srovnání s loňským 1. čtvrtletím i dlouhodobým průměrem) i růstu veřejných investic (zejména díky zrychlenému čerpání prostředků z rozpočtu EU). I přes slabší dynamiku přispělo váhově převažující pozemní stavitelství (+1,9</w:t>
            </w:r>
            <w:r w:rsidR="00870ECD">
              <w:rPr>
                <w:rFonts w:cs="Arial"/>
                <w:szCs w:val="20"/>
              </w:rPr>
              <w:t> %</w:t>
            </w:r>
            <w:r>
              <w:rPr>
                <w:rFonts w:cs="Arial"/>
                <w:szCs w:val="20"/>
              </w:rPr>
              <w:t>) k růstu celého odvětví dvojnásobně oproti inženýrskému stavitelství (s meziročním růstem +4,8</w:t>
            </w:r>
            <w:r w:rsidR="00870ECD">
              <w:rPr>
                <w:rFonts w:cs="Arial"/>
                <w:szCs w:val="20"/>
              </w:rPr>
              <w:t> %</w:t>
            </w:r>
            <w:r>
              <w:rPr>
                <w:rFonts w:cs="Arial"/>
                <w:szCs w:val="20"/>
              </w:rPr>
              <w:t>).</w:t>
            </w:r>
          </w:p>
        </w:tc>
      </w:tr>
      <w:tr w:rsidR="00C35A2A" w:rsidRPr="00933E31" w14:paraId="2B7D101C" w14:textId="77777777" w:rsidTr="0052200D">
        <w:trPr>
          <w:trHeight w:val="145"/>
        </w:trPr>
        <w:tc>
          <w:tcPr>
            <w:tcW w:w="1764" w:type="dxa"/>
            <w:shd w:val="clear" w:color="auto" w:fill="auto"/>
            <w:tcMar>
              <w:left w:w="0" w:type="dxa"/>
            </w:tcMar>
          </w:tcPr>
          <w:p w14:paraId="166D16C2" w14:textId="77777777" w:rsidR="00C35A2A" w:rsidRDefault="00C35A2A" w:rsidP="000A3D9E">
            <w:pPr>
              <w:pStyle w:val="Marginlie"/>
            </w:pPr>
            <w:r>
              <w:t>Bytová výstavba nadále ožívala. Její tempo v Praze ale stále neodpovídalo dynamickému rozvoji pracovního trhu.</w:t>
            </w:r>
          </w:p>
        </w:tc>
        <w:tc>
          <w:tcPr>
            <w:tcW w:w="175" w:type="dxa"/>
            <w:shd w:val="clear" w:color="auto" w:fill="auto"/>
            <w:tcMar>
              <w:left w:w="0" w:type="dxa"/>
            </w:tcMar>
          </w:tcPr>
          <w:p w14:paraId="720EC380" w14:textId="77777777" w:rsidR="00C35A2A" w:rsidRDefault="00C35A2A" w:rsidP="000A3D9E">
            <w:pPr>
              <w:pStyle w:val="Textpoznpodarou"/>
              <w:jc w:val="both"/>
              <w:rPr>
                <w:spacing w:val="-4"/>
              </w:rPr>
            </w:pPr>
          </w:p>
        </w:tc>
        <w:tc>
          <w:tcPr>
            <w:tcW w:w="7700" w:type="dxa"/>
            <w:shd w:val="clear" w:color="auto" w:fill="auto"/>
            <w:tcMar>
              <w:left w:w="0" w:type="dxa"/>
            </w:tcMar>
          </w:tcPr>
          <w:p w14:paraId="3B6EFA17" w14:textId="542C2F6C" w:rsidR="00C35A2A" w:rsidRPr="00933E31" w:rsidRDefault="00C35A2A" w:rsidP="000A3D9E">
            <w:pPr>
              <w:spacing w:after="200"/>
              <w:rPr>
                <w:rFonts w:cs="Arial"/>
                <w:szCs w:val="20"/>
              </w:rPr>
            </w:pPr>
            <w:r w:rsidRPr="00933E31">
              <w:rPr>
                <w:rFonts w:cs="Arial"/>
                <w:szCs w:val="20"/>
              </w:rPr>
              <w:t>Dlouhodobě silná neuspokojená poptávka po rezidenčních nemovitostech</w:t>
            </w:r>
            <w:r>
              <w:rPr>
                <w:rFonts w:cs="Arial"/>
                <w:szCs w:val="20"/>
              </w:rPr>
              <w:t xml:space="preserve"> nachází postupně odezvu i na straně bytové výstavby. Ta rost</w:t>
            </w:r>
            <w:r w:rsidR="0053012B">
              <w:rPr>
                <w:rFonts w:cs="Arial"/>
                <w:szCs w:val="20"/>
              </w:rPr>
              <w:t>l</w:t>
            </w:r>
            <w:r>
              <w:rPr>
                <w:rFonts w:cs="Arial"/>
                <w:szCs w:val="20"/>
              </w:rPr>
              <w:t xml:space="preserve">a již čtvrtým rokem v řadě. Letos byla zahájena výstavba 9,6 tis. bytů, v rámci 1. čtvrtletí šlo o srovnatelnou hodnotu jako za konjunktury minulé dekády. Meziroční růst byl na rozdíl od předchozích let tažen hlavně výstavbou v bytových domech. Více bytů bylo ale ve všech hlavních druzích výstavby vyjma váhově okrajových kategorií bytů v </w:t>
            </w:r>
            <w:r w:rsidRPr="006B5BF6">
              <w:rPr>
                <w:rFonts w:cs="Arial"/>
                <w:szCs w:val="20"/>
              </w:rPr>
              <w:t>nebytových budovách</w:t>
            </w:r>
            <w:r>
              <w:rPr>
                <w:rFonts w:cs="Arial"/>
                <w:szCs w:val="20"/>
              </w:rPr>
              <w:t xml:space="preserve"> a stavebně upravených nebytových prostorách</w:t>
            </w:r>
            <w:r>
              <w:rPr>
                <w:rStyle w:val="Znakapoznpodarou"/>
                <w:spacing w:val="-4"/>
              </w:rPr>
              <w:footnoteReference w:id="9"/>
            </w:r>
            <w:r>
              <w:rPr>
                <w:rFonts w:cs="Arial"/>
                <w:szCs w:val="20"/>
              </w:rPr>
              <w:t>. Přestože na růstu všech zahajovaných bytů v Česku se letos z více než třetiny podílela Praha, jejich četnost v metropoli (1</w:t>
            </w:r>
            <w:r w:rsidR="0053012B">
              <w:rPr>
                <w:rFonts w:cs="Arial"/>
                <w:szCs w:val="20"/>
              </w:rPr>
              <w:t> </w:t>
            </w:r>
            <w:r>
              <w:rPr>
                <w:rFonts w:cs="Arial"/>
                <w:szCs w:val="20"/>
              </w:rPr>
              <w:t>216</w:t>
            </w:r>
            <w:r w:rsidR="0053012B">
              <w:rPr>
                <w:rFonts w:cs="Arial"/>
                <w:szCs w:val="20"/>
              </w:rPr>
              <w:t> </w:t>
            </w:r>
            <w:r>
              <w:rPr>
                <w:rFonts w:cs="Arial"/>
                <w:szCs w:val="20"/>
              </w:rPr>
              <w:t xml:space="preserve">bytů) nadále zaostávala za silným růstem </w:t>
            </w:r>
            <w:r w:rsidR="00B5642C">
              <w:rPr>
                <w:rFonts w:cs="Arial"/>
                <w:szCs w:val="20"/>
              </w:rPr>
              <w:t xml:space="preserve">počtu </w:t>
            </w:r>
            <w:r>
              <w:rPr>
                <w:rFonts w:cs="Arial"/>
                <w:szCs w:val="20"/>
              </w:rPr>
              <w:t>obyvatelstva i pracovních příležitostí.</w:t>
            </w:r>
          </w:p>
        </w:tc>
      </w:tr>
      <w:tr w:rsidR="00D215B0" w:rsidRPr="008B0D80" w14:paraId="1437A877" w14:textId="77777777" w:rsidTr="0052200D">
        <w:trPr>
          <w:trHeight w:val="145"/>
        </w:trPr>
        <w:tc>
          <w:tcPr>
            <w:tcW w:w="1764" w:type="dxa"/>
            <w:shd w:val="clear" w:color="auto" w:fill="auto"/>
            <w:tcMar>
              <w:left w:w="0" w:type="dxa"/>
            </w:tcMar>
          </w:tcPr>
          <w:p w14:paraId="0808CE19" w14:textId="77777777" w:rsidR="00D215B0" w:rsidRDefault="00D215B0" w:rsidP="000A3D9E">
            <w:pPr>
              <w:pStyle w:val="Marginlie"/>
            </w:pPr>
          </w:p>
        </w:tc>
        <w:tc>
          <w:tcPr>
            <w:tcW w:w="175" w:type="dxa"/>
            <w:shd w:val="clear" w:color="auto" w:fill="auto"/>
            <w:tcMar>
              <w:left w:w="0" w:type="dxa"/>
            </w:tcMar>
          </w:tcPr>
          <w:p w14:paraId="54D742DD" w14:textId="77777777" w:rsidR="00D215B0" w:rsidRDefault="00D215B0" w:rsidP="000A3D9E">
            <w:pPr>
              <w:pStyle w:val="Textpoznpodarou"/>
              <w:jc w:val="both"/>
              <w:rPr>
                <w:spacing w:val="-4"/>
              </w:rPr>
            </w:pPr>
          </w:p>
        </w:tc>
        <w:tc>
          <w:tcPr>
            <w:tcW w:w="7700" w:type="dxa"/>
            <w:shd w:val="clear" w:color="auto" w:fill="auto"/>
            <w:tcMar>
              <w:left w:w="0" w:type="dxa"/>
            </w:tcMar>
          </w:tcPr>
          <w:p w14:paraId="582FF6EF" w14:textId="77777777" w:rsidR="00D215B0" w:rsidRPr="00EA2E2E" w:rsidRDefault="00D215B0" w:rsidP="00D215B0">
            <w:pPr>
              <w:spacing w:after="0"/>
              <w:rPr>
                <w:b/>
                <w:spacing w:val="-2"/>
              </w:rPr>
            </w:pPr>
            <w:r w:rsidRPr="00EA2E2E">
              <w:rPr>
                <w:b/>
                <w:spacing w:val="-2"/>
              </w:rPr>
              <w:t xml:space="preserve">Graf č. 7  Příspěvky dílčích odvětví k meziroční změně stavební produkce </w:t>
            </w:r>
          </w:p>
          <w:p w14:paraId="612CF173" w14:textId="43211301" w:rsidR="00D215B0" w:rsidRPr="008B0D80" w:rsidRDefault="00D215B0" w:rsidP="0052200D">
            <w:pPr>
              <w:spacing w:after="0"/>
              <w:rPr>
                <w:rFonts w:cs="Arial"/>
                <w:spacing w:val="-4"/>
                <w:szCs w:val="20"/>
              </w:rPr>
            </w:pPr>
            <w:r w:rsidRPr="00EA2E2E">
              <w:rPr>
                <w:spacing w:val="-2"/>
              </w:rPr>
              <w:t>(v</w:t>
            </w:r>
            <w:r>
              <w:rPr>
                <w:spacing w:val="-2"/>
              </w:rPr>
              <w:t xml:space="preserve"> p. b., </w:t>
            </w:r>
            <w:r>
              <w:t>očištěno o kalendářní vlivy</w:t>
            </w:r>
            <w:r w:rsidRPr="00EA2E2E">
              <w:rPr>
                <w:spacing w:val="-2"/>
              </w:rPr>
              <w:t xml:space="preserve">), </w:t>
            </w:r>
            <w:r w:rsidRPr="00EA2E2E">
              <w:rPr>
                <w:b/>
                <w:spacing w:val="-2"/>
              </w:rPr>
              <w:t xml:space="preserve">nové zakázky </w:t>
            </w:r>
            <w:r w:rsidRPr="00EA2E2E">
              <w:rPr>
                <w:bCs/>
                <w:spacing w:val="-2"/>
              </w:rPr>
              <w:t>(</w:t>
            </w:r>
            <w:r w:rsidRPr="00EA2E2E">
              <w:rPr>
                <w:spacing w:val="-2"/>
              </w:rPr>
              <w:t>meziročně</w:t>
            </w:r>
            <w:r w:rsidRPr="00EA2E2E">
              <w:rPr>
                <w:bCs/>
                <w:spacing w:val="-2"/>
              </w:rPr>
              <w:t xml:space="preserve"> v</w:t>
            </w:r>
            <w:r>
              <w:rPr>
                <w:bCs/>
                <w:spacing w:val="-2"/>
              </w:rPr>
              <w:t> %</w:t>
            </w:r>
            <w:r w:rsidRPr="00EA2E2E">
              <w:rPr>
                <w:bCs/>
                <w:spacing w:val="-2"/>
              </w:rPr>
              <w:t xml:space="preserve">) </w:t>
            </w:r>
            <w:r w:rsidRPr="00EA2E2E">
              <w:rPr>
                <w:b/>
                <w:spacing w:val="-2"/>
              </w:rPr>
              <w:t>a saldo indikátoru důvěry ve stavebnictví*</w:t>
            </w:r>
          </w:p>
        </w:tc>
      </w:tr>
      <w:tr w:rsidR="00D215B0" w:rsidRPr="008B0D80" w14:paraId="1BBFF20A" w14:textId="77777777" w:rsidTr="0052200D">
        <w:trPr>
          <w:trHeight w:val="145"/>
        </w:trPr>
        <w:tc>
          <w:tcPr>
            <w:tcW w:w="1764" w:type="dxa"/>
            <w:shd w:val="clear" w:color="auto" w:fill="auto"/>
            <w:tcMar>
              <w:left w:w="0" w:type="dxa"/>
            </w:tcMar>
          </w:tcPr>
          <w:p w14:paraId="1BF6FC01" w14:textId="77777777" w:rsidR="00D215B0" w:rsidRDefault="00D215B0" w:rsidP="000A3D9E">
            <w:pPr>
              <w:pStyle w:val="Marginlie"/>
            </w:pPr>
          </w:p>
        </w:tc>
        <w:tc>
          <w:tcPr>
            <w:tcW w:w="175" w:type="dxa"/>
            <w:shd w:val="clear" w:color="auto" w:fill="auto"/>
            <w:tcMar>
              <w:left w:w="0" w:type="dxa"/>
            </w:tcMar>
          </w:tcPr>
          <w:p w14:paraId="6D2E7FB0" w14:textId="77777777" w:rsidR="00D215B0" w:rsidRDefault="00D215B0" w:rsidP="000A3D9E">
            <w:pPr>
              <w:pStyle w:val="Textpoznpodarou"/>
              <w:jc w:val="both"/>
              <w:rPr>
                <w:spacing w:val="-4"/>
              </w:rPr>
            </w:pPr>
          </w:p>
        </w:tc>
        <w:tc>
          <w:tcPr>
            <w:tcW w:w="7700" w:type="dxa"/>
            <w:shd w:val="clear" w:color="auto" w:fill="auto"/>
            <w:tcMar>
              <w:left w:w="0" w:type="dxa"/>
            </w:tcMar>
          </w:tcPr>
          <w:p w14:paraId="2BE56E29" w14:textId="448604CF" w:rsidR="00D215B0" w:rsidRPr="008B0D80" w:rsidRDefault="00D215B0" w:rsidP="0052200D">
            <w:pPr>
              <w:spacing w:after="0"/>
              <w:rPr>
                <w:rFonts w:cs="Arial"/>
                <w:spacing w:val="-4"/>
                <w:szCs w:val="20"/>
              </w:rPr>
            </w:pPr>
            <w:r>
              <w:rPr>
                <w:noProof/>
              </w:rPr>
              <w:drawing>
                <wp:inline distT="0" distB="0" distL="0" distR="0" wp14:anchorId="64736385" wp14:editId="24A3DB7E">
                  <wp:extent cx="4740275" cy="3307278"/>
                  <wp:effectExtent l="0" t="0" r="3175" b="762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215B0" w:rsidRPr="008B0D80" w14:paraId="52EF5FA6" w14:textId="77777777" w:rsidTr="0052200D">
        <w:trPr>
          <w:trHeight w:val="145"/>
        </w:trPr>
        <w:tc>
          <w:tcPr>
            <w:tcW w:w="1764" w:type="dxa"/>
            <w:shd w:val="clear" w:color="auto" w:fill="auto"/>
            <w:tcMar>
              <w:left w:w="0" w:type="dxa"/>
            </w:tcMar>
          </w:tcPr>
          <w:p w14:paraId="4D612836" w14:textId="77777777" w:rsidR="00D215B0" w:rsidRDefault="00D215B0" w:rsidP="00D215B0">
            <w:pPr>
              <w:pStyle w:val="Marginlie"/>
            </w:pPr>
          </w:p>
        </w:tc>
        <w:tc>
          <w:tcPr>
            <w:tcW w:w="175" w:type="dxa"/>
            <w:shd w:val="clear" w:color="auto" w:fill="auto"/>
            <w:tcMar>
              <w:left w:w="0" w:type="dxa"/>
            </w:tcMar>
          </w:tcPr>
          <w:p w14:paraId="235083CC" w14:textId="77777777" w:rsidR="00D215B0" w:rsidRDefault="00D215B0" w:rsidP="00D215B0">
            <w:pPr>
              <w:pStyle w:val="Textpoznpodarou"/>
              <w:jc w:val="both"/>
              <w:rPr>
                <w:spacing w:val="-4"/>
              </w:rPr>
            </w:pPr>
          </w:p>
        </w:tc>
        <w:tc>
          <w:tcPr>
            <w:tcW w:w="7700" w:type="dxa"/>
            <w:shd w:val="clear" w:color="auto" w:fill="auto"/>
            <w:tcMar>
              <w:left w:w="0" w:type="dxa"/>
            </w:tcMar>
          </w:tcPr>
          <w:p w14:paraId="62DCFD54" w14:textId="3EFEC12E" w:rsidR="00D215B0" w:rsidRPr="008B0D80" w:rsidRDefault="00D215B0" w:rsidP="00D215B0">
            <w:pPr>
              <w:spacing w:after="200"/>
              <w:rPr>
                <w:rFonts w:cs="Arial"/>
                <w:spacing w:val="-4"/>
                <w:szCs w:val="20"/>
              </w:rPr>
            </w:pPr>
            <w:r>
              <w:rPr>
                <w:rFonts w:cs="Arial"/>
                <w:sz w:val="14"/>
                <w:szCs w:val="14"/>
              </w:rPr>
              <w:t xml:space="preserve">*Údaje jsou sezónně očištěny.                                                                                                                         </w:t>
            </w:r>
            <w:r w:rsidRPr="00535F78">
              <w:rPr>
                <w:rFonts w:cs="Arial"/>
                <w:sz w:val="14"/>
                <w:szCs w:val="14"/>
              </w:rPr>
              <w:t xml:space="preserve">Zdroj: </w:t>
            </w:r>
            <w:r>
              <w:rPr>
                <w:rFonts w:cs="Arial"/>
                <w:sz w:val="14"/>
                <w:szCs w:val="14"/>
              </w:rPr>
              <w:t>ČSÚ</w:t>
            </w:r>
          </w:p>
        </w:tc>
      </w:tr>
      <w:tr w:rsidR="00D215B0" w:rsidRPr="008B0D80" w14:paraId="17CF28CB" w14:textId="77777777" w:rsidTr="0052200D">
        <w:trPr>
          <w:trHeight w:val="145"/>
        </w:trPr>
        <w:tc>
          <w:tcPr>
            <w:tcW w:w="1764" w:type="dxa"/>
            <w:shd w:val="clear" w:color="auto" w:fill="auto"/>
            <w:tcMar>
              <w:left w:w="0" w:type="dxa"/>
            </w:tcMar>
          </w:tcPr>
          <w:p w14:paraId="77DFCE25" w14:textId="77777777" w:rsidR="00D215B0" w:rsidRDefault="00D215B0" w:rsidP="00D215B0">
            <w:pPr>
              <w:pStyle w:val="Marginlie"/>
            </w:pPr>
            <w:r>
              <w:t>Tempo růstu nových zakázek na počátku roku citelně zrychlilo.</w:t>
            </w:r>
          </w:p>
          <w:p w14:paraId="5FF468AF" w14:textId="77777777" w:rsidR="00D215B0" w:rsidRDefault="00D215B0" w:rsidP="00D215B0">
            <w:pPr>
              <w:pStyle w:val="Marginlie"/>
            </w:pPr>
          </w:p>
          <w:p w14:paraId="3E60FC88" w14:textId="77777777" w:rsidR="00D215B0" w:rsidRDefault="00D215B0" w:rsidP="00D215B0">
            <w:pPr>
              <w:pStyle w:val="Marginlie"/>
            </w:pPr>
          </w:p>
          <w:p w14:paraId="29C4CA05" w14:textId="77777777" w:rsidR="00D215B0" w:rsidRDefault="00D215B0" w:rsidP="00D215B0">
            <w:pPr>
              <w:pStyle w:val="Marginlie"/>
            </w:pPr>
          </w:p>
          <w:p w14:paraId="7D86E8C5" w14:textId="77777777" w:rsidR="00D215B0" w:rsidRDefault="00D215B0" w:rsidP="00D215B0">
            <w:pPr>
              <w:pStyle w:val="Marginlie"/>
            </w:pPr>
            <w:r>
              <w:lastRenderedPageBreak/>
              <w:t>Častěji se prosazovaly větší stavební projekty.</w:t>
            </w:r>
          </w:p>
          <w:p w14:paraId="3B9CCE4B" w14:textId="77777777" w:rsidR="00D215B0" w:rsidRDefault="00D215B0" w:rsidP="00D215B0">
            <w:pPr>
              <w:pStyle w:val="Marginlie"/>
            </w:pPr>
          </w:p>
          <w:p w14:paraId="09A2EF7D" w14:textId="77777777" w:rsidR="00D215B0" w:rsidRDefault="00D215B0" w:rsidP="00D215B0">
            <w:pPr>
              <w:pStyle w:val="Marginlie"/>
            </w:pPr>
          </w:p>
          <w:p w14:paraId="4ACA3286" w14:textId="77777777" w:rsidR="00D215B0" w:rsidRDefault="00D215B0" w:rsidP="00D215B0">
            <w:pPr>
              <w:pStyle w:val="Marginlie"/>
            </w:pPr>
          </w:p>
          <w:p w14:paraId="4A012DA6" w14:textId="77777777" w:rsidR="00D215B0" w:rsidRDefault="00D215B0" w:rsidP="00D215B0">
            <w:pPr>
              <w:pStyle w:val="Marginlie"/>
            </w:pPr>
          </w:p>
          <w:p w14:paraId="2A411385" w14:textId="77777777" w:rsidR="00D215B0" w:rsidRDefault="00D215B0" w:rsidP="00D215B0">
            <w:pPr>
              <w:pStyle w:val="Marginlie"/>
            </w:pPr>
          </w:p>
          <w:p w14:paraId="1D96A378" w14:textId="77777777" w:rsidR="00D215B0" w:rsidRDefault="00D215B0" w:rsidP="00D215B0">
            <w:pPr>
              <w:pStyle w:val="Marginlie"/>
            </w:pPr>
          </w:p>
          <w:p w14:paraId="3709F761" w14:textId="77777777" w:rsidR="00D215B0" w:rsidRDefault="00D215B0" w:rsidP="00D215B0">
            <w:pPr>
              <w:pStyle w:val="Marginlie"/>
            </w:pPr>
            <w:r>
              <w:t>Saldo důvěry podnikatelů ve stavebnictví vyšplhalo v lednu na rekordní hodnotu. Celé odvětví ale nadále limitovala napjatá situace na pracovním trhu.</w:t>
            </w:r>
          </w:p>
        </w:tc>
        <w:tc>
          <w:tcPr>
            <w:tcW w:w="175" w:type="dxa"/>
            <w:shd w:val="clear" w:color="auto" w:fill="auto"/>
            <w:tcMar>
              <w:left w:w="0" w:type="dxa"/>
            </w:tcMar>
          </w:tcPr>
          <w:p w14:paraId="14641457" w14:textId="77777777" w:rsidR="00D215B0" w:rsidRDefault="00D215B0" w:rsidP="00D215B0">
            <w:pPr>
              <w:pStyle w:val="Textpoznpodarou"/>
              <w:jc w:val="both"/>
              <w:rPr>
                <w:spacing w:val="-4"/>
              </w:rPr>
            </w:pPr>
          </w:p>
        </w:tc>
        <w:tc>
          <w:tcPr>
            <w:tcW w:w="7700" w:type="dxa"/>
            <w:shd w:val="clear" w:color="auto" w:fill="auto"/>
            <w:tcMar>
              <w:left w:w="0" w:type="dxa"/>
            </w:tcMar>
          </w:tcPr>
          <w:p w14:paraId="5E6D07C0" w14:textId="1FCE1B7B" w:rsidR="00D215B0" w:rsidRPr="008B0D80" w:rsidRDefault="00D215B0" w:rsidP="00CE3E48">
            <w:pPr>
              <w:spacing w:after="200"/>
              <w:rPr>
                <w:rFonts w:cs="Arial"/>
                <w:spacing w:val="-4"/>
                <w:szCs w:val="20"/>
              </w:rPr>
            </w:pPr>
            <w:r w:rsidRPr="008B0D80">
              <w:rPr>
                <w:rFonts w:cs="Arial"/>
                <w:spacing w:val="-4"/>
                <w:szCs w:val="20"/>
              </w:rPr>
              <w:t xml:space="preserve">Krátkodobé vyhlídky zůstávají </w:t>
            </w:r>
            <w:r>
              <w:rPr>
                <w:rFonts w:cs="Arial"/>
                <w:spacing w:val="-4"/>
                <w:szCs w:val="20"/>
              </w:rPr>
              <w:t xml:space="preserve">ve </w:t>
            </w:r>
            <w:r w:rsidRPr="008B0D80">
              <w:rPr>
                <w:rFonts w:cs="Arial"/>
                <w:spacing w:val="-4"/>
                <w:szCs w:val="20"/>
              </w:rPr>
              <w:t>stavebnictví nadále příznivé. Růst hodnoty nových tuzemských zakázek (u podniků s více než 50 zaměstnanci) pokračoval třetím rokem v řadě a v 1. čtvrtletí 2019 činil 15,6</w:t>
            </w:r>
            <w:r>
              <w:rPr>
                <w:rFonts w:cs="Arial"/>
                <w:spacing w:val="-4"/>
                <w:szCs w:val="20"/>
              </w:rPr>
              <w:t> %</w:t>
            </w:r>
            <w:r w:rsidRPr="008B0D80">
              <w:rPr>
                <w:rFonts w:cs="Arial"/>
                <w:spacing w:val="-4"/>
                <w:szCs w:val="20"/>
              </w:rPr>
              <w:t xml:space="preserve"> meziročně. Zatímco loni přispívaly k růstu zakázek pozemní i inženýrské stavitelství vcelku rovnoměrně, na počátku roku 2019 byly z drtivé většiny taženy inženýrským stavitelstvím. O bezmála šestinu posílila i celková zásoba všech dosud </w:t>
            </w:r>
            <w:r w:rsidRPr="008B0D80">
              <w:rPr>
                <w:rFonts w:cs="Arial"/>
                <w:spacing w:val="-4"/>
                <w:szCs w:val="20"/>
              </w:rPr>
              <w:lastRenderedPageBreak/>
              <w:t>nerealizovaných stavebních prací (na 177</w:t>
            </w:r>
            <w:r>
              <w:rPr>
                <w:rFonts w:cs="Arial"/>
                <w:spacing w:val="-4"/>
                <w:szCs w:val="20"/>
              </w:rPr>
              <w:t> mld</w:t>
            </w:r>
            <w:r w:rsidRPr="008B0D80">
              <w:rPr>
                <w:rFonts w:cs="Arial"/>
                <w:spacing w:val="-4"/>
                <w:szCs w:val="20"/>
              </w:rPr>
              <w:t>. korun). Byla saturována hlavně veřejnými zakázkami (meziroční růst o 30</w:t>
            </w:r>
            <w:r>
              <w:rPr>
                <w:rFonts w:cs="Arial"/>
                <w:spacing w:val="-4"/>
                <w:szCs w:val="20"/>
              </w:rPr>
              <w:t> %</w:t>
            </w:r>
            <w:r w:rsidRPr="008B0D80">
              <w:rPr>
                <w:rFonts w:cs="Arial"/>
                <w:spacing w:val="-4"/>
                <w:szCs w:val="20"/>
              </w:rPr>
              <w:t>). Pátým rokem v řadě pokračoval pokles zásob práce v zahraničí, na které se silně vytíženým tuzemským firmám již patrně nedostávalo kapacit</w:t>
            </w:r>
            <w:r w:rsidRPr="008B0D80">
              <w:rPr>
                <w:rStyle w:val="Znakapoznpodarou"/>
                <w:spacing w:val="-4"/>
              </w:rPr>
              <w:footnoteReference w:id="10"/>
            </w:r>
            <w:r w:rsidRPr="008B0D80">
              <w:rPr>
                <w:rFonts w:cs="Arial"/>
                <w:spacing w:val="-4"/>
                <w:szCs w:val="20"/>
              </w:rPr>
              <w:t>. Více se v očekávané poptávce prosazovaly větší stavební projekty. Vzrostla jak průměrná hodnota nově uzavřené zakázky (na 5,0 mil. korun, o rok dříve 4,6</w:t>
            </w:r>
            <w:r w:rsidRPr="008B0D80">
              <w:rPr>
                <w:color w:val="0D0D0D" w:themeColor="text1" w:themeTint="F2"/>
                <w:spacing w:val="-4"/>
              </w:rPr>
              <w:t> </w:t>
            </w:r>
            <w:r w:rsidRPr="008B0D80">
              <w:rPr>
                <w:rFonts w:cs="Arial"/>
                <w:spacing w:val="-4"/>
                <w:szCs w:val="20"/>
              </w:rPr>
              <w:t>mil.), tak i orientační hodnota vydaných stavebníc</w:t>
            </w:r>
            <w:r>
              <w:rPr>
                <w:rFonts w:cs="Arial"/>
                <w:spacing w:val="-4"/>
                <w:szCs w:val="20"/>
              </w:rPr>
              <w:t>h povolení (4,7 mil., resp. 4,3 </w:t>
            </w:r>
            <w:r w:rsidRPr="008B0D80">
              <w:rPr>
                <w:rFonts w:cs="Arial"/>
                <w:spacing w:val="-4"/>
                <w:szCs w:val="20"/>
              </w:rPr>
              <w:t>mil., nejvíce díky svižnému růstu u bytových budov). Saldo důvěry podnikatelů ve stavebnictví se dále zlepšovalo. Jeho hodnota na konci loňského listopadu opustila záporné pásmo (poprvé po deseti letech) a</w:t>
            </w:r>
            <w:r>
              <w:rPr>
                <w:rFonts w:cs="Arial"/>
                <w:spacing w:val="-4"/>
                <w:szCs w:val="20"/>
              </w:rPr>
              <w:t> </w:t>
            </w:r>
            <w:r w:rsidRPr="008B0D80">
              <w:rPr>
                <w:rFonts w:cs="Arial"/>
                <w:spacing w:val="-4"/>
                <w:szCs w:val="20"/>
              </w:rPr>
              <w:t>v lednu 2019 stanovila nové maximum v historii ČR (+</w:t>
            </w:r>
            <w:r>
              <w:rPr>
                <w:rFonts w:cs="Arial"/>
                <w:spacing w:val="-4"/>
                <w:szCs w:val="20"/>
              </w:rPr>
              <w:t>5,5 </w:t>
            </w:r>
            <w:r w:rsidRPr="008B0D80">
              <w:rPr>
                <w:rFonts w:cs="Arial"/>
                <w:spacing w:val="-4"/>
                <w:szCs w:val="20"/>
              </w:rPr>
              <w:t>bodu). Podíl stavebních firem nepociťujících žádné bariéry růstu byl v dubnu 2019 nejvyšší od roku 2009 (19</w:t>
            </w:r>
            <w:r>
              <w:rPr>
                <w:rFonts w:cs="Arial"/>
                <w:spacing w:val="-4"/>
                <w:szCs w:val="20"/>
              </w:rPr>
              <w:t> %</w:t>
            </w:r>
            <w:r w:rsidRPr="008B0D80">
              <w:rPr>
                <w:rFonts w:cs="Arial"/>
                <w:spacing w:val="-4"/>
                <w:szCs w:val="20"/>
              </w:rPr>
              <w:t>), ale stále zhruba o 10</w:t>
            </w:r>
            <w:r>
              <w:rPr>
                <w:rFonts w:cs="Arial"/>
                <w:spacing w:val="-4"/>
                <w:szCs w:val="20"/>
              </w:rPr>
              <w:t> p. b.</w:t>
            </w:r>
            <w:r w:rsidRPr="008B0D80">
              <w:rPr>
                <w:rFonts w:cs="Arial"/>
                <w:spacing w:val="-4"/>
                <w:szCs w:val="20"/>
              </w:rPr>
              <w:t xml:space="preserve"> pod úrovní konjukturní</w:t>
            </w:r>
            <w:r>
              <w:rPr>
                <w:rFonts w:cs="Arial"/>
                <w:spacing w:val="-4"/>
                <w:szCs w:val="20"/>
              </w:rPr>
              <w:t xml:space="preserve">ch </w:t>
            </w:r>
            <w:r w:rsidRPr="008B0D80">
              <w:rPr>
                <w:rFonts w:cs="Arial"/>
                <w:spacing w:val="-4"/>
                <w:szCs w:val="20"/>
              </w:rPr>
              <w:t>let 2007</w:t>
            </w:r>
            <w:r>
              <w:rPr>
                <w:rFonts w:cs="Arial"/>
                <w:spacing w:val="-4"/>
                <w:szCs w:val="20"/>
              </w:rPr>
              <w:t xml:space="preserve"> a</w:t>
            </w:r>
            <w:r w:rsidRPr="008B0D80">
              <w:rPr>
                <w:rFonts w:cs="Arial"/>
                <w:spacing w:val="-4"/>
                <w:szCs w:val="20"/>
              </w:rPr>
              <w:t>2008. Již osmý měsíc v řadě zůstává dominantní bariérou nedostatek zaměstnanců (42</w:t>
            </w:r>
            <w:r>
              <w:rPr>
                <w:rFonts w:cs="Arial"/>
                <w:spacing w:val="-4"/>
                <w:szCs w:val="20"/>
              </w:rPr>
              <w:t> %</w:t>
            </w:r>
            <w:r w:rsidRPr="008B0D80">
              <w:rPr>
                <w:rFonts w:cs="Arial"/>
                <w:spacing w:val="-4"/>
                <w:szCs w:val="20"/>
              </w:rPr>
              <w:t>), čtvrtinu podniků stále sužovala nedostatečná poptávka. Napjatá situace na pracovním trhu spolu se sílícími náklady na meziprodukty</w:t>
            </w:r>
            <w:r>
              <w:rPr>
                <w:rFonts w:cs="Arial"/>
                <w:spacing w:val="-4"/>
                <w:szCs w:val="20"/>
              </w:rPr>
              <w:t xml:space="preserve"> (materiály, energie) se odrážela</w:t>
            </w:r>
            <w:r w:rsidRPr="008B0D80">
              <w:rPr>
                <w:rFonts w:cs="Arial"/>
                <w:spacing w:val="-4"/>
                <w:szCs w:val="20"/>
              </w:rPr>
              <w:t xml:space="preserve"> ve svižném růstu cen stavebních prací i</w:t>
            </w:r>
            <w:r w:rsidR="00CE3E48">
              <w:rPr>
                <w:rFonts w:cs="Arial"/>
                <w:spacing w:val="-4"/>
                <w:szCs w:val="20"/>
              </w:rPr>
              <w:t> </w:t>
            </w:r>
            <w:r w:rsidRPr="008B0D80">
              <w:rPr>
                <w:rFonts w:cs="Arial"/>
                <w:spacing w:val="-4"/>
                <w:szCs w:val="20"/>
              </w:rPr>
              <w:t>finálních cen nemovitostí.</w:t>
            </w:r>
          </w:p>
        </w:tc>
      </w:tr>
      <w:tr w:rsidR="00D215B0" w:rsidRPr="00A16220" w14:paraId="11E4AF96" w14:textId="77777777" w:rsidTr="0052200D">
        <w:trPr>
          <w:trHeight w:val="145"/>
        </w:trPr>
        <w:tc>
          <w:tcPr>
            <w:tcW w:w="1764" w:type="dxa"/>
            <w:shd w:val="clear" w:color="auto" w:fill="auto"/>
            <w:tcMar>
              <w:left w:w="0" w:type="dxa"/>
            </w:tcMar>
          </w:tcPr>
          <w:p w14:paraId="015CB7A3" w14:textId="77777777" w:rsidR="00D215B0" w:rsidRDefault="00D215B0" w:rsidP="00D215B0">
            <w:pPr>
              <w:pStyle w:val="Marginlie"/>
            </w:pPr>
          </w:p>
        </w:tc>
        <w:tc>
          <w:tcPr>
            <w:tcW w:w="175" w:type="dxa"/>
            <w:shd w:val="clear" w:color="auto" w:fill="auto"/>
            <w:tcMar>
              <w:left w:w="0" w:type="dxa"/>
            </w:tcMar>
          </w:tcPr>
          <w:p w14:paraId="5CFD8B0E" w14:textId="77777777" w:rsidR="00D215B0" w:rsidRDefault="00D215B0" w:rsidP="00D215B0">
            <w:pPr>
              <w:pStyle w:val="Textpoznpodarou"/>
              <w:jc w:val="both"/>
              <w:rPr>
                <w:spacing w:val="-4"/>
              </w:rPr>
            </w:pPr>
          </w:p>
        </w:tc>
        <w:tc>
          <w:tcPr>
            <w:tcW w:w="7700" w:type="dxa"/>
            <w:shd w:val="clear" w:color="auto" w:fill="auto"/>
            <w:tcMar>
              <w:left w:w="0" w:type="dxa"/>
            </w:tcMar>
          </w:tcPr>
          <w:p w14:paraId="05CC83B0" w14:textId="77777777" w:rsidR="00D215B0" w:rsidRPr="00A16220" w:rsidRDefault="00D215B0" w:rsidP="00D215B0">
            <w:pPr>
              <w:pStyle w:val="Textpoznpodarou"/>
              <w:spacing w:line="276" w:lineRule="auto"/>
              <w:rPr>
                <w:b/>
                <w:spacing w:val="-2"/>
              </w:rPr>
            </w:pPr>
            <w:r w:rsidRPr="00365CD5">
              <w:rPr>
                <w:b/>
              </w:rPr>
              <w:t xml:space="preserve">Graf č. 8  </w:t>
            </w:r>
            <w:r w:rsidRPr="00365CD5">
              <w:rPr>
                <w:b/>
                <w:spacing w:val="-2"/>
              </w:rPr>
              <w:t xml:space="preserve">Příspěvky dílčích odvětví služeb k meziroční změně tržeb ve vybraných službách </w:t>
            </w:r>
            <w:r w:rsidRPr="00365CD5">
              <w:rPr>
                <w:spacing w:val="-2"/>
              </w:rPr>
              <w:t>(v</w:t>
            </w:r>
            <w:r>
              <w:rPr>
                <w:spacing w:val="-2"/>
              </w:rPr>
              <w:t> p. b.</w:t>
            </w:r>
            <w:r w:rsidRPr="00365CD5">
              <w:rPr>
                <w:spacing w:val="-2"/>
              </w:rPr>
              <w:t xml:space="preserve">)* </w:t>
            </w:r>
            <w:r w:rsidRPr="00365CD5">
              <w:rPr>
                <w:b/>
                <w:spacing w:val="-2"/>
              </w:rPr>
              <w:t xml:space="preserve">a </w:t>
            </w:r>
            <w:r w:rsidRPr="00365CD5">
              <w:rPr>
                <w:b/>
                <w:spacing w:val="-3"/>
              </w:rPr>
              <w:t xml:space="preserve">saldo indikátoru důvěry ve vybraných službách </w:t>
            </w:r>
            <w:r w:rsidRPr="00365CD5">
              <w:rPr>
                <w:spacing w:val="-3"/>
              </w:rPr>
              <w:t>(v bodech</w:t>
            </w:r>
            <w:r>
              <w:rPr>
                <w:spacing w:val="-3"/>
              </w:rPr>
              <w:t>)*</w:t>
            </w:r>
          </w:p>
        </w:tc>
      </w:tr>
      <w:tr w:rsidR="00D215B0" w:rsidRPr="00535F78" w14:paraId="782E21B2" w14:textId="77777777" w:rsidTr="0052200D">
        <w:tblPrEx>
          <w:tblCellMar>
            <w:left w:w="70" w:type="dxa"/>
            <w:right w:w="70" w:type="dxa"/>
          </w:tblCellMar>
        </w:tblPrEx>
        <w:trPr>
          <w:trHeight w:val="145"/>
        </w:trPr>
        <w:tc>
          <w:tcPr>
            <w:tcW w:w="1764" w:type="dxa"/>
            <w:shd w:val="clear" w:color="auto" w:fill="auto"/>
          </w:tcPr>
          <w:p w14:paraId="0D30CD42" w14:textId="77777777" w:rsidR="00D215B0" w:rsidRDefault="00D215B0" w:rsidP="00D215B0">
            <w:pPr>
              <w:pStyle w:val="Marginlie"/>
            </w:pPr>
          </w:p>
        </w:tc>
        <w:tc>
          <w:tcPr>
            <w:tcW w:w="175" w:type="dxa"/>
            <w:shd w:val="clear" w:color="auto" w:fill="auto"/>
          </w:tcPr>
          <w:p w14:paraId="243F268F" w14:textId="77777777" w:rsidR="00D215B0" w:rsidRDefault="00D215B0" w:rsidP="00D215B0">
            <w:pPr>
              <w:pStyle w:val="Textpoznpodarou"/>
              <w:jc w:val="both"/>
              <w:rPr>
                <w:spacing w:val="-4"/>
              </w:rPr>
            </w:pPr>
          </w:p>
        </w:tc>
        <w:tc>
          <w:tcPr>
            <w:tcW w:w="7700" w:type="dxa"/>
            <w:shd w:val="clear" w:color="auto" w:fill="auto"/>
          </w:tcPr>
          <w:p w14:paraId="25B6FDAA" w14:textId="77777777" w:rsidR="00D215B0" w:rsidRPr="00535F78" w:rsidRDefault="00D215B0" w:rsidP="00D215B0">
            <w:pPr>
              <w:spacing w:after="0"/>
              <w:rPr>
                <w:rFonts w:cs="Arial"/>
                <w:sz w:val="14"/>
                <w:szCs w:val="14"/>
              </w:rPr>
            </w:pPr>
            <w:r>
              <w:rPr>
                <w:noProof/>
              </w:rPr>
              <w:drawing>
                <wp:inline distT="0" distB="0" distL="0" distR="0" wp14:anchorId="736F838B" wp14:editId="18165213">
                  <wp:extent cx="4798060" cy="3461256"/>
                  <wp:effectExtent l="0" t="0" r="2540" b="63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215B0" w:rsidRPr="00365CD5" w14:paraId="32CDBB08" w14:textId="77777777" w:rsidTr="0052200D">
        <w:trPr>
          <w:trHeight w:val="145"/>
        </w:trPr>
        <w:tc>
          <w:tcPr>
            <w:tcW w:w="1764" w:type="dxa"/>
            <w:shd w:val="clear" w:color="auto" w:fill="auto"/>
            <w:tcMar>
              <w:left w:w="0" w:type="dxa"/>
            </w:tcMar>
          </w:tcPr>
          <w:p w14:paraId="1CCF99AF" w14:textId="77777777" w:rsidR="00D215B0" w:rsidRDefault="00D215B0" w:rsidP="00D215B0">
            <w:pPr>
              <w:pStyle w:val="Marginlie"/>
            </w:pPr>
          </w:p>
        </w:tc>
        <w:tc>
          <w:tcPr>
            <w:tcW w:w="175" w:type="dxa"/>
            <w:shd w:val="clear" w:color="auto" w:fill="auto"/>
            <w:tcMar>
              <w:left w:w="0" w:type="dxa"/>
            </w:tcMar>
          </w:tcPr>
          <w:p w14:paraId="63479754" w14:textId="77777777" w:rsidR="00D215B0" w:rsidRDefault="00D215B0" w:rsidP="00D215B0">
            <w:pPr>
              <w:pStyle w:val="Textpoznpodarou"/>
              <w:jc w:val="both"/>
              <w:rPr>
                <w:spacing w:val="-4"/>
              </w:rPr>
            </w:pPr>
          </w:p>
        </w:tc>
        <w:tc>
          <w:tcPr>
            <w:tcW w:w="7700" w:type="dxa"/>
            <w:shd w:val="clear" w:color="auto" w:fill="auto"/>
            <w:tcMar>
              <w:left w:w="0" w:type="dxa"/>
            </w:tcMar>
          </w:tcPr>
          <w:p w14:paraId="4C8559AA" w14:textId="77777777" w:rsidR="00D215B0" w:rsidRPr="00365CD5" w:rsidRDefault="00D215B0" w:rsidP="00D215B0">
            <w:pPr>
              <w:spacing w:after="200" w:line="240" w:lineRule="auto"/>
              <w:jc w:val="left"/>
              <w:rPr>
                <w:rFonts w:cs="Arial"/>
                <w:sz w:val="14"/>
                <w:szCs w:val="14"/>
              </w:rPr>
            </w:pPr>
            <w:r w:rsidRPr="00365CD5">
              <w:rPr>
                <w:rFonts w:cs="Arial"/>
                <w:sz w:val="14"/>
                <w:szCs w:val="14"/>
              </w:rPr>
              <w:t xml:space="preserve">*Příspěvky </w:t>
            </w:r>
            <w:r>
              <w:rPr>
                <w:rFonts w:cs="Arial"/>
                <w:sz w:val="14"/>
                <w:szCs w:val="14"/>
              </w:rPr>
              <w:t xml:space="preserve">odvětví </w:t>
            </w:r>
            <w:r w:rsidRPr="00365CD5">
              <w:rPr>
                <w:rFonts w:cs="Arial"/>
                <w:sz w:val="14"/>
                <w:szCs w:val="14"/>
              </w:rPr>
              <w:t xml:space="preserve">jsou </w:t>
            </w:r>
            <w:r>
              <w:rPr>
                <w:sz w:val="14"/>
                <w:szCs w:val="14"/>
              </w:rPr>
              <w:t>očištěny</w:t>
            </w:r>
            <w:r w:rsidRPr="00365CD5">
              <w:rPr>
                <w:sz w:val="14"/>
                <w:szCs w:val="14"/>
              </w:rPr>
              <w:t xml:space="preserve"> o kalendářní vlivy</w:t>
            </w:r>
            <w:r>
              <w:rPr>
                <w:sz w:val="14"/>
                <w:szCs w:val="14"/>
              </w:rPr>
              <w:t>. Saldo důvěry je</w:t>
            </w:r>
            <w:r>
              <w:rPr>
                <w:rFonts w:cs="Arial"/>
                <w:sz w:val="14"/>
                <w:szCs w:val="14"/>
              </w:rPr>
              <w:t xml:space="preserve"> sezónně očištěno</w:t>
            </w:r>
            <w:r w:rsidRPr="00365CD5">
              <w:rPr>
                <w:rFonts w:cs="Arial"/>
                <w:sz w:val="14"/>
                <w:szCs w:val="14"/>
              </w:rPr>
              <w:t xml:space="preserve">.                                 </w:t>
            </w:r>
            <w:r>
              <w:rPr>
                <w:rFonts w:cs="Arial"/>
                <w:sz w:val="14"/>
                <w:szCs w:val="14"/>
              </w:rPr>
              <w:t xml:space="preserve">         </w:t>
            </w:r>
            <w:r w:rsidRPr="00365CD5">
              <w:rPr>
                <w:rFonts w:cs="Arial"/>
                <w:sz w:val="14"/>
                <w:szCs w:val="14"/>
              </w:rPr>
              <w:t>Zdroj: ČSÚ</w:t>
            </w:r>
          </w:p>
        </w:tc>
      </w:tr>
      <w:tr w:rsidR="00D215B0" w:rsidRPr="005B4D3B" w14:paraId="6ED29D8B" w14:textId="77777777" w:rsidTr="0052200D">
        <w:trPr>
          <w:trHeight w:val="145"/>
        </w:trPr>
        <w:tc>
          <w:tcPr>
            <w:tcW w:w="1764" w:type="dxa"/>
            <w:shd w:val="clear" w:color="auto" w:fill="auto"/>
            <w:tcMar>
              <w:left w:w="0" w:type="dxa"/>
            </w:tcMar>
          </w:tcPr>
          <w:p w14:paraId="198CE771" w14:textId="77777777" w:rsidR="00D215B0" w:rsidRDefault="00D215B0" w:rsidP="00D215B0">
            <w:pPr>
              <w:pStyle w:val="Marginlie"/>
            </w:pPr>
            <w:r>
              <w:t>Růst tržeb ve vybraných službách táhly hlavně informační a komunikační činnosti.</w:t>
            </w:r>
          </w:p>
          <w:p w14:paraId="4D97A31B" w14:textId="77777777" w:rsidR="00D215B0" w:rsidRDefault="00D215B0" w:rsidP="00D215B0">
            <w:pPr>
              <w:pStyle w:val="Marginlie"/>
            </w:pPr>
          </w:p>
          <w:p w14:paraId="4D592078" w14:textId="77777777" w:rsidR="00D215B0" w:rsidRDefault="00D215B0" w:rsidP="00D215B0">
            <w:pPr>
              <w:pStyle w:val="Marginlie"/>
            </w:pPr>
          </w:p>
          <w:p w14:paraId="6F3F7761" w14:textId="77777777" w:rsidR="00D215B0" w:rsidRDefault="00D215B0" w:rsidP="00D215B0">
            <w:pPr>
              <w:pStyle w:val="Marginlie"/>
            </w:pPr>
          </w:p>
          <w:p w14:paraId="70D3B1A2" w14:textId="77777777" w:rsidR="00D215B0" w:rsidRDefault="00D215B0" w:rsidP="00D215B0">
            <w:pPr>
              <w:pStyle w:val="Marginlie"/>
            </w:pPr>
          </w:p>
          <w:p w14:paraId="04527530" w14:textId="25D0964C" w:rsidR="00D215B0" w:rsidRDefault="00D215B0" w:rsidP="00D215B0">
            <w:pPr>
              <w:pStyle w:val="Marginlie"/>
            </w:pPr>
            <w:r>
              <w:t xml:space="preserve">Tržby ve skladování po silném loňském roku </w:t>
            </w:r>
            <w:r>
              <w:lastRenderedPageBreak/>
              <w:t>mírně klesly. Pozemní dopravě svědčil pokračující rozvoj obchodu i vyšší mobilita obyvatel.</w:t>
            </w:r>
          </w:p>
          <w:p w14:paraId="6A66641D" w14:textId="77777777" w:rsidR="00D215B0" w:rsidRDefault="00D215B0" w:rsidP="00D215B0">
            <w:pPr>
              <w:pStyle w:val="Marginlie"/>
            </w:pPr>
          </w:p>
          <w:p w14:paraId="751B96C8" w14:textId="77777777" w:rsidR="00D215B0" w:rsidRDefault="00D215B0" w:rsidP="00D215B0">
            <w:pPr>
              <w:pStyle w:val="Marginlie"/>
            </w:pPr>
          </w:p>
          <w:p w14:paraId="3E74663A" w14:textId="77777777" w:rsidR="00D215B0" w:rsidRDefault="00D215B0" w:rsidP="00D215B0">
            <w:pPr>
              <w:pStyle w:val="Marginlie"/>
            </w:pPr>
            <w:r>
              <w:t>Dynamika příjezdového cestovního ruchu výrazně zvolnila.</w:t>
            </w:r>
          </w:p>
          <w:p w14:paraId="12828462" w14:textId="77777777" w:rsidR="00D215B0" w:rsidRDefault="00D215B0" w:rsidP="00D215B0">
            <w:pPr>
              <w:pStyle w:val="Marginlie"/>
            </w:pPr>
          </w:p>
          <w:p w14:paraId="341D57C1" w14:textId="77777777" w:rsidR="00D215B0" w:rsidRDefault="00D215B0" w:rsidP="00D215B0">
            <w:pPr>
              <w:pStyle w:val="Marginlie"/>
            </w:pPr>
          </w:p>
          <w:p w14:paraId="64BC4AC6" w14:textId="77777777" w:rsidR="00D215B0" w:rsidRDefault="00D215B0" w:rsidP="00D215B0">
            <w:pPr>
              <w:pStyle w:val="Marginlie"/>
            </w:pPr>
          </w:p>
          <w:p w14:paraId="268D6898" w14:textId="77777777" w:rsidR="00D215B0" w:rsidRDefault="00D215B0" w:rsidP="00D215B0">
            <w:pPr>
              <w:pStyle w:val="Marginlie"/>
            </w:pPr>
            <w:r>
              <w:t>Dlouhodobější pokles tržeb za reklamu se zastavil.</w:t>
            </w:r>
          </w:p>
          <w:p w14:paraId="19F260D1" w14:textId="77777777" w:rsidR="00D215B0" w:rsidRDefault="00D215B0" w:rsidP="00D215B0">
            <w:pPr>
              <w:pStyle w:val="Marginlie"/>
            </w:pPr>
          </w:p>
          <w:p w14:paraId="0279045A" w14:textId="77777777" w:rsidR="00D215B0" w:rsidRDefault="00D215B0" w:rsidP="00D215B0">
            <w:pPr>
              <w:pStyle w:val="Marginlie"/>
            </w:pPr>
          </w:p>
          <w:p w14:paraId="77A89CAD" w14:textId="77777777" w:rsidR="00D215B0" w:rsidRDefault="00D215B0" w:rsidP="00D215B0">
            <w:pPr>
              <w:pStyle w:val="Marginlie"/>
            </w:pPr>
          </w:p>
          <w:p w14:paraId="1A8F8A98" w14:textId="77777777" w:rsidR="00D215B0" w:rsidRDefault="00D215B0" w:rsidP="00D215B0">
            <w:pPr>
              <w:pStyle w:val="Marginlie"/>
            </w:pPr>
            <w:r>
              <w:t>Slabší tržby pracovních agentur souvisely s horšími výsledky průmyslu.</w:t>
            </w:r>
          </w:p>
          <w:p w14:paraId="0FC4A970" w14:textId="77777777" w:rsidR="00D215B0" w:rsidRDefault="00D215B0" w:rsidP="00D215B0">
            <w:pPr>
              <w:pStyle w:val="Marginlie"/>
            </w:pPr>
          </w:p>
        </w:tc>
        <w:tc>
          <w:tcPr>
            <w:tcW w:w="175" w:type="dxa"/>
            <w:shd w:val="clear" w:color="auto" w:fill="auto"/>
            <w:tcMar>
              <w:left w:w="0" w:type="dxa"/>
            </w:tcMar>
          </w:tcPr>
          <w:p w14:paraId="06A4D45B" w14:textId="77777777" w:rsidR="00D215B0" w:rsidRDefault="00D215B0" w:rsidP="00D215B0">
            <w:pPr>
              <w:pStyle w:val="Textpoznpodarou"/>
              <w:jc w:val="both"/>
              <w:rPr>
                <w:spacing w:val="-4"/>
              </w:rPr>
            </w:pPr>
          </w:p>
        </w:tc>
        <w:tc>
          <w:tcPr>
            <w:tcW w:w="7700" w:type="dxa"/>
            <w:shd w:val="clear" w:color="auto" w:fill="auto"/>
            <w:tcMar>
              <w:left w:w="0" w:type="dxa"/>
            </w:tcMar>
          </w:tcPr>
          <w:p w14:paraId="7C73500A" w14:textId="10319436" w:rsidR="00D215B0" w:rsidRPr="005B4D3B" w:rsidRDefault="00D215B0" w:rsidP="00CE3E48">
            <w:pPr>
              <w:spacing w:after="180"/>
              <w:rPr>
                <w:color w:val="0D0D0D" w:themeColor="text1" w:themeTint="F2"/>
                <w:spacing w:val="-4"/>
              </w:rPr>
            </w:pPr>
            <w:r w:rsidRPr="005B4D3B">
              <w:rPr>
                <w:spacing w:val="-4"/>
              </w:rPr>
              <w:t xml:space="preserve">Tržby </w:t>
            </w:r>
            <w:r w:rsidRPr="005B4D3B">
              <w:rPr>
                <w:color w:val="0D0D0D" w:themeColor="text1" w:themeTint="F2"/>
                <w:spacing w:val="-4"/>
              </w:rPr>
              <w:t>ve vybraných službách</w:t>
            </w:r>
            <w:r w:rsidRPr="005B4D3B">
              <w:rPr>
                <w:color w:val="0D0D0D" w:themeColor="text1" w:themeTint="F2"/>
                <w:spacing w:val="-4"/>
                <w:vertAlign w:val="superscript"/>
              </w:rPr>
              <w:footnoteReference w:id="11"/>
            </w:r>
            <w:r w:rsidRPr="005B4D3B">
              <w:rPr>
                <w:color w:val="0D0D0D" w:themeColor="text1" w:themeTint="F2"/>
                <w:spacing w:val="-4"/>
              </w:rPr>
              <w:t xml:space="preserve"> po krátkodobém zvolnění na konci loňského roku v 1. čtvrtletí 2019 výrazně ožily. Mezikvartálně posílily o 1,8</w:t>
            </w:r>
            <w:r>
              <w:rPr>
                <w:color w:val="0D0D0D" w:themeColor="text1" w:themeTint="F2"/>
                <w:spacing w:val="-4"/>
              </w:rPr>
              <w:t> %</w:t>
            </w:r>
            <w:r w:rsidRPr="005B4D3B">
              <w:rPr>
                <w:color w:val="0D0D0D" w:themeColor="text1" w:themeTint="F2"/>
                <w:spacing w:val="-4"/>
              </w:rPr>
              <w:t>, meziročně o 2,4</w:t>
            </w:r>
            <w:r>
              <w:rPr>
                <w:color w:val="0D0D0D" w:themeColor="text1" w:themeTint="F2"/>
                <w:spacing w:val="-4"/>
              </w:rPr>
              <w:t> %</w:t>
            </w:r>
            <w:r w:rsidRPr="005B4D3B">
              <w:rPr>
                <w:color w:val="0D0D0D" w:themeColor="text1" w:themeTint="F2"/>
                <w:spacing w:val="-4"/>
              </w:rPr>
              <w:t xml:space="preserve"> (méně než v průměru za celý loňský rok: 3,3</w:t>
            </w:r>
            <w:r>
              <w:rPr>
                <w:color w:val="0D0D0D" w:themeColor="text1" w:themeTint="F2"/>
                <w:spacing w:val="-4"/>
              </w:rPr>
              <w:t> %</w:t>
            </w:r>
            <w:r w:rsidRPr="005B4D3B">
              <w:rPr>
                <w:color w:val="0D0D0D" w:themeColor="text1" w:themeTint="F2"/>
                <w:spacing w:val="-4"/>
              </w:rPr>
              <w:t>). Mezičtvrtletní i meziroční růst letos signalizovaly všechny odvětvové sekce služeb. Meziroční vyšší výkony služeb byly bezmála z poloviny zajištěny svižným růstem tržeb v odvětví informačních a komunikačních činností (+5,2</w:t>
            </w:r>
            <w:r>
              <w:rPr>
                <w:color w:val="0D0D0D" w:themeColor="text1" w:themeTint="F2"/>
                <w:spacing w:val="-4"/>
              </w:rPr>
              <w:t> %</w:t>
            </w:r>
            <w:r w:rsidRPr="005B4D3B">
              <w:rPr>
                <w:color w:val="0D0D0D" w:themeColor="text1" w:themeTint="F2"/>
                <w:spacing w:val="-4"/>
              </w:rPr>
              <w:t>), kde se dařilo všem dílčím odvětvím (vyjma tvorby programů a vysílání). To platilo zejména o tržbách ve vydavatelských činnostech či v hudebním a filmovém průmyslu</w:t>
            </w:r>
            <w:r w:rsidRPr="005B4D3B">
              <w:rPr>
                <w:rStyle w:val="Znakapoznpodarou"/>
                <w:spacing w:val="-4"/>
              </w:rPr>
              <w:footnoteReference w:id="12"/>
            </w:r>
            <w:r w:rsidRPr="005B4D3B">
              <w:rPr>
                <w:color w:val="0D0D0D" w:themeColor="text1" w:themeTint="F2"/>
                <w:spacing w:val="-4"/>
              </w:rPr>
              <w:t xml:space="preserve">. K posílení celého odvětví ale přispěl nejvíce dlouhodobě dynamický obor činností v oblasti IT (s růstem </w:t>
            </w:r>
            <w:r w:rsidRPr="005B4D3B">
              <w:rPr>
                <w:color w:val="0D0D0D" w:themeColor="text1" w:themeTint="F2"/>
                <w:spacing w:val="-4"/>
              </w:rPr>
              <w:lastRenderedPageBreak/>
              <w:t>o 6,8 %). V odvětví dopravy a skladování růst tržeb citelně zvolnil (na 1,4</w:t>
            </w:r>
            <w:r>
              <w:rPr>
                <w:color w:val="0D0D0D" w:themeColor="text1" w:themeTint="F2"/>
                <w:spacing w:val="-4"/>
              </w:rPr>
              <w:t> %</w:t>
            </w:r>
            <w:r w:rsidRPr="005B4D3B">
              <w:rPr>
                <w:color w:val="0D0D0D" w:themeColor="text1" w:themeTint="F2"/>
                <w:spacing w:val="-4"/>
              </w:rPr>
              <w:t>, v 1. loňském čtvrtletí 6,0</w:t>
            </w:r>
            <w:r>
              <w:rPr>
                <w:color w:val="0D0D0D" w:themeColor="text1" w:themeTint="F2"/>
                <w:spacing w:val="-4"/>
              </w:rPr>
              <w:t> %</w:t>
            </w:r>
            <w:r w:rsidRPr="005B4D3B">
              <w:rPr>
                <w:color w:val="0D0D0D" w:themeColor="text1" w:themeTint="F2"/>
                <w:spacing w:val="-4"/>
              </w:rPr>
              <w:t>), a to primárně vlivem skladování a vedlejší</w:t>
            </w:r>
            <w:r>
              <w:rPr>
                <w:color w:val="0D0D0D" w:themeColor="text1" w:themeTint="F2"/>
                <w:spacing w:val="-4"/>
              </w:rPr>
              <w:t>ch</w:t>
            </w:r>
            <w:r w:rsidRPr="005B4D3B">
              <w:rPr>
                <w:color w:val="0D0D0D" w:themeColor="text1" w:themeTint="F2"/>
                <w:spacing w:val="-4"/>
              </w:rPr>
              <w:t xml:space="preserve"> činnost</w:t>
            </w:r>
            <w:r>
              <w:rPr>
                <w:color w:val="0D0D0D" w:themeColor="text1" w:themeTint="F2"/>
                <w:spacing w:val="-4"/>
              </w:rPr>
              <w:t>í</w:t>
            </w:r>
            <w:r w:rsidRPr="005B4D3B">
              <w:rPr>
                <w:color w:val="0D0D0D" w:themeColor="text1" w:themeTint="F2"/>
                <w:spacing w:val="-4"/>
              </w:rPr>
              <w:t xml:space="preserve"> v dopravě (–1,9</w:t>
            </w:r>
            <w:r>
              <w:rPr>
                <w:color w:val="0D0D0D" w:themeColor="text1" w:themeTint="F2"/>
                <w:spacing w:val="-4"/>
              </w:rPr>
              <w:t> %</w:t>
            </w:r>
            <w:r w:rsidRPr="005B4D3B">
              <w:rPr>
                <w:color w:val="0D0D0D" w:themeColor="text1" w:themeTint="F2"/>
                <w:spacing w:val="-4"/>
              </w:rPr>
              <w:t>, resp. +8,6</w:t>
            </w:r>
            <w:r>
              <w:rPr>
                <w:color w:val="0D0D0D" w:themeColor="text1" w:themeTint="F2"/>
                <w:spacing w:val="-4"/>
              </w:rPr>
              <w:t> %</w:t>
            </w:r>
            <w:r w:rsidRPr="005B4D3B">
              <w:rPr>
                <w:color w:val="0D0D0D" w:themeColor="text1" w:themeTint="F2"/>
                <w:spacing w:val="-4"/>
              </w:rPr>
              <w:t>). Ve váhově dominantní pozemní dopravě souvisel růst tržeb (o 3,4</w:t>
            </w:r>
            <w:r>
              <w:rPr>
                <w:color w:val="0D0D0D" w:themeColor="text1" w:themeTint="F2"/>
                <w:spacing w:val="-4"/>
              </w:rPr>
              <w:t> </w:t>
            </w:r>
            <w:r w:rsidRPr="005B4D3B">
              <w:rPr>
                <w:color w:val="0D0D0D" w:themeColor="text1" w:themeTint="F2"/>
                <w:spacing w:val="-4"/>
              </w:rPr>
              <w:t>%) s rozvojem obchodu a vyšší mobilitou obyvatel podpořenou rekordní výší zaměstnanosti i</w:t>
            </w:r>
            <w:r w:rsidR="00CE3E48">
              <w:rPr>
                <w:color w:val="0D0D0D" w:themeColor="text1" w:themeTint="F2"/>
                <w:spacing w:val="-4"/>
              </w:rPr>
              <w:t> </w:t>
            </w:r>
            <w:r w:rsidRPr="005B4D3B">
              <w:rPr>
                <w:color w:val="0D0D0D" w:themeColor="text1" w:themeTint="F2"/>
                <w:spacing w:val="-4"/>
              </w:rPr>
              <w:t>rozšířením slev jízdného ve veřejné dopravě. Dařilo se letecké dopravě (+11,3</w:t>
            </w:r>
            <w:r>
              <w:rPr>
                <w:color w:val="0D0D0D" w:themeColor="text1" w:themeTint="F2"/>
                <w:spacing w:val="-4"/>
              </w:rPr>
              <w:t> %</w:t>
            </w:r>
            <w:r w:rsidRPr="005B4D3B">
              <w:rPr>
                <w:color w:val="0D0D0D" w:themeColor="text1" w:themeTint="F2"/>
                <w:spacing w:val="-4"/>
              </w:rPr>
              <w:t>) i tuzemským provozovatelům vodní dopravy (díky jejich aktivitám v zahraničí). V odvětví ubytování, stravování a pohostinství rostly tržby (o 2,4</w:t>
            </w:r>
            <w:r>
              <w:rPr>
                <w:color w:val="0D0D0D" w:themeColor="text1" w:themeTint="F2"/>
                <w:spacing w:val="-4"/>
              </w:rPr>
              <w:t> %</w:t>
            </w:r>
            <w:r w:rsidRPr="005B4D3B">
              <w:rPr>
                <w:color w:val="0D0D0D" w:themeColor="text1" w:themeTint="F2"/>
                <w:spacing w:val="-4"/>
              </w:rPr>
              <w:t>) podobně jako vloni mírnějším tempem. Z velké části se na tom podílelo zvolnění dynamiky příjezdového cestovního ruchu</w:t>
            </w:r>
            <w:r w:rsidRPr="005B4D3B">
              <w:rPr>
                <w:rStyle w:val="Znakapoznpodarou"/>
                <w:spacing w:val="-4"/>
              </w:rPr>
              <w:footnoteReference w:id="13"/>
            </w:r>
            <w:r>
              <w:rPr>
                <w:color w:val="0D0D0D" w:themeColor="text1" w:themeTint="F2"/>
                <w:spacing w:val="-4"/>
              </w:rPr>
              <w:t xml:space="preserve">. </w:t>
            </w:r>
            <w:r w:rsidRPr="005B4D3B">
              <w:rPr>
                <w:color w:val="0D0D0D" w:themeColor="text1" w:themeTint="F2"/>
                <w:spacing w:val="-4"/>
              </w:rPr>
              <w:t>Odvětví profesní, vědecké a technické činnosti, které bylo citelně poznamenáno dlouhodobou recesí, rostlo již třetím rokem v řadě (+2,6</w:t>
            </w:r>
            <w:r>
              <w:rPr>
                <w:color w:val="0D0D0D" w:themeColor="text1" w:themeTint="F2"/>
                <w:spacing w:val="-4"/>
              </w:rPr>
              <w:t> %</w:t>
            </w:r>
            <w:r w:rsidRPr="005B4D3B">
              <w:rPr>
                <w:color w:val="0D0D0D" w:themeColor="text1" w:themeTint="F2"/>
                <w:spacing w:val="-4"/>
              </w:rPr>
              <w:t>). Táhly ho hlavně architektonické a inženýrské činnost</w:t>
            </w:r>
            <w:r>
              <w:rPr>
                <w:color w:val="0D0D0D" w:themeColor="text1" w:themeTint="F2"/>
                <w:spacing w:val="-4"/>
              </w:rPr>
              <w:t>i</w:t>
            </w:r>
            <w:r w:rsidRPr="005B4D3B">
              <w:rPr>
                <w:color w:val="0D0D0D" w:themeColor="text1" w:themeTint="F2"/>
                <w:spacing w:val="-4"/>
              </w:rPr>
              <w:t xml:space="preserve"> (+3,2</w:t>
            </w:r>
            <w:r>
              <w:rPr>
                <w:color w:val="0D0D0D" w:themeColor="text1" w:themeTint="F2"/>
                <w:spacing w:val="-4"/>
              </w:rPr>
              <w:t> %</w:t>
            </w:r>
            <w:r w:rsidRPr="005B4D3B">
              <w:rPr>
                <w:color w:val="0D0D0D" w:themeColor="text1" w:themeTint="F2"/>
                <w:spacing w:val="-4"/>
              </w:rPr>
              <w:t xml:space="preserve">) profitující z rozvoje stavebnictví. Dařilo se i poradenství v oblasti řízení, účetnickým i auditorským činnostem, daňovému poradenství či průzkumu trhu a veřejného mínění. Zastavil se dlouhodobější pokles tržeb za reklamu. </w:t>
            </w:r>
            <w:r>
              <w:rPr>
                <w:color w:val="0D0D0D" w:themeColor="text1" w:themeTint="F2"/>
                <w:spacing w:val="-4"/>
              </w:rPr>
              <w:t>M</w:t>
            </w:r>
            <w:r w:rsidRPr="005B4D3B">
              <w:rPr>
                <w:color w:val="0D0D0D" w:themeColor="text1" w:themeTint="F2"/>
                <w:spacing w:val="-4"/>
              </w:rPr>
              <w:t>írný růst v odvětví administrativních a podpůrných činností (+0,8</w:t>
            </w:r>
            <w:r>
              <w:rPr>
                <w:color w:val="0D0D0D" w:themeColor="text1" w:themeTint="F2"/>
                <w:spacing w:val="-4"/>
              </w:rPr>
              <w:t> %</w:t>
            </w:r>
            <w:r w:rsidRPr="005B4D3B">
              <w:rPr>
                <w:color w:val="0D0D0D" w:themeColor="text1" w:themeTint="F2"/>
                <w:spacing w:val="-4"/>
              </w:rPr>
              <w:t>) byl výsledkem značně různorodého vývoje dílčích oborů. Pokračovala dlouhodobě silná poptávka v oblasti pronájmu (zejm</w:t>
            </w:r>
            <w:r>
              <w:rPr>
                <w:color w:val="0D0D0D" w:themeColor="text1" w:themeTint="F2"/>
                <w:spacing w:val="-4"/>
              </w:rPr>
              <w:t>éna</w:t>
            </w:r>
            <w:r w:rsidRPr="005B4D3B">
              <w:rPr>
                <w:color w:val="0D0D0D" w:themeColor="text1" w:themeTint="F2"/>
                <w:spacing w:val="-4"/>
              </w:rPr>
              <w:t xml:space="preserve"> dopravních prostředků, ale i strojů) a operativního leasingu a také u</w:t>
            </w:r>
            <w:r>
              <w:rPr>
                <w:color w:val="0D0D0D" w:themeColor="text1" w:themeTint="F2"/>
                <w:spacing w:val="-4"/>
              </w:rPr>
              <w:t> </w:t>
            </w:r>
            <w:r w:rsidRPr="005B4D3B">
              <w:rPr>
                <w:color w:val="0D0D0D" w:themeColor="text1" w:themeTint="F2"/>
                <w:spacing w:val="-4"/>
              </w:rPr>
              <w:t>administrativních a kancelářských činností. Naopak po dvou předešlých silných letech postihl hlubší pokles cestovní kanceláře (vč. jiných rezervačních a souvisejících činností</w:t>
            </w:r>
            <w:r>
              <w:rPr>
                <w:color w:val="0D0D0D" w:themeColor="text1" w:themeTint="F2"/>
                <w:spacing w:val="-4"/>
              </w:rPr>
              <w:t>)</w:t>
            </w:r>
            <w:r w:rsidRPr="005B4D3B">
              <w:rPr>
                <w:color w:val="0D0D0D" w:themeColor="text1" w:themeTint="F2"/>
                <w:spacing w:val="-4"/>
              </w:rPr>
              <w:t>. Nejslabší meziroční výsledek (</w:t>
            </w:r>
            <w:r>
              <w:rPr>
                <w:color w:val="0D0D0D" w:themeColor="text1" w:themeTint="F2"/>
                <w:spacing w:val="-4"/>
              </w:rPr>
              <w:t>–</w:t>
            </w:r>
            <w:r w:rsidRPr="005B4D3B">
              <w:rPr>
                <w:color w:val="0D0D0D" w:themeColor="text1" w:themeTint="F2"/>
                <w:spacing w:val="-4"/>
              </w:rPr>
              <w:t>3,3</w:t>
            </w:r>
            <w:r>
              <w:rPr>
                <w:color w:val="0D0D0D" w:themeColor="text1" w:themeTint="F2"/>
                <w:spacing w:val="-4"/>
              </w:rPr>
              <w:t> %</w:t>
            </w:r>
            <w:r w:rsidRPr="005B4D3B">
              <w:rPr>
                <w:color w:val="0D0D0D" w:themeColor="text1" w:themeTint="F2"/>
                <w:spacing w:val="-4"/>
              </w:rPr>
              <w:t>) od konce roku 2009</w:t>
            </w:r>
            <w:r>
              <w:rPr>
                <w:color w:val="0D0D0D" w:themeColor="text1" w:themeTint="F2"/>
                <w:spacing w:val="-4"/>
              </w:rPr>
              <w:t xml:space="preserve"> si</w:t>
            </w:r>
            <w:r w:rsidRPr="005B4D3B">
              <w:rPr>
                <w:color w:val="0D0D0D" w:themeColor="text1" w:themeTint="F2"/>
                <w:spacing w:val="-4"/>
              </w:rPr>
              <w:t xml:space="preserve"> připsaly pracovní agentury, což souviselo i s citelným zvolněním průmyslu (vč. nejistých výhledů v oblasti rozvoje agenturní zaměstnanosti). Mělký pokles tržeb byl patrný i v bezpečnostních a pátracích činnostech. Ten byl v tomto odvětví doprovázen i redukcí zaměstnanosti.</w:t>
            </w:r>
          </w:p>
        </w:tc>
      </w:tr>
      <w:tr w:rsidR="00D215B0" w:rsidRPr="005B4D3B" w14:paraId="0B8EAD15" w14:textId="77777777" w:rsidTr="0052200D">
        <w:trPr>
          <w:trHeight w:val="145"/>
        </w:trPr>
        <w:tc>
          <w:tcPr>
            <w:tcW w:w="1764" w:type="dxa"/>
            <w:shd w:val="clear" w:color="auto" w:fill="auto"/>
            <w:tcMar>
              <w:left w:w="0" w:type="dxa"/>
            </w:tcMar>
          </w:tcPr>
          <w:p w14:paraId="20F2DEE6" w14:textId="77777777" w:rsidR="00D215B0" w:rsidRDefault="00D215B0" w:rsidP="00D215B0">
            <w:pPr>
              <w:pStyle w:val="Marginlie"/>
            </w:pPr>
            <w:r>
              <w:lastRenderedPageBreak/>
              <w:t>Růst maloobchodních tržeb nezpomaloval. Spotřebitelé ale výrazně pozitivní saldo důvěry na počátku roku mírně korigovali.</w:t>
            </w:r>
          </w:p>
          <w:p w14:paraId="205DEBB5" w14:textId="77777777" w:rsidR="00D215B0" w:rsidRDefault="00D215B0" w:rsidP="00D215B0">
            <w:pPr>
              <w:pStyle w:val="Marginlie"/>
            </w:pPr>
          </w:p>
          <w:p w14:paraId="4E28438A" w14:textId="77777777" w:rsidR="00D215B0" w:rsidRDefault="00D215B0" w:rsidP="00D215B0">
            <w:pPr>
              <w:pStyle w:val="Marginlie"/>
            </w:pPr>
          </w:p>
          <w:p w14:paraId="79B3D53A" w14:textId="77777777" w:rsidR="00D215B0" w:rsidRDefault="00D215B0" w:rsidP="00D215B0">
            <w:pPr>
              <w:pStyle w:val="Marginlie"/>
            </w:pPr>
          </w:p>
          <w:p w14:paraId="030818F2" w14:textId="77777777" w:rsidR="00D215B0" w:rsidRDefault="00D215B0" w:rsidP="00D215B0">
            <w:pPr>
              <w:pStyle w:val="Marginlie"/>
            </w:pPr>
          </w:p>
          <w:p w14:paraId="68B1AD97" w14:textId="77777777" w:rsidR="00D215B0" w:rsidRDefault="00D215B0" w:rsidP="00D215B0">
            <w:pPr>
              <w:pStyle w:val="Marginlie"/>
            </w:pPr>
          </w:p>
          <w:p w14:paraId="035D641C" w14:textId="77777777" w:rsidR="00D215B0" w:rsidRDefault="00D215B0" w:rsidP="00D215B0">
            <w:pPr>
              <w:pStyle w:val="Marginlie"/>
            </w:pPr>
          </w:p>
          <w:p w14:paraId="30D64005" w14:textId="11687FC0" w:rsidR="00D215B0" w:rsidRDefault="00D215B0" w:rsidP="00D215B0">
            <w:pPr>
              <w:pStyle w:val="Marginlie"/>
            </w:pPr>
            <w:r>
              <w:t>Slabší tempo růstu tržeb prodejců potravin šlo zčásti na vrub posunutých nákupů souvisejících s Velikonocemi.</w:t>
            </w:r>
          </w:p>
        </w:tc>
        <w:tc>
          <w:tcPr>
            <w:tcW w:w="175" w:type="dxa"/>
            <w:shd w:val="clear" w:color="auto" w:fill="auto"/>
            <w:tcMar>
              <w:left w:w="0" w:type="dxa"/>
            </w:tcMar>
          </w:tcPr>
          <w:p w14:paraId="2662BBFC" w14:textId="77777777" w:rsidR="00D215B0" w:rsidRDefault="00D215B0" w:rsidP="00D215B0">
            <w:pPr>
              <w:pStyle w:val="Textpoznpodarou"/>
              <w:jc w:val="both"/>
              <w:rPr>
                <w:spacing w:val="-4"/>
              </w:rPr>
            </w:pPr>
          </w:p>
        </w:tc>
        <w:tc>
          <w:tcPr>
            <w:tcW w:w="7700" w:type="dxa"/>
            <w:shd w:val="clear" w:color="auto" w:fill="auto"/>
            <w:tcMar>
              <w:left w:w="0" w:type="dxa"/>
            </w:tcMar>
          </w:tcPr>
          <w:p w14:paraId="34D286EB" w14:textId="0B9F9791" w:rsidR="00D215B0" w:rsidRPr="005B4D3B" w:rsidRDefault="00D215B0" w:rsidP="0052200D">
            <w:pPr>
              <w:spacing w:after="180"/>
              <w:rPr>
                <w:rFonts w:cs="Arial"/>
                <w:spacing w:val="-4"/>
                <w:szCs w:val="20"/>
              </w:rPr>
            </w:pPr>
            <w:r w:rsidRPr="005B4D3B">
              <w:rPr>
                <w:rFonts w:cs="Arial"/>
                <w:spacing w:val="-4"/>
                <w:szCs w:val="20"/>
              </w:rPr>
              <w:t>Vysoký reálný růst průměrných mezd i důchodů ve spojení s pozitivním saldem spotřebitelské důvěry se v 1. čtvrtletí otiskl 5,6% meziročním růstem maloobchodních tržeb</w:t>
            </w:r>
            <w:r w:rsidRPr="005B4D3B">
              <w:rPr>
                <w:rStyle w:val="Znakapoznpodarou"/>
                <w:spacing w:val="-4"/>
              </w:rPr>
              <w:footnoteReference w:id="14"/>
            </w:r>
            <w:r w:rsidRPr="005B4D3B">
              <w:rPr>
                <w:rFonts w:cs="Arial"/>
                <w:spacing w:val="-4"/>
                <w:szCs w:val="20"/>
              </w:rPr>
              <w:t>. Tržby udržely svižné tempo i navzdory vysoké srovnávací základně</w:t>
            </w:r>
            <w:r w:rsidRPr="005B4D3B">
              <w:rPr>
                <w:rStyle w:val="Znakapoznpodarou"/>
                <w:spacing w:val="-4"/>
              </w:rPr>
              <w:footnoteReference w:id="15"/>
            </w:r>
            <w:r w:rsidRPr="005B4D3B">
              <w:rPr>
                <w:rFonts w:cs="Arial"/>
                <w:spacing w:val="-4"/>
                <w:szCs w:val="20"/>
              </w:rPr>
              <w:t>. Nezanedbatelný růst byl letos patrný i ve srovnání s posledním čtvrtletím 2018 (o 2,0 </w:t>
            </w:r>
            <w:r>
              <w:rPr>
                <w:rFonts w:cs="Arial"/>
                <w:spacing w:val="-4"/>
                <w:szCs w:val="20"/>
              </w:rPr>
              <w:t>%), a</w:t>
            </w:r>
            <w:r w:rsidRPr="005B4D3B">
              <w:rPr>
                <w:rFonts w:cs="Arial"/>
                <w:spacing w:val="-4"/>
                <w:szCs w:val="20"/>
              </w:rPr>
              <w:t> to navzdory mírné korekci loňských výrazně optimistických očekávání spotřebitelů</w:t>
            </w:r>
            <w:r w:rsidRPr="005B4D3B">
              <w:rPr>
                <w:color w:val="0D0D0D" w:themeColor="text1" w:themeTint="F2"/>
                <w:spacing w:val="-4"/>
                <w:vertAlign w:val="superscript"/>
              </w:rPr>
              <w:footnoteReference w:id="16"/>
            </w:r>
            <w:r w:rsidRPr="005B4D3B">
              <w:rPr>
                <w:rFonts w:cs="Arial"/>
                <w:spacing w:val="-4"/>
                <w:szCs w:val="20"/>
              </w:rPr>
              <w:t>. K posílení maloobchodních tržeb tradičně přispěl nejvíce prodej nepotravinářského zboží, jenž své vysoké loňské tempo ještě mírně navýšil (+9,2</w:t>
            </w:r>
            <w:r>
              <w:rPr>
                <w:rFonts w:cs="Arial"/>
                <w:spacing w:val="-4"/>
                <w:szCs w:val="20"/>
              </w:rPr>
              <w:t> %</w:t>
            </w:r>
            <w:r w:rsidRPr="005B4D3B">
              <w:rPr>
                <w:rFonts w:cs="Arial"/>
                <w:spacing w:val="-4"/>
                <w:szCs w:val="20"/>
              </w:rPr>
              <w:t>). Zde se dařilo všem hlavní</w:t>
            </w:r>
            <w:r>
              <w:rPr>
                <w:rFonts w:cs="Arial"/>
                <w:spacing w:val="-4"/>
                <w:szCs w:val="20"/>
              </w:rPr>
              <w:t>m</w:t>
            </w:r>
            <w:r w:rsidRPr="005B4D3B">
              <w:rPr>
                <w:rFonts w:cs="Arial"/>
                <w:spacing w:val="-4"/>
                <w:szCs w:val="20"/>
              </w:rPr>
              <w:t xml:space="preserve"> druhům specializovaných prodejen. </w:t>
            </w:r>
            <w:r w:rsidRPr="005B4D3B">
              <w:rPr>
                <w:color w:val="0D0D0D" w:themeColor="text1" w:themeTint="F2"/>
                <w:spacing w:val="-4"/>
              </w:rPr>
              <w:t>To platilo hlavně o prodeji výrobků pro kulturu a</w:t>
            </w:r>
            <w:r w:rsidRPr="005B4D3B">
              <w:rPr>
                <w:rFonts w:cs="Arial"/>
                <w:spacing w:val="-4"/>
                <w:szCs w:val="20"/>
              </w:rPr>
              <w:t> </w:t>
            </w:r>
            <w:r w:rsidRPr="005B4D3B">
              <w:rPr>
                <w:color w:val="0D0D0D" w:themeColor="text1" w:themeTint="F2"/>
                <w:spacing w:val="-4"/>
              </w:rPr>
              <w:t>rekreaci (+18,6</w:t>
            </w:r>
            <w:r>
              <w:rPr>
                <w:color w:val="0D0D0D" w:themeColor="text1" w:themeTint="F2"/>
                <w:spacing w:val="-4"/>
              </w:rPr>
              <w:t> %</w:t>
            </w:r>
            <w:r w:rsidRPr="005B4D3B">
              <w:rPr>
                <w:color w:val="0D0D0D" w:themeColor="text1" w:themeTint="F2"/>
                <w:spacing w:val="-4"/>
              </w:rPr>
              <w:t>) i díky vysoké poptávce po sportovním vybavení.</w:t>
            </w:r>
            <w:r w:rsidRPr="005B4D3B">
              <w:rPr>
                <w:rFonts w:cs="Arial"/>
                <w:spacing w:val="-4"/>
                <w:szCs w:val="20"/>
              </w:rPr>
              <w:t xml:space="preserve"> V dlouhodobě dynamickém segmentu </w:t>
            </w:r>
            <w:r w:rsidRPr="005B4D3B">
              <w:rPr>
                <w:color w:val="0D0D0D" w:themeColor="text1" w:themeTint="F2"/>
                <w:spacing w:val="-4"/>
              </w:rPr>
              <w:t>počítačového a komunikačního zařízení růst zvolnil, i tak se zde tržby v rámci 1.</w:t>
            </w:r>
            <w:r>
              <w:rPr>
                <w:color w:val="0D0D0D" w:themeColor="text1" w:themeTint="F2"/>
                <w:spacing w:val="-4"/>
              </w:rPr>
              <w:t> </w:t>
            </w:r>
            <w:r w:rsidRPr="005B4D3B">
              <w:rPr>
                <w:color w:val="0D0D0D" w:themeColor="text1" w:themeTint="F2"/>
                <w:spacing w:val="-4"/>
              </w:rPr>
              <w:t xml:space="preserve">čtvrtletí navyšovaly dvouciferným tempem již </w:t>
            </w:r>
            <w:r>
              <w:rPr>
                <w:color w:val="0D0D0D" w:themeColor="text1" w:themeTint="F2"/>
                <w:spacing w:val="-4"/>
              </w:rPr>
              <w:t>druhým</w:t>
            </w:r>
            <w:r w:rsidRPr="005B4D3B">
              <w:rPr>
                <w:color w:val="0D0D0D" w:themeColor="text1" w:themeTint="F2"/>
                <w:spacing w:val="-4"/>
              </w:rPr>
              <w:t xml:space="preserve"> rokem v řadě. Na počátku jarní sezóny se dobře vedlo i prodeji oděvů, obuvi a koženého zboží (+12,0</w:t>
            </w:r>
            <w:r>
              <w:rPr>
                <w:color w:val="0D0D0D" w:themeColor="text1" w:themeTint="F2"/>
                <w:spacing w:val="-4"/>
              </w:rPr>
              <w:t> %</w:t>
            </w:r>
            <w:r w:rsidRPr="005B4D3B">
              <w:rPr>
                <w:color w:val="0D0D0D" w:themeColor="text1" w:themeTint="F2"/>
                <w:spacing w:val="-4"/>
              </w:rPr>
              <w:t xml:space="preserve">), zčásti i vlivem výprodejů. </w:t>
            </w:r>
            <w:r>
              <w:rPr>
                <w:color w:val="0D0D0D" w:themeColor="text1" w:themeTint="F2"/>
                <w:spacing w:val="-4"/>
              </w:rPr>
              <w:t>S</w:t>
            </w:r>
            <w:r w:rsidRPr="005B4D3B">
              <w:rPr>
                <w:color w:val="0D0D0D" w:themeColor="text1" w:themeTint="F2"/>
                <w:spacing w:val="-4"/>
              </w:rPr>
              <w:t>kromné tempo růstu prodejů za potraviny (o 1,7</w:t>
            </w:r>
            <w:r>
              <w:rPr>
                <w:color w:val="0D0D0D" w:themeColor="text1" w:themeTint="F2"/>
                <w:spacing w:val="-4"/>
              </w:rPr>
              <w:t> %</w:t>
            </w:r>
            <w:r w:rsidRPr="005B4D3B">
              <w:rPr>
                <w:color w:val="0D0D0D" w:themeColor="text1" w:themeTint="F2"/>
                <w:spacing w:val="-4"/>
              </w:rPr>
              <w:t>) byl</w:t>
            </w:r>
            <w:r>
              <w:rPr>
                <w:color w:val="0D0D0D" w:themeColor="text1" w:themeTint="F2"/>
                <w:spacing w:val="-4"/>
              </w:rPr>
              <w:t>o</w:t>
            </w:r>
            <w:r w:rsidRPr="005B4D3B">
              <w:rPr>
                <w:color w:val="0D0D0D" w:themeColor="text1" w:themeTint="F2"/>
                <w:spacing w:val="-4"/>
              </w:rPr>
              <w:t xml:space="preserve"> zčásti ovlivněn</w:t>
            </w:r>
            <w:r>
              <w:rPr>
                <w:color w:val="0D0D0D" w:themeColor="text1" w:themeTint="F2"/>
                <w:spacing w:val="-4"/>
              </w:rPr>
              <w:t xml:space="preserve">o </w:t>
            </w:r>
            <w:r w:rsidRPr="005B4D3B">
              <w:rPr>
                <w:color w:val="0D0D0D" w:themeColor="text1" w:themeTint="F2"/>
                <w:spacing w:val="-4"/>
              </w:rPr>
              <w:t xml:space="preserve">posunutím „velikonočních nákupů“ až do dubna (loni se realizovaly zejména </w:t>
            </w:r>
            <w:r>
              <w:rPr>
                <w:color w:val="0D0D0D" w:themeColor="text1" w:themeTint="F2"/>
                <w:spacing w:val="-4"/>
              </w:rPr>
              <w:t>v </w:t>
            </w:r>
            <w:r w:rsidRPr="005B4D3B">
              <w:rPr>
                <w:color w:val="0D0D0D" w:themeColor="text1" w:themeTint="F2"/>
                <w:spacing w:val="-4"/>
              </w:rPr>
              <w:t>březnu). Prodej pohonných hmot vzrostl o 4,8</w:t>
            </w:r>
            <w:r>
              <w:rPr>
                <w:color w:val="0D0D0D" w:themeColor="text1" w:themeTint="F2"/>
                <w:spacing w:val="-4"/>
              </w:rPr>
              <w:t> %</w:t>
            </w:r>
            <w:r w:rsidRPr="005B4D3B">
              <w:rPr>
                <w:color w:val="0D0D0D" w:themeColor="text1" w:themeTint="F2"/>
                <w:spacing w:val="-4"/>
              </w:rPr>
              <w:t>, podobným tempem jako na počátku loňského roku. Již pátým čtvrtletím v řadě pokračoval pokles tržeb za obchod, opravy a údržbu motorových vozidel, který se ale v mezičtvrtlet</w:t>
            </w:r>
            <w:r>
              <w:rPr>
                <w:color w:val="0D0D0D" w:themeColor="text1" w:themeTint="F2"/>
                <w:spacing w:val="-4"/>
              </w:rPr>
              <w:t>n</w:t>
            </w:r>
            <w:r w:rsidRPr="005B4D3B">
              <w:rPr>
                <w:color w:val="0D0D0D" w:themeColor="text1" w:themeTint="F2"/>
                <w:spacing w:val="-4"/>
              </w:rPr>
              <w:t>ím vyjádření již zastavil (+2,0</w:t>
            </w:r>
            <w:r>
              <w:rPr>
                <w:color w:val="0D0D0D" w:themeColor="text1" w:themeTint="F2"/>
                <w:spacing w:val="-4"/>
              </w:rPr>
              <w:t> %</w:t>
            </w:r>
            <w:r w:rsidRPr="005B4D3B">
              <w:rPr>
                <w:color w:val="0D0D0D" w:themeColor="text1" w:themeTint="F2"/>
                <w:spacing w:val="-4"/>
              </w:rPr>
              <w:t>)</w:t>
            </w:r>
            <w:r>
              <w:rPr>
                <w:color w:val="0D0D0D" w:themeColor="text1" w:themeTint="F2"/>
                <w:spacing w:val="-4"/>
              </w:rPr>
              <w:t>.</w:t>
            </w:r>
          </w:p>
        </w:tc>
      </w:tr>
      <w:tr w:rsidR="00D215B0" w:rsidRPr="005B4D3B" w14:paraId="4C846C5B" w14:textId="77777777" w:rsidTr="000A3D9E">
        <w:trPr>
          <w:trHeight w:val="145"/>
        </w:trPr>
        <w:tc>
          <w:tcPr>
            <w:tcW w:w="1764" w:type="dxa"/>
            <w:shd w:val="clear" w:color="auto" w:fill="auto"/>
            <w:tcMar>
              <w:left w:w="0" w:type="dxa"/>
            </w:tcMar>
          </w:tcPr>
          <w:p w14:paraId="7B92AB95" w14:textId="77777777" w:rsidR="00D215B0" w:rsidRDefault="00D215B0" w:rsidP="00D215B0">
            <w:pPr>
              <w:pStyle w:val="Marginlie"/>
            </w:pPr>
            <w:r>
              <w:t xml:space="preserve">Růst maloobchodních tržeb v Česku patřil v EU k nejvyšším, zejména díky nepotravinářskému zboží. </w:t>
            </w:r>
          </w:p>
        </w:tc>
        <w:tc>
          <w:tcPr>
            <w:tcW w:w="175" w:type="dxa"/>
            <w:shd w:val="clear" w:color="auto" w:fill="auto"/>
            <w:tcMar>
              <w:left w:w="0" w:type="dxa"/>
            </w:tcMar>
          </w:tcPr>
          <w:p w14:paraId="44CD72BB" w14:textId="77777777" w:rsidR="00D215B0" w:rsidRDefault="00D215B0" w:rsidP="00D215B0">
            <w:pPr>
              <w:pStyle w:val="Textpoznpodarou"/>
              <w:jc w:val="both"/>
              <w:rPr>
                <w:spacing w:val="-4"/>
              </w:rPr>
            </w:pPr>
          </w:p>
        </w:tc>
        <w:tc>
          <w:tcPr>
            <w:tcW w:w="7700" w:type="dxa"/>
            <w:shd w:val="clear" w:color="auto" w:fill="auto"/>
            <w:tcMar>
              <w:left w:w="0" w:type="dxa"/>
            </w:tcMar>
          </w:tcPr>
          <w:p w14:paraId="18B756AA" w14:textId="2DFA8996" w:rsidR="00D215B0" w:rsidRPr="005B4D3B" w:rsidRDefault="00D215B0" w:rsidP="00D215B0">
            <w:pPr>
              <w:spacing w:after="0"/>
              <w:rPr>
                <w:rFonts w:cs="Arial"/>
                <w:spacing w:val="-4"/>
                <w:szCs w:val="20"/>
              </w:rPr>
            </w:pPr>
            <w:r w:rsidRPr="005B4D3B">
              <w:rPr>
                <w:rFonts w:cs="Arial"/>
                <w:spacing w:val="-4"/>
                <w:szCs w:val="20"/>
              </w:rPr>
              <w:t>Růst maloobchodních tržeb v ČR byl v 1. čtvrtletí mezi státy EU sedmý nejvyšší a</w:t>
            </w:r>
            <w:r w:rsidRPr="005B4D3B">
              <w:rPr>
                <w:color w:val="0D0D0D" w:themeColor="text1" w:themeTint="F2"/>
                <w:spacing w:val="-4"/>
              </w:rPr>
              <w:t> o</w:t>
            </w:r>
            <w:r w:rsidRPr="005B4D3B">
              <w:rPr>
                <w:rFonts w:cs="Arial"/>
                <w:spacing w:val="-4"/>
                <w:szCs w:val="20"/>
              </w:rPr>
              <w:t>proti celé Unii (2,9</w:t>
            </w:r>
            <w:r>
              <w:rPr>
                <w:rFonts w:cs="Arial"/>
                <w:spacing w:val="-4"/>
                <w:szCs w:val="20"/>
              </w:rPr>
              <w:t> %</w:t>
            </w:r>
            <w:r w:rsidRPr="005B4D3B">
              <w:rPr>
                <w:rFonts w:cs="Arial"/>
                <w:spacing w:val="-4"/>
                <w:szCs w:val="20"/>
              </w:rPr>
              <w:t>) dosahoval skoro dvojnásobného tempa. Stejně jako v předešlých letech si nejvyšší dynamiku připisovaly konvergující ekonomiky střední a východní Evropy. Svižněji než v ČR rostl v rámci středoevropského regionu maloobchod jen v Maďarsku (+6,6</w:t>
            </w:r>
            <w:r>
              <w:rPr>
                <w:rFonts w:cs="Arial"/>
                <w:spacing w:val="-4"/>
                <w:szCs w:val="20"/>
              </w:rPr>
              <w:t> %</w:t>
            </w:r>
            <w:r w:rsidRPr="005B4D3B">
              <w:rPr>
                <w:rFonts w:cs="Arial"/>
                <w:spacing w:val="-4"/>
                <w:szCs w:val="20"/>
              </w:rPr>
              <w:t>). Naopak nejméně se mu dařilo v Belgii (</w:t>
            </w:r>
            <w:r>
              <w:rPr>
                <w:rFonts w:cs="Arial"/>
                <w:spacing w:val="-4"/>
                <w:szCs w:val="20"/>
              </w:rPr>
              <w:t>–</w:t>
            </w:r>
            <w:r w:rsidRPr="005B4D3B">
              <w:rPr>
                <w:rFonts w:cs="Arial"/>
                <w:spacing w:val="-4"/>
                <w:szCs w:val="20"/>
              </w:rPr>
              <w:t>0,2</w:t>
            </w:r>
            <w:r>
              <w:rPr>
                <w:rFonts w:cs="Arial"/>
                <w:spacing w:val="-4"/>
                <w:szCs w:val="20"/>
              </w:rPr>
              <w:t> %</w:t>
            </w:r>
            <w:r w:rsidRPr="005B4D3B">
              <w:rPr>
                <w:rFonts w:cs="Arial"/>
                <w:spacing w:val="-4"/>
                <w:szCs w:val="20"/>
              </w:rPr>
              <w:t>) a Řecku (</w:t>
            </w:r>
            <w:r>
              <w:rPr>
                <w:rFonts w:cs="Arial"/>
                <w:spacing w:val="-4"/>
                <w:szCs w:val="20"/>
              </w:rPr>
              <w:t>–</w:t>
            </w:r>
            <w:r w:rsidRPr="005B4D3B">
              <w:rPr>
                <w:rFonts w:cs="Arial"/>
                <w:spacing w:val="-4"/>
                <w:szCs w:val="20"/>
              </w:rPr>
              <w:t>0,6</w:t>
            </w:r>
            <w:r>
              <w:rPr>
                <w:rFonts w:cs="Arial"/>
                <w:spacing w:val="-4"/>
                <w:szCs w:val="20"/>
              </w:rPr>
              <w:t> %</w:t>
            </w:r>
            <w:r w:rsidRPr="005B4D3B">
              <w:rPr>
                <w:rFonts w:cs="Arial"/>
                <w:spacing w:val="-4"/>
                <w:szCs w:val="20"/>
              </w:rPr>
              <w:t>).</w:t>
            </w:r>
          </w:p>
        </w:tc>
      </w:tr>
    </w:tbl>
    <w:p w14:paraId="0F3DCC88" w14:textId="77777777" w:rsidR="00BF4329" w:rsidRPr="00C35A2A" w:rsidRDefault="00BF4329" w:rsidP="001554C2">
      <w:pPr>
        <w:pStyle w:val="Nadpis11"/>
        <w:rPr>
          <w:sz w:val="2"/>
          <w:szCs w:val="2"/>
        </w:rPr>
      </w:pPr>
    </w:p>
    <w:p w14:paraId="63ECF9C9" w14:textId="4A98C3A6" w:rsidR="00A50D73" w:rsidRPr="009110F7" w:rsidRDefault="00A50D73" w:rsidP="002872B8">
      <w:pPr>
        <w:pStyle w:val="Nadpis11"/>
        <w:rPr>
          <w:sz w:val="2"/>
          <w:szCs w:val="2"/>
        </w:rPr>
      </w:pPr>
      <w:bookmarkStart w:id="3" w:name="_GoBack"/>
      <w:bookmarkEnd w:id="3"/>
    </w:p>
    <w:sectPr w:rsidR="00A50D73" w:rsidRPr="009110F7" w:rsidSect="002872B8">
      <w:headerReference w:type="even" r:id="rId13"/>
      <w:headerReference w:type="default" r:id="rId14"/>
      <w:footerReference w:type="even" r:id="rId15"/>
      <w:footerReference w:type="default" r:id="rId16"/>
      <w:pgSz w:w="11906" w:h="16838" w:code="9"/>
      <w:pgMar w:top="1134" w:right="1134" w:bottom="1418" w:left="1134" w:header="680" w:footer="737" w:gutter="0"/>
      <w:pgNumType w:start="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BDC4D" w16cid:durableId="20AA22BF"/>
  <w16cid:commentId w16cid:paraId="1D79D092" w16cid:durableId="20AA7522"/>
  <w16cid:commentId w16cid:paraId="35C66900" w16cid:durableId="20AA841D"/>
  <w16cid:commentId w16cid:paraId="39CFBFF6" w16cid:durableId="20AA9586"/>
  <w16cid:commentId w16cid:paraId="385B1D8E" w16cid:durableId="20AB3CC7"/>
  <w16cid:commentId w16cid:paraId="1DCDDDF9" w16cid:durableId="20AB3E90"/>
  <w16cid:commentId w16cid:paraId="33D3157C" w16cid:durableId="20AB41FD"/>
  <w16cid:commentId w16cid:paraId="2F2C6295" w16cid:durableId="20AB535B"/>
  <w16cid:commentId w16cid:paraId="50067FCC" w16cid:durableId="20AB53EB"/>
  <w16cid:commentId w16cid:paraId="3FC61740" w16cid:durableId="20AB6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E773" w14:textId="77777777" w:rsidR="00F7170B" w:rsidRDefault="00F7170B" w:rsidP="00E71A58">
      <w:r>
        <w:separator/>
      </w:r>
    </w:p>
  </w:endnote>
  <w:endnote w:type="continuationSeparator" w:id="0">
    <w:p w14:paraId="451ED72E" w14:textId="77777777" w:rsidR="00F7170B" w:rsidRDefault="00F717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6AB9947B" w:rsidR="0052200D" w:rsidRPr="00932443" w:rsidRDefault="0052200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9"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2872B8">
      <w:rPr>
        <w:szCs w:val="16"/>
      </w:rPr>
      <w:t>14</w:t>
    </w:r>
    <w:r w:rsidRPr="00932443">
      <w:rPr>
        <w:szCs w:val="16"/>
      </w:rPr>
      <w:fldChar w:fldCharType="end"/>
    </w:r>
    <w:r w:rsidRPr="00932443">
      <w:rPr>
        <w:szCs w:val="16"/>
      </w:rPr>
      <w:tab/>
    </w:r>
    <w:r>
      <w:rPr>
        <w:szCs w:val="16"/>
      </w:rPr>
      <w:t>1.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1863DC9F" w:rsidR="0052200D" w:rsidRPr="00932443" w:rsidRDefault="0052200D" w:rsidP="00FA6CB6">
    <w:pPr>
      <w:pStyle w:val="Zpat"/>
      <w:rPr>
        <w:szCs w:val="16"/>
      </w:rPr>
    </w:pPr>
    <w:r w:rsidRPr="00FA6CB6">
      <w:rPr>
        <w:szCs w:val="16"/>
      </w:rPr>
      <w:tab/>
      <w:t>1</w:t>
    </w:r>
    <w:r>
      <w:t xml:space="preserve">.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10"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2872B8">
      <w:rPr>
        <w:rStyle w:val="ZpatChar"/>
        <w:szCs w:val="16"/>
      </w:rPr>
      <w:t>13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6C58" w14:textId="77777777" w:rsidR="00F7170B" w:rsidRDefault="00F7170B" w:rsidP="00E71A58">
      <w:r>
        <w:separator/>
      </w:r>
    </w:p>
  </w:footnote>
  <w:footnote w:type="continuationSeparator" w:id="0">
    <w:p w14:paraId="7E08BE4E" w14:textId="77777777" w:rsidR="00F7170B" w:rsidRDefault="00F7170B" w:rsidP="00E71A58">
      <w:r>
        <w:continuationSeparator/>
      </w:r>
    </w:p>
  </w:footnote>
  <w:footnote w:id="1">
    <w:p w14:paraId="36F573CD" w14:textId="77777777" w:rsidR="0052200D" w:rsidRPr="00FB58F4" w:rsidRDefault="0052200D" w:rsidP="00C35A2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 HPH jsou vyjádřeny ve stálých cenách a v očištění o sezónní a kalendářní vlivy.</w:t>
      </w:r>
    </w:p>
  </w:footnote>
  <w:footnote w:id="2">
    <w:p w14:paraId="01685618" w14:textId="77777777" w:rsidR="0052200D" w:rsidRPr="00FB58F4" w:rsidRDefault="0052200D" w:rsidP="00C35A2A">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Zahrnutá odvětví: </w:t>
      </w:r>
      <w:r>
        <w:rPr>
          <w:rFonts w:cs="Arial"/>
          <w:color w:val="0D0D0D" w:themeColor="text1" w:themeTint="F2"/>
          <w:spacing w:val="-2"/>
          <w:sz w:val="16"/>
          <w:szCs w:val="16"/>
        </w:rPr>
        <w:t>t</w:t>
      </w:r>
      <w:r w:rsidRPr="00FB58F4">
        <w:rPr>
          <w:rFonts w:cs="Arial"/>
          <w:color w:val="0D0D0D" w:themeColor="text1" w:themeTint="F2"/>
          <w:spacing w:val="-2"/>
          <w:sz w:val="16"/>
          <w:szCs w:val="16"/>
        </w:rPr>
        <w:t xml:space="preserve">ěžba a dobývání, </w:t>
      </w:r>
      <w:r>
        <w:rPr>
          <w:rFonts w:cs="Arial"/>
          <w:color w:val="0D0D0D" w:themeColor="text1" w:themeTint="F2"/>
          <w:spacing w:val="-2"/>
          <w:sz w:val="16"/>
          <w:szCs w:val="16"/>
        </w:rPr>
        <w:t>z</w:t>
      </w:r>
      <w:r w:rsidRPr="00FB58F4">
        <w:rPr>
          <w:rFonts w:cs="Arial"/>
          <w:color w:val="0D0D0D" w:themeColor="text1" w:themeTint="F2"/>
          <w:spacing w:val="-2"/>
          <w:sz w:val="16"/>
          <w:szCs w:val="16"/>
        </w:rPr>
        <w:t xml:space="preserve">pracovatelský průmysl, </w:t>
      </w:r>
      <w:r>
        <w:rPr>
          <w:rFonts w:cs="Arial"/>
          <w:color w:val="0D0D0D" w:themeColor="text1" w:themeTint="F2"/>
          <w:spacing w:val="-2"/>
          <w:sz w:val="16"/>
          <w:szCs w:val="16"/>
        </w:rPr>
        <w:t>e</w:t>
      </w:r>
      <w:r w:rsidRPr="00FB58F4">
        <w:rPr>
          <w:rFonts w:cs="Arial"/>
          <w:color w:val="0D0D0D" w:themeColor="text1" w:themeTint="F2"/>
          <w:spacing w:val="-2"/>
          <w:sz w:val="16"/>
          <w:szCs w:val="16"/>
        </w:rPr>
        <w:t>nergetika. Všechna meziroční tempa produkce (na úrovni odvětvových sekcí i 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ezičtvrtletní tempa pak kromě toho také o vliv sezónnosti.</w:t>
      </w:r>
    </w:p>
  </w:footnote>
  <w:footnote w:id="3">
    <w:p w14:paraId="1ABB894C" w14:textId="59D5FB96" w:rsidR="0052200D" w:rsidRPr="00164B53" w:rsidRDefault="0052200D" w:rsidP="00C35A2A">
      <w:pPr>
        <w:spacing w:after="0" w:line="240" w:lineRule="auto"/>
        <w:rPr>
          <w:spacing w:val="-4"/>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164B53">
        <w:rPr>
          <w:rFonts w:eastAsia="Calibri" w:cs="Arial"/>
          <w:color w:val="0D0D0D" w:themeColor="text1" w:themeTint="F2"/>
          <w:spacing w:val="-2"/>
          <w:sz w:val="16"/>
          <w:szCs w:val="16"/>
        </w:rPr>
        <w:t>Průmyslová produkce v eurozóně klesla ve 4. čtvrtletí mezičtvrtletně o 1,1</w:t>
      </w:r>
      <w:r>
        <w:rPr>
          <w:rFonts w:eastAsia="Calibri" w:cs="Arial"/>
          <w:color w:val="0D0D0D" w:themeColor="text1" w:themeTint="F2"/>
          <w:spacing w:val="-2"/>
          <w:sz w:val="16"/>
          <w:szCs w:val="16"/>
        </w:rPr>
        <w:t> %</w:t>
      </w:r>
      <w:r w:rsidRPr="00164B53">
        <w:rPr>
          <w:rFonts w:eastAsia="Calibri" w:cs="Arial"/>
          <w:color w:val="0D0D0D" w:themeColor="text1" w:themeTint="F2"/>
          <w:spacing w:val="-2"/>
          <w:sz w:val="16"/>
          <w:szCs w:val="16"/>
        </w:rPr>
        <w:t>, meziročně dokonce o 1,9</w:t>
      </w:r>
      <w:r>
        <w:rPr>
          <w:rFonts w:eastAsia="Calibri" w:cs="Arial"/>
          <w:color w:val="0D0D0D" w:themeColor="text1" w:themeTint="F2"/>
          <w:spacing w:val="-2"/>
          <w:sz w:val="16"/>
          <w:szCs w:val="16"/>
        </w:rPr>
        <w:t> </w:t>
      </w:r>
      <w:r w:rsidRPr="00164B53">
        <w:rPr>
          <w:rFonts w:eastAsia="Calibri" w:cs="Arial"/>
          <w:color w:val="0D0D0D" w:themeColor="text1" w:themeTint="F2"/>
          <w:spacing w:val="-2"/>
          <w:sz w:val="16"/>
          <w:szCs w:val="16"/>
        </w:rPr>
        <w:t>%</w:t>
      </w:r>
      <w:r>
        <w:rPr>
          <w:rFonts w:eastAsia="Calibri" w:cs="Arial"/>
          <w:color w:val="0D0D0D" w:themeColor="text1" w:themeTint="F2"/>
          <w:spacing w:val="-2"/>
          <w:sz w:val="16"/>
          <w:szCs w:val="16"/>
        </w:rPr>
        <w:t xml:space="preserve"> (nejhorší výsledek po 1. čtvrtletí 2013)</w:t>
      </w:r>
      <w:r w:rsidRPr="00164B53">
        <w:rPr>
          <w:rFonts w:eastAsia="Calibri" w:cs="Arial"/>
          <w:color w:val="0D0D0D" w:themeColor="text1" w:themeTint="F2"/>
          <w:spacing w:val="-2"/>
          <w:sz w:val="16"/>
          <w:szCs w:val="16"/>
        </w:rPr>
        <w:t>. Současně se snížila i ve všech pěti největších ekonomikách EU (meziročně i mezičtvrtletně).</w:t>
      </w:r>
    </w:p>
  </w:footnote>
  <w:footnote w:id="4">
    <w:p w14:paraId="278EF364" w14:textId="7D90DDA6" w:rsidR="0052200D" w:rsidRPr="00164B53" w:rsidRDefault="0052200D" w:rsidP="00C35A2A">
      <w:pPr>
        <w:spacing w:after="0" w:line="240" w:lineRule="auto"/>
        <w:rPr>
          <w:spacing w:val="-4"/>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Dle údaje Sdružení automobilového průmyslu bylo v 1. čtvrtletí 2019 v Česku vyrobeno 363 tis. osobních automobilů, meziročně o 3,8 % méně. Naopak podobně jako vloni se dařilo výrobě ostatních </w:t>
      </w:r>
      <w:r>
        <w:rPr>
          <w:rFonts w:cs="Arial"/>
          <w:color w:val="0D0D0D" w:themeColor="text1" w:themeTint="F2"/>
          <w:sz w:val="16"/>
          <w:szCs w:val="16"/>
        </w:rPr>
        <w:t xml:space="preserve">druhů silničních motorových vozidel. Na to, že za slabšími výkony odvětví výroby motorových vozidel stojí zčásti faktory krátkodobého charakteru, mohou poukazovat příznivější dubnové údaje. Za první čtyři měsíce roku 2019 činil meziroční pokles výroby osobních automobilů 1,1 %. V jeho pozadí stál slabší prodej v tuzemsku (váhově výrazně dominantní odbyt v zahraničí stagnoval). Lehce optimistická očekávání v tomto odvětví naznačují i některé předstihové ukazatele (saldo </w:t>
      </w:r>
      <w:r w:rsidRPr="00EA7CFE">
        <w:rPr>
          <w:rFonts w:cs="Arial"/>
          <w:color w:val="0D0D0D" w:themeColor="text1" w:themeTint="F2"/>
          <w:sz w:val="16"/>
          <w:szCs w:val="16"/>
        </w:rPr>
        <w:t>důvěry podnikatelů,</w:t>
      </w:r>
      <w:r>
        <w:rPr>
          <w:rFonts w:cs="Arial"/>
          <w:color w:val="0D0D0D" w:themeColor="text1" w:themeTint="F2"/>
          <w:sz w:val="16"/>
          <w:szCs w:val="16"/>
        </w:rPr>
        <w:t xml:space="preserve"> pokračující mírný růst zakázek i celkové zaměstnanosti).</w:t>
      </w:r>
    </w:p>
  </w:footnote>
  <w:footnote w:id="5">
    <w:p w14:paraId="321C0CF2" w14:textId="77777777" w:rsidR="0052200D" w:rsidRPr="00164B53" w:rsidRDefault="0052200D" w:rsidP="00C35A2A">
      <w:pPr>
        <w:spacing w:after="0" w:line="240" w:lineRule="auto"/>
        <w:rPr>
          <w:spacing w:val="-4"/>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Průměrný evidenční počet zaměstnanců v celém odvětví průmyslu se dle podnikových statistik v 1. čtvrtletí 2019 meziročně snížil o 0,2 %. </w:t>
      </w:r>
    </w:p>
  </w:footnote>
  <w:footnote w:id="6">
    <w:p w14:paraId="7929784A" w14:textId="77777777" w:rsidR="0052200D" w:rsidRPr="009D7F89" w:rsidRDefault="0052200D" w:rsidP="00C35A2A">
      <w:pPr>
        <w:spacing w:after="0" w:line="240" w:lineRule="auto"/>
        <w:rPr>
          <w:rFonts w:cs="Arial"/>
          <w:spacing w:val="-4"/>
          <w:sz w:val="16"/>
          <w:szCs w:val="16"/>
        </w:rPr>
      </w:pPr>
      <w:r w:rsidRPr="009D7F89">
        <w:rPr>
          <w:rStyle w:val="Znakapoznpodarou"/>
          <w:rFonts w:cs="Arial"/>
          <w:color w:val="0D0D0D" w:themeColor="text1" w:themeTint="F2"/>
          <w:spacing w:val="-2"/>
          <w:sz w:val="16"/>
          <w:szCs w:val="16"/>
        </w:rPr>
        <w:footnoteRef/>
      </w:r>
      <w:r w:rsidRPr="009D7F89">
        <w:rPr>
          <w:rFonts w:cs="Arial"/>
          <w:color w:val="0D0D0D" w:themeColor="text1" w:themeTint="F2"/>
          <w:spacing w:val="-2"/>
          <w:sz w:val="16"/>
          <w:szCs w:val="16"/>
        </w:rPr>
        <w:t xml:space="preserve"> </w:t>
      </w:r>
      <w:r w:rsidRPr="009D7F89">
        <w:rPr>
          <w:rFonts w:cs="Arial"/>
          <w:color w:val="333333"/>
          <w:sz w:val="16"/>
          <w:szCs w:val="16"/>
        </w:rPr>
        <w:t>Zjišťování zakázek probíhá pouze ve vybraných oddílech CZ-NACE (13, 14, 17, 20, 21, 24, 25, 26, 27, 28, 29, 30), které vyrábějí převážně na zakázku, s dlouhodobějším výrobním cyklem a s většími zásobami zakázek</w:t>
      </w:r>
      <w:r>
        <w:rPr>
          <w:rFonts w:cs="Arial"/>
          <w:color w:val="333333"/>
          <w:sz w:val="16"/>
          <w:szCs w:val="16"/>
        </w:rPr>
        <w:t>.</w:t>
      </w:r>
    </w:p>
  </w:footnote>
  <w:footnote w:id="7">
    <w:p w14:paraId="46F8A54F"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 stavební produkci jsou očištěny o kalendářní vlivy, mezičtvrtletní tempa pak kromě toho také o vliv sezónnosti.</w:t>
      </w:r>
    </w:p>
  </w:footnote>
  <w:footnote w:id="8">
    <w:p w14:paraId="4BEA91A7"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 1. čtvrtletí 2018 činil meziroční růst stavební produkce 15,3 %, což bylo nejvyšší tempo po roce 2007.</w:t>
      </w:r>
    </w:p>
  </w:footnote>
  <w:footnote w:id="9">
    <w:p w14:paraId="00E2983A"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Pokles počtu zahájených bytů v kategorii </w:t>
      </w:r>
      <w:r w:rsidRPr="006B5BF6">
        <w:rPr>
          <w:rFonts w:cs="Arial"/>
          <w:color w:val="0D0D0D" w:themeColor="text1" w:themeTint="F2"/>
          <w:spacing w:val="-2"/>
          <w:sz w:val="16"/>
          <w:szCs w:val="16"/>
        </w:rPr>
        <w:t xml:space="preserve">stavebně </w:t>
      </w:r>
      <w:r>
        <w:rPr>
          <w:rFonts w:cs="Arial"/>
          <w:color w:val="0D0D0D" w:themeColor="text1" w:themeTint="F2"/>
          <w:spacing w:val="-2"/>
          <w:sz w:val="16"/>
          <w:szCs w:val="16"/>
        </w:rPr>
        <w:t>upravených nebytových prostor byl ovlivněn i nebývale vysokou základnou. Loni bylo takto v ČR započato 678 bytů, v rámci 1. čtvrtletí šlo o druhou nejvyšší hodnotu v historii samostatné ČR.</w:t>
      </w:r>
    </w:p>
  </w:footnote>
  <w:footnote w:id="10">
    <w:p w14:paraId="0FF69368" w14:textId="77777777" w:rsidR="0052200D" w:rsidRPr="005B4D3B" w:rsidRDefault="0052200D" w:rsidP="00C35A2A">
      <w:pPr>
        <w:pStyle w:val="Textpoznpodarou"/>
        <w:jc w:val="both"/>
        <w:rPr>
          <w:spacing w:val="-2"/>
          <w:sz w:val="16"/>
          <w:szCs w:val="16"/>
        </w:rPr>
      </w:pPr>
      <w:r w:rsidRPr="005B4D3B">
        <w:rPr>
          <w:rStyle w:val="Znakapoznpodarou"/>
          <w:rFonts w:cs="Arial"/>
          <w:color w:val="0D0D0D" w:themeColor="text1" w:themeTint="F2"/>
          <w:spacing w:val="-2"/>
          <w:sz w:val="16"/>
          <w:szCs w:val="16"/>
        </w:rPr>
        <w:footnoteRef/>
      </w:r>
      <w:r w:rsidRPr="005B4D3B">
        <w:rPr>
          <w:rFonts w:cs="Arial"/>
          <w:color w:val="0D0D0D" w:themeColor="text1" w:themeTint="F2"/>
          <w:spacing w:val="-2"/>
          <w:sz w:val="16"/>
          <w:szCs w:val="16"/>
        </w:rPr>
        <w:t xml:space="preserve"> Dle sezónně očištěných údajů z konjunkturních průzkumů odhadovali podnikatelé ve stavebnictví zajištění práce z rezervoáru celkových zakázek na počátku 2. čtvrtletí 2019 na 10,5 měsíce, v 1. čtvrtletí 2018 „jen“ na 8,3 měsíce.</w:t>
      </w:r>
    </w:p>
  </w:footnote>
  <w:footnote w:id="11">
    <w:p w14:paraId="0181C850" w14:textId="77777777" w:rsidR="0052200D" w:rsidRPr="005B4D3B" w:rsidRDefault="0052200D" w:rsidP="00C35A2A">
      <w:pPr>
        <w:spacing w:after="0" w:line="240" w:lineRule="auto"/>
        <w:rPr>
          <w:spacing w:val="-2"/>
        </w:rPr>
      </w:pPr>
      <w:r w:rsidRPr="005B4D3B">
        <w:rPr>
          <w:rStyle w:val="Znakapoznpodarou"/>
          <w:color w:val="0D0D0D" w:themeColor="text1" w:themeTint="F2"/>
          <w:spacing w:val="-2"/>
          <w:sz w:val="16"/>
          <w:szCs w:val="16"/>
        </w:rPr>
        <w:footnoteRef/>
      </w:r>
      <w:r w:rsidRPr="005B4D3B">
        <w:rPr>
          <w:color w:val="0D0D0D" w:themeColor="text1" w:themeTint="F2"/>
          <w:spacing w:val="-2"/>
          <w:sz w:val="16"/>
          <w:szCs w:val="16"/>
        </w:rPr>
        <w:t>Bez obchodu, peněžnictví, pojišťovnictví, vědy, výzkumu a veřejných služeb. Všechny údaje za služby jsou ve stálých cenách, meziroční údaje jsou očištěny o kalendářní vlivy, mezičtvrtletní jsou očištěny o sezónní vlivy (včetně vlivu počtu pracovních dnů).</w:t>
      </w:r>
    </w:p>
  </w:footnote>
  <w:footnote w:id="12">
    <w:p w14:paraId="6AEE67A2" w14:textId="1E8803CD" w:rsidR="0052200D" w:rsidRPr="00D85B50" w:rsidRDefault="0052200D" w:rsidP="00C35A2A">
      <w:pPr>
        <w:pStyle w:val="Textpoznpodarou"/>
        <w:jc w:val="both"/>
        <w:rPr>
          <w:spacing w:val="-4"/>
          <w:sz w:val="16"/>
          <w:szCs w:val="16"/>
        </w:rPr>
      </w:pPr>
      <w:r w:rsidRPr="005B4D3B">
        <w:rPr>
          <w:rStyle w:val="Znakapoznpodarou"/>
          <w:rFonts w:cs="Arial"/>
          <w:color w:val="0D0D0D" w:themeColor="text1" w:themeTint="F2"/>
          <w:spacing w:val="-2"/>
          <w:sz w:val="16"/>
          <w:szCs w:val="16"/>
        </w:rPr>
        <w:footnoteRef/>
      </w:r>
      <w:r w:rsidRPr="005B4D3B">
        <w:rPr>
          <w:rFonts w:cs="Arial"/>
          <w:color w:val="0D0D0D" w:themeColor="text1" w:themeTint="F2"/>
          <w:spacing w:val="-2"/>
          <w:sz w:val="16"/>
          <w:szCs w:val="16"/>
        </w:rPr>
        <w:t xml:space="preserve"> Dařilo se i samotnému </w:t>
      </w:r>
      <w:r w:rsidRPr="005B4D3B">
        <w:rPr>
          <w:spacing w:val="-2"/>
          <w:sz w:val="16"/>
          <w:szCs w:val="16"/>
        </w:rPr>
        <w:t>segmentu filmové distribuce. Dle údajů Unie filmových distributorů vzrostly v 1. čtvrtletí 2019 tržby ze vstupného v</w:t>
      </w:r>
      <w:r>
        <w:rPr>
          <w:spacing w:val="-2"/>
          <w:sz w:val="16"/>
          <w:szCs w:val="16"/>
        </w:rPr>
        <w:t> </w:t>
      </w:r>
      <w:r w:rsidRPr="005B4D3B">
        <w:rPr>
          <w:spacing w:val="-2"/>
          <w:sz w:val="16"/>
          <w:szCs w:val="16"/>
        </w:rPr>
        <w:t>kinech v ČR meziročně o 29</w:t>
      </w:r>
      <w:r>
        <w:rPr>
          <w:spacing w:val="-2"/>
          <w:sz w:val="16"/>
          <w:szCs w:val="16"/>
        </w:rPr>
        <w:t> % a</w:t>
      </w:r>
      <w:r w:rsidRPr="005B4D3B">
        <w:rPr>
          <w:spacing w:val="-2"/>
          <w:sz w:val="16"/>
          <w:szCs w:val="16"/>
        </w:rPr>
        <w:t xml:space="preserve"> počet návštěvníků o bezmála čtvrtinu (na 5,1 mil., nejvyšší počet </w:t>
      </w:r>
      <w:r>
        <w:rPr>
          <w:spacing w:val="-2"/>
          <w:sz w:val="16"/>
          <w:szCs w:val="16"/>
        </w:rPr>
        <w:t xml:space="preserve">v rámci 1. čtvrtletí </w:t>
      </w:r>
      <w:r w:rsidRPr="005B4D3B">
        <w:rPr>
          <w:spacing w:val="-2"/>
          <w:sz w:val="16"/>
          <w:szCs w:val="16"/>
        </w:rPr>
        <w:t>po roce 1993).</w:t>
      </w:r>
    </w:p>
  </w:footnote>
  <w:footnote w:id="13">
    <w:p w14:paraId="570AADBF" w14:textId="77777777" w:rsidR="0052200D" w:rsidRPr="00D85B50" w:rsidRDefault="0052200D" w:rsidP="00C35A2A">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Pr>
          <w:spacing w:val="-2"/>
          <w:sz w:val="16"/>
          <w:szCs w:val="16"/>
        </w:rPr>
        <w:t>Počet přenocování</w:t>
      </w:r>
      <w:r w:rsidRPr="00DA5EBF">
        <w:rPr>
          <w:spacing w:val="-2"/>
          <w:sz w:val="16"/>
          <w:szCs w:val="16"/>
        </w:rPr>
        <w:t xml:space="preserve"> </w:t>
      </w:r>
      <w:r>
        <w:rPr>
          <w:spacing w:val="-2"/>
          <w:sz w:val="16"/>
          <w:szCs w:val="16"/>
        </w:rPr>
        <w:t xml:space="preserve">všech </w:t>
      </w:r>
      <w:r w:rsidRPr="00DA5EBF">
        <w:rPr>
          <w:spacing w:val="-2"/>
          <w:sz w:val="16"/>
          <w:szCs w:val="16"/>
        </w:rPr>
        <w:t>hostů v hromadných ubytovacích zařízení</w:t>
      </w:r>
      <w:r>
        <w:rPr>
          <w:spacing w:val="-2"/>
          <w:sz w:val="16"/>
          <w:szCs w:val="16"/>
        </w:rPr>
        <w:t>ch (HUZ) v ČR vzrostl v 1. čtvrtletí 2019 meziročně o 0,9 % (nejméně za posledních osmnáct čtvrtletí). Hosté ze zahraničí v HUZ strávili dokonce o 2,3 % nocí méně, na čemž se při stagnující průměrné délce jejich pobytu podílel výhradně nižší počet jejich příjezdů do ČR.</w:t>
      </w:r>
    </w:p>
  </w:footnote>
  <w:footnote w:id="14">
    <w:p w14:paraId="4FB857C5" w14:textId="49B474DB" w:rsidR="0052200D" w:rsidRDefault="0052200D" w:rsidP="00C35A2A">
      <w:pPr>
        <w:spacing w:after="0" w:line="240" w:lineRule="auto"/>
      </w:pPr>
      <w:r w:rsidRPr="00A85D8E">
        <w:rPr>
          <w:rStyle w:val="Znakapoznpodarou"/>
          <w:sz w:val="16"/>
          <w:szCs w:val="16"/>
        </w:rPr>
        <w:footnoteRef/>
      </w:r>
      <w:r>
        <w:rPr>
          <w:sz w:val="16"/>
          <w:szCs w:val="16"/>
        </w:rPr>
        <w:t xml:space="preserve"> Všechna</w:t>
      </w:r>
      <w:r w:rsidRPr="00A85D8E">
        <w:rPr>
          <w:sz w:val="16"/>
          <w:szCs w:val="16"/>
        </w:rPr>
        <w:t xml:space="preserve"> </w:t>
      </w:r>
      <w:r>
        <w:rPr>
          <w:sz w:val="16"/>
          <w:szCs w:val="16"/>
        </w:rPr>
        <w:t>meziroční tempa</w:t>
      </w:r>
      <w:r>
        <w:rPr>
          <w:color w:val="0D0D0D" w:themeColor="text1" w:themeTint="F2"/>
          <w:sz w:val="16"/>
          <w:szCs w:val="16"/>
        </w:rPr>
        <w:t xml:space="preserve"> tržeb</w:t>
      </w:r>
      <w:r w:rsidRPr="00A85D8E">
        <w:rPr>
          <w:color w:val="0D0D0D" w:themeColor="text1" w:themeTint="F2"/>
          <w:sz w:val="16"/>
          <w:szCs w:val="16"/>
        </w:rPr>
        <w:t xml:space="preserve"> za maloobchod</w:t>
      </w:r>
      <w:r w:rsidRPr="004A26AF">
        <w:rPr>
          <w:color w:val="0D0D0D" w:themeColor="text1" w:themeTint="F2"/>
          <w:sz w:val="16"/>
          <w:szCs w:val="16"/>
        </w:rPr>
        <w:t xml:space="preserve"> jsou </w:t>
      </w:r>
      <w:r>
        <w:rPr>
          <w:color w:val="0D0D0D" w:themeColor="text1" w:themeTint="F2"/>
          <w:sz w:val="16"/>
          <w:szCs w:val="16"/>
        </w:rPr>
        <w:t>uvedena ve stálých cenách a očištěna</w:t>
      </w:r>
      <w:r w:rsidRPr="004A26AF">
        <w:rPr>
          <w:color w:val="0D0D0D" w:themeColor="text1" w:themeTint="F2"/>
          <w:sz w:val="16"/>
          <w:szCs w:val="16"/>
        </w:rPr>
        <w:t xml:space="preserve"> o kal</w:t>
      </w:r>
      <w:r>
        <w:rPr>
          <w:color w:val="0D0D0D" w:themeColor="text1" w:themeTint="F2"/>
          <w:sz w:val="16"/>
          <w:szCs w:val="16"/>
        </w:rPr>
        <w:t>endářní vlivy, mezičtvrtletní tempa jsou očištěna o sezónní vlivy (včetně vlivu počtu pracovních dnů)</w:t>
      </w:r>
      <w:r w:rsidRPr="004A26AF">
        <w:rPr>
          <w:color w:val="0D0D0D" w:themeColor="text1" w:themeTint="F2"/>
          <w:sz w:val="16"/>
          <w:szCs w:val="16"/>
        </w:rPr>
        <w:t>.</w:t>
      </w:r>
    </w:p>
  </w:footnote>
  <w:footnote w:id="15">
    <w:p w14:paraId="6E0C032B" w14:textId="77777777" w:rsidR="0052200D" w:rsidRDefault="0052200D" w:rsidP="00C35A2A">
      <w:pPr>
        <w:spacing w:after="0" w:line="240" w:lineRule="auto"/>
      </w:pPr>
      <w:r w:rsidRPr="00A85D8E">
        <w:rPr>
          <w:rStyle w:val="Znakapoznpodarou"/>
          <w:sz w:val="16"/>
          <w:szCs w:val="16"/>
        </w:rPr>
        <w:footnoteRef/>
      </w:r>
      <w:r>
        <w:rPr>
          <w:sz w:val="16"/>
          <w:szCs w:val="16"/>
        </w:rPr>
        <w:t xml:space="preserve"> V 1. čtvrtletí 2018 rostly o 6,3 %. V rámci tohoto období roku šlo o nejsilnější tempo za posledních jedenáct let. </w:t>
      </w:r>
    </w:p>
  </w:footnote>
  <w:footnote w:id="16">
    <w:p w14:paraId="5DE28A52" w14:textId="77777777" w:rsidR="0052200D" w:rsidRPr="00DE38E6" w:rsidRDefault="0052200D" w:rsidP="00C35A2A">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Saldo indikátorů důvěry spotřebitelů bylo v březnu 2019 nejslabší za posledních 31 měsíců (+2,3 bodu). </w:t>
      </w:r>
      <w:r>
        <w:rPr>
          <w:sz w:val="16"/>
          <w:szCs w:val="16"/>
        </w:rPr>
        <w:t>Naopak nálada spotřebitelů z loňského jara (+10 až 11 bodů) dosáhla maxima v historii sledování (od roku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2200D" w:rsidRDefault="0052200D" w:rsidP="00937AE2">
    <w:pPr>
      <w:pStyle w:val="Zhlav"/>
    </w:pPr>
    <w:r>
      <w:t>Vývoj ekonomiky České republiky</w:t>
    </w:r>
  </w:p>
  <w:p w14:paraId="675E4C41" w14:textId="77777777" w:rsidR="0052200D" w:rsidRPr="006F5416" w:rsidRDefault="0052200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2200D" w:rsidRDefault="0052200D" w:rsidP="00937AE2">
    <w:pPr>
      <w:pStyle w:val="Zhlav"/>
    </w:pPr>
    <w:r>
      <w:t>Vývoj ekonomiky České republiky</w:t>
    </w:r>
  </w:p>
  <w:p w14:paraId="0CDCFD48" w14:textId="77777777" w:rsidR="0052200D" w:rsidRPr="006F5416" w:rsidRDefault="0052200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0"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3"/>
  </w:num>
  <w:num w:numId="14">
    <w:abstractNumId w:val="11"/>
  </w:num>
  <w:num w:numId="15">
    <w:abstractNumId w:val="17"/>
  </w:num>
  <w:num w:numId="16">
    <w:abstractNumId w:val="13"/>
  </w:num>
  <w:num w:numId="17">
    <w:abstractNumId w:val="24"/>
  </w:num>
  <w:num w:numId="18">
    <w:abstractNumId w:val="18"/>
  </w:num>
  <w:num w:numId="19">
    <w:abstractNumId w:val="25"/>
  </w:num>
  <w:num w:numId="20">
    <w:abstractNumId w:val="26"/>
  </w:num>
  <w:num w:numId="21">
    <w:abstractNumId w:val="22"/>
  </w:num>
  <w:num w:numId="22">
    <w:abstractNumId w:val="16"/>
  </w:num>
  <w:num w:numId="23">
    <w:abstractNumId w:val="14"/>
  </w:num>
  <w:num w:numId="24">
    <w:abstractNumId w:val="15"/>
  </w:num>
  <w:num w:numId="25">
    <w:abstractNumId w:val="10"/>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70A87"/>
    <w:rsid w:val="000712B3"/>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BC0"/>
    <w:rsid w:val="000A1183"/>
    <w:rsid w:val="000A212B"/>
    <w:rsid w:val="000A256D"/>
    <w:rsid w:val="000A3A2C"/>
    <w:rsid w:val="000A3D9E"/>
    <w:rsid w:val="000A4A54"/>
    <w:rsid w:val="000A4ED9"/>
    <w:rsid w:val="000A7377"/>
    <w:rsid w:val="000B03CC"/>
    <w:rsid w:val="000B4212"/>
    <w:rsid w:val="000C0EA8"/>
    <w:rsid w:val="000C13A2"/>
    <w:rsid w:val="000C30C3"/>
    <w:rsid w:val="000C3408"/>
    <w:rsid w:val="000C35AB"/>
    <w:rsid w:val="000C4769"/>
    <w:rsid w:val="000C4D56"/>
    <w:rsid w:val="000C6AFD"/>
    <w:rsid w:val="000C6C90"/>
    <w:rsid w:val="000D0A26"/>
    <w:rsid w:val="000D3058"/>
    <w:rsid w:val="000D310A"/>
    <w:rsid w:val="000D3EF4"/>
    <w:rsid w:val="000D5637"/>
    <w:rsid w:val="000D6F4E"/>
    <w:rsid w:val="000E0E96"/>
    <w:rsid w:val="000E2C7D"/>
    <w:rsid w:val="000E440D"/>
    <w:rsid w:val="000E4AC5"/>
    <w:rsid w:val="000E6253"/>
    <w:rsid w:val="000E6E4D"/>
    <w:rsid w:val="000E6FBD"/>
    <w:rsid w:val="000E6FCB"/>
    <w:rsid w:val="000F090B"/>
    <w:rsid w:val="000F3F3B"/>
    <w:rsid w:val="000F47E8"/>
    <w:rsid w:val="000F70E4"/>
    <w:rsid w:val="00100F5C"/>
    <w:rsid w:val="00101CDA"/>
    <w:rsid w:val="00102037"/>
    <w:rsid w:val="00103DCB"/>
    <w:rsid w:val="00104C4C"/>
    <w:rsid w:val="00105015"/>
    <w:rsid w:val="001057C2"/>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92F05"/>
    <w:rsid w:val="00194729"/>
    <w:rsid w:val="00195234"/>
    <w:rsid w:val="00196016"/>
    <w:rsid w:val="00197A70"/>
    <w:rsid w:val="00197C0F"/>
    <w:rsid w:val="001A0487"/>
    <w:rsid w:val="001A1F68"/>
    <w:rsid w:val="001A4EF0"/>
    <w:rsid w:val="001A552F"/>
    <w:rsid w:val="001B2CA9"/>
    <w:rsid w:val="001B3110"/>
    <w:rsid w:val="001B3E38"/>
    <w:rsid w:val="001B40F5"/>
    <w:rsid w:val="001B4729"/>
    <w:rsid w:val="001B4F0E"/>
    <w:rsid w:val="001B6310"/>
    <w:rsid w:val="001B6C09"/>
    <w:rsid w:val="001C05CD"/>
    <w:rsid w:val="001C0F17"/>
    <w:rsid w:val="001C1B66"/>
    <w:rsid w:val="001C31A2"/>
    <w:rsid w:val="001C4BB8"/>
    <w:rsid w:val="001C5E46"/>
    <w:rsid w:val="001C6B3B"/>
    <w:rsid w:val="001D0EF1"/>
    <w:rsid w:val="001D22C2"/>
    <w:rsid w:val="001D2C99"/>
    <w:rsid w:val="001D54C1"/>
    <w:rsid w:val="001D556E"/>
    <w:rsid w:val="001D5DF2"/>
    <w:rsid w:val="001D68B2"/>
    <w:rsid w:val="001D7EFD"/>
    <w:rsid w:val="001D7F60"/>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3D6"/>
    <w:rsid w:val="0022441D"/>
    <w:rsid w:val="00224574"/>
    <w:rsid w:val="00224E3F"/>
    <w:rsid w:val="002252E0"/>
    <w:rsid w:val="002255F6"/>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25F"/>
    <w:rsid w:val="002709CC"/>
    <w:rsid w:val="00271022"/>
    <w:rsid w:val="00271465"/>
    <w:rsid w:val="002721F5"/>
    <w:rsid w:val="00272DF4"/>
    <w:rsid w:val="0027583D"/>
    <w:rsid w:val="00275DEF"/>
    <w:rsid w:val="002763A2"/>
    <w:rsid w:val="00276B33"/>
    <w:rsid w:val="002812E3"/>
    <w:rsid w:val="002837AE"/>
    <w:rsid w:val="00283C13"/>
    <w:rsid w:val="002853FA"/>
    <w:rsid w:val="00285412"/>
    <w:rsid w:val="00286220"/>
    <w:rsid w:val="002872B8"/>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EA2"/>
    <w:rsid w:val="002A532A"/>
    <w:rsid w:val="002A5846"/>
    <w:rsid w:val="002A5D97"/>
    <w:rsid w:val="002A603E"/>
    <w:rsid w:val="002A63B9"/>
    <w:rsid w:val="002B3EF4"/>
    <w:rsid w:val="002B4845"/>
    <w:rsid w:val="002B72AA"/>
    <w:rsid w:val="002C1F09"/>
    <w:rsid w:val="002C22A4"/>
    <w:rsid w:val="002C260B"/>
    <w:rsid w:val="002C27A6"/>
    <w:rsid w:val="002C398D"/>
    <w:rsid w:val="002C40D2"/>
    <w:rsid w:val="002C43BD"/>
    <w:rsid w:val="002C5245"/>
    <w:rsid w:val="002D05CB"/>
    <w:rsid w:val="002D0E59"/>
    <w:rsid w:val="002D455C"/>
    <w:rsid w:val="002E02A1"/>
    <w:rsid w:val="002E196A"/>
    <w:rsid w:val="002E20C7"/>
    <w:rsid w:val="002E20CD"/>
    <w:rsid w:val="002E222E"/>
    <w:rsid w:val="002E28D8"/>
    <w:rsid w:val="002E37D1"/>
    <w:rsid w:val="002E3BEE"/>
    <w:rsid w:val="002E4E4C"/>
    <w:rsid w:val="002E4EA7"/>
    <w:rsid w:val="002E5846"/>
    <w:rsid w:val="002E792B"/>
    <w:rsid w:val="002F1DCB"/>
    <w:rsid w:val="002F1DE4"/>
    <w:rsid w:val="002F333D"/>
    <w:rsid w:val="002F351A"/>
    <w:rsid w:val="002F46D6"/>
    <w:rsid w:val="002F498A"/>
    <w:rsid w:val="002F4AD8"/>
    <w:rsid w:val="002F5820"/>
    <w:rsid w:val="00300C31"/>
    <w:rsid w:val="00304771"/>
    <w:rsid w:val="003052D4"/>
    <w:rsid w:val="00306C5B"/>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32190"/>
    <w:rsid w:val="00333CD0"/>
    <w:rsid w:val="0033448D"/>
    <w:rsid w:val="00334AD2"/>
    <w:rsid w:val="0033709C"/>
    <w:rsid w:val="003370C5"/>
    <w:rsid w:val="00341D26"/>
    <w:rsid w:val="00341F05"/>
    <w:rsid w:val="0034335E"/>
    <w:rsid w:val="00344668"/>
    <w:rsid w:val="003462D9"/>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7F84"/>
    <w:rsid w:val="003712BC"/>
    <w:rsid w:val="00372164"/>
    <w:rsid w:val="003738BD"/>
    <w:rsid w:val="00374263"/>
    <w:rsid w:val="003746F0"/>
    <w:rsid w:val="00374A20"/>
    <w:rsid w:val="00374E21"/>
    <w:rsid w:val="003810F0"/>
    <w:rsid w:val="003818DC"/>
    <w:rsid w:val="00382513"/>
    <w:rsid w:val="00383388"/>
    <w:rsid w:val="003834F8"/>
    <w:rsid w:val="003838D0"/>
    <w:rsid w:val="003840C2"/>
    <w:rsid w:val="00384327"/>
    <w:rsid w:val="00384A89"/>
    <w:rsid w:val="00385086"/>
    <w:rsid w:val="00385D98"/>
    <w:rsid w:val="00390306"/>
    <w:rsid w:val="003908A6"/>
    <w:rsid w:val="003927F6"/>
    <w:rsid w:val="00396739"/>
    <w:rsid w:val="003A04F6"/>
    <w:rsid w:val="003A2B4D"/>
    <w:rsid w:val="003A2D12"/>
    <w:rsid w:val="003A45E3"/>
    <w:rsid w:val="003A478C"/>
    <w:rsid w:val="003A5525"/>
    <w:rsid w:val="003A5889"/>
    <w:rsid w:val="003A6B38"/>
    <w:rsid w:val="003A6B83"/>
    <w:rsid w:val="003A722F"/>
    <w:rsid w:val="003B039F"/>
    <w:rsid w:val="003B0DF4"/>
    <w:rsid w:val="003B1F9D"/>
    <w:rsid w:val="003B2AD1"/>
    <w:rsid w:val="003B2D2E"/>
    <w:rsid w:val="003B461F"/>
    <w:rsid w:val="003B483F"/>
    <w:rsid w:val="003B4998"/>
    <w:rsid w:val="003B5A32"/>
    <w:rsid w:val="003C0B07"/>
    <w:rsid w:val="003C2CE7"/>
    <w:rsid w:val="003C3490"/>
    <w:rsid w:val="003C3608"/>
    <w:rsid w:val="003C3D2C"/>
    <w:rsid w:val="003C6221"/>
    <w:rsid w:val="003C68CC"/>
    <w:rsid w:val="003C7E62"/>
    <w:rsid w:val="003D12B9"/>
    <w:rsid w:val="003D242B"/>
    <w:rsid w:val="003D2492"/>
    <w:rsid w:val="003D29AA"/>
    <w:rsid w:val="003D2A99"/>
    <w:rsid w:val="003D6920"/>
    <w:rsid w:val="003E1EF8"/>
    <w:rsid w:val="003E4C91"/>
    <w:rsid w:val="003E52D8"/>
    <w:rsid w:val="003F313C"/>
    <w:rsid w:val="003F37FC"/>
    <w:rsid w:val="003F4318"/>
    <w:rsid w:val="003F4B2C"/>
    <w:rsid w:val="003F551C"/>
    <w:rsid w:val="003F626D"/>
    <w:rsid w:val="003F72ED"/>
    <w:rsid w:val="003F7D23"/>
    <w:rsid w:val="00400050"/>
    <w:rsid w:val="004002C8"/>
    <w:rsid w:val="00400468"/>
    <w:rsid w:val="0040099D"/>
    <w:rsid w:val="00401B23"/>
    <w:rsid w:val="00402ADB"/>
    <w:rsid w:val="0040368D"/>
    <w:rsid w:val="00405318"/>
    <w:rsid w:val="004059D2"/>
    <w:rsid w:val="00406C2E"/>
    <w:rsid w:val="00406EB0"/>
    <w:rsid w:val="00407711"/>
    <w:rsid w:val="00407C13"/>
    <w:rsid w:val="004103F6"/>
    <w:rsid w:val="00410638"/>
    <w:rsid w:val="00412511"/>
    <w:rsid w:val="004125C2"/>
    <w:rsid w:val="00412DFA"/>
    <w:rsid w:val="00413465"/>
    <w:rsid w:val="0041501E"/>
    <w:rsid w:val="00415452"/>
    <w:rsid w:val="004159C3"/>
    <w:rsid w:val="00415A57"/>
    <w:rsid w:val="00416DAC"/>
    <w:rsid w:val="00420880"/>
    <w:rsid w:val="00421179"/>
    <w:rsid w:val="00431BFF"/>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321B"/>
    <w:rsid w:val="00456FE5"/>
    <w:rsid w:val="00457490"/>
    <w:rsid w:val="00457953"/>
    <w:rsid w:val="00460656"/>
    <w:rsid w:val="00460FB3"/>
    <w:rsid w:val="00464851"/>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79A5"/>
    <w:rsid w:val="004A036E"/>
    <w:rsid w:val="004A14E4"/>
    <w:rsid w:val="004A204E"/>
    <w:rsid w:val="004A26A5"/>
    <w:rsid w:val="004A27F0"/>
    <w:rsid w:val="004A3212"/>
    <w:rsid w:val="004A37CD"/>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0B3F"/>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5B0F"/>
    <w:rsid w:val="004D7626"/>
    <w:rsid w:val="004E1A40"/>
    <w:rsid w:val="004E200A"/>
    <w:rsid w:val="004E23FC"/>
    <w:rsid w:val="004E2409"/>
    <w:rsid w:val="004E261D"/>
    <w:rsid w:val="004E5F41"/>
    <w:rsid w:val="004E6DE6"/>
    <w:rsid w:val="004E765E"/>
    <w:rsid w:val="004E7815"/>
    <w:rsid w:val="004F06F5"/>
    <w:rsid w:val="004F12A4"/>
    <w:rsid w:val="004F253F"/>
    <w:rsid w:val="004F33A0"/>
    <w:rsid w:val="004F3BD2"/>
    <w:rsid w:val="004F46ED"/>
    <w:rsid w:val="00503D54"/>
    <w:rsid w:val="005048E2"/>
    <w:rsid w:val="00506603"/>
    <w:rsid w:val="0050689D"/>
    <w:rsid w:val="005077F5"/>
    <w:rsid w:val="005108C0"/>
    <w:rsid w:val="0051094F"/>
    <w:rsid w:val="00511873"/>
    <w:rsid w:val="00512461"/>
    <w:rsid w:val="00512A2F"/>
    <w:rsid w:val="00513B7E"/>
    <w:rsid w:val="0051475D"/>
    <w:rsid w:val="00514B11"/>
    <w:rsid w:val="00515BE9"/>
    <w:rsid w:val="00515C74"/>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3778"/>
    <w:rsid w:val="005A3DF8"/>
    <w:rsid w:val="005A5549"/>
    <w:rsid w:val="005A7CF8"/>
    <w:rsid w:val="005B121D"/>
    <w:rsid w:val="005B41C9"/>
    <w:rsid w:val="005B4853"/>
    <w:rsid w:val="005B6CA1"/>
    <w:rsid w:val="005B770C"/>
    <w:rsid w:val="005C06ED"/>
    <w:rsid w:val="005C11B8"/>
    <w:rsid w:val="005C2609"/>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480F"/>
    <w:rsid w:val="005F5469"/>
    <w:rsid w:val="005F63F3"/>
    <w:rsid w:val="005F6D7F"/>
    <w:rsid w:val="005F7174"/>
    <w:rsid w:val="00601EEF"/>
    <w:rsid w:val="00604307"/>
    <w:rsid w:val="0060487F"/>
    <w:rsid w:val="00604EAD"/>
    <w:rsid w:val="0060513F"/>
    <w:rsid w:val="006104FB"/>
    <w:rsid w:val="00612A2F"/>
    <w:rsid w:val="00612AAE"/>
    <w:rsid w:val="00612FD9"/>
    <w:rsid w:val="006139E0"/>
    <w:rsid w:val="00614D35"/>
    <w:rsid w:val="006156B4"/>
    <w:rsid w:val="00615DAF"/>
    <w:rsid w:val="00616E05"/>
    <w:rsid w:val="00617985"/>
    <w:rsid w:val="0062131B"/>
    <w:rsid w:val="0062263A"/>
    <w:rsid w:val="006227DF"/>
    <w:rsid w:val="006236C8"/>
    <w:rsid w:val="00624093"/>
    <w:rsid w:val="00626079"/>
    <w:rsid w:val="00631698"/>
    <w:rsid w:val="00631E44"/>
    <w:rsid w:val="00634C57"/>
    <w:rsid w:val="00634CE7"/>
    <w:rsid w:val="006350D5"/>
    <w:rsid w:val="0063642C"/>
    <w:rsid w:val="00637858"/>
    <w:rsid w:val="006404A7"/>
    <w:rsid w:val="00640A38"/>
    <w:rsid w:val="00641787"/>
    <w:rsid w:val="00642489"/>
    <w:rsid w:val="00644055"/>
    <w:rsid w:val="00644137"/>
    <w:rsid w:val="0064478C"/>
    <w:rsid w:val="006451E4"/>
    <w:rsid w:val="00645B33"/>
    <w:rsid w:val="006516CB"/>
    <w:rsid w:val="00653BD0"/>
    <w:rsid w:val="00654110"/>
    <w:rsid w:val="00656C5D"/>
    <w:rsid w:val="00656CFB"/>
    <w:rsid w:val="00657E87"/>
    <w:rsid w:val="00660D2D"/>
    <w:rsid w:val="00662469"/>
    <w:rsid w:val="00664205"/>
    <w:rsid w:val="00664647"/>
    <w:rsid w:val="00664803"/>
    <w:rsid w:val="00665982"/>
    <w:rsid w:val="00665BA4"/>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CA6"/>
    <w:rsid w:val="006D18B3"/>
    <w:rsid w:val="006D1E89"/>
    <w:rsid w:val="006D317E"/>
    <w:rsid w:val="006D3E8A"/>
    <w:rsid w:val="006D61F6"/>
    <w:rsid w:val="006E1332"/>
    <w:rsid w:val="006E279A"/>
    <w:rsid w:val="006E313B"/>
    <w:rsid w:val="006E3A45"/>
    <w:rsid w:val="006E53AD"/>
    <w:rsid w:val="006E58CB"/>
    <w:rsid w:val="006E7227"/>
    <w:rsid w:val="006F0741"/>
    <w:rsid w:val="006F1C27"/>
    <w:rsid w:val="006F2A65"/>
    <w:rsid w:val="006F40DF"/>
    <w:rsid w:val="006F42BB"/>
    <w:rsid w:val="006F438E"/>
    <w:rsid w:val="006F440B"/>
    <w:rsid w:val="006F5416"/>
    <w:rsid w:val="006F624B"/>
    <w:rsid w:val="006F6D87"/>
    <w:rsid w:val="0070398A"/>
    <w:rsid w:val="00705242"/>
    <w:rsid w:val="007055E0"/>
    <w:rsid w:val="007065C5"/>
    <w:rsid w:val="00706AA0"/>
    <w:rsid w:val="00706AD4"/>
    <w:rsid w:val="00707150"/>
    <w:rsid w:val="007124D7"/>
    <w:rsid w:val="00712C20"/>
    <w:rsid w:val="00713549"/>
    <w:rsid w:val="007140BE"/>
    <w:rsid w:val="00715502"/>
    <w:rsid w:val="00715E4D"/>
    <w:rsid w:val="00716F48"/>
    <w:rsid w:val="00717114"/>
    <w:rsid w:val="0071779F"/>
    <w:rsid w:val="007211F5"/>
    <w:rsid w:val="00722777"/>
    <w:rsid w:val="00723435"/>
    <w:rsid w:val="00723436"/>
    <w:rsid w:val="007240E2"/>
    <w:rsid w:val="0072583E"/>
    <w:rsid w:val="00725BB5"/>
    <w:rsid w:val="00727C02"/>
    <w:rsid w:val="00730AE8"/>
    <w:rsid w:val="00730F1B"/>
    <w:rsid w:val="0073186D"/>
    <w:rsid w:val="0073333D"/>
    <w:rsid w:val="007343D9"/>
    <w:rsid w:val="00735448"/>
    <w:rsid w:val="00737DEC"/>
    <w:rsid w:val="00741493"/>
    <w:rsid w:val="007434E5"/>
    <w:rsid w:val="0074499B"/>
    <w:rsid w:val="007450BF"/>
    <w:rsid w:val="007477BD"/>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61E9"/>
    <w:rsid w:val="00766460"/>
    <w:rsid w:val="00767062"/>
    <w:rsid w:val="00767777"/>
    <w:rsid w:val="00771972"/>
    <w:rsid w:val="00772DAB"/>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6689"/>
    <w:rsid w:val="007B6747"/>
    <w:rsid w:val="007B6F72"/>
    <w:rsid w:val="007C1F0C"/>
    <w:rsid w:val="007C1FFB"/>
    <w:rsid w:val="007C2D94"/>
    <w:rsid w:val="007C5F92"/>
    <w:rsid w:val="007C6227"/>
    <w:rsid w:val="007C6BBD"/>
    <w:rsid w:val="007C6D89"/>
    <w:rsid w:val="007D0382"/>
    <w:rsid w:val="007D1A1F"/>
    <w:rsid w:val="007D2E18"/>
    <w:rsid w:val="007D40DF"/>
    <w:rsid w:val="007D42E5"/>
    <w:rsid w:val="007D4458"/>
    <w:rsid w:val="007E0535"/>
    <w:rsid w:val="007E0D4A"/>
    <w:rsid w:val="007E1788"/>
    <w:rsid w:val="007E1EE3"/>
    <w:rsid w:val="007E29B4"/>
    <w:rsid w:val="007E2F12"/>
    <w:rsid w:val="007E435A"/>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734C"/>
    <w:rsid w:val="00807C82"/>
    <w:rsid w:val="008117CC"/>
    <w:rsid w:val="00813D58"/>
    <w:rsid w:val="00813DCA"/>
    <w:rsid w:val="008161A6"/>
    <w:rsid w:val="008165B8"/>
    <w:rsid w:val="00816905"/>
    <w:rsid w:val="00816D98"/>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D5"/>
    <w:rsid w:val="00831CDE"/>
    <w:rsid w:val="00834304"/>
    <w:rsid w:val="00834FAA"/>
    <w:rsid w:val="008354FB"/>
    <w:rsid w:val="00836086"/>
    <w:rsid w:val="0083630F"/>
    <w:rsid w:val="00836A06"/>
    <w:rsid w:val="008374BC"/>
    <w:rsid w:val="00837E48"/>
    <w:rsid w:val="00840293"/>
    <w:rsid w:val="008408D4"/>
    <w:rsid w:val="008417B5"/>
    <w:rsid w:val="00841901"/>
    <w:rsid w:val="008458BD"/>
    <w:rsid w:val="00846121"/>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E7"/>
    <w:rsid w:val="0087368D"/>
    <w:rsid w:val="00874FE8"/>
    <w:rsid w:val="00875A32"/>
    <w:rsid w:val="00876086"/>
    <w:rsid w:val="00876E83"/>
    <w:rsid w:val="008772BC"/>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37E2"/>
    <w:rsid w:val="008A388E"/>
    <w:rsid w:val="008A3CBA"/>
    <w:rsid w:val="008A4B59"/>
    <w:rsid w:val="008A63E1"/>
    <w:rsid w:val="008A66B7"/>
    <w:rsid w:val="008A7127"/>
    <w:rsid w:val="008B3A80"/>
    <w:rsid w:val="008B3C07"/>
    <w:rsid w:val="008B3F7B"/>
    <w:rsid w:val="008B6106"/>
    <w:rsid w:val="008B7C02"/>
    <w:rsid w:val="008B7D2B"/>
    <w:rsid w:val="008B7EF9"/>
    <w:rsid w:val="008C0049"/>
    <w:rsid w:val="008C0E88"/>
    <w:rsid w:val="008C1717"/>
    <w:rsid w:val="008C4B50"/>
    <w:rsid w:val="008C7569"/>
    <w:rsid w:val="008D0DBD"/>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6D7"/>
    <w:rsid w:val="00905B8D"/>
    <w:rsid w:val="00906401"/>
    <w:rsid w:val="009065CB"/>
    <w:rsid w:val="00906B79"/>
    <w:rsid w:val="0090786F"/>
    <w:rsid w:val="009110F7"/>
    <w:rsid w:val="0091155E"/>
    <w:rsid w:val="00912437"/>
    <w:rsid w:val="00912A92"/>
    <w:rsid w:val="00915D07"/>
    <w:rsid w:val="009162AE"/>
    <w:rsid w:val="00917251"/>
    <w:rsid w:val="0091728D"/>
    <w:rsid w:val="009203CC"/>
    <w:rsid w:val="00920EC4"/>
    <w:rsid w:val="0092180B"/>
    <w:rsid w:val="00921F14"/>
    <w:rsid w:val="00923CB0"/>
    <w:rsid w:val="00924871"/>
    <w:rsid w:val="00924AC8"/>
    <w:rsid w:val="00925429"/>
    <w:rsid w:val="0092597A"/>
    <w:rsid w:val="00926520"/>
    <w:rsid w:val="00926CF0"/>
    <w:rsid w:val="009273A9"/>
    <w:rsid w:val="0093033E"/>
    <w:rsid w:val="009305FC"/>
    <w:rsid w:val="00930FB1"/>
    <w:rsid w:val="0093139F"/>
    <w:rsid w:val="00932443"/>
    <w:rsid w:val="00932B32"/>
    <w:rsid w:val="00933F4A"/>
    <w:rsid w:val="009341F1"/>
    <w:rsid w:val="00934FF2"/>
    <w:rsid w:val="00935BD4"/>
    <w:rsid w:val="00935DFE"/>
    <w:rsid w:val="009373B2"/>
    <w:rsid w:val="00937AE2"/>
    <w:rsid w:val="0094061F"/>
    <w:rsid w:val="00940F0F"/>
    <w:rsid w:val="0094416B"/>
    <w:rsid w:val="0094427A"/>
    <w:rsid w:val="00944C7C"/>
    <w:rsid w:val="00945245"/>
    <w:rsid w:val="00945523"/>
    <w:rsid w:val="00950921"/>
    <w:rsid w:val="00951D68"/>
    <w:rsid w:val="00952B7B"/>
    <w:rsid w:val="00954F39"/>
    <w:rsid w:val="0095664B"/>
    <w:rsid w:val="009568DC"/>
    <w:rsid w:val="00957445"/>
    <w:rsid w:val="0095759C"/>
    <w:rsid w:val="009618EE"/>
    <w:rsid w:val="009624D2"/>
    <w:rsid w:val="009628D9"/>
    <w:rsid w:val="009637AE"/>
    <w:rsid w:val="009640F6"/>
    <w:rsid w:val="00964776"/>
    <w:rsid w:val="00964A4E"/>
    <w:rsid w:val="00964B35"/>
    <w:rsid w:val="009651C7"/>
    <w:rsid w:val="00965797"/>
    <w:rsid w:val="00965A10"/>
    <w:rsid w:val="009670A3"/>
    <w:rsid w:val="009674BE"/>
    <w:rsid w:val="00971B87"/>
    <w:rsid w:val="00971C77"/>
    <w:rsid w:val="00972FCD"/>
    <w:rsid w:val="009741AE"/>
    <w:rsid w:val="009741FC"/>
    <w:rsid w:val="00974923"/>
    <w:rsid w:val="00975909"/>
    <w:rsid w:val="00977C3D"/>
    <w:rsid w:val="00980D3D"/>
    <w:rsid w:val="0098103E"/>
    <w:rsid w:val="00983101"/>
    <w:rsid w:val="00983E41"/>
    <w:rsid w:val="00987A30"/>
    <w:rsid w:val="00990312"/>
    <w:rsid w:val="0099182E"/>
    <w:rsid w:val="00992CF3"/>
    <w:rsid w:val="0099321E"/>
    <w:rsid w:val="00994868"/>
    <w:rsid w:val="00994D28"/>
    <w:rsid w:val="00994F2C"/>
    <w:rsid w:val="009957CC"/>
    <w:rsid w:val="009968D6"/>
    <w:rsid w:val="00997953"/>
    <w:rsid w:val="009A10A0"/>
    <w:rsid w:val="009A1CAB"/>
    <w:rsid w:val="009A2359"/>
    <w:rsid w:val="009A24F1"/>
    <w:rsid w:val="009A4D57"/>
    <w:rsid w:val="009A60D1"/>
    <w:rsid w:val="009A64F5"/>
    <w:rsid w:val="009B00D2"/>
    <w:rsid w:val="009B05B3"/>
    <w:rsid w:val="009B284F"/>
    <w:rsid w:val="009B3764"/>
    <w:rsid w:val="009B52AC"/>
    <w:rsid w:val="009B59EA"/>
    <w:rsid w:val="009B66CE"/>
    <w:rsid w:val="009B6FD3"/>
    <w:rsid w:val="009B7DB2"/>
    <w:rsid w:val="009C1750"/>
    <w:rsid w:val="009C2E29"/>
    <w:rsid w:val="009C3E8F"/>
    <w:rsid w:val="009C554B"/>
    <w:rsid w:val="009C7126"/>
    <w:rsid w:val="009C719E"/>
    <w:rsid w:val="009C7799"/>
    <w:rsid w:val="009D07A9"/>
    <w:rsid w:val="009D0AE2"/>
    <w:rsid w:val="009D0EBB"/>
    <w:rsid w:val="009D3ACD"/>
    <w:rsid w:val="009D4F21"/>
    <w:rsid w:val="009D587D"/>
    <w:rsid w:val="009D7731"/>
    <w:rsid w:val="009E1120"/>
    <w:rsid w:val="009E1922"/>
    <w:rsid w:val="009E1A3D"/>
    <w:rsid w:val="009E4715"/>
    <w:rsid w:val="009E5273"/>
    <w:rsid w:val="009E57A8"/>
    <w:rsid w:val="009E5B85"/>
    <w:rsid w:val="009E5DDB"/>
    <w:rsid w:val="009F4982"/>
    <w:rsid w:val="009F4CA7"/>
    <w:rsid w:val="009F7D36"/>
    <w:rsid w:val="00A00E71"/>
    <w:rsid w:val="00A0306F"/>
    <w:rsid w:val="00A03B10"/>
    <w:rsid w:val="00A03E2E"/>
    <w:rsid w:val="00A04616"/>
    <w:rsid w:val="00A04717"/>
    <w:rsid w:val="00A05EE4"/>
    <w:rsid w:val="00A06F99"/>
    <w:rsid w:val="00A10D66"/>
    <w:rsid w:val="00A14114"/>
    <w:rsid w:val="00A16413"/>
    <w:rsid w:val="00A16545"/>
    <w:rsid w:val="00A16AED"/>
    <w:rsid w:val="00A16E1D"/>
    <w:rsid w:val="00A171D5"/>
    <w:rsid w:val="00A17A15"/>
    <w:rsid w:val="00A17D5B"/>
    <w:rsid w:val="00A201E1"/>
    <w:rsid w:val="00A20FE1"/>
    <w:rsid w:val="00A23E43"/>
    <w:rsid w:val="00A24ED9"/>
    <w:rsid w:val="00A25216"/>
    <w:rsid w:val="00A2628E"/>
    <w:rsid w:val="00A266BF"/>
    <w:rsid w:val="00A2731E"/>
    <w:rsid w:val="00A309AC"/>
    <w:rsid w:val="00A30F65"/>
    <w:rsid w:val="00A3279E"/>
    <w:rsid w:val="00A35900"/>
    <w:rsid w:val="00A40EAC"/>
    <w:rsid w:val="00A418BC"/>
    <w:rsid w:val="00A41FCF"/>
    <w:rsid w:val="00A43CF8"/>
    <w:rsid w:val="00A43DF2"/>
    <w:rsid w:val="00A445A8"/>
    <w:rsid w:val="00A44B0D"/>
    <w:rsid w:val="00A44D21"/>
    <w:rsid w:val="00A45087"/>
    <w:rsid w:val="00A45489"/>
    <w:rsid w:val="00A465E9"/>
    <w:rsid w:val="00A468E7"/>
    <w:rsid w:val="00A46DE0"/>
    <w:rsid w:val="00A50D73"/>
    <w:rsid w:val="00A52A88"/>
    <w:rsid w:val="00A52CAD"/>
    <w:rsid w:val="00A53FC7"/>
    <w:rsid w:val="00A55569"/>
    <w:rsid w:val="00A60AC1"/>
    <w:rsid w:val="00A626FF"/>
    <w:rsid w:val="00A62CE1"/>
    <w:rsid w:val="00A65469"/>
    <w:rsid w:val="00A655D3"/>
    <w:rsid w:val="00A662D9"/>
    <w:rsid w:val="00A6741E"/>
    <w:rsid w:val="00A7016A"/>
    <w:rsid w:val="00A7018D"/>
    <w:rsid w:val="00A7191D"/>
    <w:rsid w:val="00A722F9"/>
    <w:rsid w:val="00A72D42"/>
    <w:rsid w:val="00A75E40"/>
    <w:rsid w:val="00A77D1D"/>
    <w:rsid w:val="00A81652"/>
    <w:rsid w:val="00A83150"/>
    <w:rsid w:val="00A83398"/>
    <w:rsid w:val="00A83D6E"/>
    <w:rsid w:val="00A8521A"/>
    <w:rsid w:val="00A857C0"/>
    <w:rsid w:val="00A90F2C"/>
    <w:rsid w:val="00A90FED"/>
    <w:rsid w:val="00A9189D"/>
    <w:rsid w:val="00A91E71"/>
    <w:rsid w:val="00A925B1"/>
    <w:rsid w:val="00A934F9"/>
    <w:rsid w:val="00A95F1A"/>
    <w:rsid w:val="00A96116"/>
    <w:rsid w:val="00A9614E"/>
    <w:rsid w:val="00A96C0F"/>
    <w:rsid w:val="00AA212F"/>
    <w:rsid w:val="00AA2996"/>
    <w:rsid w:val="00AA2AF4"/>
    <w:rsid w:val="00AA4282"/>
    <w:rsid w:val="00AA52BF"/>
    <w:rsid w:val="00AA559A"/>
    <w:rsid w:val="00AA6C31"/>
    <w:rsid w:val="00AA7752"/>
    <w:rsid w:val="00AA7CE8"/>
    <w:rsid w:val="00AB1457"/>
    <w:rsid w:val="00AB2AF1"/>
    <w:rsid w:val="00AB5A64"/>
    <w:rsid w:val="00AB5CA1"/>
    <w:rsid w:val="00AB6456"/>
    <w:rsid w:val="00AC044E"/>
    <w:rsid w:val="00AC2118"/>
    <w:rsid w:val="00AC2395"/>
    <w:rsid w:val="00AC2960"/>
    <w:rsid w:val="00AC2AC4"/>
    <w:rsid w:val="00AC4284"/>
    <w:rsid w:val="00AC45BD"/>
    <w:rsid w:val="00AC50BB"/>
    <w:rsid w:val="00AD0EE7"/>
    <w:rsid w:val="00AD168E"/>
    <w:rsid w:val="00AD306C"/>
    <w:rsid w:val="00AD44CD"/>
    <w:rsid w:val="00AD5AD2"/>
    <w:rsid w:val="00AD6462"/>
    <w:rsid w:val="00AD66C5"/>
    <w:rsid w:val="00AD68C4"/>
    <w:rsid w:val="00AD71F9"/>
    <w:rsid w:val="00AE09B3"/>
    <w:rsid w:val="00AE1A83"/>
    <w:rsid w:val="00AE30BE"/>
    <w:rsid w:val="00AE3E6A"/>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10A4D"/>
    <w:rsid w:val="00B10C90"/>
    <w:rsid w:val="00B11002"/>
    <w:rsid w:val="00B121B2"/>
    <w:rsid w:val="00B141B6"/>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2316"/>
    <w:rsid w:val="00B63A11"/>
    <w:rsid w:val="00B64425"/>
    <w:rsid w:val="00B64C24"/>
    <w:rsid w:val="00B65CEF"/>
    <w:rsid w:val="00B6608F"/>
    <w:rsid w:val="00B679FB"/>
    <w:rsid w:val="00B73A14"/>
    <w:rsid w:val="00B748BD"/>
    <w:rsid w:val="00B7680F"/>
    <w:rsid w:val="00B76D1E"/>
    <w:rsid w:val="00B77543"/>
    <w:rsid w:val="00B77584"/>
    <w:rsid w:val="00B80EC6"/>
    <w:rsid w:val="00B81288"/>
    <w:rsid w:val="00B81D70"/>
    <w:rsid w:val="00B833B9"/>
    <w:rsid w:val="00B83E07"/>
    <w:rsid w:val="00B84CF6"/>
    <w:rsid w:val="00B85016"/>
    <w:rsid w:val="00B8561A"/>
    <w:rsid w:val="00B86643"/>
    <w:rsid w:val="00B90131"/>
    <w:rsid w:val="00B92951"/>
    <w:rsid w:val="00B92D1D"/>
    <w:rsid w:val="00B930CE"/>
    <w:rsid w:val="00B938C5"/>
    <w:rsid w:val="00B9554A"/>
    <w:rsid w:val="00B95940"/>
    <w:rsid w:val="00B95ACA"/>
    <w:rsid w:val="00B97ACC"/>
    <w:rsid w:val="00B97FE2"/>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2"/>
    <w:rsid w:val="00BB5ABF"/>
    <w:rsid w:val="00BB6EA2"/>
    <w:rsid w:val="00BB7B5B"/>
    <w:rsid w:val="00BC003F"/>
    <w:rsid w:val="00BC327F"/>
    <w:rsid w:val="00BC3512"/>
    <w:rsid w:val="00BC50BE"/>
    <w:rsid w:val="00BC5332"/>
    <w:rsid w:val="00BC5715"/>
    <w:rsid w:val="00BC5C12"/>
    <w:rsid w:val="00BC7154"/>
    <w:rsid w:val="00BC731E"/>
    <w:rsid w:val="00BC7614"/>
    <w:rsid w:val="00BD25BB"/>
    <w:rsid w:val="00BD2AF8"/>
    <w:rsid w:val="00BD366B"/>
    <w:rsid w:val="00BD410B"/>
    <w:rsid w:val="00BD4A73"/>
    <w:rsid w:val="00BD6C75"/>
    <w:rsid w:val="00BD6D50"/>
    <w:rsid w:val="00BE0AD1"/>
    <w:rsid w:val="00BE0EF9"/>
    <w:rsid w:val="00BE10A1"/>
    <w:rsid w:val="00BE18B9"/>
    <w:rsid w:val="00BE190A"/>
    <w:rsid w:val="00BE2495"/>
    <w:rsid w:val="00BE24DD"/>
    <w:rsid w:val="00BE386D"/>
    <w:rsid w:val="00BE557B"/>
    <w:rsid w:val="00BF02C8"/>
    <w:rsid w:val="00BF1578"/>
    <w:rsid w:val="00BF15CA"/>
    <w:rsid w:val="00BF1D12"/>
    <w:rsid w:val="00BF1D3A"/>
    <w:rsid w:val="00BF2B5B"/>
    <w:rsid w:val="00BF2D41"/>
    <w:rsid w:val="00BF32DC"/>
    <w:rsid w:val="00BF4329"/>
    <w:rsid w:val="00BF4E43"/>
    <w:rsid w:val="00BF5C4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513B"/>
    <w:rsid w:val="00C50E79"/>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F9"/>
    <w:rsid w:val="00C82191"/>
    <w:rsid w:val="00C83134"/>
    <w:rsid w:val="00C832F3"/>
    <w:rsid w:val="00C845A4"/>
    <w:rsid w:val="00C85545"/>
    <w:rsid w:val="00C855B5"/>
    <w:rsid w:val="00C85F0E"/>
    <w:rsid w:val="00C90CF4"/>
    <w:rsid w:val="00C922DE"/>
    <w:rsid w:val="00C92843"/>
    <w:rsid w:val="00C92EB6"/>
    <w:rsid w:val="00C93389"/>
    <w:rsid w:val="00C94CDD"/>
    <w:rsid w:val="00CA0346"/>
    <w:rsid w:val="00CA1BD6"/>
    <w:rsid w:val="00CA37FF"/>
    <w:rsid w:val="00CA423A"/>
    <w:rsid w:val="00CA47BC"/>
    <w:rsid w:val="00CA6AB4"/>
    <w:rsid w:val="00CA7255"/>
    <w:rsid w:val="00CB2351"/>
    <w:rsid w:val="00CB4930"/>
    <w:rsid w:val="00CB4C63"/>
    <w:rsid w:val="00CB5A48"/>
    <w:rsid w:val="00CB5E10"/>
    <w:rsid w:val="00CB613B"/>
    <w:rsid w:val="00CB6152"/>
    <w:rsid w:val="00CB64E1"/>
    <w:rsid w:val="00CC0834"/>
    <w:rsid w:val="00CC20FE"/>
    <w:rsid w:val="00CC2E7D"/>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908"/>
    <w:rsid w:val="00CF51EC"/>
    <w:rsid w:val="00CF545D"/>
    <w:rsid w:val="00CF5873"/>
    <w:rsid w:val="00CF73AE"/>
    <w:rsid w:val="00D0242D"/>
    <w:rsid w:val="00D02716"/>
    <w:rsid w:val="00D03A72"/>
    <w:rsid w:val="00D040DD"/>
    <w:rsid w:val="00D05C65"/>
    <w:rsid w:val="00D06B56"/>
    <w:rsid w:val="00D06D68"/>
    <w:rsid w:val="00D075BE"/>
    <w:rsid w:val="00D10C15"/>
    <w:rsid w:val="00D11476"/>
    <w:rsid w:val="00D12C25"/>
    <w:rsid w:val="00D133B4"/>
    <w:rsid w:val="00D13986"/>
    <w:rsid w:val="00D14C5B"/>
    <w:rsid w:val="00D15FED"/>
    <w:rsid w:val="00D214EF"/>
    <w:rsid w:val="00D215B0"/>
    <w:rsid w:val="00D21D6D"/>
    <w:rsid w:val="00D21D83"/>
    <w:rsid w:val="00D235B7"/>
    <w:rsid w:val="00D23FAE"/>
    <w:rsid w:val="00D25F28"/>
    <w:rsid w:val="00D26071"/>
    <w:rsid w:val="00D269B9"/>
    <w:rsid w:val="00D27973"/>
    <w:rsid w:val="00D31537"/>
    <w:rsid w:val="00D31E1E"/>
    <w:rsid w:val="00D32824"/>
    <w:rsid w:val="00D334E2"/>
    <w:rsid w:val="00D35AD6"/>
    <w:rsid w:val="00D35BBB"/>
    <w:rsid w:val="00D35E1A"/>
    <w:rsid w:val="00D36DFB"/>
    <w:rsid w:val="00D36E1C"/>
    <w:rsid w:val="00D373AF"/>
    <w:rsid w:val="00D40556"/>
    <w:rsid w:val="00D41F74"/>
    <w:rsid w:val="00D43ED2"/>
    <w:rsid w:val="00D50F46"/>
    <w:rsid w:val="00D5384E"/>
    <w:rsid w:val="00D544E7"/>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459B"/>
    <w:rsid w:val="00DB47FD"/>
    <w:rsid w:val="00DB5E9A"/>
    <w:rsid w:val="00DB657E"/>
    <w:rsid w:val="00DB7342"/>
    <w:rsid w:val="00DC17D0"/>
    <w:rsid w:val="00DC2B41"/>
    <w:rsid w:val="00DC435B"/>
    <w:rsid w:val="00DC53D8"/>
    <w:rsid w:val="00DC56FE"/>
    <w:rsid w:val="00DC5B3B"/>
    <w:rsid w:val="00DC6C2D"/>
    <w:rsid w:val="00DC7B1A"/>
    <w:rsid w:val="00DD04B0"/>
    <w:rsid w:val="00DD129F"/>
    <w:rsid w:val="00DD29B5"/>
    <w:rsid w:val="00DD32DD"/>
    <w:rsid w:val="00DD5287"/>
    <w:rsid w:val="00DE0D8B"/>
    <w:rsid w:val="00DE1237"/>
    <w:rsid w:val="00DE140F"/>
    <w:rsid w:val="00DE2491"/>
    <w:rsid w:val="00DE7AC8"/>
    <w:rsid w:val="00DF3643"/>
    <w:rsid w:val="00DF42FF"/>
    <w:rsid w:val="00DF4369"/>
    <w:rsid w:val="00DF4423"/>
    <w:rsid w:val="00DF4ADF"/>
    <w:rsid w:val="00DF5D1E"/>
    <w:rsid w:val="00DF7F88"/>
    <w:rsid w:val="00E01C0E"/>
    <w:rsid w:val="00E0368F"/>
    <w:rsid w:val="00E03D73"/>
    <w:rsid w:val="00E03F9A"/>
    <w:rsid w:val="00E04694"/>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1771"/>
    <w:rsid w:val="00E31A3E"/>
    <w:rsid w:val="00E32080"/>
    <w:rsid w:val="00E3309D"/>
    <w:rsid w:val="00E3724A"/>
    <w:rsid w:val="00E378B1"/>
    <w:rsid w:val="00E417BE"/>
    <w:rsid w:val="00E41CD5"/>
    <w:rsid w:val="00E43A9E"/>
    <w:rsid w:val="00E453F9"/>
    <w:rsid w:val="00E45D7D"/>
    <w:rsid w:val="00E4623F"/>
    <w:rsid w:val="00E4665D"/>
    <w:rsid w:val="00E47854"/>
    <w:rsid w:val="00E47EBA"/>
    <w:rsid w:val="00E50156"/>
    <w:rsid w:val="00E5076C"/>
    <w:rsid w:val="00E50D2E"/>
    <w:rsid w:val="00E53470"/>
    <w:rsid w:val="00E539F6"/>
    <w:rsid w:val="00E54698"/>
    <w:rsid w:val="00E55791"/>
    <w:rsid w:val="00E578A2"/>
    <w:rsid w:val="00E60043"/>
    <w:rsid w:val="00E61740"/>
    <w:rsid w:val="00E61EB5"/>
    <w:rsid w:val="00E6324D"/>
    <w:rsid w:val="00E6519D"/>
    <w:rsid w:val="00E66062"/>
    <w:rsid w:val="00E6660E"/>
    <w:rsid w:val="00E67305"/>
    <w:rsid w:val="00E67696"/>
    <w:rsid w:val="00E71A58"/>
    <w:rsid w:val="00E72A26"/>
    <w:rsid w:val="00E72A7A"/>
    <w:rsid w:val="00E7335A"/>
    <w:rsid w:val="00E747DC"/>
    <w:rsid w:val="00E75C94"/>
    <w:rsid w:val="00E76B9B"/>
    <w:rsid w:val="00E76E61"/>
    <w:rsid w:val="00E80CA3"/>
    <w:rsid w:val="00E82618"/>
    <w:rsid w:val="00E84E09"/>
    <w:rsid w:val="00E90CA8"/>
    <w:rsid w:val="00E930A1"/>
    <w:rsid w:val="00E93820"/>
    <w:rsid w:val="00E94A86"/>
    <w:rsid w:val="00E953F6"/>
    <w:rsid w:val="00E96143"/>
    <w:rsid w:val="00E96833"/>
    <w:rsid w:val="00EA0C68"/>
    <w:rsid w:val="00EA1D0E"/>
    <w:rsid w:val="00EA2841"/>
    <w:rsid w:val="00EA32BC"/>
    <w:rsid w:val="00EA35A7"/>
    <w:rsid w:val="00EA3B32"/>
    <w:rsid w:val="00EA3D05"/>
    <w:rsid w:val="00EA4402"/>
    <w:rsid w:val="00EA4B8D"/>
    <w:rsid w:val="00EA513E"/>
    <w:rsid w:val="00EA7419"/>
    <w:rsid w:val="00EB0E32"/>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EA1"/>
    <w:rsid w:val="00ED3F10"/>
    <w:rsid w:val="00ED4D04"/>
    <w:rsid w:val="00ED5907"/>
    <w:rsid w:val="00ED5F5B"/>
    <w:rsid w:val="00ED62C6"/>
    <w:rsid w:val="00ED64C1"/>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160B"/>
    <w:rsid w:val="00F0193E"/>
    <w:rsid w:val="00F03F8D"/>
    <w:rsid w:val="00F04811"/>
    <w:rsid w:val="00F0488C"/>
    <w:rsid w:val="00F073ED"/>
    <w:rsid w:val="00F07C4C"/>
    <w:rsid w:val="00F10F11"/>
    <w:rsid w:val="00F11159"/>
    <w:rsid w:val="00F12CFB"/>
    <w:rsid w:val="00F15AAA"/>
    <w:rsid w:val="00F15BEF"/>
    <w:rsid w:val="00F17898"/>
    <w:rsid w:val="00F207C2"/>
    <w:rsid w:val="00F21337"/>
    <w:rsid w:val="00F219A1"/>
    <w:rsid w:val="00F23E20"/>
    <w:rsid w:val="00F24407"/>
    <w:rsid w:val="00F24FAA"/>
    <w:rsid w:val="00F25040"/>
    <w:rsid w:val="00F27071"/>
    <w:rsid w:val="00F27331"/>
    <w:rsid w:val="00F27EE5"/>
    <w:rsid w:val="00F307CB"/>
    <w:rsid w:val="00F30C65"/>
    <w:rsid w:val="00F32649"/>
    <w:rsid w:val="00F33523"/>
    <w:rsid w:val="00F3364D"/>
    <w:rsid w:val="00F349BF"/>
    <w:rsid w:val="00F34DDC"/>
    <w:rsid w:val="00F37EDC"/>
    <w:rsid w:val="00F437CC"/>
    <w:rsid w:val="00F44537"/>
    <w:rsid w:val="00F46185"/>
    <w:rsid w:val="00F46423"/>
    <w:rsid w:val="00F4696A"/>
    <w:rsid w:val="00F47067"/>
    <w:rsid w:val="00F525EB"/>
    <w:rsid w:val="00F52CB5"/>
    <w:rsid w:val="00F53A68"/>
    <w:rsid w:val="00F55A92"/>
    <w:rsid w:val="00F62BFF"/>
    <w:rsid w:val="00F63AAE"/>
    <w:rsid w:val="00F63DDE"/>
    <w:rsid w:val="00F63FB7"/>
    <w:rsid w:val="00F6421B"/>
    <w:rsid w:val="00F647F1"/>
    <w:rsid w:val="00F649D2"/>
    <w:rsid w:val="00F6602B"/>
    <w:rsid w:val="00F7150B"/>
    <w:rsid w:val="00F7170B"/>
    <w:rsid w:val="00F71DE6"/>
    <w:rsid w:val="00F72D71"/>
    <w:rsid w:val="00F7381C"/>
    <w:rsid w:val="00F73A0C"/>
    <w:rsid w:val="00F7549F"/>
    <w:rsid w:val="00F756DB"/>
    <w:rsid w:val="00F767A8"/>
    <w:rsid w:val="00F84E7D"/>
    <w:rsid w:val="00F85066"/>
    <w:rsid w:val="00F87A4D"/>
    <w:rsid w:val="00F93688"/>
    <w:rsid w:val="00F939F3"/>
    <w:rsid w:val="00F9644E"/>
    <w:rsid w:val="00FA0105"/>
    <w:rsid w:val="00FA05A0"/>
    <w:rsid w:val="00FA17CC"/>
    <w:rsid w:val="00FA1F01"/>
    <w:rsid w:val="00FA26DF"/>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48E4"/>
    <w:rsid w:val="00FE634C"/>
    <w:rsid w:val="00FE6E69"/>
    <w:rsid w:val="00FE6F59"/>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QMakro-dnes\Odv&#283;tv&#237;\Odv&#283;tv&#237;%20grafy-1-q-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dnes\Odv&#283;tv&#237;\Odv&#283;tv&#237;%20grafy-1-q-201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9\QMakro\1.&#269;tvrtlet&#237;%202019\Odv&#283;tv&#237;\Odv&#283;tv&#237;%20grafy-1-q-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9\QMakro\1.&#269;tvrtlet&#237;%202019\Odv&#283;tv&#237;\Odv&#283;tv&#237;%20grafy-1-q-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11E-2"/>
          <c:y val="1.6203558522131581E-2"/>
          <c:w val="0.93666788782242216"/>
          <c:h val="0.71950593410789765"/>
        </c:manualLayout>
      </c:layout>
      <c:barChart>
        <c:barDir val="col"/>
        <c:grouping val="stacked"/>
        <c:varyColors val="0"/>
        <c:ser>
          <c:idx val="0"/>
          <c:order val="0"/>
          <c:tx>
            <c:strRef>
              <c:f>'GRAF příspěvky IPP'!$A$32</c:f>
              <c:strCache>
                <c:ptCount val="1"/>
                <c:pt idx="0">
                  <c:v>Výroba dopravních prostředků (29+30)</c:v>
                </c:pt>
              </c:strCache>
            </c:strRef>
          </c:tx>
          <c:spPr>
            <a:solidFill>
              <a:srgbClr val="E8AFB2"/>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IPP'!$F$32:$AH$32</c:f>
              <c:numCache>
                <c:formatCode>0.0</c:formatCode>
                <c:ptCount val="29"/>
                <c:pt idx="0">
                  <c:v>2.2354222453018546</c:v>
                </c:pt>
                <c:pt idx="1">
                  <c:v>1.0231087154858276</c:v>
                </c:pt>
                <c:pt idx="2">
                  <c:v>-0.451101844135188</c:v>
                </c:pt>
                <c:pt idx="3">
                  <c:v>-1.6929043388850369</c:v>
                </c:pt>
                <c:pt idx="4">
                  <c:v>-2.8414439289814464</c:v>
                </c:pt>
                <c:pt idx="5">
                  <c:v>-1.1037033400298391</c:v>
                </c:pt>
                <c:pt idx="6">
                  <c:v>0.65561921804615453</c:v>
                </c:pt>
                <c:pt idx="7">
                  <c:v>1.8828182694641358</c:v>
                </c:pt>
                <c:pt idx="8">
                  <c:v>3.5759262633273021</c:v>
                </c:pt>
                <c:pt idx="9">
                  <c:v>2.2387100258789236</c:v>
                </c:pt>
                <c:pt idx="10">
                  <c:v>1.7719699895287304</c:v>
                </c:pt>
                <c:pt idx="11">
                  <c:v>1.5189883620689975</c:v>
                </c:pt>
                <c:pt idx="12">
                  <c:v>1.5349338595230806</c:v>
                </c:pt>
                <c:pt idx="13">
                  <c:v>2.1941006685518607</c:v>
                </c:pt>
                <c:pt idx="14">
                  <c:v>2.3415413147137585</c:v>
                </c:pt>
                <c:pt idx="15">
                  <c:v>2.8930236159837905</c:v>
                </c:pt>
                <c:pt idx="16">
                  <c:v>3.2926965523764138</c:v>
                </c:pt>
                <c:pt idx="17">
                  <c:v>2.7635032677542575</c:v>
                </c:pt>
                <c:pt idx="18">
                  <c:v>1.4750591136369875</c:v>
                </c:pt>
                <c:pt idx="19">
                  <c:v>1.02695332712745</c:v>
                </c:pt>
                <c:pt idx="20">
                  <c:v>1.8306689908816125</c:v>
                </c:pt>
                <c:pt idx="21">
                  <c:v>2.068398562814969</c:v>
                </c:pt>
                <c:pt idx="22">
                  <c:v>1.5408162380207475</c:v>
                </c:pt>
                <c:pt idx="23">
                  <c:v>1.6794015454983153</c:v>
                </c:pt>
                <c:pt idx="24">
                  <c:v>0.71263094632827717</c:v>
                </c:pt>
                <c:pt idx="25">
                  <c:v>0.55756753588850994</c:v>
                </c:pt>
                <c:pt idx="26">
                  <c:v>0.23129044493147494</c:v>
                </c:pt>
                <c:pt idx="27">
                  <c:v>1.0042396494574</c:v>
                </c:pt>
                <c:pt idx="28">
                  <c:v>-8.4827477587202618E-2</c:v>
                </c:pt>
              </c:numCache>
            </c:numRef>
          </c:val>
          <c:extLst>
            <c:ext xmlns:c16="http://schemas.microsoft.com/office/drawing/2014/chart" uri="{C3380CC4-5D6E-409C-BE32-E72D297353CC}">
              <c16:uniqueId val="{00000000-D693-4991-B601-3DC9CED00CB1}"/>
            </c:ext>
          </c:extLst>
        </c:ser>
        <c:ser>
          <c:idx val="1"/>
          <c:order val="1"/>
          <c:tx>
            <c:strRef>
              <c:f>'GRAF příspěvky IPP'!$A$33</c:f>
              <c:strCache>
                <c:ptCount val="1"/>
                <c:pt idx="0">
                  <c:v>Gumárenství, elektrotechnický pr. (22+27)</c:v>
                </c:pt>
              </c:strCache>
            </c:strRef>
          </c:tx>
          <c:spPr>
            <a:solidFill>
              <a:srgbClr val="BD1B21"/>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IPP'!$F$33:$AH$33</c:f>
              <c:numCache>
                <c:formatCode>0.0</c:formatCode>
                <c:ptCount val="29"/>
                <c:pt idx="0">
                  <c:v>0.8499224953159652</c:v>
                </c:pt>
                <c:pt idx="1">
                  <c:v>0.67909419809764782</c:v>
                </c:pt>
                <c:pt idx="2">
                  <c:v>1.0716764887904229</c:v>
                </c:pt>
                <c:pt idx="3">
                  <c:v>-0.46502811090535007</c:v>
                </c:pt>
                <c:pt idx="4">
                  <c:v>-0.34838129757408365</c:v>
                </c:pt>
                <c:pt idx="5">
                  <c:v>-0.29702711628118111</c:v>
                </c:pt>
                <c:pt idx="6">
                  <c:v>0.37983146763629139</c:v>
                </c:pt>
                <c:pt idx="7">
                  <c:v>0.67444684530708243</c:v>
                </c:pt>
                <c:pt idx="8">
                  <c:v>1.1965754118683707</c:v>
                </c:pt>
                <c:pt idx="9">
                  <c:v>1.3110490341587351</c:v>
                </c:pt>
                <c:pt idx="10">
                  <c:v>0.16431106389180708</c:v>
                </c:pt>
                <c:pt idx="11">
                  <c:v>0.79246998238680644</c:v>
                </c:pt>
                <c:pt idx="12">
                  <c:v>1.0327158178902081</c:v>
                </c:pt>
                <c:pt idx="13">
                  <c:v>1.2474010464389864</c:v>
                </c:pt>
                <c:pt idx="14">
                  <c:v>1.4188923779020084</c:v>
                </c:pt>
                <c:pt idx="15">
                  <c:v>0.62907027961344431</c:v>
                </c:pt>
                <c:pt idx="16">
                  <c:v>0.70002238690210272</c:v>
                </c:pt>
                <c:pt idx="17">
                  <c:v>0.15473181772475597</c:v>
                </c:pt>
                <c:pt idx="18">
                  <c:v>0.28439313569749469</c:v>
                </c:pt>
                <c:pt idx="19">
                  <c:v>0.43251342156214512</c:v>
                </c:pt>
                <c:pt idx="20">
                  <c:v>0.91486926491740084</c:v>
                </c:pt>
                <c:pt idx="21">
                  <c:v>1.4491903433443376</c:v>
                </c:pt>
                <c:pt idx="22">
                  <c:v>0.86660777787350374</c:v>
                </c:pt>
                <c:pt idx="23">
                  <c:v>1.6549188645784936</c:v>
                </c:pt>
                <c:pt idx="24">
                  <c:v>0.99816192512028035</c:v>
                </c:pt>
                <c:pt idx="25">
                  <c:v>0.32776104689334196</c:v>
                </c:pt>
                <c:pt idx="26">
                  <c:v>0.42835286981440412</c:v>
                </c:pt>
                <c:pt idx="27">
                  <c:v>-5.482683783231744E-2</c:v>
                </c:pt>
                <c:pt idx="28">
                  <c:v>-4.4734783459862718E-2</c:v>
                </c:pt>
              </c:numCache>
            </c:numRef>
          </c:val>
          <c:extLst>
            <c:ext xmlns:c16="http://schemas.microsoft.com/office/drawing/2014/chart" uri="{C3380CC4-5D6E-409C-BE32-E72D297353CC}">
              <c16:uniqueId val="{00000001-D693-4991-B601-3DC9CED00CB1}"/>
            </c:ext>
          </c:extLst>
        </c:ser>
        <c:ser>
          <c:idx val="2"/>
          <c:order val="2"/>
          <c:tx>
            <c:strRef>
              <c:f>'GRAF příspěvky IPP'!$A$34</c:f>
              <c:strCache>
                <c:ptCount val="1"/>
                <c:pt idx="0">
                  <c:v>Strojírenství (28)</c:v>
                </c:pt>
              </c:strCache>
            </c:strRef>
          </c:tx>
          <c:spPr>
            <a:solidFill>
              <a:srgbClr val="BFE3F7"/>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IPP'!$F$34:$AH$34</c:f>
              <c:numCache>
                <c:formatCode>0.0</c:formatCode>
                <c:ptCount val="29"/>
                <c:pt idx="0">
                  <c:v>0.5085259739532223</c:v>
                </c:pt>
                <c:pt idx="1">
                  <c:v>0.2631231278845213</c:v>
                </c:pt>
                <c:pt idx="2">
                  <c:v>0.23301984566307926</c:v>
                </c:pt>
                <c:pt idx="3">
                  <c:v>-0.13339713383761653</c:v>
                </c:pt>
                <c:pt idx="4">
                  <c:v>7.970787180892118E-2</c:v>
                </c:pt>
                <c:pt idx="5">
                  <c:v>0.20406264489060252</c:v>
                </c:pt>
                <c:pt idx="6">
                  <c:v>-1.7001944235035402E-2</c:v>
                </c:pt>
                <c:pt idx="7">
                  <c:v>0.64362374734259087</c:v>
                </c:pt>
                <c:pt idx="8">
                  <c:v>0.21470457876175333</c:v>
                </c:pt>
                <c:pt idx="9">
                  <c:v>0.40293012989484661</c:v>
                </c:pt>
                <c:pt idx="10">
                  <c:v>0.21152856009329646</c:v>
                </c:pt>
                <c:pt idx="11">
                  <c:v>0.3301204419286361</c:v>
                </c:pt>
                <c:pt idx="12">
                  <c:v>0.27832699102768171</c:v>
                </c:pt>
                <c:pt idx="13">
                  <c:v>0.29159295435772503</c:v>
                </c:pt>
                <c:pt idx="14">
                  <c:v>0.37916922656306401</c:v>
                </c:pt>
                <c:pt idx="15">
                  <c:v>1.781989990773131E-2</c:v>
                </c:pt>
                <c:pt idx="16">
                  <c:v>0.36450086052988051</c:v>
                </c:pt>
                <c:pt idx="17">
                  <c:v>-6.9051390149412681E-2</c:v>
                </c:pt>
                <c:pt idx="18">
                  <c:v>0.19850927828339104</c:v>
                </c:pt>
                <c:pt idx="19">
                  <c:v>0.32150601856840716</c:v>
                </c:pt>
                <c:pt idx="20">
                  <c:v>0.35626268364085967</c:v>
                </c:pt>
                <c:pt idx="21">
                  <c:v>1.0647927179276142</c:v>
                </c:pt>
                <c:pt idx="22">
                  <c:v>0.84846050084183755</c:v>
                </c:pt>
                <c:pt idx="23">
                  <c:v>0.80860359811504845</c:v>
                </c:pt>
                <c:pt idx="24">
                  <c:v>0.47304853811916969</c:v>
                </c:pt>
                <c:pt idx="25">
                  <c:v>0.14476620973557222</c:v>
                </c:pt>
                <c:pt idx="26">
                  <c:v>0.18486837793719377</c:v>
                </c:pt>
                <c:pt idx="27">
                  <c:v>-0.19246221652367956</c:v>
                </c:pt>
                <c:pt idx="28">
                  <c:v>3.9363634088702436E-2</c:v>
                </c:pt>
              </c:numCache>
            </c:numRef>
          </c:val>
          <c:extLst>
            <c:ext xmlns:c16="http://schemas.microsoft.com/office/drawing/2014/chart" uri="{C3380CC4-5D6E-409C-BE32-E72D297353CC}">
              <c16:uniqueId val="{00000002-D693-4991-B601-3DC9CED00CB1}"/>
            </c:ext>
          </c:extLst>
        </c:ser>
        <c:ser>
          <c:idx val="3"/>
          <c:order val="3"/>
          <c:tx>
            <c:strRef>
              <c:f>'GRAF příspěvky IPP'!$A$35</c:f>
              <c:strCache>
                <c:ptCount val="1"/>
                <c:pt idx="0">
                  <c:v>Kovodělný průmysl (25)</c:v>
                </c:pt>
              </c:strCache>
            </c:strRef>
          </c:tx>
          <c:spPr>
            <a:solidFill>
              <a:srgbClr val="48AEE7"/>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IPP'!$F$35:$AH$35</c:f>
              <c:numCache>
                <c:formatCode>0.0</c:formatCode>
                <c:ptCount val="29"/>
                <c:pt idx="0">
                  <c:v>-6.6514476486077501E-2</c:v>
                </c:pt>
                <c:pt idx="1">
                  <c:v>-7.3342687149672695E-2</c:v>
                </c:pt>
                <c:pt idx="2">
                  <c:v>0.10363464102827508</c:v>
                </c:pt>
                <c:pt idx="3">
                  <c:v>-0.16145263797014556</c:v>
                </c:pt>
                <c:pt idx="4">
                  <c:v>-8.2159524291812738E-2</c:v>
                </c:pt>
                <c:pt idx="5">
                  <c:v>9.286896218709495E-2</c:v>
                </c:pt>
                <c:pt idx="6">
                  <c:v>0.38311516609077362</c:v>
                </c:pt>
                <c:pt idx="7">
                  <c:v>0.56967075654605959</c:v>
                </c:pt>
                <c:pt idx="8">
                  <c:v>0.73131867751878388</c:v>
                </c:pt>
                <c:pt idx="9">
                  <c:v>0.63955710701683133</c:v>
                </c:pt>
                <c:pt idx="10">
                  <c:v>0.13796392398444496</c:v>
                </c:pt>
                <c:pt idx="11">
                  <c:v>0.35044871686260598</c:v>
                </c:pt>
                <c:pt idx="12">
                  <c:v>0.69752018574312757</c:v>
                </c:pt>
                <c:pt idx="13">
                  <c:v>0.78069864008168055</c:v>
                </c:pt>
                <c:pt idx="14">
                  <c:v>0.92145489387273505</c:v>
                </c:pt>
                <c:pt idx="15">
                  <c:v>0.62569777143327532</c:v>
                </c:pt>
                <c:pt idx="16">
                  <c:v>0.75848604717513379</c:v>
                </c:pt>
                <c:pt idx="17">
                  <c:v>0.39407337586741892</c:v>
                </c:pt>
                <c:pt idx="18">
                  <c:v>0.20786247012396855</c:v>
                </c:pt>
                <c:pt idx="19">
                  <c:v>0.25885378383640428</c:v>
                </c:pt>
                <c:pt idx="20">
                  <c:v>0.51937603959814027</c:v>
                </c:pt>
                <c:pt idx="21">
                  <c:v>0.90938443427805682</c:v>
                </c:pt>
                <c:pt idx="22">
                  <c:v>0.81941846333328994</c:v>
                </c:pt>
                <c:pt idx="23">
                  <c:v>0.96985539906457718</c:v>
                </c:pt>
                <c:pt idx="24">
                  <c:v>0.65412230976581631</c:v>
                </c:pt>
                <c:pt idx="25">
                  <c:v>0.44319835953798226</c:v>
                </c:pt>
                <c:pt idx="26">
                  <c:v>0.42907934907412904</c:v>
                </c:pt>
                <c:pt idx="27">
                  <c:v>0.16483038496854438</c:v>
                </c:pt>
                <c:pt idx="28">
                  <c:v>0.15808497992841608</c:v>
                </c:pt>
              </c:numCache>
            </c:numRef>
          </c:val>
          <c:extLst>
            <c:ext xmlns:c16="http://schemas.microsoft.com/office/drawing/2014/chart" uri="{C3380CC4-5D6E-409C-BE32-E72D297353CC}">
              <c16:uniqueId val="{00000003-D693-4991-B601-3DC9CED00CB1}"/>
            </c:ext>
          </c:extLst>
        </c:ser>
        <c:ser>
          <c:idx val="4"/>
          <c:order val="4"/>
          <c:tx>
            <c:strRef>
              <c:f>'GRAF příspěvky IPP'!$A$36</c:f>
              <c:strCache>
                <c:ptCount val="1"/>
                <c:pt idx="0">
                  <c:v>Výroba PC, elektronic. a optic. přístr. (26)</c:v>
                </c:pt>
              </c:strCache>
            </c:strRef>
          </c:tx>
          <c:spPr>
            <a:solidFill>
              <a:srgbClr val="FDDEB3"/>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IPP'!$F$36:$AH$36</c:f>
              <c:numCache>
                <c:formatCode>0.0</c:formatCode>
                <c:ptCount val="29"/>
                <c:pt idx="0">
                  <c:v>-0.63245776036395984</c:v>
                </c:pt>
                <c:pt idx="1">
                  <c:v>-0.77404145043570627</c:v>
                </c:pt>
                <c:pt idx="2">
                  <c:v>-0.66225050698900134</c:v>
                </c:pt>
                <c:pt idx="3">
                  <c:v>-0.4416747399469686</c:v>
                </c:pt>
                <c:pt idx="4">
                  <c:v>0.17467389713018558</c:v>
                </c:pt>
                <c:pt idx="5">
                  <c:v>0.21019414413841453</c:v>
                </c:pt>
                <c:pt idx="6">
                  <c:v>0.2864313771080319</c:v>
                </c:pt>
                <c:pt idx="7">
                  <c:v>0.37118882448330998</c:v>
                </c:pt>
                <c:pt idx="8">
                  <c:v>0.25436485129926611</c:v>
                </c:pt>
                <c:pt idx="9">
                  <c:v>0.35812460138361812</c:v>
                </c:pt>
                <c:pt idx="10">
                  <c:v>0.24882306773154061</c:v>
                </c:pt>
                <c:pt idx="11">
                  <c:v>0.43276478248186534</c:v>
                </c:pt>
                <c:pt idx="12">
                  <c:v>0.1016909527808563</c:v>
                </c:pt>
                <c:pt idx="13">
                  <c:v>1.4154514873228306E-2</c:v>
                </c:pt>
                <c:pt idx="14">
                  <c:v>4.8795542794375368E-2</c:v>
                </c:pt>
                <c:pt idx="15">
                  <c:v>-7.6486878800618135E-2</c:v>
                </c:pt>
                <c:pt idx="16">
                  <c:v>0</c:v>
                </c:pt>
                <c:pt idx="17">
                  <c:v>4.9500595864093791E-2</c:v>
                </c:pt>
                <c:pt idx="18">
                  <c:v>5.3821883781074741E-2</c:v>
                </c:pt>
                <c:pt idx="19">
                  <c:v>0.16393002768986806</c:v>
                </c:pt>
                <c:pt idx="20">
                  <c:v>0.12720409542401243</c:v>
                </c:pt>
                <c:pt idx="21">
                  <c:v>0.37722657172069585</c:v>
                </c:pt>
                <c:pt idx="22">
                  <c:v>0.23589929598354478</c:v>
                </c:pt>
                <c:pt idx="23">
                  <c:v>0.23405074111066751</c:v>
                </c:pt>
                <c:pt idx="24">
                  <c:v>0.40841205756367421</c:v>
                </c:pt>
                <c:pt idx="25">
                  <c:v>0.15022174099177518</c:v>
                </c:pt>
                <c:pt idx="26">
                  <c:v>0.63690848940509115</c:v>
                </c:pt>
                <c:pt idx="27">
                  <c:v>0.30590035521772224</c:v>
                </c:pt>
                <c:pt idx="28">
                  <c:v>0.17144112724479707</c:v>
                </c:pt>
              </c:numCache>
            </c:numRef>
          </c:val>
          <c:extLst>
            <c:ext xmlns:c16="http://schemas.microsoft.com/office/drawing/2014/chart" uri="{C3380CC4-5D6E-409C-BE32-E72D297353CC}">
              <c16:uniqueId val="{00000004-D693-4991-B601-3DC9CED00CB1}"/>
            </c:ext>
          </c:extLst>
        </c:ser>
        <c:ser>
          <c:idx val="5"/>
          <c:order val="5"/>
          <c:tx>
            <c:strRef>
              <c:f>'GRAF příspěvky IPP'!$A$37</c:f>
              <c:strCache>
                <c:ptCount val="1"/>
                <c:pt idx="0">
                  <c:v>Chemický a farmaceutický pr. (20+21)</c:v>
                </c:pt>
              </c:strCache>
            </c:strRef>
          </c:tx>
          <c:spPr>
            <a:solidFill>
              <a:srgbClr val="F8A124"/>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IPP'!$F$37:$AH$37</c:f>
              <c:numCache>
                <c:formatCode>0.0</c:formatCode>
                <c:ptCount val="29"/>
                <c:pt idx="0">
                  <c:v>8.0797212942745181E-2</c:v>
                </c:pt>
                <c:pt idx="1">
                  <c:v>-9.8083333850390669E-2</c:v>
                </c:pt>
                <c:pt idx="2">
                  <c:v>0.2931368710398069</c:v>
                </c:pt>
                <c:pt idx="3">
                  <c:v>8.1304750180385743E-2</c:v>
                </c:pt>
                <c:pt idx="4">
                  <c:v>-0.16133731408121707</c:v>
                </c:pt>
                <c:pt idx="5">
                  <c:v>2.5011128929958708E-2</c:v>
                </c:pt>
                <c:pt idx="6">
                  <c:v>-0.19584426798635859</c:v>
                </c:pt>
                <c:pt idx="7">
                  <c:v>0.22028075022638577</c:v>
                </c:pt>
                <c:pt idx="8">
                  <c:v>0.41605736757706308</c:v>
                </c:pt>
                <c:pt idx="9">
                  <c:v>0.30259515004571136</c:v>
                </c:pt>
                <c:pt idx="10">
                  <c:v>0.37231498218051085</c:v>
                </c:pt>
                <c:pt idx="11">
                  <c:v>0.12425244912027755</c:v>
                </c:pt>
                <c:pt idx="12">
                  <c:v>7.5536144712547285E-2</c:v>
                </c:pt>
                <c:pt idx="13">
                  <c:v>0.23897170690908801</c:v>
                </c:pt>
                <c:pt idx="14">
                  <c:v>-0.16868273111371118</c:v>
                </c:pt>
                <c:pt idx="15">
                  <c:v>-0.33155900660842996</c:v>
                </c:pt>
                <c:pt idx="16">
                  <c:v>-0.42141366234773647</c:v>
                </c:pt>
                <c:pt idx="17">
                  <c:v>-0.41865631031483336</c:v>
                </c:pt>
                <c:pt idx="18">
                  <c:v>-0.112184127274519</c:v>
                </c:pt>
                <c:pt idx="19">
                  <c:v>0.23370867984991769</c:v>
                </c:pt>
                <c:pt idx="20">
                  <c:v>0.53306418431628844</c:v>
                </c:pt>
                <c:pt idx="21">
                  <c:v>0.81421630557623526</c:v>
                </c:pt>
                <c:pt idx="22">
                  <c:v>0.65133086792843509</c:v>
                </c:pt>
                <c:pt idx="23">
                  <c:v>0.50748040986382348</c:v>
                </c:pt>
                <c:pt idx="24">
                  <c:v>0.39834714620638623</c:v>
                </c:pt>
                <c:pt idx="25">
                  <c:v>8.2771275877324191E-2</c:v>
                </c:pt>
                <c:pt idx="26">
                  <c:v>-5.2685224398581379E-2</c:v>
                </c:pt>
                <c:pt idx="27">
                  <c:v>-6.6134018054349333E-2</c:v>
                </c:pt>
                <c:pt idx="28">
                  <c:v>0.13195515032911637</c:v>
                </c:pt>
              </c:numCache>
            </c:numRef>
          </c:val>
          <c:extLst>
            <c:ext xmlns:c16="http://schemas.microsoft.com/office/drawing/2014/chart" uri="{C3380CC4-5D6E-409C-BE32-E72D297353CC}">
              <c16:uniqueId val="{00000005-D693-4991-B601-3DC9CED00CB1}"/>
            </c:ext>
          </c:extLst>
        </c:ser>
        <c:ser>
          <c:idx val="6"/>
          <c:order val="6"/>
          <c:tx>
            <c:strRef>
              <c:f>'GRAF příspěvky IPP'!$A$38</c:f>
              <c:strCache>
                <c:ptCount val="1"/>
                <c:pt idx="0">
                  <c:v>Zbývající zpracovatelský průmysl</c:v>
                </c:pt>
              </c:strCache>
            </c:strRef>
          </c:tx>
          <c:spPr>
            <a:solidFill>
              <a:schemeClr val="bg1">
                <a:lumMod val="85000"/>
              </a:schemeClr>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IPP'!$F$38:$AH$38</c:f>
              <c:numCache>
                <c:formatCode>0.0</c:formatCode>
                <c:ptCount val="29"/>
                <c:pt idx="0">
                  <c:v>-1.117615111710859</c:v>
                </c:pt>
                <c:pt idx="1">
                  <c:v>-0.95620463023923719</c:v>
                </c:pt>
                <c:pt idx="2">
                  <c:v>-0.63862999967945933</c:v>
                </c:pt>
                <c:pt idx="3">
                  <c:v>-1.4041859725072221</c:v>
                </c:pt>
                <c:pt idx="4">
                  <c:v>-0.13029520241363662</c:v>
                </c:pt>
                <c:pt idx="5">
                  <c:v>-3.7358387860902342E-2</c:v>
                </c:pt>
                <c:pt idx="6">
                  <c:v>0.67372820804565214</c:v>
                </c:pt>
                <c:pt idx="7">
                  <c:v>1.419517828351488</c:v>
                </c:pt>
                <c:pt idx="8">
                  <c:v>1.1062169641993655</c:v>
                </c:pt>
                <c:pt idx="9">
                  <c:v>1.2118999929439469</c:v>
                </c:pt>
                <c:pt idx="10">
                  <c:v>0.47232149181081762</c:v>
                </c:pt>
                <c:pt idx="11">
                  <c:v>1.3246456842380105</c:v>
                </c:pt>
                <c:pt idx="12">
                  <c:v>1.0354669734013808</c:v>
                </c:pt>
                <c:pt idx="13">
                  <c:v>0.8741185897367626</c:v>
                </c:pt>
                <c:pt idx="14">
                  <c:v>1.0398417628407703</c:v>
                </c:pt>
                <c:pt idx="15">
                  <c:v>-0.23385945543910308</c:v>
                </c:pt>
                <c:pt idx="16">
                  <c:v>7.8780624629978036E-2</c:v>
                </c:pt>
                <c:pt idx="17">
                  <c:v>-0.27265528249529897</c:v>
                </c:pt>
                <c:pt idx="18">
                  <c:v>5.9675695447829025E-2</c:v>
                </c:pt>
                <c:pt idx="19">
                  <c:v>0.55700237533073271</c:v>
                </c:pt>
                <c:pt idx="20">
                  <c:v>0.2529751150076861</c:v>
                </c:pt>
                <c:pt idx="21">
                  <c:v>1.3966693669108228</c:v>
                </c:pt>
                <c:pt idx="22">
                  <c:v>0.76480988742038059</c:v>
                </c:pt>
                <c:pt idx="23">
                  <c:v>1.0099344525375158</c:v>
                </c:pt>
                <c:pt idx="24">
                  <c:v>1.1165184787981175</c:v>
                </c:pt>
                <c:pt idx="25">
                  <c:v>0.68718057153452672</c:v>
                </c:pt>
                <c:pt idx="26">
                  <c:v>1.0553800823685426</c:v>
                </c:pt>
                <c:pt idx="27">
                  <c:v>0.53845860359056064</c:v>
                </c:pt>
                <c:pt idx="28">
                  <c:v>-0.31936490520714211</c:v>
                </c:pt>
              </c:numCache>
            </c:numRef>
          </c:val>
          <c:extLst>
            <c:ext xmlns:c16="http://schemas.microsoft.com/office/drawing/2014/chart" uri="{C3380CC4-5D6E-409C-BE32-E72D297353CC}">
              <c16:uniqueId val="{00000006-D693-4991-B601-3DC9CED00CB1}"/>
            </c:ext>
          </c:extLst>
        </c:ser>
        <c:ser>
          <c:idx val="7"/>
          <c:order val="7"/>
          <c:tx>
            <c:strRef>
              <c:f>'GRAF příspěvky IPP'!$A$39</c:f>
              <c:strCache>
                <c:ptCount val="1"/>
                <c:pt idx="0">
                  <c:v>Těžba a energetika (B)</c:v>
                </c:pt>
              </c:strCache>
            </c:strRef>
          </c:tx>
          <c:spPr>
            <a:solidFill>
              <a:srgbClr val="808080"/>
            </a:solidFill>
          </c:spPr>
          <c:invertIfNegative val="0"/>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IPP'!$F$39:$AH$39</c:f>
              <c:numCache>
                <c:formatCode>0.0</c:formatCode>
                <c:ptCount val="29"/>
                <c:pt idx="0">
                  <c:v>4.1919421047110217E-2</c:v>
                </c:pt>
                <c:pt idx="1">
                  <c:v>0.33634606020701019</c:v>
                </c:pt>
                <c:pt idx="2">
                  <c:v>-0.14948549571793562</c:v>
                </c:pt>
                <c:pt idx="3">
                  <c:v>-1.0826618161280459</c:v>
                </c:pt>
                <c:pt idx="4">
                  <c:v>-0.89076450159691012</c:v>
                </c:pt>
                <c:pt idx="5">
                  <c:v>-1.3940480359741478</c:v>
                </c:pt>
                <c:pt idx="6">
                  <c:v>-0.86587922470550971</c:v>
                </c:pt>
                <c:pt idx="7">
                  <c:v>0.51845297827894687</c:v>
                </c:pt>
                <c:pt idx="8">
                  <c:v>-0.4951641145519059</c:v>
                </c:pt>
                <c:pt idx="9">
                  <c:v>-0.36486604132261174</c:v>
                </c:pt>
                <c:pt idx="10">
                  <c:v>-0.47923307922114755</c:v>
                </c:pt>
                <c:pt idx="11">
                  <c:v>-0.67369041908719907</c:v>
                </c:pt>
                <c:pt idx="12">
                  <c:v>0.14380907492111705</c:v>
                </c:pt>
                <c:pt idx="13">
                  <c:v>-0.34103812094933217</c:v>
                </c:pt>
                <c:pt idx="14">
                  <c:v>-0.38101238757299938</c:v>
                </c:pt>
                <c:pt idx="15">
                  <c:v>-1.1237062260900912</c:v>
                </c:pt>
                <c:pt idx="16">
                  <c:v>-0.67307280926577207</c:v>
                </c:pt>
                <c:pt idx="17">
                  <c:v>9.8553925749019666E-2</c:v>
                </c:pt>
                <c:pt idx="18">
                  <c:v>-0.46713744969622628</c:v>
                </c:pt>
                <c:pt idx="19">
                  <c:v>0.50553236603507523</c:v>
                </c:pt>
                <c:pt idx="20">
                  <c:v>0.66557962621400024</c:v>
                </c:pt>
                <c:pt idx="21">
                  <c:v>-0.17987830257272874</c:v>
                </c:pt>
                <c:pt idx="22">
                  <c:v>0.77265696859826016</c:v>
                </c:pt>
                <c:pt idx="23">
                  <c:v>0.73575498923155713</c:v>
                </c:pt>
                <c:pt idx="24">
                  <c:v>-0.53968738070171485</c:v>
                </c:pt>
                <c:pt idx="25">
                  <c:v>1.0083156140964833E-2</c:v>
                </c:pt>
                <c:pt idx="26">
                  <c:v>0.78205087426774245</c:v>
                </c:pt>
                <c:pt idx="27">
                  <c:v>0.32754435807611393</c:v>
                </c:pt>
                <c:pt idx="28">
                  <c:v>0.21155572346317478</c:v>
                </c:pt>
              </c:numCache>
            </c:numRef>
          </c:val>
          <c:extLst>
            <c:ext xmlns:c16="http://schemas.microsoft.com/office/drawing/2014/chart" uri="{C3380CC4-5D6E-409C-BE32-E72D297353CC}">
              <c16:uniqueId val="{00000007-D693-4991-B601-3DC9CED00CB1}"/>
            </c:ext>
          </c:extLst>
        </c:ser>
        <c:dLbls>
          <c:showLegendKey val="0"/>
          <c:showVal val="0"/>
          <c:showCatName val="0"/>
          <c:showSerName val="0"/>
          <c:showPercent val="0"/>
          <c:showBubbleSize val="0"/>
        </c:dLbls>
        <c:gapWidth val="32"/>
        <c:overlap val="100"/>
        <c:axId val="131052672"/>
        <c:axId val="131054208"/>
      </c:barChart>
      <c:lineChart>
        <c:grouping val="standard"/>
        <c:varyColors val="0"/>
        <c:ser>
          <c:idx val="8"/>
          <c:order val="8"/>
          <c:tx>
            <c:strRef>
              <c:f>'GRAF příspěvky IPP'!$A$40</c:f>
              <c:strCache>
                <c:ptCount val="1"/>
                <c:pt idx="0">
                  <c:v>Průmysl celkem (NACE B až D)</c:v>
                </c:pt>
              </c:strCache>
            </c:strRef>
          </c:tx>
          <c:spPr>
            <a:ln w="19050">
              <a:solidFill>
                <a:schemeClr val="tx1">
                  <a:lumMod val="95000"/>
                  <a:lumOff val="5000"/>
                </a:schemeClr>
              </a:solidFill>
            </a:ln>
          </c:spPr>
          <c:marker>
            <c:symbol val="none"/>
          </c:marker>
          <c:cat>
            <c:multiLvlStrRef>
              <c:f>'GRAF příspěvky IPP'!$F$30:$AH$31</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'GRAF příspěvky IPP'!$F$40:$AH$40</c:f>
              <c:numCache>
                <c:formatCode>#,##0.0</c:formatCode>
                <c:ptCount val="29"/>
                <c:pt idx="0">
                  <c:v>1.7776371540000042</c:v>
                </c:pt>
                <c:pt idx="1">
                  <c:v>0.40341299639999306</c:v>
                </c:pt>
                <c:pt idx="2">
                  <c:v>-0.21112265520000051</c:v>
                </c:pt>
                <c:pt idx="3">
                  <c:v>-5.3481617104000065</c:v>
                </c:pt>
                <c:pt idx="4">
                  <c:v>-4.2249701698000024</c:v>
                </c:pt>
                <c:pt idx="5">
                  <c:v>-2.3853554206000069</c:v>
                </c:pt>
                <c:pt idx="6">
                  <c:v>1.2316497516000027</c:v>
                </c:pt>
                <c:pt idx="7">
                  <c:v>6.3229322730999939</c:v>
                </c:pt>
                <c:pt idx="8">
                  <c:v>7.1030450258000002</c:v>
                </c:pt>
                <c:pt idx="9">
                  <c:v>6.1297209744000014</c:v>
                </c:pt>
                <c:pt idx="10">
                  <c:v>2.9753758001999984</c:v>
                </c:pt>
                <c:pt idx="11">
                  <c:v>4.2327805536999961</c:v>
                </c:pt>
                <c:pt idx="12">
                  <c:v>4.873394060199999</c:v>
                </c:pt>
                <c:pt idx="13">
                  <c:v>5.3081959839000064</c:v>
                </c:pt>
                <c:pt idx="14">
                  <c:v>5.5472987825999951</c:v>
                </c:pt>
                <c:pt idx="15">
                  <c:v>2.4027878042000026</c:v>
                </c:pt>
                <c:pt idx="16">
                  <c:v>4.0765835575000011</c:v>
                </c:pt>
                <c:pt idx="17">
                  <c:v>2.6745568033000069</c:v>
                </c:pt>
                <c:pt idx="18">
                  <c:v>1.6551514254000068</c:v>
                </c:pt>
                <c:pt idx="19">
                  <c:v>3.5118172237000067</c:v>
                </c:pt>
                <c:pt idx="20">
                  <c:v>5.2597731895999971</c:v>
                </c:pt>
                <c:pt idx="21">
                  <c:v>7.9444180928999941</c:v>
                </c:pt>
                <c:pt idx="22">
                  <c:v>6.519713423400006</c:v>
                </c:pt>
                <c:pt idx="23">
                  <c:v>7.5755516541999981</c:v>
                </c:pt>
                <c:pt idx="24">
                  <c:v>4.2215540212000064</c:v>
                </c:pt>
                <c:pt idx="25">
                  <c:v>2.4035498965999977</c:v>
                </c:pt>
                <c:pt idx="26">
                  <c:v>3.6952452633999968</c:v>
                </c:pt>
                <c:pt idx="27">
                  <c:v>2.0275502788999944</c:v>
                </c:pt>
                <c:pt idx="28">
                  <c:v>0.26347344879999923</c:v>
                </c:pt>
              </c:numCache>
            </c:numRef>
          </c:val>
          <c:smooth val="0"/>
          <c:extLst>
            <c:ext xmlns:c16="http://schemas.microsoft.com/office/drawing/2014/chart" uri="{C3380CC4-5D6E-409C-BE32-E72D297353CC}">
              <c16:uniqueId val="{00000008-D693-4991-B601-3DC9CED00CB1}"/>
            </c:ext>
          </c:extLst>
        </c:ser>
        <c:dLbls>
          <c:showLegendKey val="0"/>
          <c:showVal val="0"/>
          <c:showCatName val="0"/>
          <c:showSerName val="0"/>
          <c:showPercent val="0"/>
          <c:showBubbleSize val="0"/>
        </c:dLbls>
        <c:marker val="1"/>
        <c:smooth val="0"/>
        <c:axId val="131052672"/>
        <c:axId val="131054208"/>
      </c:lineChart>
      <c:catAx>
        <c:axId val="131052672"/>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31054208"/>
        <c:crosses val="autoZero"/>
        <c:auto val="1"/>
        <c:lblAlgn val="ctr"/>
        <c:lblOffset val="0"/>
        <c:noMultiLvlLbl val="0"/>
      </c:catAx>
      <c:valAx>
        <c:axId val="131054208"/>
        <c:scaling>
          <c:orientation val="minMax"/>
          <c:max val="11"/>
          <c:min val="-6"/>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31052672"/>
        <c:crosses val="autoZero"/>
        <c:crossBetween val="between"/>
        <c:majorUnit val="1"/>
      </c:valAx>
      <c:spPr>
        <a:noFill/>
        <a:ln w="6350">
          <a:solidFill>
            <a:prstClr val="black">
              <a:lumMod val="95000"/>
              <a:lumOff val="5000"/>
            </a:prstClr>
          </a:solidFill>
        </a:ln>
      </c:spPr>
    </c:plotArea>
    <c:legend>
      <c:legendPos val="r"/>
      <c:layout>
        <c:manualLayout>
          <c:xMode val="edge"/>
          <c:yMode val="edge"/>
          <c:x val="3.3056192145588408E-2"/>
          <c:y val="0.82802404283095155"/>
          <c:w val="0.9607942953080415"/>
          <c:h val="0.16188919209533764"/>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277854581154255E-2"/>
          <c:y val="1.643251153889452E-2"/>
          <c:w val="0.90094328257138789"/>
          <c:h val="0.77409039738827223"/>
        </c:manualLayout>
      </c:layout>
      <c:barChart>
        <c:barDir val="col"/>
        <c:grouping val="clustered"/>
        <c:varyColors val="0"/>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2'!$G$31:$AI$31</c:f>
              <c:numCache>
                <c:formatCode>#,##0.0__</c:formatCode>
                <c:ptCount val="29"/>
                <c:pt idx="0">
                  <c:v>7.8919882289544319</c:v>
                </c:pt>
                <c:pt idx="1">
                  <c:v>0.24363263911027389</c:v>
                </c:pt>
                <c:pt idx="2">
                  <c:v>2.6780600325356119</c:v>
                </c:pt>
                <c:pt idx="3">
                  <c:v>-2.2927798243121345</c:v>
                </c:pt>
                <c:pt idx="4">
                  <c:v>-6.7566875441004868</c:v>
                </c:pt>
                <c:pt idx="5">
                  <c:v>-0.77743908810788298</c:v>
                </c:pt>
                <c:pt idx="6">
                  <c:v>12.110592029586002</c:v>
                </c:pt>
                <c:pt idx="7">
                  <c:v>12.611542535334834</c:v>
                </c:pt>
                <c:pt idx="8">
                  <c:v>18.454576257258609</c:v>
                </c:pt>
                <c:pt idx="9">
                  <c:v>13.812603337719324</c:v>
                </c:pt>
                <c:pt idx="10">
                  <c:v>11.164927309703884</c:v>
                </c:pt>
                <c:pt idx="11">
                  <c:v>7.3250322249586759</c:v>
                </c:pt>
                <c:pt idx="12">
                  <c:v>8.5397251010390391</c:v>
                </c:pt>
                <c:pt idx="13">
                  <c:v>6.4894834031568251</c:v>
                </c:pt>
                <c:pt idx="14">
                  <c:v>4.1045761314248068</c:v>
                </c:pt>
                <c:pt idx="15">
                  <c:v>6.0151063810169205</c:v>
                </c:pt>
                <c:pt idx="16">
                  <c:v>1.3550678522953064</c:v>
                </c:pt>
                <c:pt idx="17">
                  <c:v>10.856046878525433</c:v>
                </c:pt>
                <c:pt idx="18">
                  <c:v>1.6431282237439291</c:v>
                </c:pt>
                <c:pt idx="19">
                  <c:v>6.7220844736941103</c:v>
                </c:pt>
                <c:pt idx="20">
                  <c:v>10.841479121555906</c:v>
                </c:pt>
                <c:pt idx="21">
                  <c:v>4.5315942367003714</c:v>
                </c:pt>
                <c:pt idx="22">
                  <c:v>6.9082617878945598</c:v>
                </c:pt>
                <c:pt idx="23">
                  <c:v>7.5112613571588724</c:v>
                </c:pt>
                <c:pt idx="24">
                  <c:v>1.6339188767607453</c:v>
                </c:pt>
                <c:pt idx="25">
                  <c:v>4.6301209797549205</c:v>
                </c:pt>
                <c:pt idx="26">
                  <c:v>3.6945404784506337</c:v>
                </c:pt>
                <c:pt idx="27">
                  <c:v>4.2467023509658759</c:v>
                </c:pt>
                <c:pt idx="28">
                  <c:v>3.3476432191151559</c:v>
                </c:pt>
              </c:numCache>
            </c:numRef>
          </c:val>
          <c:extLst>
            <c:ext xmlns:c16="http://schemas.microsoft.com/office/drawing/2014/chart" uri="{C3380CC4-5D6E-409C-BE32-E72D297353CC}">
              <c16:uniqueId val="{00000000-3580-48AA-B593-D5469C37E2A6}"/>
            </c:ext>
          </c:extLst>
        </c:ser>
        <c:dLbls>
          <c:showLegendKey val="0"/>
          <c:showVal val="0"/>
          <c:showCatName val="0"/>
          <c:showSerName val="0"/>
          <c:showPercent val="0"/>
          <c:showBubbleSize val="0"/>
        </c:dLbls>
        <c:gapWidth val="34"/>
        <c:overlap val="28"/>
        <c:axId val="168454016"/>
        <c:axId val="168460672"/>
      </c:barChart>
      <c:lineChart>
        <c:grouping val="standard"/>
        <c:varyColors val="0"/>
        <c:ser>
          <c:idx val="2"/>
          <c:order val="1"/>
          <c:tx>
            <c:strRef>
              <c:f>'výkonnost odvětví 2'!$B$32</c:f>
              <c:strCache>
                <c:ptCount val="1"/>
                <c:pt idx="0">
                  <c:v>Průmyslové zakázky z tuzemska</c:v>
                </c:pt>
              </c:strCache>
            </c:strRef>
          </c:tx>
          <c:spPr>
            <a:ln w="15875">
              <a:solidFill>
                <a:srgbClr val="BD1B21"/>
              </a:solidFill>
              <a:prstDash val="solid"/>
            </a:ln>
          </c:spPr>
          <c:marker>
            <c:symbol val="none"/>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2'!$G$32:$AI$32</c:f>
              <c:numCache>
                <c:formatCode>#,##0.0__</c:formatCode>
                <c:ptCount val="29"/>
                <c:pt idx="0">
                  <c:v>2.6214056871317126</c:v>
                </c:pt>
                <c:pt idx="1">
                  <c:v>-9.2467743432498821</c:v>
                </c:pt>
                <c:pt idx="2">
                  <c:v>-2.8571545096936291</c:v>
                </c:pt>
                <c:pt idx="3">
                  <c:v>-4.0487324448534139</c:v>
                </c:pt>
                <c:pt idx="4">
                  <c:v>-7.112663177047466</c:v>
                </c:pt>
                <c:pt idx="5">
                  <c:v>-0.59561460542927591</c:v>
                </c:pt>
                <c:pt idx="6">
                  <c:v>9.3847374388735147</c:v>
                </c:pt>
                <c:pt idx="7">
                  <c:v>7.0782158358476011</c:v>
                </c:pt>
                <c:pt idx="8">
                  <c:v>14.18383964594139</c:v>
                </c:pt>
                <c:pt idx="9">
                  <c:v>7.7929541685002164</c:v>
                </c:pt>
                <c:pt idx="10">
                  <c:v>16.845115352064937</c:v>
                </c:pt>
                <c:pt idx="11">
                  <c:v>9.6787104542652713</c:v>
                </c:pt>
                <c:pt idx="12">
                  <c:v>4.341961301010727</c:v>
                </c:pt>
                <c:pt idx="13">
                  <c:v>10.024449168168019</c:v>
                </c:pt>
                <c:pt idx="14">
                  <c:v>-4.7604240586837108</c:v>
                </c:pt>
                <c:pt idx="15">
                  <c:v>0.56107209694786775</c:v>
                </c:pt>
                <c:pt idx="16">
                  <c:v>0.20304376106223287</c:v>
                </c:pt>
                <c:pt idx="17">
                  <c:v>4.9376200007964286</c:v>
                </c:pt>
                <c:pt idx="18">
                  <c:v>-0.65834656713856532</c:v>
                </c:pt>
                <c:pt idx="19">
                  <c:v>2.873089889380708</c:v>
                </c:pt>
                <c:pt idx="20">
                  <c:v>16.722989365311648</c:v>
                </c:pt>
                <c:pt idx="21">
                  <c:v>11.567742610098009</c:v>
                </c:pt>
                <c:pt idx="22">
                  <c:v>14.702871802754672</c:v>
                </c:pt>
                <c:pt idx="23">
                  <c:v>15.641374658030259</c:v>
                </c:pt>
                <c:pt idx="24">
                  <c:v>-0.54655499165191657</c:v>
                </c:pt>
                <c:pt idx="25">
                  <c:v>3.3862320433243838</c:v>
                </c:pt>
                <c:pt idx="26">
                  <c:v>4.5707977831681177</c:v>
                </c:pt>
                <c:pt idx="27">
                  <c:v>4.8009732818449038</c:v>
                </c:pt>
                <c:pt idx="28">
                  <c:v>6.3141947655327044</c:v>
                </c:pt>
              </c:numCache>
            </c:numRef>
          </c:val>
          <c:smooth val="0"/>
          <c:extLst>
            <c:ext xmlns:c16="http://schemas.microsoft.com/office/drawing/2014/chart" uri="{C3380CC4-5D6E-409C-BE32-E72D297353CC}">
              <c16:uniqueId val="{00000001-3580-48AA-B593-D5469C37E2A6}"/>
            </c:ext>
          </c:extLst>
        </c:ser>
        <c:ser>
          <c:idx val="5"/>
          <c:order val="2"/>
          <c:tx>
            <c:strRef>
              <c:f>'výkonnost odvětví 2'!$B$33</c:f>
              <c:strCache>
                <c:ptCount val="1"/>
                <c:pt idx="0">
                  <c:v>Celk. zakázky ve výrobě motor. voz.</c:v>
                </c:pt>
              </c:strCache>
            </c:strRef>
          </c:tx>
          <c:spPr>
            <a:ln w="15875">
              <a:solidFill>
                <a:srgbClr val="0071BC"/>
              </a:solidFill>
              <a:prstDash val="solid"/>
            </a:ln>
          </c:spPr>
          <c:marker>
            <c:symbol val="none"/>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2'!$G$33:$AI$33</c:f>
              <c:numCache>
                <c:formatCode>#,##0.0__</c:formatCode>
                <c:ptCount val="29"/>
                <c:pt idx="0">
                  <c:v>19.54636851917148</c:v>
                </c:pt>
                <c:pt idx="1">
                  <c:v>4.6887564118292033</c:v>
                </c:pt>
                <c:pt idx="2">
                  <c:v>1.3322326875189248</c:v>
                </c:pt>
                <c:pt idx="3">
                  <c:v>-2.0219087809167178</c:v>
                </c:pt>
                <c:pt idx="4">
                  <c:v>-15.423726227988496</c:v>
                </c:pt>
                <c:pt idx="5">
                  <c:v>-3.0233686336023169</c:v>
                </c:pt>
                <c:pt idx="6">
                  <c:v>24.654149056071944</c:v>
                </c:pt>
                <c:pt idx="7">
                  <c:v>18.470996489023392</c:v>
                </c:pt>
                <c:pt idx="8">
                  <c:v>33.791068906341536</c:v>
                </c:pt>
                <c:pt idx="9">
                  <c:v>22.39294364855138</c:v>
                </c:pt>
                <c:pt idx="10">
                  <c:v>16.969041222835131</c:v>
                </c:pt>
                <c:pt idx="11">
                  <c:v>12.211301534151133</c:v>
                </c:pt>
                <c:pt idx="12">
                  <c:v>15.316352438277931</c:v>
                </c:pt>
                <c:pt idx="13">
                  <c:v>5.584343456517459</c:v>
                </c:pt>
                <c:pt idx="14">
                  <c:v>13.898535777390734</c:v>
                </c:pt>
                <c:pt idx="15">
                  <c:v>18.975191723154538</c:v>
                </c:pt>
                <c:pt idx="16">
                  <c:v>11.460497347422447</c:v>
                </c:pt>
                <c:pt idx="17">
                  <c:v>33.085131031292235</c:v>
                </c:pt>
                <c:pt idx="18">
                  <c:v>5.912380139380474</c:v>
                </c:pt>
                <c:pt idx="19">
                  <c:v>12.001000805244416</c:v>
                </c:pt>
                <c:pt idx="20">
                  <c:v>7.9804719471503205</c:v>
                </c:pt>
                <c:pt idx="21">
                  <c:v>-1.7592612473364966</c:v>
                </c:pt>
                <c:pt idx="22">
                  <c:v>3.8626497182263222</c:v>
                </c:pt>
                <c:pt idx="23">
                  <c:v>0.37376710568412364</c:v>
                </c:pt>
                <c:pt idx="24">
                  <c:v>0.60861960894675349</c:v>
                </c:pt>
                <c:pt idx="25">
                  <c:v>3.6675371997157811</c:v>
                </c:pt>
                <c:pt idx="26">
                  <c:v>0.69699979014031044</c:v>
                </c:pt>
                <c:pt idx="27">
                  <c:v>1.0371076901644045</c:v>
                </c:pt>
                <c:pt idx="28">
                  <c:v>3.1937048433042747</c:v>
                </c:pt>
              </c:numCache>
            </c:numRef>
          </c:val>
          <c:smooth val="0"/>
          <c:extLst>
            <c:ext xmlns:c16="http://schemas.microsoft.com/office/drawing/2014/chart" uri="{C3380CC4-5D6E-409C-BE32-E72D297353CC}">
              <c16:uniqueId val="{00000002-3580-48AA-B593-D5469C37E2A6}"/>
            </c:ext>
          </c:extLst>
        </c:ser>
        <c:ser>
          <c:idx val="3"/>
          <c:order val="3"/>
          <c:tx>
            <c:strRef>
              <c:f>'výkonnost odvětví 2'!$B$34</c:f>
              <c:strCache>
                <c:ptCount val="1"/>
                <c:pt idx="0">
                  <c:v>Saldo souhr. indikát. důvěry v průmyslu</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2'!$G$34:$AI$34</c:f>
              <c:numCache>
                <c:formatCode>0.0</c:formatCode>
                <c:ptCount val="29"/>
                <c:pt idx="0">
                  <c:v>1.5666666666666667</c:v>
                </c:pt>
                <c:pt idx="1">
                  <c:v>-2.5666666666666669</c:v>
                </c:pt>
                <c:pt idx="2">
                  <c:v>-8.9</c:v>
                </c:pt>
                <c:pt idx="3">
                  <c:v>-10.200000000000001</c:v>
                </c:pt>
                <c:pt idx="4">
                  <c:v>-8.9</c:v>
                </c:pt>
                <c:pt idx="5">
                  <c:v>-10</c:v>
                </c:pt>
                <c:pt idx="6">
                  <c:v>-6.2333333333333334</c:v>
                </c:pt>
                <c:pt idx="7">
                  <c:v>1.7000000000000002</c:v>
                </c:pt>
                <c:pt idx="8">
                  <c:v>2.3333333333333335</c:v>
                </c:pt>
                <c:pt idx="9">
                  <c:v>3.6333333333333329</c:v>
                </c:pt>
                <c:pt idx="10">
                  <c:v>2.5333333333333332</c:v>
                </c:pt>
                <c:pt idx="11">
                  <c:v>2.6666666666666665</c:v>
                </c:pt>
                <c:pt idx="12">
                  <c:v>3</c:v>
                </c:pt>
                <c:pt idx="13">
                  <c:v>3.7666666666666671</c:v>
                </c:pt>
                <c:pt idx="14">
                  <c:v>3.7666666666666671</c:v>
                </c:pt>
                <c:pt idx="15">
                  <c:v>0.76666666666666661</c:v>
                </c:pt>
                <c:pt idx="16">
                  <c:v>3.5666666666666664</c:v>
                </c:pt>
                <c:pt idx="17">
                  <c:v>1.9000000000000001</c:v>
                </c:pt>
                <c:pt idx="18">
                  <c:v>3.7666666666666671</c:v>
                </c:pt>
                <c:pt idx="19">
                  <c:v>5.333333333333333</c:v>
                </c:pt>
                <c:pt idx="20">
                  <c:v>3.3333333333333335</c:v>
                </c:pt>
                <c:pt idx="21">
                  <c:v>0.83333333333333337</c:v>
                </c:pt>
                <c:pt idx="22">
                  <c:v>3.8666666666666667</c:v>
                </c:pt>
                <c:pt idx="23">
                  <c:v>5.8</c:v>
                </c:pt>
                <c:pt idx="24">
                  <c:v>3.9</c:v>
                </c:pt>
                <c:pt idx="25">
                  <c:v>3.4333333333333336</c:v>
                </c:pt>
                <c:pt idx="26">
                  <c:v>1.9666666666666666</c:v>
                </c:pt>
                <c:pt idx="27">
                  <c:v>1.8666666666666665</c:v>
                </c:pt>
                <c:pt idx="28">
                  <c:v>-0.33333333333333331</c:v>
                </c:pt>
              </c:numCache>
            </c:numRef>
          </c:val>
          <c:smooth val="0"/>
          <c:extLst>
            <c:ext xmlns:c16="http://schemas.microsoft.com/office/drawing/2014/chart" uri="{C3380CC4-5D6E-409C-BE32-E72D297353CC}">
              <c16:uniqueId val="{00000003-3580-48AA-B593-D5469C37E2A6}"/>
            </c:ext>
          </c:extLst>
        </c:ser>
        <c:dLbls>
          <c:showLegendKey val="0"/>
          <c:showVal val="0"/>
          <c:showCatName val="0"/>
          <c:showSerName val="0"/>
          <c:showPercent val="0"/>
          <c:showBubbleSize val="0"/>
        </c:dLbls>
        <c:marker val="1"/>
        <c:smooth val="0"/>
        <c:axId val="168454016"/>
        <c:axId val="168460672"/>
      </c:lineChart>
      <c:lineChart>
        <c:grouping val="standard"/>
        <c:varyColors val="0"/>
        <c:ser>
          <c:idx val="1"/>
          <c:order val="4"/>
          <c:tx>
            <c:strRef>
              <c:f>'výkonnost odvětví 2'!$B$35</c:f>
              <c:strCache>
                <c:ptCount val="1"/>
                <c:pt idx="0">
                  <c:v>Využití výrob. kapacit v prům. (pr. osa)</c:v>
                </c:pt>
              </c:strCache>
            </c:strRef>
          </c:tx>
          <c:spPr>
            <a:ln w="15875">
              <a:solidFill>
                <a:srgbClr val="00B050"/>
              </a:solidFill>
              <a:prstDash val="sysDash"/>
            </a:ln>
          </c:spPr>
          <c:marker>
            <c:symbol val="none"/>
          </c:marker>
          <c:cat>
            <c:multiLvlStrRef>
              <c:f>'výkonnost odvětví 2'!$G$29:$AI$30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2'!$G$35:$AI$35</c:f>
              <c:numCache>
                <c:formatCode>0.0</c:formatCode>
                <c:ptCount val="29"/>
                <c:pt idx="0">
                  <c:v>84.6</c:v>
                </c:pt>
                <c:pt idx="1">
                  <c:v>83.6</c:v>
                </c:pt>
                <c:pt idx="2">
                  <c:v>81.2</c:v>
                </c:pt>
                <c:pt idx="3">
                  <c:v>81.2</c:v>
                </c:pt>
                <c:pt idx="4">
                  <c:v>80.900000000000006</c:v>
                </c:pt>
                <c:pt idx="5">
                  <c:v>82.2</c:v>
                </c:pt>
                <c:pt idx="6">
                  <c:v>80.7</c:v>
                </c:pt>
                <c:pt idx="7">
                  <c:v>82.2</c:v>
                </c:pt>
                <c:pt idx="8">
                  <c:v>81.2</c:v>
                </c:pt>
                <c:pt idx="9">
                  <c:v>83.5</c:v>
                </c:pt>
                <c:pt idx="10">
                  <c:v>82.8</c:v>
                </c:pt>
                <c:pt idx="11">
                  <c:v>84.4</c:v>
                </c:pt>
                <c:pt idx="12">
                  <c:v>86.2</c:v>
                </c:pt>
                <c:pt idx="13">
                  <c:v>85</c:v>
                </c:pt>
                <c:pt idx="14">
                  <c:v>85.6</c:v>
                </c:pt>
                <c:pt idx="15">
                  <c:v>83.9</c:v>
                </c:pt>
                <c:pt idx="16">
                  <c:v>84.5</c:v>
                </c:pt>
                <c:pt idx="17">
                  <c:v>84.7</c:v>
                </c:pt>
                <c:pt idx="18">
                  <c:v>84.7</c:v>
                </c:pt>
                <c:pt idx="19">
                  <c:v>84.1</c:v>
                </c:pt>
                <c:pt idx="20">
                  <c:v>84.9</c:v>
                </c:pt>
                <c:pt idx="21">
                  <c:v>83.1</c:v>
                </c:pt>
                <c:pt idx="22">
                  <c:v>84.4</c:v>
                </c:pt>
                <c:pt idx="23">
                  <c:v>84.3</c:v>
                </c:pt>
                <c:pt idx="24">
                  <c:v>85.8</c:v>
                </c:pt>
                <c:pt idx="25">
                  <c:v>85.4</c:v>
                </c:pt>
                <c:pt idx="26">
                  <c:v>86.2</c:v>
                </c:pt>
                <c:pt idx="27">
                  <c:v>85.8</c:v>
                </c:pt>
                <c:pt idx="28">
                  <c:v>85.8</c:v>
                </c:pt>
              </c:numCache>
            </c:numRef>
          </c:val>
          <c:smooth val="0"/>
          <c:extLst>
            <c:ext xmlns:c16="http://schemas.microsoft.com/office/drawing/2014/chart" uri="{C3380CC4-5D6E-409C-BE32-E72D297353CC}">
              <c16:uniqueId val="{00000004-3580-48AA-B593-D5469C37E2A6}"/>
            </c:ext>
          </c:extLst>
        </c:ser>
        <c:dLbls>
          <c:showLegendKey val="0"/>
          <c:showVal val="0"/>
          <c:showCatName val="0"/>
          <c:showSerName val="0"/>
          <c:showPercent val="0"/>
          <c:showBubbleSize val="0"/>
        </c:dLbls>
        <c:marker val="1"/>
        <c:smooth val="0"/>
        <c:axId val="168466688"/>
        <c:axId val="168464768"/>
      </c:lineChart>
      <c:catAx>
        <c:axId val="168454016"/>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68460672"/>
        <c:crossesAt val="0"/>
        <c:auto val="0"/>
        <c:lblAlgn val="ctr"/>
        <c:lblOffset val="0"/>
        <c:tickLblSkip val="1"/>
        <c:tickMarkSkip val="4"/>
        <c:noMultiLvlLbl val="0"/>
      </c:catAx>
      <c:valAx>
        <c:axId val="168460672"/>
        <c:scaling>
          <c:orientation val="minMax"/>
          <c:max val="36"/>
          <c:min val="-16"/>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68454016"/>
        <c:crosses val="autoZero"/>
        <c:crossBetween val="between"/>
        <c:majorUnit val="4"/>
      </c:valAx>
      <c:valAx>
        <c:axId val="168464768"/>
        <c:scaling>
          <c:orientation val="minMax"/>
          <c:max val="90"/>
          <c:min val="0"/>
        </c:scaling>
        <c:delete val="0"/>
        <c:axPos val="r"/>
        <c:numFmt formatCode="0" sourceLinked="0"/>
        <c:majorTickMark val="out"/>
        <c:minorTickMark val="none"/>
        <c:tickLblPos val="nextTo"/>
        <c:crossAx val="168466688"/>
        <c:crosses val="max"/>
        <c:crossBetween val="between"/>
      </c:valAx>
      <c:catAx>
        <c:axId val="168466688"/>
        <c:scaling>
          <c:orientation val="minMax"/>
        </c:scaling>
        <c:delete val="1"/>
        <c:axPos val="b"/>
        <c:numFmt formatCode="General" sourceLinked="1"/>
        <c:majorTickMark val="out"/>
        <c:minorTickMark val="none"/>
        <c:tickLblPos val="none"/>
        <c:crossAx val="168464768"/>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3.4890404821680654E-2"/>
          <c:y val="0.88253517955645477"/>
          <c:w val="0.92313671290543453"/>
          <c:h val="0.10687971406056511"/>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040945877997E-2"/>
          <c:y val="1.6563187842952774E-2"/>
          <c:w val="0.92847707700101312"/>
          <c:h val="0.79283878988810608"/>
        </c:manualLayout>
      </c:layout>
      <c:barChart>
        <c:barDir val="col"/>
        <c:grouping val="stacked"/>
        <c:varyColors val="0"/>
        <c:ser>
          <c:idx val="1"/>
          <c:order val="1"/>
          <c:tx>
            <c:strRef>
              <c:f>'výkonnost odvětví 3'!$Y$10</c:f>
              <c:strCache>
                <c:ptCount val="1"/>
                <c:pt idx="0">
                  <c:v>Pozemní stavitel. (příspěvek v p. b.)</c:v>
                </c:pt>
              </c:strCache>
            </c:strRef>
          </c:tx>
          <c:spPr>
            <a:solidFill>
              <a:srgbClr val="A6CDE9"/>
            </a:solidFill>
            <a:ln w="19050">
              <a:noFill/>
              <a:prstDash val="solid"/>
            </a:ln>
          </c:spPr>
          <c:invertIfNegative val="0"/>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3'!$Y$19:$Y$47</c:f>
              <c:numCache>
                <c:formatCode>0.0</c:formatCode>
                <c:ptCount val="29"/>
                <c:pt idx="0">
                  <c:v>-5.3022031302793717</c:v>
                </c:pt>
                <c:pt idx="1">
                  <c:v>-1.5999045389578102</c:v>
                </c:pt>
                <c:pt idx="2">
                  <c:v>-3.5130102420491762</c:v>
                </c:pt>
                <c:pt idx="3">
                  <c:v>-6.7555301608648861</c:v>
                </c:pt>
                <c:pt idx="4">
                  <c:v>-7.4494613166624175</c:v>
                </c:pt>
                <c:pt idx="5">
                  <c:v>-7.6445497128481437</c:v>
                </c:pt>
                <c:pt idx="6">
                  <c:v>-1.0682691783109799</c:v>
                </c:pt>
                <c:pt idx="7">
                  <c:v>-1.9493377311710223</c:v>
                </c:pt>
                <c:pt idx="8">
                  <c:v>12.566943344133882</c:v>
                </c:pt>
                <c:pt idx="9">
                  <c:v>3.6351497652780851</c:v>
                </c:pt>
                <c:pt idx="10">
                  <c:v>-0.45324693117659842</c:v>
                </c:pt>
                <c:pt idx="11">
                  <c:v>-0.36606393008697818</c:v>
                </c:pt>
                <c:pt idx="12">
                  <c:v>6.1271532249555065</c:v>
                </c:pt>
                <c:pt idx="13">
                  <c:v>5.1643460249363384</c:v>
                </c:pt>
                <c:pt idx="14">
                  <c:v>0.83297673757564561</c:v>
                </c:pt>
                <c:pt idx="15">
                  <c:v>-1.7982617757414765</c:v>
                </c:pt>
                <c:pt idx="16">
                  <c:v>-4.9815161309290197</c:v>
                </c:pt>
                <c:pt idx="17">
                  <c:v>-5.090359103416124</c:v>
                </c:pt>
                <c:pt idx="18">
                  <c:v>0.80114826815278817</c:v>
                </c:pt>
                <c:pt idx="19">
                  <c:v>4.0255253535152793</c:v>
                </c:pt>
                <c:pt idx="20">
                  <c:v>2.3613815385973198</c:v>
                </c:pt>
                <c:pt idx="21">
                  <c:v>10.131059779582992</c:v>
                </c:pt>
                <c:pt idx="22">
                  <c:v>3.498785055616723</c:v>
                </c:pt>
                <c:pt idx="23">
                  <c:v>2.6836523585599443</c:v>
                </c:pt>
                <c:pt idx="24">
                  <c:v>13.601573712178984</c:v>
                </c:pt>
                <c:pt idx="25">
                  <c:v>6.2926845295717255</c:v>
                </c:pt>
                <c:pt idx="26">
                  <c:v>7.6965874994183201</c:v>
                </c:pt>
                <c:pt idx="27">
                  <c:v>2.4800414103542021</c:v>
                </c:pt>
                <c:pt idx="28">
                  <c:v>1.6045757372201461</c:v>
                </c:pt>
              </c:numCache>
            </c:numRef>
          </c:val>
          <c:extLst>
            <c:ext xmlns:c16="http://schemas.microsoft.com/office/drawing/2014/chart" uri="{C3380CC4-5D6E-409C-BE32-E72D297353CC}">
              <c16:uniqueId val="{00000000-F0AC-4E96-8E4E-E10C32FB31E0}"/>
            </c:ext>
          </c:extLst>
        </c:ser>
        <c:ser>
          <c:idx val="2"/>
          <c:order val="2"/>
          <c:tx>
            <c:strRef>
              <c:f>'výkonnost odvětví 3'!$Z$10</c:f>
              <c:strCache>
                <c:ptCount val="1"/>
                <c:pt idx="0">
                  <c:v>Inženýrské stavitel.  (příspěvek v p. b.)</c:v>
                </c:pt>
              </c:strCache>
            </c:strRef>
          </c:tx>
          <c:spPr>
            <a:solidFill>
              <a:srgbClr val="E8AFB2"/>
            </a:solidFill>
            <a:ln w="19050">
              <a:noFill/>
              <a:prstDash val="solid"/>
            </a:ln>
          </c:spPr>
          <c:invertIfNegative val="0"/>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3'!$Z$19:$Z$47</c:f>
              <c:numCache>
                <c:formatCode>0.0</c:formatCode>
                <c:ptCount val="29"/>
                <c:pt idx="0">
                  <c:v>-4.5325705445019278</c:v>
                </c:pt>
                <c:pt idx="1">
                  <c:v>-3.3816764133675128</c:v>
                </c:pt>
                <c:pt idx="2">
                  <c:v>-2.1535257894891182</c:v>
                </c:pt>
                <c:pt idx="3">
                  <c:v>-2.7362282478539268</c:v>
                </c:pt>
                <c:pt idx="4">
                  <c:v>-3.1462106086994615</c:v>
                </c:pt>
                <c:pt idx="5">
                  <c:v>-4.0071361489320152</c:v>
                </c:pt>
                <c:pt idx="6">
                  <c:v>-3.8638336141336853</c:v>
                </c:pt>
                <c:pt idx="7">
                  <c:v>-0.6682286226087546</c:v>
                </c:pt>
                <c:pt idx="8">
                  <c:v>0.47816204703611281</c:v>
                </c:pt>
                <c:pt idx="9">
                  <c:v>1.9382451000935319</c:v>
                </c:pt>
                <c:pt idx="10">
                  <c:v>2.9101573390963145</c:v>
                </c:pt>
                <c:pt idx="11">
                  <c:v>1.4867336535742897</c:v>
                </c:pt>
                <c:pt idx="12">
                  <c:v>3.076249756289712</c:v>
                </c:pt>
                <c:pt idx="13">
                  <c:v>6.808177847860005</c:v>
                </c:pt>
                <c:pt idx="14">
                  <c:v>7.0034491621502593</c:v>
                </c:pt>
                <c:pt idx="15">
                  <c:v>2.7242709285012001</c:v>
                </c:pt>
                <c:pt idx="16">
                  <c:v>-1.2800593253581558</c:v>
                </c:pt>
                <c:pt idx="17">
                  <c:v>-5.1237592552173856</c:v>
                </c:pt>
                <c:pt idx="18">
                  <c:v>-6.738697141384268</c:v>
                </c:pt>
                <c:pt idx="19">
                  <c:v>-5.6639277382780735</c:v>
                </c:pt>
                <c:pt idx="20">
                  <c:v>-3.1817345144073315</c:v>
                </c:pt>
                <c:pt idx="21">
                  <c:v>-1.1611176517333757</c:v>
                </c:pt>
                <c:pt idx="22">
                  <c:v>-1.4520055753029342</c:v>
                </c:pt>
                <c:pt idx="23">
                  <c:v>0.24399043939338474</c:v>
                </c:pt>
                <c:pt idx="24">
                  <c:v>1.7417951974230768</c:v>
                </c:pt>
                <c:pt idx="25">
                  <c:v>1.2071300143922414</c:v>
                </c:pt>
                <c:pt idx="26">
                  <c:v>4.713683392920708</c:v>
                </c:pt>
                <c:pt idx="27">
                  <c:v>1.907817205679025</c:v>
                </c:pt>
                <c:pt idx="28">
                  <c:v>0.83961191684980074</c:v>
                </c:pt>
              </c:numCache>
            </c:numRef>
          </c:val>
          <c:extLst>
            <c:ext xmlns:c16="http://schemas.microsoft.com/office/drawing/2014/chart" uri="{C3380CC4-5D6E-409C-BE32-E72D297353CC}">
              <c16:uniqueId val="{00000001-F0AC-4E96-8E4E-E10C32FB31E0}"/>
            </c:ext>
          </c:extLst>
        </c:ser>
        <c:dLbls>
          <c:showLegendKey val="0"/>
          <c:showVal val="0"/>
          <c:showCatName val="0"/>
          <c:showSerName val="0"/>
          <c:showPercent val="0"/>
          <c:showBubbleSize val="0"/>
        </c:dLbls>
        <c:gapWidth val="32"/>
        <c:overlap val="100"/>
        <c:axId val="101326848"/>
        <c:axId val="101328384"/>
      </c:barChart>
      <c:lineChart>
        <c:grouping val="standard"/>
        <c:varyColors val="0"/>
        <c:ser>
          <c:idx val="0"/>
          <c:order val="0"/>
          <c:tx>
            <c:strRef>
              <c:f>'výkonnost odvětví 3'!$X$10</c:f>
              <c:strCache>
                <c:ptCount val="1"/>
                <c:pt idx="0">
                  <c:v>Index staveb. produkce (y/y, v %)*</c:v>
                </c:pt>
              </c:strCache>
            </c:strRef>
          </c:tx>
          <c:spPr>
            <a:ln>
              <a:noFill/>
            </a:ln>
          </c:spPr>
          <c:marker>
            <c:symbol val="dash"/>
            <c:size val="9"/>
            <c:spPr>
              <a:solidFill>
                <a:schemeClr val="tx1">
                  <a:lumMod val="95000"/>
                  <a:lumOff val="5000"/>
                </a:schemeClr>
              </a:solidFill>
              <a:ln>
                <a:noFill/>
              </a:ln>
            </c:spPr>
          </c:marker>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3'!$X$19:$X$47</c:f>
              <c:numCache>
                <c:formatCode>0.0</c:formatCode>
                <c:ptCount val="29"/>
                <c:pt idx="0">
                  <c:v>-9.8176869650590124</c:v>
                </c:pt>
                <c:pt idx="1">
                  <c:v>-4.9530552533065153</c:v>
                </c:pt>
                <c:pt idx="2">
                  <c:v>-5.6581695459626795</c:v>
                </c:pt>
                <c:pt idx="3">
                  <c:v>-9.4885475172252036</c:v>
                </c:pt>
                <c:pt idx="4">
                  <c:v>-10.579815595377399</c:v>
                </c:pt>
                <c:pt idx="5">
                  <c:v>-11.629204530081054</c:v>
                </c:pt>
                <c:pt idx="6">
                  <c:v>-4.9227705444566965</c:v>
                </c:pt>
                <c:pt idx="7">
                  <c:v>-2.6304695831236269</c:v>
                </c:pt>
                <c:pt idx="8">
                  <c:v>13.065720793685204</c:v>
                </c:pt>
                <c:pt idx="9">
                  <c:v>5.5574965767788154</c:v>
                </c:pt>
                <c:pt idx="10">
                  <c:v>2.4528404003720103</c:v>
                </c:pt>
                <c:pt idx="11">
                  <c:v>1.1105301216238961</c:v>
                </c:pt>
                <c:pt idx="12">
                  <c:v>9.1987205755459769</c:v>
                </c:pt>
                <c:pt idx="13">
                  <c:v>11.979287453540708</c:v>
                </c:pt>
                <c:pt idx="14">
                  <c:v>7.8402841547893871</c:v>
                </c:pt>
                <c:pt idx="15">
                  <c:v>0.94044663433192</c:v>
                </c:pt>
                <c:pt idx="16">
                  <c:v>-6.2719935815947014</c:v>
                </c:pt>
                <c:pt idx="17">
                  <c:v>-10.211749998840263</c:v>
                </c:pt>
                <c:pt idx="18">
                  <c:v>-5.9149832774989033</c:v>
                </c:pt>
                <c:pt idx="19">
                  <c:v>-1.6473939282213055</c:v>
                </c:pt>
                <c:pt idx="20">
                  <c:v>-0.83133107014202778</c:v>
                </c:pt>
                <c:pt idx="21">
                  <c:v>8.9767875028969719</c:v>
                </c:pt>
                <c:pt idx="22">
                  <c:v>2.0523368263581854</c:v>
                </c:pt>
                <c:pt idx="23">
                  <c:v>2.9410729810894765</c:v>
                </c:pt>
                <c:pt idx="24">
                  <c:v>15.341271700922233</c:v>
                </c:pt>
                <c:pt idx="25">
                  <c:v>7.5002566445961074</c:v>
                </c:pt>
                <c:pt idx="26">
                  <c:v>12.405428991842145</c:v>
                </c:pt>
                <c:pt idx="27">
                  <c:v>4.312575845822237</c:v>
                </c:pt>
                <c:pt idx="28">
                  <c:v>2.4494174739724457</c:v>
                </c:pt>
              </c:numCache>
            </c:numRef>
          </c:val>
          <c:smooth val="0"/>
          <c:extLst>
            <c:ext xmlns:c16="http://schemas.microsoft.com/office/drawing/2014/chart" uri="{C3380CC4-5D6E-409C-BE32-E72D297353CC}">
              <c16:uniqueId val="{00000002-F0AC-4E96-8E4E-E10C32FB31E0}"/>
            </c:ext>
          </c:extLst>
        </c:ser>
        <c:dLbls>
          <c:showLegendKey val="0"/>
          <c:showVal val="0"/>
          <c:showCatName val="0"/>
          <c:showSerName val="0"/>
          <c:showPercent val="0"/>
          <c:showBubbleSize val="0"/>
        </c:dLbls>
        <c:marker val="1"/>
        <c:smooth val="0"/>
        <c:axId val="101326848"/>
        <c:axId val="101328384"/>
      </c:lineChart>
      <c:lineChart>
        <c:grouping val="standard"/>
        <c:varyColors val="0"/>
        <c:ser>
          <c:idx val="3"/>
          <c:order val="3"/>
          <c:tx>
            <c:strRef>
              <c:f>'výkonnost odvětví 3'!$AA$10</c:f>
              <c:strCache>
                <c:ptCount val="1"/>
                <c:pt idx="0">
                  <c:v>Nové stavební zakázky (pr.osa)</c:v>
                </c:pt>
              </c:strCache>
            </c:strRef>
          </c:tx>
          <c:spPr>
            <a:ln w="15875">
              <a:solidFill>
                <a:srgbClr val="984807"/>
              </a:solidFill>
              <a:prstDash val="sysDash"/>
            </a:ln>
          </c:spPr>
          <c:marker>
            <c:symbol val="none"/>
          </c:marker>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3'!$AA$19:$AA$47</c:f>
              <c:numCache>
                <c:formatCode>0.0</c:formatCode>
                <c:ptCount val="29"/>
                <c:pt idx="0">
                  <c:v>-46.322059646597907</c:v>
                </c:pt>
                <c:pt idx="1">
                  <c:v>-13.714800630772698</c:v>
                </c:pt>
                <c:pt idx="2">
                  <c:v>-7.6729748888363778</c:v>
                </c:pt>
                <c:pt idx="3">
                  <c:v>7.5624082232011753</c:v>
                </c:pt>
                <c:pt idx="4">
                  <c:v>-17.695687793252407</c:v>
                </c:pt>
                <c:pt idx="5">
                  <c:v>-1.584773641063137</c:v>
                </c:pt>
                <c:pt idx="6">
                  <c:v>-1.3308205951467045</c:v>
                </c:pt>
                <c:pt idx="7">
                  <c:v>16.153096050706978</c:v>
                </c:pt>
                <c:pt idx="8">
                  <c:v>67.509727626459139</c:v>
                </c:pt>
                <c:pt idx="9">
                  <c:v>18.978644382544097</c:v>
                </c:pt>
                <c:pt idx="10">
                  <c:v>34.050931384107542</c:v>
                </c:pt>
                <c:pt idx="11">
                  <c:v>-1</c:v>
                </c:pt>
                <c:pt idx="12">
                  <c:v>-3.1547956675580053</c:v>
                </c:pt>
                <c:pt idx="13">
                  <c:v>9.7504961091663223</c:v>
                </c:pt>
                <c:pt idx="14">
                  <c:v>-1.0976060227612552</c:v>
                </c:pt>
                <c:pt idx="15">
                  <c:v>-2.3987783410040464</c:v>
                </c:pt>
                <c:pt idx="16">
                  <c:v>-6.6406358945753814</c:v>
                </c:pt>
                <c:pt idx="17">
                  <c:v>-0.49977652269311085</c:v>
                </c:pt>
                <c:pt idx="18">
                  <c:v>-7.0322087253454839</c:v>
                </c:pt>
                <c:pt idx="19">
                  <c:v>10.122126124559955</c:v>
                </c:pt>
                <c:pt idx="20">
                  <c:v>16.177217458847441</c:v>
                </c:pt>
                <c:pt idx="21">
                  <c:v>9.5350878984013026</c:v>
                </c:pt>
                <c:pt idx="22">
                  <c:v>-1.2817324431350698</c:v>
                </c:pt>
                <c:pt idx="23">
                  <c:v>15.620806693503823</c:v>
                </c:pt>
                <c:pt idx="24">
                  <c:v>30.106973873688563</c:v>
                </c:pt>
                <c:pt idx="25">
                  <c:v>32.836878110611956</c:v>
                </c:pt>
                <c:pt idx="26">
                  <c:v>5.276824990795121</c:v>
                </c:pt>
                <c:pt idx="27">
                  <c:v>1.8944565811032281</c:v>
                </c:pt>
                <c:pt idx="28">
                  <c:v>15.580283026326185</c:v>
                </c:pt>
              </c:numCache>
            </c:numRef>
          </c:val>
          <c:smooth val="0"/>
          <c:extLst>
            <c:ext xmlns:c16="http://schemas.microsoft.com/office/drawing/2014/chart" uri="{C3380CC4-5D6E-409C-BE32-E72D297353CC}">
              <c16:uniqueId val="{00000003-F0AC-4E96-8E4E-E10C32FB31E0}"/>
            </c:ext>
          </c:extLst>
        </c:ser>
        <c:ser>
          <c:idx val="4"/>
          <c:order val="4"/>
          <c:tx>
            <c:strRef>
              <c:f>'výkonnost odvětví 3'!$AB$10</c:f>
              <c:strCache>
                <c:ptCount val="1"/>
                <c:pt idx="0">
                  <c:v>Saldo indik.důvěry ve staveb.(pr.osa)</c:v>
                </c:pt>
              </c:strCache>
            </c:strRef>
          </c:tx>
          <c:spPr>
            <a:ln w="19050">
              <a:noFill/>
            </a:ln>
          </c:spPr>
          <c:marker>
            <c:symbol val="diamond"/>
            <c:size val="5"/>
            <c:spPr>
              <a:solidFill>
                <a:srgbClr val="FFFF00"/>
              </a:solidFill>
              <a:ln>
                <a:solidFill>
                  <a:prstClr val="black">
                    <a:lumMod val="95000"/>
                    <a:lumOff val="5000"/>
                  </a:prstClr>
                </a:solidFill>
              </a:ln>
            </c:spPr>
          </c:marker>
          <c:cat>
            <c:multiLvlStrRef>
              <c:f>'výkonnost odvětví 3'!$V$19:$W$47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'výkonnost odvětví 3'!$AB$19:$AB$47</c:f>
              <c:numCache>
                <c:formatCode>0.0</c:formatCode>
                <c:ptCount val="29"/>
                <c:pt idx="0">
                  <c:v>-46</c:v>
                </c:pt>
                <c:pt idx="1">
                  <c:v>-45.333333333333336</c:v>
                </c:pt>
                <c:pt idx="2">
                  <c:v>-43.5</c:v>
                </c:pt>
                <c:pt idx="3">
                  <c:v>-44.66666666666665</c:v>
                </c:pt>
                <c:pt idx="4">
                  <c:v>-46</c:v>
                </c:pt>
                <c:pt idx="5">
                  <c:v>-53.333333333333336</c:v>
                </c:pt>
                <c:pt idx="6">
                  <c:v>-49.5</c:v>
                </c:pt>
                <c:pt idx="7">
                  <c:v>-50.833333333333336</c:v>
                </c:pt>
                <c:pt idx="8">
                  <c:v>-45.16666666666665</c:v>
                </c:pt>
                <c:pt idx="9">
                  <c:v>-38.333333333333336</c:v>
                </c:pt>
                <c:pt idx="10">
                  <c:v>-32</c:v>
                </c:pt>
                <c:pt idx="11">
                  <c:v>-25.166666666666668</c:v>
                </c:pt>
                <c:pt idx="12">
                  <c:v>-20.833333333333325</c:v>
                </c:pt>
                <c:pt idx="13">
                  <c:v>-16.333333333333325</c:v>
                </c:pt>
                <c:pt idx="14">
                  <c:v>-18.666666666666668</c:v>
                </c:pt>
                <c:pt idx="15">
                  <c:v>-15.666666666666668</c:v>
                </c:pt>
                <c:pt idx="16">
                  <c:v>-17.166666666666668</c:v>
                </c:pt>
                <c:pt idx="17">
                  <c:v>-24</c:v>
                </c:pt>
                <c:pt idx="18">
                  <c:v>-26.666666666666668</c:v>
                </c:pt>
                <c:pt idx="19">
                  <c:v>-25.833333333333325</c:v>
                </c:pt>
                <c:pt idx="20">
                  <c:v>-24.5</c:v>
                </c:pt>
                <c:pt idx="21">
                  <c:v>-22.666666666666668</c:v>
                </c:pt>
                <c:pt idx="22">
                  <c:v>-19.833333333333325</c:v>
                </c:pt>
                <c:pt idx="23">
                  <c:v>-15.166666666666668</c:v>
                </c:pt>
                <c:pt idx="24">
                  <c:v>-9.6666666666666679</c:v>
                </c:pt>
                <c:pt idx="25">
                  <c:v>-5.666666666666667</c:v>
                </c:pt>
                <c:pt idx="26">
                  <c:v>-3.1666666666666665</c:v>
                </c:pt>
                <c:pt idx="27">
                  <c:v>0.83333333333333348</c:v>
                </c:pt>
                <c:pt idx="28">
                  <c:v>4.666666666666667</c:v>
                </c:pt>
              </c:numCache>
            </c:numRef>
          </c:val>
          <c:smooth val="0"/>
          <c:extLst>
            <c:ext xmlns:c16="http://schemas.microsoft.com/office/drawing/2014/chart" uri="{C3380CC4-5D6E-409C-BE32-E72D297353CC}">
              <c16:uniqueId val="{00000004-F0AC-4E96-8E4E-E10C32FB31E0}"/>
            </c:ext>
          </c:extLst>
        </c:ser>
        <c:dLbls>
          <c:showLegendKey val="0"/>
          <c:showVal val="0"/>
          <c:showCatName val="0"/>
          <c:showSerName val="0"/>
          <c:showPercent val="0"/>
          <c:showBubbleSize val="0"/>
        </c:dLbls>
        <c:marker val="1"/>
        <c:smooth val="0"/>
        <c:axId val="101339904"/>
        <c:axId val="101329920"/>
      </c:lineChart>
      <c:catAx>
        <c:axId val="101326848"/>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01328384"/>
        <c:crossesAt val="0"/>
        <c:auto val="0"/>
        <c:lblAlgn val="ctr"/>
        <c:lblOffset val="0"/>
        <c:tickLblSkip val="1"/>
        <c:tickMarkSkip val="4"/>
        <c:noMultiLvlLbl val="0"/>
      </c:catAx>
      <c:valAx>
        <c:axId val="101328384"/>
        <c:scaling>
          <c:orientation val="minMax"/>
          <c:max val="20"/>
          <c:min val="-30"/>
        </c:scaling>
        <c:delete val="0"/>
        <c:axPos val="l"/>
        <c:majorGridlines>
          <c:spPr>
            <a:ln w="6350">
              <a:solidFill>
                <a:schemeClr val="bg1">
                  <a:lumMod val="75000"/>
                </a:schemeClr>
              </a:solidFill>
            </a:ln>
          </c:spPr>
        </c:majorGridlines>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01326848"/>
        <c:crosses val="autoZero"/>
        <c:crossBetween val="between"/>
        <c:majorUnit val="5"/>
      </c:valAx>
      <c:valAx>
        <c:axId val="101329920"/>
        <c:scaling>
          <c:orientation val="minMax"/>
          <c:max val="40"/>
          <c:min val="-60"/>
        </c:scaling>
        <c:delete val="0"/>
        <c:axPos val="r"/>
        <c:numFmt formatCode="0" sourceLinked="0"/>
        <c:majorTickMark val="out"/>
        <c:minorTickMark val="none"/>
        <c:tickLblPos val="nextTo"/>
        <c:crossAx val="101339904"/>
        <c:crosses val="max"/>
        <c:crossBetween val="between"/>
        <c:majorUnit val="10"/>
      </c:valAx>
      <c:catAx>
        <c:axId val="101339904"/>
        <c:scaling>
          <c:orientation val="minMax"/>
        </c:scaling>
        <c:delete val="1"/>
        <c:axPos val="b"/>
        <c:numFmt formatCode="General" sourceLinked="1"/>
        <c:majorTickMark val="out"/>
        <c:minorTickMark val="none"/>
        <c:tickLblPos val="none"/>
        <c:crossAx val="101329920"/>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4.40232476530436E-2"/>
          <c:y val="0.90562846925368912"/>
          <c:w val="0.91057220931671268"/>
          <c:h val="8.8354697280216651E-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51562499999985E-2"/>
          <c:y val="2.3579668209876548E-2"/>
          <c:w val="0.92124978298611093"/>
          <c:h val="0.69620056990418255"/>
        </c:manualLayout>
      </c:layout>
      <c:barChart>
        <c:barDir val="col"/>
        <c:grouping val="stacked"/>
        <c:varyColors val="0"/>
        <c:ser>
          <c:idx val="0"/>
          <c:order val="1"/>
          <c:tx>
            <c:strRef>
              <c:f>'Služby-příspěvkyk růstu'!$D$25</c:f>
              <c:strCache>
                <c:ptCount val="1"/>
                <c:pt idx="0">
                  <c:v>Doprava a skladování</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růstu'!$D$26:$D$54</c:f>
              <c:numCache>
                <c:formatCode>##0.0</c:formatCode>
                <c:ptCount val="29"/>
                <c:pt idx="0">
                  <c:v>0.41258028879798991</c:v>
                </c:pt>
                <c:pt idx="1">
                  <c:v>0.63363224761450532</c:v>
                </c:pt>
                <c:pt idx="2">
                  <c:v>1.4127813003583825</c:v>
                </c:pt>
                <c:pt idx="3">
                  <c:v>-0.52930429542989743</c:v>
                </c:pt>
                <c:pt idx="4">
                  <c:v>1.0164908016473087</c:v>
                </c:pt>
                <c:pt idx="5">
                  <c:v>0.81222423497464391</c:v>
                </c:pt>
                <c:pt idx="6">
                  <c:v>0.60084729976550999</c:v>
                </c:pt>
                <c:pt idx="7">
                  <c:v>2.8364249715613901</c:v>
                </c:pt>
                <c:pt idx="8">
                  <c:v>1.0103820969057067</c:v>
                </c:pt>
                <c:pt idx="9">
                  <c:v>0.78447781483192558</c:v>
                </c:pt>
                <c:pt idx="10">
                  <c:v>1.2387511976566299</c:v>
                </c:pt>
                <c:pt idx="11">
                  <c:v>-0.14268473953111685</c:v>
                </c:pt>
                <c:pt idx="12">
                  <c:v>0.18897621870678424</c:v>
                </c:pt>
                <c:pt idx="13">
                  <c:v>-4.2799353119549015E-2</c:v>
                </c:pt>
                <c:pt idx="14">
                  <c:v>0.21205794355549196</c:v>
                </c:pt>
                <c:pt idx="15">
                  <c:v>4.7901862732679275E-2</c:v>
                </c:pt>
                <c:pt idx="16">
                  <c:v>0.32051171891365582</c:v>
                </c:pt>
                <c:pt idx="17">
                  <c:v>0.2259888488685374</c:v>
                </c:pt>
                <c:pt idx="18">
                  <c:v>0.15728629150528156</c:v>
                </c:pt>
                <c:pt idx="19">
                  <c:v>0.93349278681087533</c:v>
                </c:pt>
                <c:pt idx="20">
                  <c:v>1.7160389510933645</c:v>
                </c:pt>
                <c:pt idx="21">
                  <c:v>1.0862613523310418</c:v>
                </c:pt>
                <c:pt idx="22">
                  <c:v>1.2287150214562867</c:v>
                </c:pt>
                <c:pt idx="23">
                  <c:v>0.5631488647190751</c:v>
                </c:pt>
                <c:pt idx="24">
                  <c:v>1.8080181128182973</c:v>
                </c:pt>
                <c:pt idx="25">
                  <c:v>1.8877993655833678</c:v>
                </c:pt>
                <c:pt idx="26">
                  <c:v>1.4687724916554512</c:v>
                </c:pt>
                <c:pt idx="27">
                  <c:v>0.50934387126785163</c:v>
                </c:pt>
                <c:pt idx="28">
                  <c:v>0.4202410931314679</c:v>
                </c:pt>
              </c:numCache>
            </c:numRef>
          </c:val>
          <c:extLst>
            <c:ext xmlns:c16="http://schemas.microsoft.com/office/drawing/2014/chart" uri="{C3380CC4-5D6E-409C-BE32-E72D297353CC}">
              <c16:uniqueId val="{00000000-C5D7-4925-AF1B-9F6C7CD417DE}"/>
            </c:ext>
          </c:extLst>
        </c:ser>
        <c:ser>
          <c:idx val="1"/>
          <c:order val="2"/>
          <c:tx>
            <c:strRef>
              <c:f>'Služby-příspěvkyk růstu'!$E$25</c:f>
              <c:strCache>
                <c:ptCount val="1"/>
                <c:pt idx="0">
                  <c:v>Ubytování, stravování a pohostinství</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růstu'!$E$26:$E$54</c:f>
              <c:numCache>
                <c:formatCode>##0.0</c:formatCode>
                <c:ptCount val="29"/>
                <c:pt idx="0">
                  <c:v>-0.21540651327756419</c:v>
                </c:pt>
                <c:pt idx="1">
                  <c:v>-0.24051224313950981</c:v>
                </c:pt>
                <c:pt idx="2">
                  <c:v>-0.17165784231980319</c:v>
                </c:pt>
                <c:pt idx="3">
                  <c:v>-0.30093132797815431</c:v>
                </c:pt>
                <c:pt idx="4">
                  <c:v>4.8224843781560459E-2</c:v>
                </c:pt>
                <c:pt idx="5">
                  <c:v>4.241562741129741E-2</c:v>
                </c:pt>
                <c:pt idx="6">
                  <c:v>0.13208786204998771</c:v>
                </c:pt>
                <c:pt idx="7">
                  <c:v>5.3784020386466416E-2</c:v>
                </c:pt>
                <c:pt idx="8">
                  <c:v>-7.9490234003862972E-2</c:v>
                </c:pt>
                <c:pt idx="9">
                  <c:v>-5.0448681285627121E-2</c:v>
                </c:pt>
                <c:pt idx="10">
                  <c:v>-8.6614349232847193E-2</c:v>
                </c:pt>
                <c:pt idx="11">
                  <c:v>0.61356731269380715</c:v>
                </c:pt>
                <c:pt idx="12">
                  <c:v>0.22553913985377907</c:v>
                </c:pt>
                <c:pt idx="13">
                  <c:v>0.59291704675210055</c:v>
                </c:pt>
                <c:pt idx="14">
                  <c:v>0.60314538369598114</c:v>
                </c:pt>
                <c:pt idx="15">
                  <c:v>0.32643173615711307</c:v>
                </c:pt>
                <c:pt idx="16">
                  <c:v>0.38797812931074283</c:v>
                </c:pt>
                <c:pt idx="17">
                  <c:v>0.12368001151891801</c:v>
                </c:pt>
                <c:pt idx="18">
                  <c:v>0.54978014680094534</c:v>
                </c:pt>
                <c:pt idx="19">
                  <c:v>0.48729275394008176</c:v>
                </c:pt>
                <c:pt idx="20">
                  <c:v>0.88862866526536777</c:v>
                </c:pt>
                <c:pt idx="21">
                  <c:v>1.1922759630735096</c:v>
                </c:pt>
                <c:pt idx="22">
                  <c:v>0.57252700258083411</c:v>
                </c:pt>
                <c:pt idx="23">
                  <c:v>0.44347777349490691</c:v>
                </c:pt>
                <c:pt idx="24">
                  <c:v>0.17907619562418745</c:v>
                </c:pt>
                <c:pt idx="25">
                  <c:v>6.5474683590954333E-2</c:v>
                </c:pt>
                <c:pt idx="26">
                  <c:v>6.4588700814912123E-2</c:v>
                </c:pt>
                <c:pt idx="27">
                  <c:v>-3.6489257906923755E-2</c:v>
                </c:pt>
                <c:pt idx="28">
                  <c:v>0.19207429015789224</c:v>
                </c:pt>
              </c:numCache>
            </c:numRef>
          </c:val>
          <c:extLst>
            <c:ext xmlns:c16="http://schemas.microsoft.com/office/drawing/2014/chart" uri="{C3380CC4-5D6E-409C-BE32-E72D297353CC}">
              <c16:uniqueId val="{00000001-C5D7-4925-AF1B-9F6C7CD417DE}"/>
            </c:ext>
          </c:extLst>
        </c:ser>
        <c:ser>
          <c:idx val="2"/>
          <c:order val="3"/>
          <c:tx>
            <c:strRef>
              <c:f>'Služby-příspěvkyk růstu'!$F$25</c:f>
              <c:strCache>
                <c:ptCount val="1"/>
                <c:pt idx="0">
                  <c:v>Informační a komunikační činnosti</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růstu'!$F$26:$F$54</c:f>
              <c:numCache>
                <c:formatCode>##0.0</c:formatCode>
                <c:ptCount val="29"/>
                <c:pt idx="0">
                  <c:v>0.14684653735824615</c:v>
                </c:pt>
                <c:pt idx="1">
                  <c:v>-1.2891325755081057E-2</c:v>
                </c:pt>
                <c:pt idx="2">
                  <c:v>0.27942134443276967</c:v>
                </c:pt>
                <c:pt idx="3">
                  <c:v>-7.0005390560601219E-2</c:v>
                </c:pt>
                <c:pt idx="4">
                  <c:v>-0.33779525436615415</c:v>
                </c:pt>
                <c:pt idx="5">
                  <c:v>5.6467869540597357E-4</c:v>
                </c:pt>
                <c:pt idx="6">
                  <c:v>-0.46128579099078315</c:v>
                </c:pt>
                <c:pt idx="7">
                  <c:v>6.8018075056457419E-2</c:v>
                </c:pt>
                <c:pt idx="8">
                  <c:v>5.9924722983300316E-2</c:v>
                </c:pt>
                <c:pt idx="9">
                  <c:v>0.21860315585743145</c:v>
                </c:pt>
                <c:pt idx="10">
                  <c:v>0.58419476081656385</c:v>
                </c:pt>
                <c:pt idx="11">
                  <c:v>0.43118649610632231</c:v>
                </c:pt>
                <c:pt idx="12">
                  <c:v>1.3855377802180726</c:v>
                </c:pt>
                <c:pt idx="13">
                  <c:v>0.74385512199846759</c:v>
                </c:pt>
                <c:pt idx="14">
                  <c:v>0.86097694613304743</c:v>
                </c:pt>
                <c:pt idx="15">
                  <c:v>1.4537606325303043</c:v>
                </c:pt>
                <c:pt idx="16">
                  <c:v>0.36940166834784166</c:v>
                </c:pt>
                <c:pt idx="17">
                  <c:v>0.11922805430251722</c:v>
                </c:pt>
                <c:pt idx="18">
                  <c:v>0.35054875298136778</c:v>
                </c:pt>
                <c:pt idx="19">
                  <c:v>0.19595603509390261</c:v>
                </c:pt>
                <c:pt idx="20">
                  <c:v>0.81074020348349185</c:v>
                </c:pt>
                <c:pt idx="21">
                  <c:v>1.1163033179816915</c:v>
                </c:pt>
                <c:pt idx="22">
                  <c:v>0.77780105386653609</c:v>
                </c:pt>
                <c:pt idx="23">
                  <c:v>0.71416702701913615</c:v>
                </c:pt>
                <c:pt idx="24">
                  <c:v>1.5639149470472034</c:v>
                </c:pt>
                <c:pt idx="25">
                  <c:v>0.75726695268090094</c:v>
                </c:pt>
                <c:pt idx="26">
                  <c:v>1.3776580039252013</c:v>
                </c:pt>
                <c:pt idx="27">
                  <c:v>1.0135841601170124</c:v>
                </c:pt>
                <c:pt idx="28">
                  <c:v>0.98356892876560631</c:v>
                </c:pt>
              </c:numCache>
            </c:numRef>
          </c:val>
          <c:extLst>
            <c:ext xmlns:c16="http://schemas.microsoft.com/office/drawing/2014/chart" uri="{C3380CC4-5D6E-409C-BE32-E72D297353CC}">
              <c16:uniqueId val="{00000002-C5D7-4925-AF1B-9F6C7CD417DE}"/>
            </c:ext>
          </c:extLst>
        </c:ser>
        <c:ser>
          <c:idx val="4"/>
          <c:order val="4"/>
          <c:tx>
            <c:strRef>
              <c:f>'Služby-příspěvkyk růstu'!$G$25</c:f>
              <c:strCache>
                <c:ptCount val="1"/>
                <c:pt idx="0">
                  <c:v>Činnosti v oblasti nemovitostí</c:v>
                </c:pt>
              </c:strCache>
            </c:strRef>
          </c:tx>
          <c:spPr>
            <a:ln>
              <a:noFill/>
              <a:prstDash val="sysDash"/>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růstu'!$G$26:$G$54</c:f>
              <c:numCache>
                <c:formatCode>##0.0</c:formatCode>
                <c:ptCount val="29"/>
                <c:pt idx="0">
                  <c:v>-0.40161454304599031</c:v>
                </c:pt>
                <c:pt idx="1">
                  <c:v>-0.33341590053225728</c:v>
                </c:pt>
                <c:pt idx="2">
                  <c:v>-0.37157916758678933</c:v>
                </c:pt>
                <c:pt idx="3">
                  <c:v>-0.23515544621648313</c:v>
                </c:pt>
                <c:pt idx="4">
                  <c:v>-0.10350809021054701</c:v>
                </c:pt>
                <c:pt idx="5">
                  <c:v>-0.23836448148177039</c:v>
                </c:pt>
                <c:pt idx="6">
                  <c:v>0.11801086843192365</c:v>
                </c:pt>
                <c:pt idx="7">
                  <c:v>-0.44929602033977079</c:v>
                </c:pt>
                <c:pt idx="8">
                  <c:v>-0.28617563677188235</c:v>
                </c:pt>
                <c:pt idx="9">
                  <c:v>0.10821938014324474</c:v>
                </c:pt>
                <c:pt idx="10">
                  <c:v>-2.0792881340096579E-2</c:v>
                </c:pt>
                <c:pt idx="11">
                  <c:v>-0.12003020730950852</c:v>
                </c:pt>
                <c:pt idx="12">
                  <c:v>3.9807076966785225E-2</c:v>
                </c:pt>
                <c:pt idx="13">
                  <c:v>-4.088120474491746E-3</c:v>
                </c:pt>
                <c:pt idx="14">
                  <c:v>7.5013887411450791E-2</c:v>
                </c:pt>
                <c:pt idx="15">
                  <c:v>3.7242624415505084E-2</c:v>
                </c:pt>
                <c:pt idx="16">
                  <c:v>0.19736413877934539</c:v>
                </c:pt>
                <c:pt idx="17">
                  <c:v>5.5192622351401703E-2</c:v>
                </c:pt>
                <c:pt idx="18">
                  <c:v>9.6409499969415516E-2</c:v>
                </c:pt>
                <c:pt idx="19">
                  <c:v>-6.2175980703885185E-2</c:v>
                </c:pt>
                <c:pt idx="20">
                  <c:v>0.32072501817024557</c:v>
                </c:pt>
                <c:pt idx="21">
                  <c:v>0.31927003655410885</c:v>
                </c:pt>
                <c:pt idx="22">
                  <c:v>-4.1000423609262239E-2</c:v>
                </c:pt>
                <c:pt idx="23">
                  <c:v>0.12133929128749343</c:v>
                </c:pt>
                <c:pt idx="24">
                  <c:v>-1.7820992452011804E-2</c:v>
                </c:pt>
                <c:pt idx="25">
                  <c:v>-0.19983715680261258</c:v>
                </c:pt>
                <c:pt idx="26">
                  <c:v>-0.10962876730751391</c:v>
                </c:pt>
                <c:pt idx="27">
                  <c:v>-0.19019877072200764</c:v>
                </c:pt>
                <c:pt idx="28">
                  <c:v>7.6041673787131281E-2</c:v>
                </c:pt>
              </c:numCache>
            </c:numRef>
          </c:val>
          <c:extLst>
            <c:ext xmlns:c16="http://schemas.microsoft.com/office/drawing/2014/chart" uri="{C3380CC4-5D6E-409C-BE32-E72D297353CC}">
              <c16:uniqueId val="{00000003-C5D7-4925-AF1B-9F6C7CD417DE}"/>
            </c:ext>
          </c:extLst>
        </c:ser>
        <c:ser>
          <c:idx val="5"/>
          <c:order val="5"/>
          <c:tx>
            <c:strRef>
              <c:f>'Služby-příspěvkyk růstu'!$H$25</c:f>
              <c:strCache>
                <c:ptCount val="1"/>
                <c:pt idx="0">
                  <c:v>Profesní, vědecké a technické činnosti</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růstu'!$H$26:$H$54</c:f>
              <c:numCache>
                <c:formatCode>##0.0</c:formatCode>
                <c:ptCount val="29"/>
                <c:pt idx="0">
                  <c:v>0.24684979803643395</c:v>
                </c:pt>
                <c:pt idx="1">
                  <c:v>-1.2881799190115462</c:v>
                </c:pt>
                <c:pt idx="2">
                  <c:v>-0.30795789329873291</c:v>
                </c:pt>
                <c:pt idx="3">
                  <c:v>6.700626626090697E-3</c:v>
                </c:pt>
                <c:pt idx="4">
                  <c:v>-1.0240748901857266</c:v>
                </c:pt>
                <c:pt idx="5">
                  <c:v>-1.6051667930787326</c:v>
                </c:pt>
                <c:pt idx="6">
                  <c:v>-1.9291878383921195</c:v>
                </c:pt>
                <c:pt idx="7">
                  <c:v>-1.3988282943850583</c:v>
                </c:pt>
                <c:pt idx="8">
                  <c:v>-1.4974363610649184</c:v>
                </c:pt>
                <c:pt idx="9">
                  <c:v>0.15376282160865665</c:v>
                </c:pt>
                <c:pt idx="10">
                  <c:v>0.67645035928330355</c:v>
                </c:pt>
                <c:pt idx="11">
                  <c:v>-1.0551537211843995</c:v>
                </c:pt>
                <c:pt idx="12">
                  <c:v>0.94684124521569113</c:v>
                </c:pt>
                <c:pt idx="13">
                  <c:v>0.71899529557978525</c:v>
                </c:pt>
                <c:pt idx="14">
                  <c:v>1.0819169252384986</c:v>
                </c:pt>
                <c:pt idx="15">
                  <c:v>-6.5350919895119555E-2</c:v>
                </c:pt>
                <c:pt idx="16">
                  <c:v>-0.34291442842296904</c:v>
                </c:pt>
                <c:pt idx="17">
                  <c:v>-1.4803115229956514</c:v>
                </c:pt>
                <c:pt idx="18">
                  <c:v>2.781772580589632E-2</c:v>
                </c:pt>
                <c:pt idx="19">
                  <c:v>-0.34322965555345991</c:v>
                </c:pt>
                <c:pt idx="20">
                  <c:v>0.75205123039896415</c:v>
                </c:pt>
                <c:pt idx="21">
                  <c:v>0.61722518737301202</c:v>
                </c:pt>
                <c:pt idx="22">
                  <c:v>0.28238123093049133</c:v>
                </c:pt>
                <c:pt idx="23">
                  <c:v>0.40615531670326177</c:v>
                </c:pt>
                <c:pt idx="24">
                  <c:v>1.0513499961078938</c:v>
                </c:pt>
                <c:pt idx="25">
                  <c:v>0.49795463377300553</c:v>
                </c:pt>
                <c:pt idx="26">
                  <c:v>0.37048085470889042</c:v>
                </c:pt>
                <c:pt idx="27">
                  <c:v>-0.26446379811606535</c:v>
                </c:pt>
                <c:pt idx="28">
                  <c:v>0.57090378635169425</c:v>
                </c:pt>
              </c:numCache>
            </c:numRef>
          </c:val>
          <c:extLst>
            <c:ext xmlns:c16="http://schemas.microsoft.com/office/drawing/2014/chart" uri="{C3380CC4-5D6E-409C-BE32-E72D297353CC}">
              <c16:uniqueId val="{00000004-C5D7-4925-AF1B-9F6C7CD417DE}"/>
            </c:ext>
          </c:extLst>
        </c:ser>
        <c:ser>
          <c:idx val="6"/>
          <c:order val="6"/>
          <c:tx>
            <c:strRef>
              <c:f>'Služby-příspěvkyk růstu'!$I$25</c:f>
              <c:strCache>
                <c:ptCount val="1"/>
                <c:pt idx="0">
                  <c:v>Administrativní a podpůrné činnosti</c:v>
                </c:pt>
              </c:strCache>
            </c:strRef>
          </c:tx>
          <c:spPr>
            <a:ln>
              <a:noFill/>
            </a:ln>
          </c:spPr>
          <c:invertIfNegative val="0"/>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růstu'!$I$26:$I$54</c:f>
              <c:numCache>
                <c:formatCode>##0.0</c:formatCode>
                <c:ptCount val="29"/>
                <c:pt idx="0">
                  <c:v>0.53358749999544874</c:v>
                </c:pt>
                <c:pt idx="1">
                  <c:v>0.25735251360519484</c:v>
                </c:pt>
                <c:pt idx="2">
                  <c:v>0.49443609467373445</c:v>
                </c:pt>
                <c:pt idx="3">
                  <c:v>-0.20754478645774899</c:v>
                </c:pt>
                <c:pt idx="4">
                  <c:v>-4.4931698800201071E-2</c:v>
                </c:pt>
                <c:pt idx="5">
                  <c:v>0.10860645698887413</c:v>
                </c:pt>
                <c:pt idx="6">
                  <c:v>0.10162620181108767</c:v>
                </c:pt>
                <c:pt idx="7">
                  <c:v>0.34742392375809888</c:v>
                </c:pt>
                <c:pt idx="8">
                  <c:v>-0.17377634820877852</c:v>
                </c:pt>
                <c:pt idx="9">
                  <c:v>0.48271003209079028</c:v>
                </c:pt>
                <c:pt idx="10">
                  <c:v>0.40993030869123914</c:v>
                </c:pt>
                <c:pt idx="11">
                  <c:v>0.56189775135060072</c:v>
                </c:pt>
                <c:pt idx="12">
                  <c:v>0.54606718443601765</c:v>
                </c:pt>
                <c:pt idx="13">
                  <c:v>0.61026804102825849</c:v>
                </c:pt>
                <c:pt idx="14">
                  <c:v>0.44529687622497188</c:v>
                </c:pt>
                <c:pt idx="15">
                  <c:v>0.50367275484196738</c:v>
                </c:pt>
                <c:pt idx="16">
                  <c:v>0.59231725635453469</c:v>
                </c:pt>
                <c:pt idx="17">
                  <c:v>0.18411297067048341</c:v>
                </c:pt>
                <c:pt idx="18">
                  <c:v>0.28631840050332019</c:v>
                </c:pt>
                <c:pt idx="19">
                  <c:v>0.46443587988913376</c:v>
                </c:pt>
                <c:pt idx="20">
                  <c:v>1.1745138663230763</c:v>
                </c:pt>
                <c:pt idx="21">
                  <c:v>1.1150283621795314</c:v>
                </c:pt>
                <c:pt idx="22">
                  <c:v>0.71175575763357057</c:v>
                </c:pt>
                <c:pt idx="23">
                  <c:v>0.32323237949546185</c:v>
                </c:pt>
                <c:pt idx="24">
                  <c:v>0.58953850623907122</c:v>
                </c:pt>
                <c:pt idx="25">
                  <c:v>0.4351519328858911</c:v>
                </c:pt>
                <c:pt idx="26">
                  <c:v>0.49725843234121808</c:v>
                </c:pt>
                <c:pt idx="27">
                  <c:v>-1.4380206207926988E-2</c:v>
                </c:pt>
                <c:pt idx="28">
                  <c:v>0.10913853553656482</c:v>
                </c:pt>
              </c:numCache>
            </c:numRef>
          </c:val>
          <c:extLst>
            <c:ext xmlns:c16="http://schemas.microsoft.com/office/drawing/2014/chart" uri="{C3380CC4-5D6E-409C-BE32-E72D297353CC}">
              <c16:uniqueId val="{00000005-C5D7-4925-AF1B-9F6C7CD417DE}"/>
            </c:ext>
          </c:extLst>
        </c:ser>
        <c:dLbls>
          <c:showLegendKey val="0"/>
          <c:showVal val="0"/>
          <c:showCatName val="0"/>
          <c:showSerName val="0"/>
          <c:showPercent val="0"/>
          <c:showBubbleSize val="0"/>
        </c:dLbls>
        <c:gapWidth val="32"/>
        <c:overlap val="100"/>
        <c:axId val="101418880"/>
        <c:axId val="101420416"/>
      </c:barChart>
      <c:lineChart>
        <c:grouping val="standard"/>
        <c:varyColors val="0"/>
        <c:ser>
          <c:idx val="3"/>
          <c:order val="0"/>
          <c:tx>
            <c:strRef>
              <c:f>'Služby-příspěvkyk růstu'!$C$25</c:f>
              <c:strCache>
                <c:ptCount val="1"/>
                <c:pt idx="0">
                  <c:v>Služby celkem</c:v>
                </c:pt>
              </c:strCache>
            </c:strRef>
          </c:tx>
          <c:spPr>
            <a:ln>
              <a:noFill/>
            </a:ln>
          </c:spPr>
          <c:marker>
            <c:symbol val="dash"/>
            <c:size val="10"/>
            <c:spPr>
              <a:solidFill>
                <a:schemeClr val="tx1">
                  <a:lumMod val="95000"/>
                  <a:lumOff val="5000"/>
                </a:schemeClr>
              </a:solidFill>
              <a:ln>
                <a:noFill/>
              </a:ln>
            </c:spPr>
          </c:marker>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růstu'!$C$26:$C$54</c:f>
              <c:numCache>
                <c:formatCode>##0.0</c:formatCode>
                <c:ptCount val="29"/>
                <c:pt idx="0">
                  <c:v>0.44716083626813935</c:v>
                </c:pt>
                <c:pt idx="1">
                  <c:v>-1.2056183510881338</c:v>
                </c:pt>
                <c:pt idx="2">
                  <c:v>1.1119879111190585</c:v>
                </c:pt>
                <c:pt idx="3">
                  <c:v>-1.3703161378149815</c:v>
                </c:pt>
                <c:pt idx="4">
                  <c:v>-0.22134403967748997</c:v>
                </c:pt>
                <c:pt idx="5">
                  <c:v>-0.88400747104550703</c:v>
                </c:pt>
                <c:pt idx="6">
                  <c:v>-1.3618552952282099</c:v>
                </c:pt>
                <c:pt idx="7">
                  <c:v>1.6284062996127346</c:v>
                </c:pt>
                <c:pt idx="8">
                  <c:v>-0.78597154751084031</c:v>
                </c:pt>
                <c:pt idx="9">
                  <c:v>1.5809745598362357</c:v>
                </c:pt>
                <c:pt idx="10">
                  <c:v>2.5911234214958507</c:v>
                </c:pt>
                <c:pt idx="11">
                  <c:v>0.430474345343555</c:v>
                </c:pt>
                <c:pt idx="12">
                  <c:v>3.2637766911846455</c:v>
                </c:pt>
                <c:pt idx="13">
                  <c:v>2.707858485615048</c:v>
                </c:pt>
                <c:pt idx="14">
                  <c:v>3.2907142690075526</c:v>
                </c:pt>
                <c:pt idx="15">
                  <c:v>2.1897925834519048</c:v>
                </c:pt>
                <c:pt idx="16">
                  <c:v>1.4456719593731717</c:v>
                </c:pt>
                <c:pt idx="17">
                  <c:v>-0.89050342973393959</c:v>
                </c:pt>
                <c:pt idx="18">
                  <c:v>1.4392341652332448</c:v>
                </c:pt>
                <c:pt idx="19">
                  <c:v>1.5966870501338948</c:v>
                </c:pt>
                <c:pt idx="20">
                  <c:v>5.5268656319447729</c:v>
                </c:pt>
                <c:pt idx="21">
                  <c:v>5.4542507794333517</c:v>
                </c:pt>
                <c:pt idx="22">
                  <c:v>3.393311208050108</c:v>
                </c:pt>
                <c:pt idx="23">
                  <c:v>2.5151090055911283</c:v>
                </c:pt>
                <c:pt idx="24">
                  <c:v>5.077639838265056</c:v>
                </c:pt>
                <c:pt idx="25">
                  <c:v>3.5023606771157176</c:v>
                </c:pt>
                <c:pt idx="26">
                  <c:v>3.6971633218790316</c:v>
                </c:pt>
                <c:pt idx="27">
                  <c:v>1.08207916366419</c:v>
                </c:pt>
                <c:pt idx="28">
                  <c:v>2.3866485828116306</c:v>
                </c:pt>
              </c:numCache>
            </c:numRef>
          </c:val>
          <c:smooth val="0"/>
          <c:extLst>
            <c:ext xmlns:c16="http://schemas.microsoft.com/office/drawing/2014/chart" uri="{C3380CC4-5D6E-409C-BE32-E72D297353CC}">
              <c16:uniqueId val="{00000006-C5D7-4925-AF1B-9F6C7CD417DE}"/>
            </c:ext>
          </c:extLst>
        </c:ser>
        <c:dLbls>
          <c:showLegendKey val="0"/>
          <c:showVal val="0"/>
          <c:showCatName val="0"/>
          <c:showSerName val="0"/>
          <c:showPercent val="0"/>
          <c:showBubbleSize val="0"/>
        </c:dLbls>
        <c:marker val="1"/>
        <c:smooth val="0"/>
        <c:axId val="101418880"/>
        <c:axId val="101420416"/>
      </c:lineChart>
      <c:lineChart>
        <c:grouping val="standard"/>
        <c:varyColors val="0"/>
        <c:ser>
          <c:idx val="7"/>
          <c:order val="7"/>
          <c:tx>
            <c:strRef>
              <c:f>'Služby-příspěvkyk růstu'!$J$25</c:f>
              <c:strCache>
                <c:ptCount val="1"/>
                <c:pt idx="0">
                  <c:v>Saldo indik.důvěry ve vybr. službách (pr.osa)</c:v>
                </c:pt>
              </c:strCache>
            </c:strRef>
          </c:tx>
          <c:spPr>
            <a:ln w="28575">
              <a:noFill/>
            </a:ln>
          </c:spPr>
          <c:marker>
            <c:symbol val="diamond"/>
            <c:size val="5"/>
            <c:spPr>
              <a:solidFill>
                <a:srgbClr val="FFFF00"/>
              </a:solidFill>
              <a:ln w="6350">
                <a:solidFill>
                  <a:schemeClr val="tx1">
                    <a:lumMod val="95000"/>
                    <a:lumOff val="5000"/>
                  </a:schemeClr>
                </a:solidFill>
              </a:ln>
            </c:spPr>
          </c:marker>
          <c:cat>
            <c:multiLvlStrRef>
              <c:f>'Služby-příspěvkyk růstu'!$A$26:$B$54</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2012</c:v>
                  </c:pt>
                  <c:pt idx="4">
                    <c:v>2013</c:v>
                  </c:pt>
                  <c:pt idx="8">
                    <c:v>2014</c:v>
                  </c:pt>
                  <c:pt idx="12">
                    <c:v>2015</c:v>
                  </c:pt>
                  <c:pt idx="16">
                    <c:v>2016</c:v>
                  </c:pt>
                  <c:pt idx="20">
                    <c:v>2017</c:v>
                  </c:pt>
                  <c:pt idx="24">
                    <c:v>2018</c:v>
                  </c:pt>
                  <c:pt idx="28">
                    <c:v>2019</c:v>
                  </c:pt>
                </c:lvl>
              </c:multiLvlStrCache>
            </c:multiLvlStrRef>
          </c:cat>
          <c:val>
            <c:numRef>
              <c:f>'Služby-příspěvkyk růstu'!$J$26:$J$54</c:f>
              <c:numCache>
                <c:formatCode>0.0</c:formatCode>
                <c:ptCount val="29"/>
                <c:pt idx="0">
                  <c:v>26.333333333333325</c:v>
                </c:pt>
                <c:pt idx="1">
                  <c:v>25.666666666666668</c:v>
                </c:pt>
                <c:pt idx="2">
                  <c:v>23.866666666666664</c:v>
                </c:pt>
                <c:pt idx="3">
                  <c:v>23.3</c:v>
                </c:pt>
                <c:pt idx="4">
                  <c:v>23.666666666666668</c:v>
                </c:pt>
                <c:pt idx="5">
                  <c:v>22.233333333333324</c:v>
                </c:pt>
                <c:pt idx="6">
                  <c:v>22.366666666666664</c:v>
                </c:pt>
                <c:pt idx="7">
                  <c:v>26.333333333333325</c:v>
                </c:pt>
                <c:pt idx="8">
                  <c:v>26.900000000000002</c:v>
                </c:pt>
                <c:pt idx="9">
                  <c:v>26.666666666666668</c:v>
                </c:pt>
                <c:pt idx="10">
                  <c:v>29.233333333333324</c:v>
                </c:pt>
                <c:pt idx="11">
                  <c:v>31.666666666666668</c:v>
                </c:pt>
                <c:pt idx="12">
                  <c:v>29.466666666666669</c:v>
                </c:pt>
                <c:pt idx="13">
                  <c:v>29.133333333333329</c:v>
                </c:pt>
                <c:pt idx="14">
                  <c:v>30.633333333333329</c:v>
                </c:pt>
                <c:pt idx="15">
                  <c:v>32.466666666666647</c:v>
                </c:pt>
                <c:pt idx="16">
                  <c:v>33.566666666666656</c:v>
                </c:pt>
                <c:pt idx="17">
                  <c:v>32.43333333333333</c:v>
                </c:pt>
                <c:pt idx="18">
                  <c:v>33.66666666666665</c:v>
                </c:pt>
                <c:pt idx="19">
                  <c:v>36.700000000000003</c:v>
                </c:pt>
                <c:pt idx="20">
                  <c:v>35.300000000000011</c:v>
                </c:pt>
                <c:pt idx="21">
                  <c:v>37.366666666666646</c:v>
                </c:pt>
                <c:pt idx="22">
                  <c:v>37.533333333333331</c:v>
                </c:pt>
                <c:pt idx="23">
                  <c:v>35.9</c:v>
                </c:pt>
                <c:pt idx="24">
                  <c:v>37.20000000000001</c:v>
                </c:pt>
                <c:pt idx="25">
                  <c:v>37.566666666666656</c:v>
                </c:pt>
                <c:pt idx="26">
                  <c:v>38.1</c:v>
                </c:pt>
                <c:pt idx="27">
                  <c:v>39</c:v>
                </c:pt>
                <c:pt idx="28">
                  <c:v>38</c:v>
                </c:pt>
              </c:numCache>
            </c:numRef>
          </c:val>
          <c:smooth val="0"/>
          <c:extLst>
            <c:ext xmlns:c16="http://schemas.microsoft.com/office/drawing/2014/chart" uri="{C3380CC4-5D6E-409C-BE32-E72D297353CC}">
              <c16:uniqueId val="{00000007-C5D7-4925-AF1B-9F6C7CD417DE}"/>
            </c:ext>
          </c:extLst>
        </c:ser>
        <c:dLbls>
          <c:showLegendKey val="0"/>
          <c:showVal val="0"/>
          <c:showCatName val="0"/>
          <c:showSerName val="0"/>
          <c:showPercent val="0"/>
          <c:showBubbleSize val="0"/>
        </c:dLbls>
        <c:marker val="1"/>
        <c:smooth val="0"/>
        <c:axId val="101436032"/>
        <c:axId val="101434496"/>
      </c:lineChart>
      <c:catAx>
        <c:axId val="101418880"/>
        <c:scaling>
          <c:orientation val="minMax"/>
        </c:scaling>
        <c:delete val="0"/>
        <c:axPos val="b"/>
        <c:numFmt formatCode="General" sourceLinked="0"/>
        <c:majorTickMark val="out"/>
        <c:minorTickMark val="none"/>
        <c:tickLblPos val="low"/>
        <c:txPr>
          <a:bodyPr/>
          <a:lstStyle/>
          <a:p>
            <a:pPr>
              <a:defRPr sz="800"/>
            </a:pPr>
            <a:endParaRPr lang="cs-CZ"/>
          </a:p>
        </c:txPr>
        <c:crossAx val="101420416"/>
        <c:crosses val="autoZero"/>
        <c:auto val="1"/>
        <c:lblAlgn val="ctr"/>
        <c:lblOffset val="100"/>
        <c:noMultiLvlLbl val="0"/>
      </c:catAx>
      <c:valAx>
        <c:axId val="101420416"/>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txPr>
          <a:bodyPr/>
          <a:lstStyle/>
          <a:p>
            <a:pPr>
              <a:defRPr sz="800"/>
            </a:pPr>
            <a:endParaRPr lang="cs-CZ"/>
          </a:p>
        </c:txPr>
        <c:crossAx val="101418880"/>
        <c:crosses val="autoZero"/>
        <c:crossBetween val="between"/>
      </c:valAx>
      <c:valAx>
        <c:axId val="101434496"/>
        <c:scaling>
          <c:orientation val="minMax"/>
        </c:scaling>
        <c:delete val="0"/>
        <c:axPos val="r"/>
        <c:numFmt formatCode="0" sourceLinked="0"/>
        <c:majorTickMark val="out"/>
        <c:minorTickMark val="none"/>
        <c:tickLblPos val="nextTo"/>
        <c:txPr>
          <a:bodyPr/>
          <a:lstStyle/>
          <a:p>
            <a:pPr>
              <a:defRPr sz="800"/>
            </a:pPr>
            <a:endParaRPr lang="cs-CZ"/>
          </a:p>
        </c:txPr>
        <c:crossAx val="101436032"/>
        <c:crosses val="max"/>
        <c:crossBetween val="between"/>
      </c:valAx>
      <c:catAx>
        <c:axId val="101436032"/>
        <c:scaling>
          <c:orientation val="minMax"/>
        </c:scaling>
        <c:delete val="1"/>
        <c:axPos val="b"/>
        <c:numFmt formatCode="General" sourceLinked="1"/>
        <c:majorTickMark val="out"/>
        <c:minorTickMark val="none"/>
        <c:tickLblPos val="none"/>
        <c:crossAx val="101434496"/>
        <c:crosses val="autoZero"/>
        <c:auto val="1"/>
        <c:lblAlgn val="ctr"/>
        <c:lblOffset val="100"/>
        <c:noMultiLvlLbl val="0"/>
      </c:catAx>
      <c:spPr>
        <a:ln>
          <a:solidFill>
            <a:schemeClr val="tx1"/>
          </a:solidFill>
        </a:ln>
      </c:spPr>
    </c:plotArea>
    <c:legend>
      <c:legendPos val="r"/>
      <c:layout>
        <c:manualLayout>
          <c:xMode val="edge"/>
          <c:yMode val="edge"/>
          <c:x val="3.716251839558414E-2"/>
          <c:y val="0.83590207424931084"/>
          <c:w val="0.91427564014132157"/>
          <c:h val="0.16164795524691361"/>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0.35246</cdr:x>
      <cdr:y>0.02108</cdr:y>
    </cdr:from>
    <cdr:to>
      <cdr:x>0.40377</cdr:x>
      <cdr:y>0.04868</cdr:y>
    </cdr:to>
    <cdr:sp macro="" textlink="">
      <cdr:nvSpPr>
        <cdr:cNvPr id="2" name="Přímá spojovací šipka 1"/>
        <cdr:cNvSpPr/>
      </cdr:nvSpPr>
      <cdr:spPr>
        <a:xfrm xmlns:a="http://schemas.openxmlformats.org/drawingml/2006/main" flipH="1" flipV="1">
          <a:off x="1669301" y="88838"/>
          <a:ext cx="243025" cy="116316"/>
        </a:xfrm>
        <a:prstGeom xmlns:a="http://schemas.openxmlformats.org/drawingml/2006/main" prst="straightConnector1">
          <a:avLst/>
        </a:prstGeom>
        <a:noFill xmlns:a="http://schemas.openxmlformats.org/drawingml/2006/main"/>
        <a:ln xmlns:a="http://schemas.openxmlformats.org/drawingml/2006/main" w="6350" cap="flat" cmpd="sng" algn="ctr">
          <a:solidFill>
            <a:srgbClr val="984807"/>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0.41609</cdr:x>
      <cdr:y>0.03333</cdr:y>
    </cdr:from>
    <cdr:to>
      <cdr:x>0.46667</cdr:x>
      <cdr:y>0.06113</cdr:y>
    </cdr:to>
    <cdr:sp macro="" textlink="">
      <cdr:nvSpPr>
        <cdr:cNvPr id="3" name="TextovéPole 2"/>
        <cdr:cNvSpPr txBox="1"/>
      </cdr:nvSpPr>
      <cdr:spPr>
        <a:xfrm xmlns:a="http://schemas.openxmlformats.org/drawingml/2006/main" flipH="1">
          <a:off x="1970639" y="140482"/>
          <a:ext cx="239554" cy="117159"/>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984807"/>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9002-63AF-4971-BAD2-066709E063CE}">
  <ds:schemaRefs>
    <ds:schemaRef ds:uri="http://schemas.openxmlformats.org/officeDocument/2006/bibliography"/>
  </ds:schemaRefs>
</ds:datastoreItem>
</file>

<file path=customXml/itemProps2.xml><?xml version="1.0" encoding="utf-8"?>
<ds:datastoreItem xmlns:ds="http://schemas.openxmlformats.org/officeDocument/2006/customXml" ds:itemID="{D383A9C6-353F-45FE-93F3-6000004A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6</TotalTime>
  <Pages>6</Pages>
  <Words>2706</Words>
  <Characters>15969</Characters>
  <Application>Microsoft Office Word</Application>
  <DocSecurity>0</DocSecurity>
  <Lines>133</Lines>
  <Paragraphs>37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18638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5</cp:revision>
  <cp:lastPrinted>2019-04-08T10:52:00Z</cp:lastPrinted>
  <dcterms:created xsi:type="dcterms:W3CDTF">2019-06-13T09:58:00Z</dcterms:created>
  <dcterms:modified xsi:type="dcterms:W3CDTF">2019-06-13T10:19:00Z</dcterms:modified>
</cp:coreProperties>
</file>