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ECF4" w14:textId="77777777" w:rsidR="00965797" w:rsidRDefault="00965797" w:rsidP="00965797">
      <w:pPr>
        <w:pStyle w:val="Nadpis11"/>
      </w:pPr>
      <w:bookmarkStart w:id="0" w:name="_Toc11237638"/>
      <w:bookmarkStart w:id="1" w:name="_GoBack"/>
      <w:bookmarkEnd w:id="1"/>
      <w:r w:rsidRPr="009110F7">
        <w:t>8. Státní rozpočet</w:t>
      </w:r>
      <w:bookmarkEnd w:id="0"/>
    </w:p>
    <w:tbl>
      <w:tblPr>
        <w:tblW w:w="966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F307CB" w:rsidRPr="003C07E6" w14:paraId="4B2BFBB5" w14:textId="77777777" w:rsidTr="000A3D9E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7A52954" w14:textId="77777777" w:rsidR="00F307CB" w:rsidRDefault="00F307CB" w:rsidP="000A3D9E">
            <w:pPr>
              <w:pStyle w:val="Marginlie"/>
            </w:pPr>
            <w:r>
              <w:t xml:space="preserve">Hospodaření státního rozpočtu se po šesti příznivějších letech v 1. čtvrtletí propadlo do mírného deficitu.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62F4971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F214A4B" w14:textId="1105748D" w:rsidR="00F307CB" w:rsidRPr="003C07E6" w:rsidRDefault="00F307CB">
            <w:pPr>
              <w:spacing w:after="220"/>
              <w:rPr>
                <w:spacing w:val="-4"/>
              </w:rPr>
            </w:pPr>
            <w:r w:rsidRPr="003C07E6">
              <w:rPr>
                <w:spacing w:val="-4"/>
              </w:rPr>
              <w:t>Státní rozpočet (SR)</w:t>
            </w:r>
            <w:r w:rsidRPr="003C07E6">
              <w:rPr>
                <w:rStyle w:val="Znakapoznpodarou"/>
                <w:spacing w:val="-4"/>
              </w:rPr>
              <w:footnoteReference w:id="1"/>
            </w:r>
            <w:r w:rsidRPr="003C07E6">
              <w:rPr>
                <w:spacing w:val="-4"/>
              </w:rPr>
              <w:t xml:space="preserve"> vykázal za 1. čtvrtletí 2019 deficit 9,2</w:t>
            </w:r>
            <w:r w:rsidR="00870ECD">
              <w:rPr>
                <w:spacing w:val="-4"/>
              </w:rPr>
              <w:t> mld</w:t>
            </w:r>
            <w:r w:rsidRPr="003C07E6">
              <w:rPr>
                <w:spacing w:val="-4"/>
              </w:rPr>
              <w:t>. korun. Ve stejném období předchozích šesti let přitom dosahoval přebytků. Na rozdíl od minulých let nebylo letošní saldo hospodaření výrazně ovlivněno finančními vztahy s rozpočtem EU</w:t>
            </w:r>
            <w:r w:rsidRPr="003C07E6">
              <w:rPr>
                <w:rStyle w:val="Znakapoznpodarou"/>
                <w:spacing w:val="-4"/>
              </w:rPr>
              <w:footnoteReference w:id="2"/>
            </w:r>
            <w:r w:rsidRPr="003C07E6">
              <w:rPr>
                <w:spacing w:val="-4"/>
              </w:rPr>
              <w:t>, neboť významnější vlivy na příjmové i výdajové straně se vzájemně kompenzovaly. Meziroční zhoršení salda SR bylo výsledkem svižného růstu výdajů (o 13,4</w:t>
            </w:r>
            <w:r w:rsidR="00870ECD">
              <w:rPr>
                <w:spacing w:val="-4"/>
              </w:rPr>
              <w:t> %</w:t>
            </w:r>
            <w:r w:rsidRPr="003C07E6">
              <w:rPr>
                <w:spacing w:val="-4"/>
              </w:rPr>
              <w:t xml:space="preserve">, </w:t>
            </w:r>
            <w:r w:rsidR="00D06B56">
              <w:rPr>
                <w:spacing w:val="-4"/>
              </w:rPr>
              <w:t>téměř dvojnásobně</w:t>
            </w:r>
            <w:r>
              <w:rPr>
                <w:spacing w:val="-4"/>
              </w:rPr>
              <w:t xml:space="preserve"> vyšší tempo</w:t>
            </w:r>
            <w:r w:rsidRPr="003C07E6">
              <w:rPr>
                <w:spacing w:val="-4"/>
              </w:rPr>
              <w:t xml:space="preserve"> oproti celoročnímu rozpočtovému očekávání) doprovázeného slábnoucí dynamikou příjmů (vč. daňového inkasa, jež reagovalo na zvolnění ekonomického růstu v loňském roce). </w:t>
            </w:r>
            <w:r w:rsidRPr="003C07E6">
              <w:rPr>
                <w:rFonts w:cs="Arial"/>
                <w:color w:val="0D0D0D" w:themeColor="text1" w:themeTint="F2"/>
                <w:spacing w:val="-4"/>
              </w:rPr>
              <w:t>Saldo SR, jež představuje dominantní položku deficitu či přebytku hospodaření sektoru vládních institucí, dosáhlo letos v</w:t>
            </w:r>
            <w:r w:rsidRPr="003C07E6">
              <w:rPr>
                <w:color w:val="0D0D0D" w:themeColor="text1" w:themeTint="F2"/>
                <w:spacing w:val="-4"/>
              </w:rPr>
              <w:t>e vztahu</w:t>
            </w:r>
            <w:r w:rsidRPr="003C07E6">
              <w:rPr>
                <w:rFonts w:cs="Arial"/>
                <w:color w:val="0D0D0D" w:themeColor="text1" w:themeTint="F2"/>
                <w:spacing w:val="-4"/>
              </w:rPr>
              <w:t xml:space="preserve"> k</w:t>
            </w:r>
            <w:r w:rsidRPr="003C07E6">
              <w:rPr>
                <w:color w:val="0D0D0D" w:themeColor="text1" w:themeTint="F2"/>
                <w:spacing w:val="-4"/>
              </w:rPr>
              <w:t> </w:t>
            </w:r>
            <w:r w:rsidR="00893EBE">
              <w:rPr>
                <w:rFonts w:cs="Arial"/>
                <w:color w:val="000000" w:themeColor="text1"/>
                <w:spacing w:val="-4"/>
              </w:rPr>
              <w:t xml:space="preserve">nominálnímu HDP </w:t>
            </w:r>
            <w:r w:rsidR="00893EBE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Pr="003C07E6">
              <w:rPr>
                <w:rFonts w:cs="Arial"/>
                <w:color w:val="000000" w:themeColor="text1"/>
                <w:spacing w:val="-4"/>
              </w:rPr>
              <w:t>0,</w:t>
            </w:r>
            <w:r w:rsidR="008E0001">
              <w:rPr>
                <w:rFonts w:cs="Arial"/>
                <w:color w:val="000000" w:themeColor="text1"/>
                <w:spacing w:val="-4"/>
              </w:rPr>
              <w:t>7</w:t>
            </w:r>
            <w:r w:rsidRPr="003C07E6">
              <w:rPr>
                <w:rFonts w:cs="Arial"/>
                <w:color w:val="000000" w:themeColor="text1"/>
                <w:spacing w:val="-4"/>
              </w:rPr>
              <w:t> %.</w:t>
            </w:r>
          </w:p>
        </w:tc>
      </w:tr>
      <w:tr w:rsidR="00F307CB" w:rsidRPr="000B394E" w14:paraId="562FF593" w14:textId="77777777" w:rsidTr="000A3D9E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1642E23" w14:textId="65AD76AF" w:rsidR="00F307CB" w:rsidRDefault="00F307CB" w:rsidP="000A3D9E">
            <w:pPr>
              <w:pStyle w:val="Marginlie"/>
            </w:pPr>
            <w:r>
              <w:t>Růstové tempo celkového výběru daňového inkasa zvolnilo na čtyřleté minimum. Zároveň zaostalo za rozpočtovým očekáváním.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B4AD752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1334020" w14:textId="6EEF1901" w:rsidR="00F307CB" w:rsidRPr="000B394E" w:rsidRDefault="00F307CB" w:rsidP="000A3D9E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K meziročnímu růstu příjmů SR (o 5,4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 přispěly letos zejména vyšší daňové příjmy (+13,6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korun). Zčásti se podílely i nedaňové a kapitálové příjmy a transfery (+5,0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.), neboť pokles samotných příjmů z rozpočtu EU (o třetinu, resp. 15,3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korun)</w:t>
            </w:r>
            <w:r>
              <w:rPr>
                <w:rStyle w:val="Znakapoznpodarou"/>
                <w:bCs/>
              </w:rPr>
              <w:footnoteReference w:id="3"/>
            </w:r>
            <w:r>
              <w:rPr>
                <w:spacing w:val="-4"/>
              </w:rPr>
              <w:t xml:space="preserve"> byl kompenzován jednorázovým převodem 18,0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 z privatizačního účtu. Růstové tempo celostátního daňového inkasa (bez pojistného) citelně zvolnilo – na 3,</w:t>
            </w:r>
            <w:r w:rsidR="00D06B56">
              <w:rPr>
                <w:spacing w:val="-4"/>
              </w:rPr>
              <w:t>2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(z 9,1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z 1. čtvrtletí 2018). Šlo o nejnižší tempo </w:t>
            </w:r>
            <w:r w:rsidR="0048686D">
              <w:rPr>
                <w:spacing w:val="-4"/>
              </w:rPr>
              <w:t xml:space="preserve">za </w:t>
            </w:r>
            <w:r>
              <w:rPr>
                <w:spacing w:val="-4"/>
              </w:rPr>
              <w:t>poslední čtyři roky. Oslabila i dynamika výběru pojistného na sociální zabezpečení (z 10,2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na 7,6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>), což korespondovalo s</w:t>
            </w:r>
            <w:r w:rsidR="00B5642C">
              <w:rPr>
                <w:spacing w:val="-4"/>
              </w:rPr>
              <w:t xml:space="preserve"> mírným</w:t>
            </w:r>
            <w:r>
              <w:rPr>
                <w:spacing w:val="-4"/>
              </w:rPr>
              <w:t xml:space="preserve"> zpomalením růstu zaměstnanosti v ekonomice i </w:t>
            </w:r>
            <w:r w:rsidR="0048686D">
              <w:rPr>
                <w:spacing w:val="-4"/>
              </w:rPr>
              <w:t xml:space="preserve">s pravděpodobným loňským </w:t>
            </w:r>
            <w:r>
              <w:rPr>
                <w:spacing w:val="-4"/>
              </w:rPr>
              <w:t>dosažení</w:t>
            </w:r>
            <w:r w:rsidR="0048686D">
              <w:rPr>
                <w:spacing w:val="-4"/>
              </w:rPr>
              <w:t>m</w:t>
            </w:r>
            <w:r>
              <w:rPr>
                <w:spacing w:val="-4"/>
              </w:rPr>
              <w:t xml:space="preserve"> vrcholu u dynamiky průměrných mezd. Tempo růstu výběru pojistného v 1. čtvrtletí zůstalo, podobně jako drtivá většina váhově významných daňových příjmů, za </w:t>
            </w:r>
            <w:r w:rsidR="00B5642C">
              <w:rPr>
                <w:spacing w:val="-4"/>
              </w:rPr>
              <w:t xml:space="preserve">celoročním </w:t>
            </w:r>
            <w:r>
              <w:rPr>
                <w:spacing w:val="-4"/>
              </w:rPr>
              <w:t>rozpočtovým očekáváním.</w:t>
            </w:r>
          </w:p>
        </w:tc>
      </w:tr>
      <w:tr w:rsidR="00F307CB" w:rsidRPr="00F704D2" w14:paraId="5D3CBECC" w14:textId="77777777" w:rsidTr="000A3D9E">
        <w:trPr>
          <w:trHeight w:val="170"/>
        </w:trPr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8ECDC40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1CA408C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71ADE4D" w14:textId="77777777" w:rsidR="00F307CB" w:rsidRDefault="00F307CB" w:rsidP="000A3D9E">
            <w:pPr>
              <w:spacing w:after="0" w:line="240" w:lineRule="auto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r w:rsidR="001208E3">
              <w:rPr>
                <w:rFonts w:cs="Arial"/>
                <w:b/>
                <w:bCs/>
                <w:color w:val="000000"/>
                <w:szCs w:val="20"/>
              </w:rPr>
              <w:t>17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Celostátní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  <w:p w14:paraId="6CCF0697" w14:textId="77777777" w:rsidR="00F307CB" w:rsidRPr="00F704D2" w:rsidRDefault="00F307CB" w:rsidP="000A3D9E">
            <w:pPr>
              <w:spacing w:after="40" w:line="240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 mld. korun)</w:t>
            </w:r>
          </w:p>
        </w:tc>
      </w:tr>
      <w:tr w:rsidR="00F307CB" w14:paraId="6FF03404" w14:textId="77777777" w:rsidTr="000A3D9E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8055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301F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D6D4" w14:textId="77777777" w:rsidR="00F307CB" w:rsidRDefault="00F307CB" w:rsidP="000A3D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7C0AF88" wp14:editId="47FCCD49">
                  <wp:extent cx="4741545" cy="3426032"/>
                  <wp:effectExtent l="0" t="0" r="1905" b="3175"/>
                  <wp:docPr id="25" name="Graf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307CB" w:rsidRPr="007B3A78" w14:paraId="1BAB043A" w14:textId="77777777" w:rsidTr="000A3D9E">
        <w:trPr>
          <w:trHeight w:val="170"/>
        </w:trPr>
        <w:tc>
          <w:tcPr>
            <w:tcW w:w="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D0875B6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898B57C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5774551" w14:textId="77777777" w:rsidR="00F307CB" w:rsidRPr="007B3A78" w:rsidRDefault="00F307CB" w:rsidP="000A3D9E">
            <w:pPr>
              <w:spacing w:after="200" w:line="240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 ČR</w:t>
            </w:r>
          </w:p>
        </w:tc>
      </w:tr>
      <w:tr w:rsidR="00F307CB" w:rsidRPr="008266F0" w14:paraId="5C0794C4" w14:textId="77777777" w:rsidTr="000A3D9E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ACDE9B5" w14:textId="77777777" w:rsidR="00F307CB" w:rsidRDefault="00F307CB" w:rsidP="000A3D9E">
            <w:pPr>
              <w:pStyle w:val="Marginlie"/>
            </w:pPr>
            <w:r>
              <w:lastRenderedPageBreak/>
              <w:t>Výběr DPH i vlivem slabší spotřeby vládního sektoru meziročně stagnoval. Pokles inkasa spotřebních daní byl negativně ovlivněn výběrem u tabákových výrobků.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88B86EB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BC3A7C2" w14:textId="3DDB3C8F" w:rsidR="00F307CB" w:rsidRPr="008266F0" w:rsidRDefault="00F307CB">
            <w:pPr>
              <w:spacing w:after="220"/>
            </w:pPr>
            <w:r>
              <w:rPr>
                <w:spacing w:val="-4"/>
              </w:rPr>
              <w:t>Celostátní inkaso DPH – váhově dominantní daně – v 1. čtvrtletí meziročně fakticky stagnovalo</w:t>
            </w:r>
            <w:r w:rsidRPr="003C07E6"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. Projevilo se patrně </w:t>
            </w:r>
            <w:r w:rsidR="00EE7179">
              <w:rPr>
                <w:spacing w:val="-4"/>
              </w:rPr>
              <w:t xml:space="preserve">mírné </w:t>
            </w:r>
            <w:r>
              <w:rPr>
                <w:spacing w:val="-4"/>
              </w:rPr>
              <w:t xml:space="preserve">zpomalení </w:t>
            </w:r>
            <w:r w:rsidR="00971B87">
              <w:rPr>
                <w:spacing w:val="-4"/>
              </w:rPr>
              <w:t xml:space="preserve">nominálního tempa </w:t>
            </w:r>
            <w:r>
              <w:rPr>
                <w:spacing w:val="-4"/>
              </w:rPr>
              <w:t xml:space="preserve">výdajů na konečnou spotřebu (více u vládních institucí než </w:t>
            </w:r>
            <w:r w:rsidR="00EE7179">
              <w:rPr>
                <w:spacing w:val="-4"/>
              </w:rPr>
              <w:t>u </w:t>
            </w:r>
            <w:r>
              <w:rPr>
                <w:spacing w:val="-4"/>
              </w:rPr>
              <w:t xml:space="preserve">domácností). </w:t>
            </w:r>
            <w:r w:rsidR="00971B87">
              <w:rPr>
                <w:spacing w:val="-4"/>
              </w:rPr>
              <w:t>V</w:t>
            </w:r>
            <w:r>
              <w:rPr>
                <w:spacing w:val="-4"/>
              </w:rPr>
              <w:t xml:space="preserve">liv mělo také </w:t>
            </w:r>
            <w:r w:rsidR="00971B87">
              <w:rPr>
                <w:spacing w:val="-4"/>
              </w:rPr>
              <w:t xml:space="preserve">meziroční </w:t>
            </w:r>
            <w:r>
              <w:rPr>
                <w:spacing w:val="-4"/>
              </w:rPr>
              <w:t>snížení</w:t>
            </w:r>
            <w:r>
              <w:t xml:space="preserve"> objemu zadržovaných nadměrných odpočtů orgány finanční správy i zavedení nižší sazby DPH na pravidelnou hromadnou dopravu. Ze všech spotřebních daní získal SR meziročně o</w:t>
            </w:r>
            <w:r>
              <w:rPr>
                <w:spacing w:val="-4"/>
              </w:rPr>
              <w:t> </w:t>
            </w:r>
            <w:r>
              <w:t>4,1</w:t>
            </w:r>
            <w:r w:rsidR="00870ECD">
              <w:t> %</w:t>
            </w:r>
            <w:r>
              <w:t xml:space="preserve"> méně, téměř výhradně vlivem propadu inkasa z tabákových výrobků. Projevilo se zde předzásobení prodejců produkty se staršími tabákovými nálepkami na sklonku loňského roku a také skutečnost, že v roce 2019 se nepočítá se zvyšování</w:t>
            </w:r>
            <w:r w:rsidR="00EE7179">
              <w:t>m</w:t>
            </w:r>
            <w:r>
              <w:t xml:space="preserve"> sazeb této daně (podobná situace nastala naposledy v roce 2011). </w:t>
            </w:r>
            <w:r w:rsidR="00EB7BAC">
              <w:t xml:space="preserve">Tempo </w:t>
            </w:r>
            <w:r w:rsidR="00EB7BAC">
              <w:rPr>
                <w:rFonts w:cs="Arial"/>
                <w:color w:val="000000" w:themeColor="text1"/>
                <w:spacing w:val="-4"/>
                <w:szCs w:val="20"/>
              </w:rPr>
              <w:t>v</w:t>
            </w:r>
            <w:r>
              <w:rPr>
                <w:rFonts w:cs="Arial"/>
                <w:color w:val="000000" w:themeColor="text1"/>
                <w:spacing w:val="-4"/>
              </w:rPr>
              <w:t>ýběr</w:t>
            </w:r>
            <w:r w:rsidR="00EB7BAC">
              <w:rPr>
                <w:rFonts w:cs="Arial"/>
                <w:color w:val="000000" w:themeColor="text1"/>
                <w:spacing w:val="-4"/>
              </w:rPr>
              <w:t>u</w:t>
            </w:r>
            <w:r>
              <w:rPr>
                <w:rFonts w:cs="Arial"/>
                <w:color w:val="000000" w:themeColor="text1"/>
                <w:spacing w:val="-4"/>
              </w:rPr>
              <w:t xml:space="preserve"> váhově dominantní skupiny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</w:t>
            </w:r>
            <w:r>
              <w:rPr>
                <w:rFonts w:cs="Arial"/>
                <w:color w:val="000000" w:themeColor="text1"/>
                <w:spacing w:val="-4"/>
              </w:rPr>
              <w:t xml:space="preserve">spotřební </w:t>
            </w:r>
            <w:r w:rsidRPr="009D4D1C">
              <w:rPr>
                <w:rFonts w:cs="Arial"/>
                <w:color w:val="000000" w:themeColor="text1"/>
                <w:spacing w:val="-4"/>
              </w:rPr>
              <w:t>daně –</w:t>
            </w:r>
            <w:r>
              <w:rPr>
                <w:rFonts w:cs="Arial"/>
                <w:color w:val="000000" w:themeColor="text1"/>
                <w:spacing w:val="-4"/>
              </w:rPr>
              <w:t xml:space="preserve"> </w:t>
            </w:r>
            <w:r w:rsidRPr="009D4D1C">
              <w:rPr>
                <w:rFonts w:cs="Arial"/>
                <w:color w:val="000000" w:themeColor="text1"/>
                <w:spacing w:val="-4"/>
              </w:rPr>
              <w:t>z minerálních ole</w:t>
            </w:r>
            <w:r>
              <w:rPr>
                <w:rFonts w:cs="Arial"/>
                <w:color w:val="000000" w:themeColor="text1"/>
                <w:spacing w:val="-4"/>
              </w:rPr>
              <w:t>jů – byl</w:t>
            </w:r>
            <w:r w:rsidR="00EB7BAC">
              <w:rPr>
                <w:rFonts w:cs="Arial"/>
                <w:color w:val="000000" w:themeColor="text1"/>
                <w:spacing w:val="-4"/>
              </w:rPr>
              <w:t>o</w:t>
            </w:r>
            <w:r>
              <w:rPr>
                <w:rFonts w:cs="Arial"/>
                <w:color w:val="000000" w:themeColor="text1"/>
                <w:spacing w:val="-4"/>
              </w:rPr>
              <w:t xml:space="preserve"> letos, podobně jako loni, jen mír</w:t>
            </w:r>
            <w:r w:rsidR="00EB7BAC">
              <w:rPr>
                <w:rFonts w:cs="Arial"/>
                <w:color w:val="000000" w:themeColor="text1"/>
                <w:spacing w:val="-4"/>
              </w:rPr>
              <w:t>né</w:t>
            </w:r>
            <w:r>
              <w:rPr>
                <w:rFonts w:cs="Arial"/>
                <w:color w:val="000000" w:themeColor="text1"/>
                <w:spacing w:val="-4"/>
              </w:rPr>
              <w:t xml:space="preserve"> (+0,8</w:t>
            </w:r>
            <w:r>
              <w:t> </w:t>
            </w:r>
            <w:r>
              <w:rPr>
                <w:rFonts w:cs="Arial"/>
                <w:color w:val="000000" w:themeColor="text1"/>
                <w:spacing w:val="-4"/>
              </w:rPr>
              <w:t>%)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5"/>
            </w:r>
            <w:r>
              <w:rPr>
                <w:rFonts w:cs="Arial"/>
                <w:color w:val="000000" w:themeColor="text1"/>
                <w:spacing w:val="-4"/>
              </w:rPr>
              <w:t>. V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liv pozitivního dopadu hospodářského růstu na osobní </w:t>
            </w:r>
            <w:r>
              <w:rPr>
                <w:rFonts w:cs="Arial"/>
                <w:color w:val="000000" w:themeColor="text1"/>
                <w:spacing w:val="-4"/>
              </w:rPr>
              <w:t>i</w:t>
            </w:r>
            <w:r w:rsidRPr="009D4D1C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nákladní dopravu byl tlumen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negativní</w:t>
            </w:r>
            <w:r>
              <w:rPr>
                <w:rFonts w:cs="Arial"/>
                <w:color w:val="000000" w:themeColor="text1"/>
                <w:spacing w:val="-4"/>
              </w:rPr>
              <w:t>m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efekt</w:t>
            </w:r>
            <w:r>
              <w:rPr>
                <w:rFonts w:cs="Arial"/>
                <w:color w:val="000000" w:themeColor="text1"/>
                <w:spacing w:val="-4"/>
              </w:rPr>
              <w:t>em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spojený</w:t>
            </w:r>
            <w:r>
              <w:rPr>
                <w:rFonts w:cs="Arial"/>
                <w:color w:val="000000" w:themeColor="text1"/>
                <w:spacing w:val="-4"/>
              </w:rPr>
              <w:t xml:space="preserve">m s administrativními </w:t>
            </w:r>
            <w:r w:rsidRPr="009D4D1C">
              <w:rPr>
                <w:rFonts w:cs="Arial"/>
                <w:color w:val="000000" w:themeColor="text1"/>
                <w:spacing w:val="-4"/>
              </w:rPr>
              <w:t>vlivy</w:t>
            </w:r>
            <w:r w:rsidRPr="009D4D1C">
              <w:rPr>
                <w:rStyle w:val="Znakapoznpodarou"/>
                <w:color w:val="000000" w:themeColor="text1"/>
                <w:spacing w:val="-4"/>
              </w:rPr>
              <w:footnoteReference w:id="6"/>
            </w:r>
            <w:r w:rsidRPr="009D4D1C">
              <w:rPr>
                <w:rFonts w:cs="Arial"/>
                <w:color w:val="000000" w:themeColor="text1"/>
                <w:spacing w:val="-4"/>
              </w:rPr>
              <w:t>.</w:t>
            </w:r>
          </w:p>
        </w:tc>
      </w:tr>
      <w:tr w:rsidR="00F307CB" w:rsidRPr="008E4F8A" w14:paraId="19ABD449" w14:textId="77777777" w:rsidTr="000A3D9E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9E3147F" w14:textId="77777777" w:rsidR="00F307CB" w:rsidRDefault="00F307CB" w:rsidP="000A3D9E">
            <w:pPr>
              <w:pStyle w:val="Marginlie"/>
            </w:pPr>
            <w:r>
              <w:t>Sílící mzdové náklady působily na výběr přímých daní rozdílně. U DPFO ze závislé činnosti jej nadále stimulovaly, u korporátní daně tlumily.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7961831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42AD14A" w14:textId="0A71E71E" w:rsidR="00F307CB" w:rsidRPr="008E4F8A" w:rsidRDefault="00F307CB" w:rsidP="000A3D9E">
            <w:pPr>
              <w:spacing w:after="200"/>
              <w:rPr>
                <w:spacing w:val="-2"/>
              </w:rPr>
            </w:pPr>
            <w:r>
              <w:rPr>
                <w:rFonts w:cs="Arial"/>
                <w:color w:val="000000" w:themeColor="text1"/>
                <w:spacing w:val="-4"/>
              </w:rPr>
              <w:t xml:space="preserve">K růstu celostátního výběru přímých daní přispěly v 1. čtvrtletí všechny jejich hlavní druhy, </w:t>
            </w:r>
            <w:r>
              <w:rPr>
                <w:rFonts w:cs="Arial"/>
                <w:color w:val="000000" w:themeColor="text1"/>
                <w:spacing w:val="-4"/>
              </w:rPr>
              <w:br/>
              <w:t xml:space="preserve">nejvíce daň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z příjmů fyzických osob (DPFO) ze závislé činnosti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Ta meziročně </w:t>
            </w:r>
            <w:r w:rsidR="00CE3E48">
              <w:rPr>
                <w:rFonts w:cs="Arial"/>
                <w:color w:val="0D0D0D" w:themeColor="text1" w:themeTint="F2"/>
                <w:spacing w:val="-4"/>
              </w:rPr>
              <w:t>posílila o 12,5</w:t>
            </w:r>
            <w:r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%. Přestože tempo jejího růstu na rozdíl od přechozích čtyř let již nesílilo, stále převyšovalo dynamiku z konjunkturního období minulé dekády. Zasloužil se o to i rekordní počet pracujících osob a dále též svižný růst průměrných výdělků – hlavně v odvětvích s dominancí veřejného sektoru. Dvojciferný růst převyšující rozpočtové očekávání zaznamenaly letos ostatní druhy DPFO – daň z kapitálových výnosů i daň </w:t>
            </w:r>
            <w:r w:rsidRPr="00E12BB3">
              <w:rPr>
                <w:rFonts w:cs="Arial"/>
                <w:spacing w:val="-4"/>
              </w:rPr>
              <w:t>ze sam</w:t>
            </w:r>
            <w:r>
              <w:rPr>
                <w:rFonts w:cs="Arial"/>
                <w:spacing w:val="-4"/>
              </w:rPr>
              <w:t>ostatné výdělečné činnosti, související zejména s objem</w:t>
            </w:r>
            <w:r w:rsidR="00005D9E">
              <w:rPr>
                <w:rFonts w:cs="Arial"/>
                <w:spacing w:val="-4"/>
              </w:rPr>
              <w:t>em</w:t>
            </w:r>
            <w:r>
              <w:rPr>
                <w:rFonts w:cs="Arial"/>
                <w:spacing w:val="-4"/>
              </w:rPr>
              <w:t xml:space="preserve"> tržeb plynoucích z drobného podnikání. Inkaso korporátní daně (DPPO) vzrostlo o 3,8</w:t>
            </w:r>
            <w:r w:rsidR="00870ECD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 a odráželo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klesající ziskovost </w:t>
            </w:r>
            <w:r w:rsidR="00CE3E48">
              <w:rPr>
                <w:rFonts w:cs="Arial"/>
                <w:color w:val="0D0D0D" w:themeColor="text1" w:themeTint="F2"/>
                <w:spacing w:val="-4"/>
              </w:rPr>
              <w:t>podniků hlavně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vlivem sílících mzdových nákladů, ale i relativně slabší loňskou základnu této daně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7"/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  <w:tr w:rsidR="00F307CB" w14:paraId="6452A11C" w14:textId="77777777" w:rsidTr="000A3D9E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FFBA42C" w14:textId="7A3185C9" w:rsidR="00F307CB" w:rsidRDefault="00F307CB" w:rsidP="00CA47BC">
            <w:pPr>
              <w:pStyle w:val="Marginlie"/>
            </w:pPr>
            <w:r>
              <w:t xml:space="preserve">Růst celkových výdajů SR </w:t>
            </w:r>
            <w:r w:rsidR="00D5560A">
              <w:t xml:space="preserve">táhly </w:t>
            </w:r>
            <w:r>
              <w:t>na počátku roku</w:t>
            </w:r>
            <w:r w:rsidR="00D5560A">
              <w:t xml:space="preserve"> jak běžné, tak</w:t>
            </w:r>
            <w:r w:rsidR="00CA47BC">
              <w:t xml:space="preserve"> </w:t>
            </w:r>
            <w:r w:rsidR="00D5560A">
              <w:t>investiční výdaje.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3D619E8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7AC9EBD" w14:textId="1D606F97" w:rsidR="00F307CB" w:rsidRDefault="00F307CB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 xml:space="preserve">Tempo růstu výdajů SR v posledních dvou letech výrazně zrychlovalo. Podílely se na něm jak běžné, tak investiční výdaje. V 1. čtvrtletí 2019 posílily celkové výdaje meziročně o 13,4 %, v rámci tohoto období roku nejvíce za posledních jedenáct let. Kapitálové výdaje vzrostly </w:t>
            </w:r>
            <w:r w:rsidR="007A4782">
              <w:rPr>
                <w:spacing w:val="-4"/>
              </w:rPr>
              <w:t xml:space="preserve">i vlivem velmi nízké loňské základny </w:t>
            </w:r>
            <w:r>
              <w:rPr>
                <w:spacing w:val="-4"/>
              </w:rPr>
              <w:t>o 4,7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>. korun, resp. o 40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. </w:t>
            </w:r>
            <w:r w:rsidR="007A4782">
              <w:rPr>
                <w:spacing w:val="-4"/>
              </w:rPr>
              <w:t>D</w:t>
            </w:r>
            <w:r>
              <w:rPr>
                <w:spacing w:val="-4"/>
              </w:rPr>
              <w:t xml:space="preserve">osavadní letošní čerpání </w:t>
            </w:r>
            <w:r w:rsidR="00971B87">
              <w:rPr>
                <w:spacing w:val="-4"/>
              </w:rPr>
              <w:t xml:space="preserve">investic </w:t>
            </w:r>
            <w:r>
              <w:rPr>
                <w:spacing w:val="-4"/>
              </w:rPr>
              <w:t xml:space="preserve">bylo na konci března </w:t>
            </w:r>
            <w:r w:rsidR="00971B87">
              <w:rPr>
                <w:spacing w:val="-4"/>
              </w:rPr>
              <w:t>jen</w:t>
            </w:r>
            <w:r>
              <w:rPr>
                <w:spacing w:val="-4"/>
              </w:rPr>
              <w:t xml:space="preserve"> na osmině celoročně rozpočtované částky. Více než 80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investic směřovalo na společné projekty ČR a EU</w:t>
            </w:r>
            <w:r w:rsidRPr="003C07E6">
              <w:rPr>
                <w:rStyle w:val="Znakapoznpodarou"/>
                <w:spacing w:val="-4"/>
              </w:rPr>
              <w:footnoteReference w:id="8"/>
            </w:r>
            <w:r>
              <w:rPr>
                <w:spacing w:val="-4"/>
              </w:rPr>
              <w:t>, jejich objem meziročně vzrostl o bezmála 5</w:t>
            </w:r>
            <w:r w:rsidR="00870ECD">
              <w:rPr>
                <w:spacing w:val="-4"/>
              </w:rPr>
              <w:t> mld</w:t>
            </w:r>
            <w:r>
              <w:rPr>
                <w:spacing w:val="-4"/>
              </w:rPr>
              <w:t xml:space="preserve">. korun (zejména zásluhou vyšší alokace OP Doprava </w:t>
            </w:r>
            <w:r w:rsidR="00BC50BE">
              <w:rPr>
                <w:spacing w:val="-4"/>
              </w:rPr>
              <w:t xml:space="preserve">a </w:t>
            </w:r>
            <w:r>
              <w:rPr>
                <w:spacing w:val="-4"/>
              </w:rPr>
              <w:t>také Integrovaného regionální operačního programu). Podíl investic na celkových výdajích SR se navyšoval již druhým rokem v řadě a letos dosáhl 4,4</w:t>
            </w:r>
            <w:r w:rsidR="00870EC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. Přesto šlo o třetí nejnižší hodnotu za posledních dvanáct let. V pozadí této skutečnosti stojí prohlubující se nerovnost investiční aktivity </w:t>
            </w:r>
            <w:r w:rsidR="00BC50BE">
              <w:rPr>
                <w:spacing w:val="-4"/>
              </w:rPr>
              <w:t xml:space="preserve">státu </w:t>
            </w:r>
            <w:r>
              <w:rPr>
                <w:spacing w:val="-4"/>
              </w:rPr>
              <w:t>v průběhu kalendářního roku.</w:t>
            </w:r>
          </w:p>
        </w:tc>
      </w:tr>
      <w:tr w:rsidR="00F307CB" w:rsidRPr="00763CC3" w14:paraId="29F6F74C" w14:textId="77777777" w:rsidTr="000A3D9E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0FB90F4" w14:textId="77777777" w:rsidR="00F307CB" w:rsidRDefault="00F307CB" w:rsidP="000A3D9E">
            <w:pPr>
              <w:pStyle w:val="Marginlie"/>
            </w:pPr>
            <w:r>
              <w:t>K navýšení běžných výdajů přispěl svižný růst průměrné výše důchodů, výdaje na platy v rozpočtové sféře i vyšší odvody do rozpočtu EU.</w:t>
            </w:r>
          </w:p>
          <w:p w14:paraId="5DF4BC0D" w14:textId="77777777" w:rsidR="00F307CB" w:rsidRDefault="00F307CB" w:rsidP="000A3D9E">
            <w:pPr>
              <w:pStyle w:val="Marginlie"/>
            </w:pPr>
          </w:p>
          <w:p w14:paraId="10DF2FA5" w14:textId="77777777" w:rsidR="00F307CB" w:rsidRDefault="00F307CB" w:rsidP="000A3D9E">
            <w:pPr>
              <w:pStyle w:val="Marginlie"/>
            </w:pPr>
          </w:p>
          <w:p w14:paraId="5D337627" w14:textId="77777777" w:rsidR="00F307CB" w:rsidRDefault="00F307CB" w:rsidP="000A3D9E">
            <w:pPr>
              <w:pStyle w:val="Marginlie"/>
            </w:pPr>
          </w:p>
          <w:p w14:paraId="1A488C43" w14:textId="77777777" w:rsidR="00F307CB" w:rsidRDefault="00F307CB" w:rsidP="000A3D9E">
            <w:pPr>
              <w:pStyle w:val="Marginlie"/>
            </w:pPr>
          </w:p>
          <w:p w14:paraId="6C39B4DD" w14:textId="77777777" w:rsidR="00F307CB" w:rsidRDefault="00F307CB" w:rsidP="000A3D9E">
            <w:pPr>
              <w:pStyle w:val="Marginlie"/>
            </w:pPr>
          </w:p>
          <w:p w14:paraId="7CDC69E8" w14:textId="77777777" w:rsidR="00F307CB" w:rsidRDefault="00F307CB" w:rsidP="000A3D9E">
            <w:pPr>
              <w:pStyle w:val="Marginlie"/>
            </w:pPr>
            <w:r>
              <w:lastRenderedPageBreak/>
              <w:t>Saldo důchodového účtu bylo vyrovnané. Mírný růst četnosti osob pobírajících důchody se zastavil.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ED7F194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D5B7DD4" w14:textId="3B6A566B" w:rsidR="00F307CB" w:rsidRPr="00763CC3" w:rsidRDefault="00F307CB" w:rsidP="000A3D9E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Na běžných výdajích utratil letos stát meziročně o osminu více (resp. o 39,4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mld</w:t>
            </w:r>
            <w:r>
              <w:rPr>
                <w:rFonts w:cs="Arial"/>
                <w:color w:val="0D0D0D" w:themeColor="text1" w:themeTint="F2"/>
                <w:spacing w:val="-4"/>
              </w:rPr>
              <w:t>. korun). Bezmála třetinou se na tom podílely vyšší výdaje na sociální dávky, pětinou neinvestiční transfery veřejným rozpočtům územní úrovně</w:t>
            </w:r>
            <w:r w:rsidRPr="009D4D1C">
              <w:rPr>
                <w:rStyle w:val="Znakapoznpodarou"/>
                <w:color w:val="000000" w:themeColor="text1"/>
                <w:spacing w:val="-4"/>
              </w:rPr>
              <w:footnoteReference w:id="9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 šestinou vyšší povinné odvody ČR do rozpočtu EU. Přestože tempo výdajů na sociální dávky se ve srovnání s počátkem roku 2018 zdvojnásobilo (na 8,0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), jejich podíl na celkových výdajích SR nadále klesal (pod 40% hranici). Nárůst objemu sociálních dávek byl </w:t>
            </w:r>
            <w:r w:rsidR="003C3608">
              <w:rPr>
                <w:rFonts w:cs="Arial"/>
                <w:color w:val="0D0D0D" w:themeColor="text1" w:themeTint="F2"/>
                <w:spacing w:val="-4"/>
              </w:rPr>
              <w:t>z </w:t>
            </w:r>
            <w:r>
              <w:rPr>
                <w:rFonts w:cs="Arial"/>
                <w:color w:val="0D0D0D" w:themeColor="text1" w:themeTint="F2"/>
                <w:spacing w:val="-4"/>
              </w:rPr>
              <w:t>více než 80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tažen prostředky na důchody. Ty vzrostly o 8,5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531C5A"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 rámci 1. čtvrtletí nejvíce za posledních deset let. Zásadně se projevil vliv zákonných úprav </w:t>
            </w:r>
            <w:r w:rsidR="00531C5A"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t>zvýšení základní výměry důchodu z 9</w:t>
            </w:r>
            <w:r w:rsidR="00870ECD">
              <w:t> %</w:t>
            </w:r>
            <w:r>
              <w:t xml:space="preserve"> na 10</w:t>
            </w:r>
            <w:r w:rsidR="00870ECD">
              <w:t> %</w:t>
            </w:r>
            <w:r>
              <w:t xml:space="preserve"> průměrné mzdy a také procentní výměry důchodů o 1</w:t>
            </w:r>
            <w:r w:rsidR="00C11244">
              <w:t> </w:t>
            </w:r>
            <w:r>
              <w:t>000</w:t>
            </w:r>
            <w:r w:rsidR="00870ECD">
              <w:t> Kč</w:t>
            </w:r>
            <w:r>
              <w:t xml:space="preserve"> u příjemců důchodů starších 85 let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Díky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>valorizačnímu mechanismu byl reflektován vliv růst</w:t>
            </w:r>
            <w:r w:rsidR="003C3608">
              <w:rPr>
                <w:rFonts w:cs="Arial"/>
                <w:color w:val="0D0D0D" w:themeColor="text1" w:themeTint="F2"/>
                <w:spacing w:val="-4"/>
              </w:rPr>
              <w:t>u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životních nákladů i loňská akcelerace růstu průměrných mezd. Průměrný sólo starobní důchod v březnu 2019 činil 13</w:t>
            </w:r>
            <w:r w:rsidR="003C360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377</w:t>
            </w:r>
            <w:r w:rsidR="003C360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korun, meziročně byl o 1</w:t>
            </w:r>
            <w:r w:rsidR="003C360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030</w:t>
            </w:r>
            <w:r w:rsidR="003C360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korun vyšší. Nějakou formu důchodu pobíralo od státu 2</w:t>
            </w:r>
            <w:r w:rsidR="003C360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891</w:t>
            </w:r>
            <w:r w:rsidR="003C360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tis. osob, jejich počet se poprvé za posledních pět let snížil. To souviselo s mimořádně příznivým postavením zaměstnaných osob na pracovním trhu. Míra ekonomické aktivity osob na sklonku produktivního věku narůstala. Již čtvrtým rokem v řadě se zároveň snižovalo tempo přírůstku lidí s trvale kráceným starobním důchodem. Tempo růstu výběru pojistného na sociální zabezpečení po rekordním loňském roce mírně zvolnilo. </w:t>
            </w:r>
            <w:r>
              <w:rPr>
                <w:rFonts w:cs="Arial"/>
                <w:color w:val="0D0D0D" w:themeColor="text1" w:themeTint="F2"/>
                <w:spacing w:val="-2"/>
              </w:rPr>
              <w:t>Saldo důchodového účtu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0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bylo v 1. čtvrtletí téměř vyrovnané.</w:t>
            </w:r>
          </w:p>
        </w:tc>
      </w:tr>
      <w:tr w:rsidR="00F307CB" w:rsidRPr="00F704D2" w14:paraId="15D7C4BA" w14:textId="77777777" w:rsidTr="000A3D9E">
        <w:trPr>
          <w:trHeight w:val="170"/>
        </w:trPr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279EAD1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A31FCFD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AC33E12" w14:textId="77777777" w:rsidR="00F307CB" w:rsidRDefault="001208E3" w:rsidP="000A3D9E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>
              <w:rPr>
                <w:b/>
              </w:rPr>
              <w:t>Graf č. 18</w:t>
            </w:r>
            <w:r w:rsidR="00F307CB" w:rsidRPr="00F704D2">
              <w:rPr>
                <w:b/>
              </w:rPr>
              <w:t xml:space="preserve">: </w:t>
            </w:r>
            <w:r w:rsidR="00F307CB" w:rsidRPr="00F704D2">
              <w:rPr>
                <w:rFonts w:cs="Arial"/>
                <w:b/>
                <w:bCs/>
                <w:spacing w:val="-4"/>
              </w:rPr>
              <w:t>Příjemci</w:t>
            </w:r>
            <w:r w:rsidR="00F307CB" w:rsidRPr="001356FC">
              <w:rPr>
                <w:rFonts w:cs="Arial"/>
                <w:b/>
                <w:bCs/>
                <w:spacing w:val="-4"/>
              </w:rPr>
              <w:t xml:space="preserve"> důchodů</w:t>
            </w:r>
            <w:r w:rsidR="00F307CB" w:rsidRPr="001356FC">
              <w:rPr>
                <w:rFonts w:cs="Arial"/>
                <w:bCs/>
                <w:spacing w:val="-4"/>
              </w:rPr>
              <w:t>,</w:t>
            </w:r>
            <w:r w:rsidR="00F307CB" w:rsidRPr="001356FC">
              <w:rPr>
                <w:rFonts w:cs="Arial"/>
                <w:b/>
                <w:bCs/>
                <w:spacing w:val="-4"/>
              </w:rPr>
              <w:t xml:space="preserve"> příjmy i výdaje na důchody ze SR </w:t>
            </w:r>
            <w:r w:rsidR="00F307CB" w:rsidRPr="001356FC">
              <w:rPr>
                <w:rFonts w:cs="Arial"/>
                <w:bCs/>
                <w:spacing w:val="-4"/>
              </w:rPr>
              <w:t>(</w:t>
            </w:r>
            <w:r w:rsidR="00F307CB" w:rsidRPr="001356FC">
              <w:rPr>
                <w:spacing w:val="-4"/>
              </w:rPr>
              <w:t>meziročně</w:t>
            </w:r>
            <w:r w:rsidR="00F307CB" w:rsidRPr="001356FC">
              <w:rPr>
                <w:bCs/>
                <w:spacing w:val="-4"/>
              </w:rPr>
              <w:t xml:space="preserve"> v %)</w:t>
            </w:r>
          </w:p>
          <w:p w14:paraId="7F30FFF1" w14:textId="77777777" w:rsidR="00F307CB" w:rsidRPr="00F704D2" w:rsidRDefault="00F307CB" w:rsidP="000A3D9E">
            <w:pPr>
              <w:spacing w:after="40" w:line="240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pacing w:val="-4"/>
              </w:rPr>
              <w:t>a jejich saldo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</w:t>
            </w:r>
            <w:r w:rsidRPr="001356FC">
              <w:rPr>
                <w:rFonts w:cs="Arial"/>
                <w:bCs/>
                <w:spacing w:val="-4"/>
              </w:rPr>
              <w:t>(v mld. korun)</w:t>
            </w:r>
          </w:p>
        </w:tc>
      </w:tr>
      <w:tr w:rsidR="00F307CB" w14:paraId="33F2E9D2" w14:textId="77777777" w:rsidTr="000A3D9E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D6EF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4D9E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621D" w14:textId="77777777" w:rsidR="00F307CB" w:rsidRDefault="00F307CB" w:rsidP="000A3D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8BE2E3A" wp14:editId="630056B6">
                  <wp:extent cx="4751705" cy="3669476"/>
                  <wp:effectExtent l="0" t="0" r="0" b="7620"/>
                  <wp:docPr id="26" name="Graf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307CB" w:rsidRPr="00343AC1" w14:paraId="2551FA53" w14:textId="77777777" w:rsidTr="000A3D9E">
        <w:trPr>
          <w:trHeight w:val="170"/>
        </w:trPr>
        <w:tc>
          <w:tcPr>
            <w:tcW w:w="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900FDBA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6127349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CDD592A" w14:textId="4A11B299" w:rsidR="00F307CB" w:rsidRPr="0038786D" w:rsidRDefault="00F307CB" w:rsidP="000A3D9E">
            <w:pPr>
              <w:spacing w:after="0" w:line="240" w:lineRule="auto"/>
              <w:rPr>
                <w:sz w:val="14"/>
                <w:szCs w:val="14"/>
              </w:rPr>
            </w:pPr>
            <w:r w:rsidRPr="0038786D">
              <w:rPr>
                <w:sz w:val="14"/>
                <w:szCs w:val="14"/>
              </w:rPr>
              <w:t xml:space="preserve">* Vyjadřuje 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rozdíl mezi příjmy a výdaji na důchody ze státníh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o rozpočtu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. 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V saldu příjmů a výdajů nejsou zahrnuty náklady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 na správu 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systému 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důchodového pojištění.</w:t>
            </w:r>
          </w:p>
          <w:p w14:paraId="22B26917" w14:textId="77777777" w:rsidR="00F307CB" w:rsidRDefault="00F307CB" w:rsidP="000A3D9E">
            <w:pPr>
              <w:spacing w:after="0" w:line="240" w:lineRule="auto"/>
              <w:rPr>
                <w:sz w:val="14"/>
                <w:szCs w:val="14"/>
              </w:rPr>
            </w:pPr>
            <w:r w:rsidRPr="00B3757E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>*</w:t>
            </w:r>
            <w:r w:rsidRPr="00B3757E">
              <w:rPr>
                <w:sz w:val="14"/>
                <w:szCs w:val="14"/>
              </w:rPr>
              <w:t>Jde o starobní důchod přiznaný před dosažením důchodového věku a krácený za předčasnost po celou dobu</w:t>
            </w:r>
            <w:r>
              <w:rPr>
                <w:sz w:val="14"/>
                <w:szCs w:val="14"/>
              </w:rPr>
              <w:t xml:space="preserve"> </w:t>
            </w:r>
            <w:r w:rsidRPr="00B3757E">
              <w:rPr>
                <w:sz w:val="14"/>
                <w:szCs w:val="14"/>
              </w:rPr>
              <w:t xml:space="preserve">pobírání </w:t>
            </w:r>
            <w:r>
              <w:rPr>
                <w:sz w:val="14"/>
                <w:szCs w:val="14"/>
              </w:rPr>
              <w:t xml:space="preserve">důchodu.                                                                                                                                                        </w:t>
            </w:r>
          </w:p>
          <w:p w14:paraId="3176601D" w14:textId="77777777" w:rsidR="00F307CB" w:rsidRPr="00343AC1" w:rsidRDefault="00F307CB" w:rsidP="000A3D9E">
            <w:pPr>
              <w:spacing w:after="22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7E5880">
              <w:rPr>
                <w:sz w:val="14"/>
                <w:szCs w:val="14"/>
              </w:rPr>
              <w:t>Zdroj: MF, ČSSZ</w:t>
            </w:r>
          </w:p>
        </w:tc>
      </w:tr>
      <w:tr w:rsidR="00F307CB" w:rsidRPr="004F63A0" w14:paraId="4A0BE1A0" w14:textId="77777777" w:rsidTr="000A3D9E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4FD080F" w14:textId="77777777" w:rsidR="00F307CB" w:rsidRDefault="00F307CB" w:rsidP="000A3D9E">
            <w:pPr>
              <w:pStyle w:val="Marginlie"/>
            </w:pPr>
            <w:r>
              <w:t>Tempo růstu výdajů na ostatní sociální dávky zrychlilo. Přispívaly k tomto nadále hlavně svižně rostoucí dávky nemocenského pojištění.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A2B1359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1920663" w14:textId="4B2C1B2B" w:rsidR="00F307CB" w:rsidRPr="004F63A0" w:rsidRDefault="00F307CB" w:rsidP="000A3D9E">
            <w:pPr>
              <w:pStyle w:val="Textpoznpodarou"/>
              <w:spacing w:after="200" w:line="276" w:lineRule="auto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Vedle </w:t>
            </w:r>
            <w:r w:rsidR="00F32649">
              <w:rPr>
                <w:rFonts w:cs="Arial"/>
                <w:color w:val="0D0D0D" w:themeColor="text1" w:themeTint="F2"/>
                <w:spacing w:val="-4"/>
              </w:rPr>
              <w:t xml:space="preserve">důchodů </w:t>
            </w:r>
            <w:r>
              <w:rPr>
                <w:rFonts w:cs="Arial"/>
                <w:color w:val="0D0D0D" w:themeColor="text1" w:themeTint="F2"/>
                <w:spacing w:val="-4"/>
              </w:rPr>
              <w:t>rostly letos svižně i výdaje na ostatní sociální dávky (v úhrnu o 6,5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, nejvíce za poslední pětiletí). Ty jsou v posledních letech tradičně taženy zejména vyšším objemem dávek nemocenského pojištění (letos posílily meziročně o pětinu)</w:t>
            </w:r>
            <w:r w:rsidR="00F32649">
              <w:rPr>
                <w:rFonts w:cs="Arial"/>
                <w:color w:val="0D0D0D" w:themeColor="text1" w:themeTint="F2"/>
                <w:spacing w:val="-4"/>
              </w:rPr>
              <w:t>, a</w:t>
            </w:r>
            <w:r>
              <w:rPr>
                <w:rFonts w:cs="Arial"/>
                <w:color w:val="0D0D0D" w:themeColor="text1" w:themeTint="F2"/>
                <w:spacing w:val="-4"/>
              </w:rPr>
              <w:t>lespoň mírný růst ale letos zaznamenala výrazná většina váhově významných druhů dávek. Výjimko</w:t>
            </w:r>
            <w:r w:rsidR="00893EBE">
              <w:rPr>
                <w:rFonts w:cs="Arial"/>
                <w:color w:val="0D0D0D" w:themeColor="text1" w:themeTint="F2"/>
                <w:spacing w:val="-4"/>
              </w:rPr>
              <w:t>u byly jen dávky hmotné nouze (–23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893EBE">
              <w:rPr>
                <w:rFonts w:cs="Arial"/>
                <w:color w:val="0D0D0D" w:themeColor="text1" w:themeTint="F2"/>
                <w:spacing w:val="-4"/>
              </w:rPr>
              <w:t>, za posledních pět let –</w:t>
            </w:r>
            <w:r>
              <w:rPr>
                <w:rFonts w:cs="Arial"/>
                <w:color w:val="0D0D0D" w:themeColor="text1" w:themeTint="F2"/>
                <w:spacing w:val="-4"/>
              </w:rPr>
              <w:t>59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a také některé dávky státní sociální podpory vázané na příjem domácnosti (především příspěvek na bydlení)</w:t>
            </w:r>
            <w:r w:rsidRPr="009D4D1C">
              <w:rPr>
                <w:rStyle w:val="Znakapoznpodarou"/>
                <w:color w:val="000000" w:themeColor="text1"/>
                <w:spacing w:val="-4"/>
              </w:rPr>
              <w:footnoteReference w:id="11"/>
            </w:r>
            <w:r>
              <w:rPr>
                <w:rFonts w:cs="Arial"/>
                <w:color w:val="0D0D0D" w:themeColor="text1" w:themeTint="F2"/>
                <w:spacing w:val="-4"/>
              </w:rPr>
              <w:t>. Po čtyřech letech se letos zastavil pokles vyplacených dávek podpor nezaměstnaným,</w:t>
            </w:r>
            <w:r w:rsidR="00F32649">
              <w:rPr>
                <w:rFonts w:cs="Arial"/>
                <w:color w:val="0D0D0D" w:themeColor="text1" w:themeTint="F2"/>
                <w:spacing w:val="-4"/>
              </w:rPr>
              <w:br/>
            </w:r>
            <w:r>
              <w:rPr>
                <w:spacing w:val="-4"/>
              </w:rPr>
              <w:t>mj. i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vlivem vysokého podílu frikční složky nezaměstnanosti i růstu průměrné měsíční dávky </w:t>
            </w:r>
            <w:r w:rsidR="00F32649">
              <w:rPr>
                <w:spacing w:val="-4"/>
              </w:rPr>
              <w:t>v </w:t>
            </w:r>
            <w:r>
              <w:rPr>
                <w:spacing w:val="-4"/>
              </w:rPr>
              <w:t>nezaměstnanosti (odvozené od předchozích pracovních výdělků uchazeče o práci).</w:t>
            </w:r>
          </w:p>
        </w:tc>
      </w:tr>
      <w:tr w:rsidR="00F307CB" w:rsidRPr="00F704D2" w14:paraId="1D0D2DB3" w14:textId="77777777" w:rsidTr="000A3D9E">
        <w:trPr>
          <w:trHeight w:val="170"/>
        </w:trPr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4DB92EA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69FE20A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EAF7AF7" w14:textId="77777777" w:rsidR="00F307CB" w:rsidRPr="00F704D2" w:rsidRDefault="001208E3" w:rsidP="000A3D9E">
            <w:pPr>
              <w:spacing w:after="40" w:line="240" w:lineRule="auto"/>
              <w:jc w:val="left"/>
              <w:rPr>
                <w:rFonts w:cs="Arial"/>
                <w:bCs/>
              </w:rPr>
            </w:pPr>
            <w:r>
              <w:rPr>
                <w:b/>
                <w:spacing w:val="-2"/>
              </w:rPr>
              <w:t>Graf č. 19</w:t>
            </w:r>
            <w:r w:rsidR="00F307CB" w:rsidRPr="00DC43A2">
              <w:rPr>
                <w:b/>
                <w:spacing w:val="-2"/>
              </w:rPr>
              <w:t xml:space="preserve"> </w:t>
            </w:r>
            <w:r w:rsidR="00F307CB" w:rsidRPr="00DC43A2">
              <w:rPr>
                <w:rFonts w:cs="Arial"/>
                <w:b/>
                <w:bCs/>
                <w:spacing w:val="-2"/>
              </w:rPr>
              <w:t>Vybrané výdaje státního rozpočtu</w:t>
            </w:r>
            <w:r w:rsidR="00F307CB" w:rsidRPr="00DC43A2">
              <w:rPr>
                <w:rFonts w:cs="Arial"/>
                <w:bCs/>
                <w:spacing w:val="-2"/>
              </w:rPr>
              <w:t xml:space="preserve"> (v mld. korun)</w:t>
            </w:r>
          </w:p>
        </w:tc>
      </w:tr>
      <w:tr w:rsidR="00F307CB" w14:paraId="6BC6DABE" w14:textId="77777777" w:rsidTr="00D215B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E8F2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593D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B6461" w14:textId="17A5A4B6" w:rsidR="00F307CB" w:rsidRDefault="00D215B0" w:rsidP="000A3D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9A633EA" wp14:editId="42D0C785">
                  <wp:extent cx="4797477" cy="3488586"/>
                  <wp:effectExtent l="0" t="0" r="3175" b="0"/>
                  <wp:docPr id="33" name="Graf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307CB" w:rsidRPr="00343AC1" w14:paraId="05507CDA" w14:textId="77777777" w:rsidTr="00236700">
        <w:trPr>
          <w:trHeight w:val="170"/>
        </w:trPr>
        <w:tc>
          <w:tcPr>
            <w:tcW w:w="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6C28E74" w14:textId="77777777" w:rsidR="00F307CB" w:rsidRDefault="00F307CB" w:rsidP="000A3D9E">
            <w:pPr>
              <w:pStyle w:val="Marginlie"/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0DFD37B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11ED7A8" w14:textId="7FC44EB6" w:rsidR="00D215B0" w:rsidRDefault="00D215B0" w:rsidP="000A3D9E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*Pokrývá výdaje na platy v ústředních orgánech státní správy. Nezahrnuje např. mzdové výdaje na regionální školství.</w:t>
            </w:r>
          </w:p>
          <w:p w14:paraId="225BFFC3" w14:textId="6A4239EE" w:rsidR="00F307CB" w:rsidRDefault="00F307CB" w:rsidP="000A3D9E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D215B0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>Zahrnuje i dávky pěstounské péče.</w:t>
            </w:r>
          </w:p>
          <w:p w14:paraId="3E6FB18F" w14:textId="09B55195" w:rsidR="00F307CB" w:rsidRDefault="00F307CB" w:rsidP="000A3D9E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</w:t>
            </w:r>
            <w:r w:rsidR="00D215B0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>Zahrnuje 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hmotné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 w:rsidRPr="007E5880">
              <w:rPr>
                <w:sz w:val="14"/>
                <w:szCs w:val="14"/>
              </w:rPr>
              <w:t>ouzi,</w:t>
            </w:r>
            <w:r>
              <w:rPr>
                <w:sz w:val="14"/>
                <w:szCs w:val="14"/>
              </w:rPr>
              <w:t xml:space="preserve"> dávky osobám se zdravotním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7E5880">
              <w:rPr>
                <w:sz w:val="14"/>
                <w:szCs w:val="14"/>
              </w:rPr>
              <w:t>ostižením, pří</w:t>
            </w:r>
            <w:r>
              <w:rPr>
                <w:sz w:val="14"/>
                <w:szCs w:val="14"/>
              </w:rPr>
              <w:t>spěvek na péči dle zákona o</w:t>
            </w:r>
            <w:r w:rsidR="00540056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sociálních službách.</w:t>
            </w:r>
          </w:p>
          <w:p w14:paraId="165CE882" w14:textId="77777777" w:rsidR="00F307CB" w:rsidRPr="00BF15CA" w:rsidRDefault="00F307CB" w:rsidP="00BF15CA">
            <w:pPr>
              <w:pStyle w:val="Textpoznpodarou"/>
              <w:spacing w:after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 ČR, MPSV</w:t>
            </w:r>
          </w:p>
        </w:tc>
      </w:tr>
      <w:tr w:rsidR="00F307CB" w:rsidRPr="00DC43A2" w14:paraId="06CF7FC8" w14:textId="77777777" w:rsidTr="00236700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BD25E74" w14:textId="77777777" w:rsidR="00F307CB" w:rsidRDefault="00F307CB" w:rsidP="000A3D9E">
            <w:pPr>
              <w:pStyle w:val="Marginlie"/>
            </w:pPr>
            <w:r>
              <w:t>Výše státního dluhu od počátku roku významněji vzrostla. V dlouhodobějším pohledu ale zůstává stabilizovaná.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07E8F3C" w14:textId="77777777" w:rsidR="00F307CB" w:rsidRDefault="00F307CB" w:rsidP="000A3D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249DDD2" w14:textId="295DB33D" w:rsidR="00F307CB" w:rsidRPr="00117474" w:rsidRDefault="00F307CB" w:rsidP="00C401A9">
            <w:pPr>
              <w:pStyle w:val="Textpoznpodarou"/>
              <w:spacing w:after="220" w:line="276" w:lineRule="auto"/>
              <w:jc w:val="both"/>
              <w:rPr>
                <w:spacing w:val="-4"/>
              </w:rPr>
            </w:pPr>
            <w:r w:rsidRPr="00117474">
              <w:rPr>
                <w:rFonts w:cs="Arial"/>
                <w:color w:val="0D0D0D" w:themeColor="text1" w:themeTint="F2"/>
                <w:spacing w:val="-4"/>
              </w:rPr>
              <w:t>Sedmým rokem v řadě pokračoval trend stabilizace výše státního dluhu. Ten dosáhl na konci 1. čtvrtletí 2019 hodnoty 1</w:t>
            </w:r>
            <w:r w:rsidR="00E3724A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>731,6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mld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>. korun. Meziročně mírně vzrostl (+1,1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 xml:space="preserve">), </w:t>
            </w:r>
            <w:r w:rsidR="00E3724A">
              <w:rPr>
                <w:rFonts w:cs="Arial"/>
                <w:color w:val="0D0D0D" w:themeColor="text1" w:themeTint="F2"/>
                <w:spacing w:val="-4"/>
              </w:rPr>
              <w:t>ve</w:t>
            </w:r>
            <w:r w:rsidR="00E3724A" w:rsidRPr="00117474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>srovnání se stavem na konci roku 2018 se jeho úroveň navýšila významněji (+6,8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>, resp. 109,6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mld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>. korun). Tato fluktuace byla dána z drtivé většiny zvýšením stavu středně</w:t>
            </w:r>
            <w:r w:rsidR="00E3724A">
              <w:rPr>
                <w:rFonts w:cs="Arial"/>
                <w:color w:val="0D0D0D" w:themeColor="text1" w:themeTint="F2"/>
                <w:spacing w:val="-4"/>
              </w:rPr>
              <w:t>dobých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 xml:space="preserve"> a</w:t>
            </w:r>
            <w:r w:rsidR="00E3724A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>dlouhodobých  státních dluhopisů vydaných na domácím trhu. Již pátým rokem v řadě se snižovala korunová hodnota vnějšího dluhu. Ten tvořil na konci března 2018 jen 13,1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117474">
              <w:rPr>
                <w:rFonts w:cs="Arial"/>
                <w:color w:val="0D0D0D" w:themeColor="text1" w:themeTint="F2"/>
                <w:spacing w:val="-4"/>
              </w:rPr>
              <w:t xml:space="preserve"> celkového státního dluhu, nejméně od konce roku 2004.</w:t>
            </w:r>
          </w:p>
        </w:tc>
      </w:tr>
      <w:tr w:rsidR="00C401A9" w:rsidRPr="00DC43A2" w14:paraId="508929F5" w14:textId="77777777" w:rsidTr="002763A2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165E1DD" w14:textId="77777777" w:rsidR="00C401A9" w:rsidRPr="002F0708" w:rsidRDefault="00C401A9" w:rsidP="00C401A9">
            <w:pPr>
              <w:pStyle w:val="Marginlie"/>
              <w:rPr>
                <w:spacing w:val="-3"/>
              </w:rPr>
            </w:pPr>
            <w:r w:rsidRPr="002F0708">
              <w:rPr>
                <w:spacing w:val="-3"/>
              </w:rPr>
              <w:t>Sektor vládních institucí docílil loni přebytku již třetím rokem v řadě.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C96BCB2" w14:textId="77777777" w:rsidR="00C401A9" w:rsidRDefault="00C401A9" w:rsidP="00C401A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DD1B13C" w14:textId="7605FF47" w:rsidR="00C401A9" w:rsidRPr="00117474" w:rsidRDefault="00C401A9" w:rsidP="00C401A9">
            <w:pPr>
              <w:pStyle w:val="Textpoznpodarou"/>
              <w:spacing w:after="220" w:line="276" w:lineRule="auto"/>
              <w:jc w:val="both"/>
              <w:rPr>
                <w:color w:val="000000" w:themeColor="text1"/>
                <w:spacing w:val="-4"/>
              </w:rPr>
            </w:pPr>
            <w:r w:rsidRPr="00117474">
              <w:rPr>
                <w:color w:val="000000" w:themeColor="text1"/>
                <w:spacing w:val="-4"/>
              </w:rPr>
              <w:t>Konsolidovaný dluh</w:t>
            </w:r>
            <w:r w:rsidRPr="00117474">
              <w:rPr>
                <w:color w:val="0D0D0D" w:themeColor="text1" w:themeTint="F2"/>
                <w:spacing w:val="-4"/>
              </w:rPr>
              <w:t xml:space="preserve"> celého sektoru vládních institucí</w:t>
            </w:r>
            <w:r w:rsidRPr="00117474">
              <w:rPr>
                <w:rStyle w:val="Znakapoznpodarou"/>
                <w:spacing w:val="-4"/>
              </w:rPr>
              <w:footnoteReference w:id="12"/>
            </w:r>
            <w:r w:rsidRPr="00117474">
              <w:rPr>
                <w:color w:val="0D0D0D" w:themeColor="text1" w:themeTint="F2"/>
                <w:spacing w:val="-4"/>
              </w:rPr>
              <w:t xml:space="preserve"> </w:t>
            </w:r>
            <w:r w:rsidR="00117474" w:rsidRPr="00117474">
              <w:rPr>
                <w:color w:val="000000" w:themeColor="text1"/>
                <w:spacing w:val="-4"/>
              </w:rPr>
              <w:t>činil</w:t>
            </w:r>
            <w:r w:rsidRPr="00117474">
              <w:rPr>
                <w:color w:val="000000" w:themeColor="text1"/>
                <w:spacing w:val="-4"/>
              </w:rPr>
              <w:t xml:space="preserve"> d</w:t>
            </w:r>
            <w:r w:rsidR="00117474">
              <w:rPr>
                <w:color w:val="000000" w:themeColor="text1"/>
                <w:spacing w:val="-4"/>
              </w:rPr>
              <w:t>le dat</w:t>
            </w:r>
            <w:r w:rsidRPr="00117474">
              <w:rPr>
                <w:color w:val="000000" w:themeColor="text1"/>
                <w:spacing w:val="-4"/>
              </w:rPr>
              <w:t xml:space="preserve"> ČSÚ na konci 4. čtvrtletí 201</w:t>
            </w:r>
            <w:r w:rsidR="00117474">
              <w:rPr>
                <w:color w:val="000000" w:themeColor="text1"/>
                <w:spacing w:val="-4"/>
              </w:rPr>
              <w:t xml:space="preserve">8 </w:t>
            </w:r>
            <w:r w:rsidRPr="00117474">
              <w:rPr>
                <w:color w:val="000000" w:themeColor="text1"/>
                <w:spacing w:val="-4"/>
              </w:rPr>
              <w:t xml:space="preserve">1 735 mld. </w:t>
            </w:r>
            <w:r w:rsidR="00117474">
              <w:rPr>
                <w:color w:val="000000" w:themeColor="text1"/>
                <w:spacing w:val="-4"/>
              </w:rPr>
              <w:t>korun. Hodnota</w:t>
            </w:r>
            <w:r w:rsidRPr="00117474">
              <w:rPr>
                <w:color w:val="000000" w:themeColor="text1"/>
                <w:spacing w:val="-4"/>
              </w:rPr>
              <w:t xml:space="preserve"> dluhu zůstává již šestým rokem v řadě stabilizovaná. Míra zadlužení činila 32,71</w:t>
            </w:r>
            <w:r w:rsidR="00870ECD">
              <w:rPr>
                <w:color w:val="000000" w:themeColor="text1"/>
                <w:spacing w:val="-4"/>
              </w:rPr>
              <w:t> %</w:t>
            </w:r>
            <w:r w:rsidRPr="00117474">
              <w:rPr>
                <w:color w:val="000000" w:themeColor="text1"/>
                <w:spacing w:val="-4"/>
              </w:rPr>
              <w:t xml:space="preserve"> HDP a ve srovnání s koncem roku 2017 klesla o 1,95</w:t>
            </w:r>
            <w:r w:rsidR="00870ECD">
              <w:rPr>
                <w:color w:val="000000" w:themeColor="text1"/>
                <w:spacing w:val="-4"/>
              </w:rPr>
              <w:t> p. b.</w:t>
            </w:r>
            <w:r w:rsidRPr="00117474">
              <w:rPr>
                <w:color w:val="000000" w:themeColor="text1"/>
                <w:spacing w:val="-4"/>
              </w:rPr>
              <w:t xml:space="preserve"> Snížila se primárně vlivem posílení nominálního HDP, samotný meziroční pokles dluhu se podílel jen necelou sedminou. V roce 2018 docílil sektor vládních institucí v ČR přebytku hospodaření</w:t>
            </w:r>
            <w:r w:rsidR="003810F0">
              <w:rPr>
                <w:color w:val="000000" w:themeColor="text1"/>
                <w:spacing w:val="-4"/>
              </w:rPr>
              <w:t xml:space="preserve"> </w:t>
            </w:r>
            <w:r w:rsidRPr="00117474">
              <w:rPr>
                <w:color w:val="000000" w:themeColor="text1"/>
                <w:spacing w:val="-4"/>
              </w:rPr>
              <w:t>+47,4</w:t>
            </w:r>
            <w:r w:rsidR="00870ECD">
              <w:rPr>
                <w:color w:val="000000" w:themeColor="text1"/>
                <w:spacing w:val="-4"/>
              </w:rPr>
              <w:t> mld</w:t>
            </w:r>
            <w:r w:rsidRPr="00117474">
              <w:rPr>
                <w:color w:val="000000" w:themeColor="text1"/>
                <w:spacing w:val="-4"/>
              </w:rPr>
              <w:t>. korun, celoroční kladný výsledek přetrvával již třetím rokem v řadě</w:t>
            </w:r>
            <w:r w:rsidRPr="00117474">
              <w:rPr>
                <w:rStyle w:val="Znakapoznpodarou"/>
                <w:spacing w:val="-4"/>
              </w:rPr>
              <w:footnoteReference w:id="13"/>
            </w:r>
            <w:r w:rsidRPr="00117474">
              <w:rPr>
                <w:color w:val="000000" w:themeColor="text1"/>
                <w:spacing w:val="-4"/>
              </w:rPr>
              <w:t>.</w:t>
            </w:r>
          </w:p>
        </w:tc>
      </w:tr>
      <w:tr w:rsidR="00C006D6" w:rsidRPr="00DC43A2" w14:paraId="09202D73" w14:textId="77777777" w:rsidTr="002763A2">
        <w:trPr>
          <w:trHeight w:val="14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91B69B5" w14:textId="77777777" w:rsidR="00C006D6" w:rsidRDefault="00A06F99" w:rsidP="00C401A9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Česko loni dosáhlo sedmého relativně nejvyššího přebytku hospodaření sektoru vládních institucí.</w:t>
            </w:r>
          </w:p>
          <w:p w14:paraId="6BB30617" w14:textId="77777777" w:rsidR="00A06F99" w:rsidRDefault="00A06F99" w:rsidP="00C401A9">
            <w:pPr>
              <w:pStyle w:val="Marginlie"/>
              <w:rPr>
                <w:spacing w:val="-3"/>
              </w:rPr>
            </w:pPr>
          </w:p>
          <w:p w14:paraId="4DFD892E" w14:textId="77777777" w:rsidR="00A06F99" w:rsidRDefault="00A06F99" w:rsidP="00C401A9">
            <w:pPr>
              <w:pStyle w:val="Marginlie"/>
              <w:rPr>
                <w:spacing w:val="-3"/>
              </w:rPr>
            </w:pPr>
          </w:p>
          <w:p w14:paraId="1284880C" w14:textId="77777777" w:rsidR="004E5F41" w:rsidRDefault="004E5F41" w:rsidP="00C401A9">
            <w:pPr>
              <w:pStyle w:val="Marginlie"/>
              <w:rPr>
                <w:spacing w:val="-3"/>
              </w:rPr>
            </w:pPr>
          </w:p>
          <w:p w14:paraId="01640224" w14:textId="472E1755" w:rsidR="00A06F99" w:rsidRDefault="00A06F99" w:rsidP="00C401A9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Míra zadlužení </w:t>
            </w:r>
            <w:r w:rsidR="004E5F41">
              <w:rPr>
                <w:spacing w:val="-3"/>
              </w:rPr>
              <w:t>vládních institucí klesá v EU jen pozvolna</w:t>
            </w:r>
            <w:r w:rsidR="00480BAE">
              <w:rPr>
                <w:spacing w:val="-3"/>
              </w:rPr>
              <w:t>.</w:t>
            </w:r>
          </w:p>
          <w:p w14:paraId="74B2C105" w14:textId="77777777" w:rsidR="004E5F41" w:rsidRDefault="004E5F41" w:rsidP="00C401A9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Česko obhájilo v rámci EU pozici státu se čtvrtou nejnižší mírou zadlužení.</w:t>
            </w:r>
          </w:p>
          <w:p w14:paraId="08A3C186" w14:textId="77777777" w:rsidR="004E5F41" w:rsidRPr="002F0708" w:rsidRDefault="004E5F41" w:rsidP="00C401A9">
            <w:pPr>
              <w:pStyle w:val="Marginlie"/>
              <w:rPr>
                <w:spacing w:val="-3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D43F57E" w14:textId="77777777" w:rsidR="00C006D6" w:rsidRDefault="00C006D6" w:rsidP="00C401A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32DA504" w14:textId="468A4D71" w:rsidR="00C006D6" w:rsidRDefault="00117474" w:rsidP="002763A2">
            <w:pPr>
              <w:pStyle w:val="Textpoznpodarou"/>
              <w:spacing w:line="276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Přestože přebytku či alespo</w:t>
            </w:r>
            <w:r w:rsidR="00C94CDD">
              <w:rPr>
                <w:color w:val="000000" w:themeColor="text1"/>
                <w:spacing w:val="-4"/>
              </w:rPr>
              <w:t>ň vyrovnaného salda</w:t>
            </w:r>
            <w:r>
              <w:rPr>
                <w:color w:val="000000" w:themeColor="text1"/>
                <w:spacing w:val="-4"/>
              </w:rPr>
              <w:t xml:space="preserve"> hospodaření sektoru vládních institucí dosáhla v roce 2018 polovina států Unie, v </w:t>
            </w:r>
            <w:r w:rsidR="00C94CDD">
              <w:rPr>
                <w:color w:val="000000" w:themeColor="text1"/>
                <w:spacing w:val="-4"/>
              </w:rPr>
              <w:t>úhrnu celá</w:t>
            </w:r>
            <w:r>
              <w:rPr>
                <w:color w:val="000000" w:themeColor="text1"/>
                <w:spacing w:val="-4"/>
              </w:rPr>
              <w:t xml:space="preserve"> EU</w:t>
            </w:r>
            <w:r w:rsidR="00C94CDD">
              <w:rPr>
                <w:color w:val="000000" w:themeColor="text1"/>
                <w:spacing w:val="-4"/>
              </w:rPr>
              <w:t xml:space="preserve"> zaznamenala deficit (0,6</w:t>
            </w:r>
            <w:r w:rsidR="00870ECD">
              <w:rPr>
                <w:color w:val="000000" w:themeColor="text1"/>
                <w:spacing w:val="-4"/>
              </w:rPr>
              <w:t> %</w:t>
            </w:r>
            <w:r w:rsidR="00C94CDD">
              <w:rPr>
                <w:color w:val="000000" w:themeColor="text1"/>
                <w:spacing w:val="-4"/>
              </w:rPr>
              <w:t xml:space="preserve"> HDP). Ten se plynule redukoval již osmým rokem v řadě. </w:t>
            </w:r>
            <w:r w:rsidR="00503D54">
              <w:rPr>
                <w:color w:val="000000" w:themeColor="text1"/>
                <w:spacing w:val="-4"/>
              </w:rPr>
              <w:t xml:space="preserve">Česko </w:t>
            </w:r>
            <w:r w:rsidR="00236700">
              <w:rPr>
                <w:color w:val="000000" w:themeColor="text1"/>
                <w:spacing w:val="-4"/>
              </w:rPr>
              <w:t xml:space="preserve">dosáhlo sedmé nejlepší pozice, z novějších členských států Unie docílily příznivějšího postavení jen Malta a Bulharsko. </w:t>
            </w:r>
            <w:r w:rsidR="00893EBE">
              <w:rPr>
                <w:color w:val="000000" w:themeColor="text1"/>
                <w:spacing w:val="-4"/>
              </w:rPr>
              <w:t>Nejhlubší deficity sužovaly loni Kypr (</w:t>
            </w:r>
            <w:r w:rsidR="00893EBE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="00893EBE">
              <w:rPr>
                <w:color w:val="000000" w:themeColor="text1"/>
                <w:spacing w:val="-4"/>
              </w:rPr>
              <w:t>4,8</w:t>
            </w:r>
            <w:r w:rsidR="00870ECD">
              <w:rPr>
                <w:color w:val="000000" w:themeColor="text1"/>
                <w:spacing w:val="-4"/>
              </w:rPr>
              <w:t> %</w:t>
            </w:r>
            <w:r w:rsidR="00893EBE">
              <w:rPr>
                <w:color w:val="000000" w:themeColor="text1"/>
                <w:spacing w:val="-4"/>
              </w:rPr>
              <w:t>) a Rumunsko (</w:t>
            </w:r>
            <w:r w:rsidR="00893EBE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="00893EBE">
              <w:rPr>
                <w:color w:val="000000" w:themeColor="text1"/>
                <w:spacing w:val="-4"/>
              </w:rPr>
              <w:t>3,0</w:t>
            </w:r>
            <w:r w:rsidR="00870ECD">
              <w:rPr>
                <w:color w:val="000000" w:themeColor="text1"/>
                <w:spacing w:val="-4"/>
              </w:rPr>
              <w:t> %</w:t>
            </w:r>
            <w:r w:rsidR="00893EBE">
              <w:rPr>
                <w:color w:val="000000" w:themeColor="text1"/>
                <w:spacing w:val="-4"/>
              </w:rPr>
              <w:t>)</w:t>
            </w:r>
            <w:r w:rsidR="004769E1">
              <w:rPr>
                <w:color w:val="000000" w:themeColor="text1"/>
                <w:spacing w:val="-4"/>
              </w:rPr>
              <w:t xml:space="preserve">. O moc lépe se nevedlo ani většině velkých ekonomik eurozóny: </w:t>
            </w:r>
            <w:r w:rsidR="004103F6">
              <w:rPr>
                <w:color w:val="000000" w:themeColor="text1"/>
                <w:spacing w:val="-4"/>
              </w:rPr>
              <w:t xml:space="preserve">Španělsku </w:t>
            </w:r>
            <w:r w:rsidR="004769E1">
              <w:rPr>
                <w:color w:val="000000" w:themeColor="text1"/>
                <w:spacing w:val="-4"/>
              </w:rPr>
              <w:t xml:space="preserve">a </w:t>
            </w:r>
            <w:r w:rsidR="004103F6">
              <w:rPr>
                <w:color w:val="000000" w:themeColor="text1"/>
                <w:spacing w:val="-4"/>
              </w:rPr>
              <w:t xml:space="preserve">Francii </w:t>
            </w:r>
            <w:r w:rsidR="004769E1">
              <w:rPr>
                <w:color w:val="000000" w:themeColor="text1"/>
                <w:spacing w:val="-4"/>
              </w:rPr>
              <w:t>(shod</w:t>
            </w:r>
            <w:r w:rsidR="00C845A4">
              <w:rPr>
                <w:color w:val="000000" w:themeColor="text1"/>
                <w:spacing w:val="-4"/>
              </w:rPr>
              <w:t xml:space="preserve">ně </w:t>
            </w:r>
            <w:r w:rsidR="004769E1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="004769E1">
              <w:rPr>
                <w:color w:val="000000" w:themeColor="text1"/>
                <w:spacing w:val="-4"/>
              </w:rPr>
              <w:t>2,5</w:t>
            </w:r>
            <w:r w:rsidR="00870ECD">
              <w:rPr>
                <w:color w:val="000000" w:themeColor="text1"/>
                <w:spacing w:val="-4"/>
              </w:rPr>
              <w:t> %</w:t>
            </w:r>
            <w:r w:rsidR="004769E1">
              <w:rPr>
                <w:color w:val="000000" w:themeColor="text1"/>
                <w:spacing w:val="-4"/>
              </w:rPr>
              <w:t xml:space="preserve">), </w:t>
            </w:r>
            <w:r w:rsidR="004103F6">
              <w:rPr>
                <w:color w:val="000000" w:themeColor="text1"/>
                <w:spacing w:val="-4"/>
              </w:rPr>
              <w:t xml:space="preserve">Itálii </w:t>
            </w:r>
            <w:r w:rsidR="00667856">
              <w:rPr>
                <w:color w:val="000000" w:themeColor="text1"/>
                <w:spacing w:val="-4"/>
              </w:rPr>
              <w:br/>
            </w:r>
            <w:r w:rsidR="004769E1">
              <w:rPr>
                <w:color w:val="000000" w:themeColor="text1"/>
                <w:spacing w:val="-4"/>
              </w:rPr>
              <w:t>(</w:t>
            </w:r>
            <w:r w:rsidR="004769E1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="00766460">
              <w:rPr>
                <w:rFonts w:cs="Arial"/>
                <w:color w:val="0D0D0D" w:themeColor="text1" w:themeTint="F2"/>
                <w:spacing w:val="-4"/>
              </w:rPr>
              <w:t>2,1</w:t>
            </w:r>
            <w:r w:rsidR="00766460" w:rsidRPr="00117474">
              <w:rPr>
                <w:color w:val="000000" w:themeColor="text1"/>
                <w:spacing w:val="-4"/>
              </w:rPr>
              <w:t> </w:t>
            </w:r>
            <w:r w:rsidR="004769E1">
              <w:rPr>
                <w:rFonts w:cs="Arial"/>
                <w:color w:val="0D0D0D" w:themeColor="text1" w:themeTint="F2"/>
                <w:spacing w:val="-4"/>
              </w:rPr>
              <w:t xml:space="preserve">%) a </w:t>
            </w:r>
            <w:r w:rsidR="004103F6">
              <w:rPr>
                <w:rFonts w:cs="Arial"/>
                <w:color w:val="0D0D0D" w:themeColor="text1" w:themeTint="F2"/>
                <w:spacing w:val="-4"/>
              </w:rPr>
              <w:t xml:space="preserve">Velké Británii </w:t>
            </w:r>
            <w:r w:rsidR="004769E1">
              <w:rPr>
                <w:rFonts w:cs="Arial"/>
                <w:color w:val="0D0D0D" w:themeColor="text1" w:themeTint="F2"/>
                <w:spacing w:val="-4"/>
              </w:rPr>
              <w:t>(–1,5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BF15CA">
              <w:rPr>
                <w:rFonts w:cs="Arial"/>
                <w:color w:val="0D0D0D" w:themeColor="text1" w:themeTint="F2"/>
                <w:spacing w:val="-4"/>
              </w:rPr>
              <w:t xml:space="preserve">). I tato skutečnost přispívá k tomu, že míra zadluženosti sektoru vládních institucí v EU klesá jen velmi pozvolna. 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>Na konci roku 2018 čítala 80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lastRenderedPageBreak/>
              <w:t>HDP (proti maximu z roku 2014 o 6,6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p. b.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 xml:space="preserve"> méně). Zadluženost pod úrovní 60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 xml:space="preserve"> HDP vykázala polovina států Unie. Ze starších členských států, které jsou zároveň součástí eurozóny</w:t>
            </w:r>
            <w:r w:rsidR="002763A2">
              <w:rPr>
                <w:rFonts w:cs="Arial"/>
                <w:color w:val="0D0D0D" w:themeColor="text1" w:themeTint="F2"/>
                <w:spacing w:val="-4"/>
              </w:rPr>
              <w:t>,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 xml:space="preserve"> platilo totéž pouze pro Lucembursko (21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>), Nizozemsko (52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>) a Finsko (59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4103F6">
              <w:rPr>
                <w:rFonts w:cs="Arial"/>
                <w:color w:val="0D0D0D" w:themeColor="text1" w:themeTint="F2"/>
                <w:spacing w:val="-4"/>
              </w:rPr>
              <w:t xml:space="preserve">%). 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>Této úrovni se i díky nepřetržitým rozpočtovým přebytkům v posledních pěti letech blížilo Německo (61</w:t>
            </w:r>
            <w:r w:rsidR="00870EC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>). To by</w:t>
            </w:r>
            <w:r w:rsidR="004103F6">
              <w:rPr>
                <w:rFonts w:cs="Arial"/>
                <w:color w:val="0D0D0D" w:themeColor="text1" w:themeTint="F2"/>
                <w:spacing w:val="-4"/>
              </w:rPr>
              <w:t>lo</w:t>
            </w:r>
            <w:r w:rsidR="00B748BD">
              <w:rPr>
                <w:rFonts w:cs="Arial"/>
                <w:color w:val="0D0D0D" w:themeColor="text1" w:themeTint="F2"/>
                <w:spacing w:val="-4"/>
              </w:rPr>
              <w:t xml:space="preserve"> také společně </w:t>
            </w:r>
            <w:r w:rsidR="002763A2">
              <w:rPr>
                <w:rFonts w:cs="Arial"/>
                <w:color w:val="0D0D0D" w:themeColor="text1" w:themeTint="F2"/>
                <w:spacing w:val="-4"/>
              </w:rPr>
              <w:t>se Švédskem a Maltou jed</w:t>
            </w:r>
            <w:r w:rsidR="004103F6">
              <w:rPr>
                <w:rFonts w:cs="Arial"/>
                <w:color w:val="0D0D0D" w:themeColor="text1" w:themeTint="F2"/>
                <w:spacing w:val="-4"/>
              </w:rPr>
              <w:t>i</w:t>
            </w:r>
            <w:r w:rsidR="002763A2">
              <w:rPr>
                <w:rFonts w:cs="Arial"/>
                <w:color w:val="0D0D0D" w:themeColor="text1" w:themeTint="F2"/>
                <w:spacing w:val="-4"/>
              </w:rPr>
              <w:t>nou unijní ekonomikou, ve které se podařilo snížit míru zadlužení</w:t>
            </w:r>
            <w:r w:rsidR="002763A2"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na úroveň blízk</w:t>
            </w:r>
            <w:r w:rsidR="002763A2">
              <w:rPr>
                <w:rFonts w:cs="Arial"/>
                <w:bCs/>
                <w:iCs/>
                <w:color w:val="0D0D0D" w:themeColor="text1" w:themeTint="F2"/>
                <w:spacing w:val="-4"/>
              </w:rPr>
              <w:t>ou</w:t>
            </w:r>
            <w:r w:rsidR="002763A2"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předkrizovému roku 2008</w:t>
            </w:r>
            <w:r w:rsidR="002763A2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. </w:t>
            </w:r>
            <w:r w:rsidR="002763A2">
              <w:rPr>
                <w:rFonts w:cs="Arial"/>
                <w:color w:val="0D0D0D" w:themeColor="text1" w:themeTint="F2"/>
                <w:spacing w:val="-4"/>
              </w:rPr>
              <w:t xml:space="preserve">Česko drželo podobně jako na konci </w:t>
            </w:r>
            <w:r w:rsidR="004103F6">
              <w:rPr>
                <w:rFonts w:cs="Arial"/>
                <w:color w:val="0D0D0D" w:themeColor="text1" w:themeTint="F2"/>
                <w:spacing w:val="-4"/>
              </w:rPr>
              <w:t xml:space="preserve">let </w:t>
            </w:r>
            <w:r w:rsidR="002763A2">
              <w:rPr>
                <w:rFonts w:cs="Arial"/>
                <w:color w:val="0D0D0D" w:themeColor="text1" w:themeTint="F2"/>
                <w:spacing w:val="-4"/>
              </w:rPr>
              <w:t>2016 a 2017 pozici čtvrté relativně nejméně zadlužené ekonomiky (z pohledu veřejných financí).</w:t>
            </w:r>
          </w:p>
        </w:tc>
      </w:tr>
    </w:tbl>
    <w:p w14:paraId="327C4197" w14:textId="77777777" w:rsidR="00C401A9" w:rsidRPr="00C401A9" w:rsidRDefault="00C401A9" w:rsidP="00965797">
      <w:pPr>
        <w:pStyle w:val="Nadpis11"/>
        <w:rPr>
          <w:b w:val="0"/>
          <w:sz w:val="2"/>
          <w:szCs w:val="2"/>
        </w:rPr>
      </w:pPr>
    </w:p>
    <w:p w14:paraId="63ECF9C9" w14:textId="4A98C3A6"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DF0904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BDC4D" w16cid:durableId="20AA22BF"/>
  <w16cid:commentId w16cid:paraId="1D79D092" w16cid:durableId="20AA7522"/>
  <w16cid:commentId w16cid:paraId="35C66900" w16cid:durableId="20AA841D"/>
  <w16cid:commentId w16cid:paraId="39CFBFF6" w16cid:durableId="20AA9586"/>
  <w16cid:commentId w16cid:paraId="385B1D8E" w16cid:durableId="20AB3CC7"/>
  <w16cid:commentId w16cid:paraId="1DCDDDF9" w16cid:durableId="20AB3E90"/>
  <w16cid:commentId w16cid:paraId="33D3157C" w16cid:durableId="20AB41FD"/>
  <w16cid:commentId w16cid:paraId="2F2C6295" w16cid:durableId="20AB535B"/>
  <w16cid:commentId w16cid:paraId="50067FCC" w16cid:durableId="20AB53EB"/>
  <w16cid:commentId w16cid:paraId="3FC61740" w16cid:durableId="20AB6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F3B9" w14:textId="77777777" w:rsidR="002B2B7F" w:rsidRDefault="002B2B7F" w:rsidP="00E71A58">
      <w:r>
        <w:separator/>
      </w:r>
    </w:p>
  </w:endnote>
  <w:endnote w:type="continuationSeparator" w:id="0">
    <w:p w14:paraId="3F47CFFA" w14:textId="77777777" w:rsidR="002B2B7F" w:rsidRDefault="002B2B7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448FEADD" w:rsidR="0052200D" w:rsidRPr="00932443" w:rsidRDefault="0052200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9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F0904">
      <w:rPr>
        <w:szCs w:val="16"/>
      </w:rPr>
      <w:t>30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78D9A958" w:rsidR="0052200D" w:rsidRPr="00932443" w:rsidRDefault="0052200D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t xml:space="preserve">.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F0904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3372" w14:textId="77777777" w:rsidR="002B2B7F" w:rsidRDefault="002B2B7F" w:rsidP="00E71A58">
      <w:r>
        <w:separator/>
      </w:r>
    </w:p>
  </w:footnote>
  <w:footnote w:type="continuationSeparator" w:id="0">
    <w:p w14:paraId="5539D213" w14:textId="77777777" w:rsidR="002B2B7F" w:rsidRDefault="002B2B7F" w:rsidP="00E71A58">
      <w:r>
        <w:continuationSeparator/>
      </w:r>
    </w:p>
  </w:footnote>
  <w:footnote w:id="1">
    <w:p w14:paraId="4B5BC3D2" w14:textId="77777777" w:rsidR="0052200D" w:rsidRPr="00795437" w:rsidRDefault="0052200D" w:rsidP="00F307CB">
      <w:pPr>
        <w:pStyle w:val="Textpoznpodarou"/>
        <w:jc w:val="both"/>
        <w:rPr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795437">
        <w:rPr>
          <w:rFonts w:cs="Arial"/>
          <w:color w:val="0D0D0D" w:themeColor="text1" w:themeTint="F2"/>
          <w:spacing w:val="-2"/>
          <w:sz w:val="16"/>
          <w:szCs w:val="16"/>
        </w:rPr>
        <w:t>z dat Ministerstva financí o pokladním plnění.</w:t>
      </w:r>
    </w:p>
  </w:footnote>
  <w:footnote w:id="2">
    <w:p w14:paraId="1A741ECA" w14:textId="77777777" w:rsidR="0052200D" w:rsidRPr="008D1085" w:rsidRDefault="0052200D" w:rsidP="00F307CB">
      <w:pPr>
        <w:pStyle w:val="Textpoznpodarou"/>
        <w:jc w:val="both"/>
        <w:rPr>
          <w:sz w:val="16"/>
          <w:szCs w:val="16"/>
        </w:rPr>
      </w:pPr>
      <w:r w:rsidRPr="008D1085">
        <w:rPr>
          <w:rStyle w:val="Znakapoznpodarou"/>
          <w:sz w:val="16"/>
          <w:szCs w:val="16"/>
        </w:rPr>
        <w:footnoteRef/>
      </w:r>
      <w:r w:rsidRPr="008D1085">
        <w:rPr>
          <w:sz w:val="16"/>
          <w:szCs w:val="16"/>
        </w:rPr>
        <w:t xml:space="preserve"> </w:t>
      </w:r>
      <w:r w:rsidRPr="008D1085">
        <w:rPr>
          <w:color w:val="0D0D0D" w:themeColor="text1" w:themeTint="F2"/>
          <w:spacing w:val="-2"/>
          <w:sz w:val="16"/>
          <w:szCs w:val="16"/>
        </w:rPr>
        <w:t xml:space="preserve">Dle propočtů MF skončilo </w:t>
      </w:r>
      <w:r w:rsidRPr="008D1085">
        <w:rPr>
          <w:sz w:val="16"/>
          <w:szCs w:val="16"/>
        </w:rPr>
        <w:t xml:space="preserve">hospodaření SR očištěné na příjmové i výdajové straně o prostředky z EU a z finančních mechanismů schodkem </w:t>
      </w:r>
      <w:r>
        <w:rPr>
          <w:sz w:val="16"/>
          <w:szCs w:val="16"/>
        </w:rPr>
        <w:t>6,3 mld. Kč.</w:t>
      </w:r>
      <w:r w:rsidRPr="008D1085">
        <w:rPr>
          <w:sz w:val="16"/>
          <w:szCs w:val="16"/>
        </w:rPr>
        <w:t xml:space="preserve"> V 1. čtvrtletí </w:t>
      </w:r>
      <w:r>
        <w:rPr>
          <w:sz w:val="16"/>
          <w:szCs w:val="16"/>
        </w:rPr>
        <w:t>2018 činil</w:t>
      </w:r>
      <w:r w:rsidRPr="008D1085">
        <w:rPr>
          <w:sz w:val="16"/>
          <w:szCs w:val="16"/>
        </w:rPr>
        <w:t xml:space="preserve"> obdobný schodek 5,3</w:t>
      </w:r>
      <w:r>
        <w:rPr>
          <w:sz w:val="16"/>
          <w:szCs w:val="16"/>
        </w:rPr>
        <w:t> mld</w:t>
      </w:r>
      <w:r w:rsidRPr="008D1085">
        <w:rPr>
          <w:sz w:val="16"/>
          <w:szCs w:val="16"/>
        </w:rPr>
        <w:t>.</w:t>
      </w:r>
      <w:r>
        <w:rPr>
          <w:sz w:val="16"/>
          <w:szCs w:val="16"/>
        </w:rPr>
        <w:t> Kč</w:t>
      </w:r>
      <w:r w:rsidRPr="008D1085">
        <w:rPr>
          <w:sz w:val="16"/>
          <w:szCs w:val="16"/>
        </w:rPr>
        <w:t>.</w:t>
      </w:r>
    </w:p>
  </w:footnote>
  <w:footnote w:id="3">
    <w:p w14:paraId="73CDFA81" w14:textId="14D3E7C7" w:rsidR="0052200D" w:rsidRPr="008E4F8A" w:rsidRDefault="0052200D" w:rsidP="00F307CB">
      <w:pPr>
        <w:pStyle w:val="Textpoznpodarou"/>
        <w:jc w:val="both"/>
        <w:rPr>
          <w:sz w:val="16"/>
          <w:szCs w:val="16"/>
        </w:rPr>
      </w:pPr>
      <w:r w:rsidRPr="008E4F8A">
        <w:rPr>
          <w:rStyle w:val="Znakapoznpodarou"/>
          <w:sz w:val="16"/>
          <w:szCs w:val="16"/>
        </w:rPr>
        <w:footnoteRef/>
      </w:r>
      <w:r w:rsidRPr="008E4F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Zahrnují i příjmy z tzv. finančních mechanismů </w:t>
      </w:r>
      <w:r>
        <w:rPr>
          <w:rStyle w:val="Zdraznn"/>
          <w:color w:val="0D0D0D" w:themeColor="text1" w:themeTint="F2"/>
          <w:spacing w:val="-2"/>
          <w:sz w:val="16"/>
          <w:szCs w:val="16"/>
        </w:rPr>
        <w:t>(</w:t>
      </w:r>
      <w:r w:rsidRPr="00D0716A">
        <w:rPr>
          <w:rStyle w:val="Zdraznn"/>
          <w:i w:val="0"/>
          <w:color w:val="0D0D0D" w:themeColor="text1" w:themeTint="F2"/>
          <w:spacing w:val="-2"/>
          <w:sz w:val="16"/>
          <w:szCs w:val="16"/>
        </w:rPr>
        <w:t>EHP a Norské fondy, Program švýcarsko-české spolupráce)</w:t>
      </w:r>
      <w:r>
        <w:rPr>
          <w:rStyle w:val="Zdraznn"/>
          <w:i w:val="0"/>
          <w:color w:val="0D0D0D" w:themeColor="text1" w:themeTint="F2"/>
          <w:spacing w:val="-2"/>
          <w:sz w:val="16"/>
          <w:szCs w:val="16"/>
        </w:rPr>
        <w:t>.</w:t>
      </w:r>
      <w:r>
        <w:rPr>
          <w:rStyle w:val="Zdraznn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Jejich hlubší pokles byl ovlivněn nestandardně vysokou loňskou základnou – v 1. čtvrtletí 2018 získal SR</w:t>
      </w:r>
      <w:r w:rsidRPr="008E4F8A">
        <w:rPr>
          <w:spacing w:val="-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část závěrečných plateb</w:t>
      </w:r>
      <w:r w:rsidRPr="008E4F8A">
        <w:rPr>
          <w:spacing w:val="-2"/>
          <w:sz w:val="16"/>
          <w:szCs w:val="16"/>
        </w:rPr>
        <w:t xml:space="preserve"> vztahující</w:t>
      </w:r>
      <w:r>
        <w:rPr>
          <w:spacing w:val="-2"/>
          <w:sz w:val="16"/>
          <w:szCs w:val="16"/>
        </w:rPr>
        <w:t>ch</w:t>
      </w:r>
      <w:r w:rsidRPr="008E4F8A">
        <w:rPr>
          <w:spacing w:val="-2"/>
          <w:sz w:val="16"/>
          <w:szCs w:val="16"/>
        </w:rPr>
        <w:t xml:space="preserve"> se k již skončenému programovému </w:t>
      </w:r>
      <w:r>
        <w:rPr>
          <w:spacing w:val="-2"/>
          <w:sz w:val="16"/>
          <w:szCs w:val="16"/>
        </w:rPr>
        <w:t xml:space="preserve">období 2007 až 2013 (ve výši 20 mld. korun). </w:t>
      </w:r>
    </w:p>
  </w:footnote>
  <w:footnote w:id="4">
    <w:p w14:paraId="40101FDF" w14:textId="77777777" w:rsidR="0052200D" w:rsidRPr="008D1085" w:rsidRDefault="0052200D" w:rsidP="00F307CB">
      <w:pPr>
        <w:pStyle w:val="Textpoznpodarou"/>
        <w:jc w:val="both"/>
        <w:rPr>
          <w:sz w:val="16"/>
          <w:szCs w:val="16"/>
        </w:rPr>
      </w:pPr>
      <w:r w:rsidRPr="008D1085">
        <w:rPr>
          <w:rStyle w:val="Znakapoznpodarou"/>
          <w:sz w:val="16"/>
          <w:szCs w:val="16"/>
        </w:rPr>
        <w:footnoteRef/>
      </w:r>
      <w:r w:rsidRPr="008D1085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V úhrnu za období od ledna do dubna 2019 se výběr DPH vrátil k růstu (2,5 %), jeho tempo ale zůstávalo výrazněji za celoročním rozpočtovým očekáváním (+6,8 %).</w:t>
      </w:r>
    </w:p>
  </w:footnote>
  <w:footnote w:id="5">
    <w:p w14:paraId="45A39556" w14:textId="6CED1F53" w:rsidR="0052200D" w:rsidRDefault="0052200D" w:rsidP="00F307CB">
      <w:pPr>
        <w:pStyle w:val="Textpoznpodarou"/>
        <w:jc w:val="both"/>
      </w:pPr>
      <w:r w:rsidRPr="00390875">
        <w:rPr>
          <w:rStyle w:val="Znakapoznpodarou"/>
          <w:sz w:val="16"/>
          <w:szCs w:val="16"/>
        </w:rPr>
        <w:footnoteRef/>
      </w:r>
      <w:r w:rsidRPr="00390875">
        <w:rPr>
          <w:sz w:val="16"/>
          <w:szCs w:val="16"/>
        </w:rPr>
        <w:t xml:space="preserve"> </w:t>
      </w:r>
      <w:r>
        <w:rPr>
          <w:sz w:val="16"/>
          <w:szCs w:val="16"/>
        </w:rPr>
        <w:t>Slabou letošní dynamiku dokládají i data ČSÚ. Z váhově významnější položky ropných produktů vzrostla během prvních dvou měsíců roku spotřeba pouze u motorové nafty (+1,9 %). Pokles nastal naopak u motorového benzínu (–2,6 %) i leteckého petroleje (–8,0</w:t>
      </w:r>
      <w:r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 </w:t>
      </w:r>
      <w:r>
        <w:rPr>
          <w:sz w:val="16"/>
          <w:szCs w:val="16"/>
        </w:rPr>
        <w:t>%, po silném růstu na počátku roku 2018).</w:t>
      </w:r>
    </w:p>
  </w:footnote>
  <w:footnote w:id="6">
    <w:p w14:paraId="2FA4F097" w14:textId="77777777" w:rsidR="0052200D" w:rsidRPr="002101D5" w:rsidRDefault="0052200D" w:rsidP="00F307CB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101D5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 Jde </w:t>
      </w:r>
      <w:r>
        <w:rPr>
          <w:rFonts w:cs="Arial"/>
          <w:color w:val="0D0D0D" w:themeColor="text1" w:themeTint="F2"/>
          <w:sz w:val="16"/>
          <w:szCs w:val="16"/>
        </w:rPr>
        <w:t xml:space="preserve">hlavně </w:t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o tzv. zelenou naftu umožňující vrácení této daně </w:t>
      </w:r>
      <w:r>
        <w:rPr>
          <w:rFonts w:cs="Arial"/>
          <w:color w:val="0D0D0D" w:themeColor="text1" w:themeTint="F2"/>
          <w:sz w:val="16"/>
          <w:szCs w:val="16"/>
        </w:rPr>
        <w:t xml:space="preserve">subjektům působícím </w:t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v oblasti živočišné prvovýroby. </w:t>
      </w:r>
    </w:p>
  </w:footnote>
  <w:footnote w:id="7">
    <w:p w14:paraId="65AE9D5B" w14:textId="615F42AB" w:rsidR="0052200D" w:rsidRDefault="0052200D" w:rsidP="00F307CB">
      <w:pPr>
        <w:pStyle w:val="Textpoznpodarou"/>
        <w:jc w:val="both"/>
      </w:pPr>
      <w:r w:rsidRPr="00390875">
        <w:rPr>
          <w:rStyle w:val="Znakapoznpodarou"/>
          <w:sz w:val="16"/>
          <w:szCs w:val="16"/>
        </w:rPr>
        <w:footnoteRef/>
      </w:r>
      <w:r w:rsidRPr="00390875">
        <w:rPr>
          <w:sz w:val="16"/>
          <w:szCs w:val="16"/>
        </w:rPr>
        <w:t xml:space="preserve"> </w:t>
      </w:r>
      <w:r>
        <w:rPr>
          <w:sz w:val="16"/>
          <w:szCs w:val="16"/>
        </w:rPr>
        <w:t>V 1. čtvrtletí 2018 posílilo inkaso DPPO jen o 1,2 %. V rámci tohoto období roku šlo o nejslabší růst od konce poslední recese.</w:t>
      </w:r>
    </w:p>
  </w:footnote>
  <w:footnote w:id="8">
    <w:p w14:paraId="76D7975A" w14:textId="2949C7D8" w:rsidR="0052200D" w:rsidRPr="006D61C4" w:rsidRDefault="0052200D" w:rsidP="00F307CB">
      <w:pPr>
        <w:pStyle w:val="Textpoznpodarou"/>
        <w:jc w:val="both"/>
        <w:rPr>
          <w:sz w:val="16"/>
          <w:szCs w:val="16"/>
        </w:rPr>
      </w:pPr>
      <w:r w:rsidRPr="006D61C4">
        <w:rPr>
          <w:rStyle w:val="Znakapoznpodarou"/>
          <w:sz w:val="16"/>
          <w:szCs w:val="16"/>
        </w:rPr>
        <w:footnoteRef/>
      </w:r>
      <w:r w:rsidRPr="006D61C4">
        <w:rPr>
          <w:sz w:val="16"/>
          <w:szCs w:val="16"/>
        </w:rPr>
        <w:t xml:space="preserve"> </w:t>
      </w:r>
      <w:r w:rsidRPr="006D61C4">
        <w:rPr>
          <w:color w:val="0D0D0D" w:themeColor="text1" w:themeTint="F2"/>
          <w:spacing w:val="-2"/>
          <w:sz w:val="16"/>
          <w:szCs w:val="16"/>
        </w:rPr>
        <w:t xml:space="preserve">Celkové výdaje </w:t>
      </w:r>
      <w:r w:rsidRPr="006D61C4">
        <w:rPr>
          <w:sz w:val="16"/>
          <w:szCs w:val="16"/>
        </w:rPr>
        <w:t>na financování společných programů EU a ČR (vč. běžných výdajů) v 1. čtvrtletí čítaly 36,3</w:t>
      </w:r>
      <w:r>
        <w:rPr>
          <w:sz w:val="16"/>
          <w:szCs w:val="16"/>
        </w:rPr>
        <w:t> mld</w:t>
      </w:r>
      <w:r w:rsidRPr="006D61C4">
        <w:rPr>
          <w:sz w:val="16"/>
          <w:szCs w:val="16"/>
        </w:rPr>
        <w:t>.</w:t>
      </w:r>
      <w:r>
        <w:rPr>
          <w:sz w:val="16"/>
          <w:szCs w:val="16"/>
        </w:rPr>
        <w:t> Kč</w:t>
      </w:r>
      <w:r w:rsidRPr="006D61C4">
        <w:rPr>
          <w:sz w:val="16"/>
          <w:szCs w:val="16"/>
        </w:rPr>
        <w:t>, meziročně</w:t>
      </w:r>
      <w:r>
        <w:rPr>
          <w:sz w:val="16"/>
          <w:szCs w:val="16"/>
        </w:rPr>
        <w:t xml:space="preserve"> o 10,6 </w:t>
      </w:r>
      <w:r w:rsidRPr="006D61C4">
        <w:rPr>
          <w:sz w:val="16"/>
          <w:szCs w:val="16"/>
        </w:rPr>
        <w:t xml:space="preserve">mld. </w:t>
      </w:r>
      <w:r>
        <w:rPr>
          <w:sz w:val="16"/>
          <w:szCs w:val="16"/>
        </w:rPr>
        <w:t>Kč</w:t>
      </w:r>
      <w:r w:rsidRPr="006D61C4">
        <w:rPr>
          <w:sz w:val="16"/>
          <w:szCs w:val="16"/>
        </w:rPr>
        <w:t xml:space="preserve"> více.</w:t>
      </w:r>
    </w:p>
  </w:footnote>
  <w:footnote w:id="9">
    <w:p w14:paraId="47D65C18" w14:textId="4CC44F5E" w:rsidR="0052200D" w:rsidRPr="00844A10" w:rsidRDefault="0052200D" w:rsidP="00F307CB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844A10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844A10">
        <w:rPr>
          <w:rFonts w:cs="Arial"/>
          <w:color w:val="0D0D0D" w:themeColor="text1" w:themeTint="F2"/>
          <w:sz w:val="16"/>
          <w:szCs w:val="16"/>
        </w:rPr>
        <w:t xml:space="preserve"> Jednalo se hlavně o </w:t>
      </w:r>
      <w:r w:rsidRPr="00844A10">
        <w:rPr>
          <w:rFonts w:cs="Arial"/>
          <w:color w:val="0D0D0D" w:themeColor="text1" w:themeTint="F2"/>
          <w:spacing w:val="-4"/>
          <w:sz w:val="16"/>
          <w:szCs w:val="16"/>
        </w:rPr>
        <w:t xml:space="preserve">přímé </w:t>
      </w:r>
      <w:r w:rsidRPr="00844A10">
        <w:rPr>
          <w:sz w:val="16"/>
          <w:szCs w:val="16"/>
        </w:rPr>
        <w:t>náklady základních a</w:t>
      </w:r>
      <w:r w:rsidRPr="00844A10">
        <w:rPr>
          <w:spacing w:val="-2"/>
          <w:sz w:val="16"/>
          <w:szCs w:val="16"/>
        </w:rPr>
        <w:t> </w:t>
      </w:r>
      <w:r w:rsidRPr="00844A10">
        <w:rPr>
          <w:sz w:val="16"/>
          <w:szCs w:val="16"/>
        </w:rPr>
        <w:t xml:space="preserve">středních škol a také </w:t>
      </w:r>
      <w:r>
        <w:rPr>
          <w:sz w:val="16"/>
          <w:szCs w:val="16"/>
        </w:rPr>
        <w:t>o </w:t>
      </w:r>
      <w:r w:rsidRPr="00844A10">
        <w:rPr>
          <w:sz w:val="16"/>
          <w:szCs w:val="16"/>
        </w:rPr>
        <w:t>transfery obcím a krajům dle zákona o</w:t>
      </w:r>
      <w:r w:rsidRPr="00844A10">
        <w:rPr>
          <w:spacing w:val="-2"/>
          <w:sz w:val="16"/>
          <w:szCs w:val="16"/>
        </w:rPr>
        <w:t> </w:t>
      </w:r>
      <w:r w:rsidRPr="00844A10">
        <w:rPr>
          <w:sz w:val="16"/>
          <w:szCs w:val="16"/>
        </w:rPr>
        <w:t>sociálních službách</w:t>
      </w:r>
      <w:r>
        <w:rPr>
          <w:sz w:val="16"/>
          <w:szCs w:val="16"/>
        </w:rPr>
        <w:t>.</w:t>
      </w:r>
      <w:r w:rsidRPr="00844A10">
        <w:rPr>
          <w:rFonts w:cs="Arial"/>
          <w:color w:val="0D0D0D" w:themeColor="text1" w:themeTint="F2"/>
          <w:sz w:val="16"/>
          <w:szCs w:val="16"/>
        </w:rPr>
        <w:t xml:space="preserve"> </w:t>
      </w:r>
    </w:p>
  </w:footnote>
  <w:footnote w:id="10">
    <w:p w14:paraId="0597DD10" w14:textId="2145FF97" w:rsidR="0052200D" w:rsidRDefault="0052200D" w:rsidP="00F307CB">
      <w:pPr>
        <w:pStyle w:val="Textpoznpodarou"/>
        <w:jc w:val="both"/>
      </w:pPr>
      <w:r w:rsidRPr="000315DB">
        <w:rPr>
          <w:sz w:val="16"/>
          <w:szCs w:val="16"/>
        </w:rPr>
        <w:t xml:space="preserve"> </w:t>
      </w: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 výdaji na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důchody ze SR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.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Nejsou zahrnuty výdaje na správu systému důchodového pojištění (ty za celý rok 2018 dosáhly dle údajů MF výše 6,4 mld. korun).</w:t>
      </w:r>
    </w:p>
  </w:footnote>
  <w:footnote w:id="11">
    <w:p w14:paraId="2E086836" w14:textId="223D97A5" w:rsidR="0052200D" w:rsidRPr="00844A10" w:rsidRDefault="0052200D" w:rsidP="00F307CB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844A10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844A10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>Mírně naopak rostly přídavky na dítě (+1,2 %), nikoli však jako důsledek zhoršené finanční situace domácností, ale spíše jako reflexe mírně rostoucího počtu narozených dětí. Více bylo vyplaceno i na váhově nejvýznamnější složce státní sociální podpory (SSP) – rodičovském příspěvku (+2,3 %). Pokračoval trend posilování dávek na pěstounskou péči. Celkově vydal SR na dávky SSP 9,55 mld. korun, meziročně o 0,7 % více.</w:t>
      </w:r>
    </w:p>
  </w:footnote>
  <w:footnote w:id="12">
    <w:p w14:paraId="13929857" w14:textId="77777777" w:rsidR="0052200D" w:rsidRPr="00117474" w:rsidRDefault="0052200D" w:rsidP="00C401A9">
      <w:pPr>
        <w:pStyle w:val="Textpoznpodarou"/>
        <w:rPr>
          <w:spacing w:val="-4"/>
          <w:sz w:val="16"/>
          <w:szCs w:val="16"/>
        </w:rPr>
      </w:pPr>
      <w:r w:rsidRPr="00117474">
        <w:rPr>
          <w:rStyle w:val="Znakapoznpodarou"/>
          <w:spacing w:val="-4"/>
          <w:sz w:val="16"/>
          <w:szCs w:val="16"/>
        </w:rPr>
        <w:footnoteRef/>
      </w:r>
      <w:r w:rsidRPr="00117474">
        <w:rPr>
          <w:spacing w:val="-4"/>
          <w:sz w:val="16"/>
          <w:szCs w:val="16"/>
        </w:rPr>
        <w:t xml:space="preserve"> Předběžné </w:t>
      </w:r>
      <w:r w:rsidRPr="00117474">
        <w:rPr>
          <w:color w:val="0D0D0D" w:themeColor="text1" w:themeTint="F2"/>
          <w:spacing w:val="-4"/>
          <w:sz w:val="16"/>
          <w:szCs w:val="16"/>
        </w:rPr>
        <w:t>údaje o dluhu a deficitu sektoru vládních institucí za 1. čtvrtletí 2019 zveřejní ČSÚ 1. července 2019, Eurostat 19.</w:t>
      </w:r>
      <w:r w:rsidRPr="00117474">
        <w:rPr>
          <w:spacing w:val="-4"/>
          <w:sz w:val="16"/>
          <w:szCs w:val="16"/>
        </w:rPr>
        <w:t> </w:t>
      </w:r>
      <w:r w:rsidRPr="00117474">
        <w:rPr>
          <w:color w:val="0D0D0D" w:themeColor="text1" w:themeTint="F2"/>
          <w:spacing w:val="-4"/>
          <w:sz w:val="16"/>
          <w:szCs w:val="16"/>
        </w:rPr>
        <w:t>července 2019.</w:t>
      </w:r>
    </w:p>
  </w:footnote>
  <w:footnote w:id="13">
    <w:p w14:paraId="79EB0856" w14:textId="77777777" w:rsidR="0052200D" w:rsidRPr="00810B5B" w:rsidRDefault="0052200D" w:rsidP="00C401A9">
      <w:pPr>
        <w:pStyle w:val="Textpoznpodarou"/>
        <w:rPr>
          <w:sz w:val="16"/>
          <w:szCs w:val="16"/>
        </w:rPr>
      </w:pPr>
      <w:r w:rsidRPr="00117474">
        <w:rPr>
          <w:rStyle w:val="Znakapoznpodarou"/>
          <w:spacing w:val="-2"/>
          <w:sz w:val="16"/>
          <w:szCs w:val="16"/>
        </w:rPr>
        <w:footnoteRef/>
      </w:r>
      <w:r w:rsidRPr="00117474">
        <w:rPr>
          <w:spacing w:val="-2"/>
          <w:sz w:val="16"/>
          <w:szCs w:val="16"/>
        </w:rPr>
        <w:t xml:space="preserve"> Podrobnější komentář k dluhu i deficitu sektoru vládních institucí v ČR je uveden v již dříve vydané publikaci ČSÚ „Vývoj ekonomiky ČR v roce 2018“.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2200D" w:rsidRDefault="0052200D" w:rsidP="00937AE2">
    <w:pPr>
      <w:pStyle w:val="Zhlav"/>
    </w:pPr>
    <w:r>
      <w:t>Vývoj ekonomiky České republiky</w:t>
    </w:r>
  </w:p>
  <w:p w14:paraId="675E4C41" w14:textId="77777777" w:rsidR="0052200D" w:rsidRPr="006F5416" w:rsidRDefault="0052200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2200D" w:rsidRDefault="0052200D" w:rsidP="00937AE2">
    <w:pPr>
      <w:pStyle w:val="Zhlav"/>
    </w:pPr>
    <w:r>
      <w:t>Vývoj ekonomiky České republiky</w:t>
    </w:r>
  </w:p>
  <w:p w14:paraId="0CDCFD48" w14:textId="77777777" w:rsidR="0052200D" w:rsidRPr="006F5416" w:rsidRDefault="0052200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0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18"/>
  </w:num>
  <w:num w:numId="19">
    <w:abstractNumId w:val="25"/>
  </w:num>
  <w:num w:numId="20">
    <w:abstractNumId w:val="26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769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2B7F"/>
    <w:rsid w:val="002B3EF4"/>
    <w:rsid w:val="002B4845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1DE4"/>
    <w:rsid w:val="002F333D"/>
    <w:rsid w:val="002F351A"/>
    <w:rsid w:val="002F46D6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0B07"/>
    <w:rsid w:val="003C2CE7"/>
    <w:rsid w:val="003C3490"/>
    <w:rsid w:val="003C3608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480F"/>
    <w:rsid w:val="005F5469"/>
    <w:rsid w:val="005F63F3"/>
    <w:rsid w:val="005F6D7F"/>
    <w:rsid w:val="005F7174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131B"/>
    <w:rsid w:val="0062263A"/>
    <w:rsid w:val="006227DF"/>
    <w:rsid w:val="006236C8"/>
    <w:rsid w:val="00624093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50BF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E7"/>
    <w:rsid w:val="0087368D"/>
    <w:rsid w:val="00874FE8"/>
    <w:rsid w:val="00875A32"/>
    <w:rsid w:val="00876086"/>
    <w:rsid w:val="00876E83"/>
    <w:rsid w:val="008772BC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A66B7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4114"/>
    <w:rsid w:val="00A16413"/>
    <w:rsid w:val="00A16545"/>
    <w:rsid w:val="00A16AED"/>
    <w:rsid w:val="00A16E1D"/>
    <w:rsid w:val="00A171D5"/>
    <w:rsid w:val="00A17A15"/>
    <w:rsid w:val="00A17D5B"/>
    <w:rsid w:val="00A201E1"/>
    <w:rsid w:val="00A20FE1"/>
    <w:rsid w:val="00A23E43"/>
    <w:rsid w:val="00A24ED9"/>
    <w:rsid w:val="00A25216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2"/>
    <w:rsid w:val="00BB5ABF"/>
    <w:rsid w:val="00BB6EA2"/>
    <w:rsid w:val="00BB7B5B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908"/>
    <w:rsid w:val="00CF51EC"/>
    <w:rsid w:val="00CF545D"/>
    <w:rsid w:val="00CF5873"/>
    <w:rsid w:val="00CF73AE"/>
    <w:rsid w:val="00D0242D"/>
    <w:rsid w:val="00D02716"/>
    <w:rsid w:val="00D03A72"/>
    <w:rsid w:val="00D040DD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29B5"/>
    <w:rsid w:val="00DD32DD"/>
    <w:rsid w:val="00DD5287"/>
    <w:rsid w:val="00DE0D8B"/>
    <w:rsid w:val="00DE1237"/>
    <w:rsid w:val="00DE140F"/>
    <w:rsid w:val="00DE2491"/>
    <w:rsid w:val="00DE7AC8"/>
    <w:rsid w:val="00DF0904"/>
    <w:rsid w:val="00DF3643"/>
    <w:rsid w:val="00DF42FF"/>
    <w:rsid w:val="00DF4369"/>
    <w:rsid w:val="00DF4423"/>
    <w:rsid w:val="00DF4ADF"/>
    <w:rsid w:val="00DF5D1E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0043"/>
    <w:rsid w:val="00E61740"/>
    <w:rsid w:val="00E61EB5"/>
    <w:rsid w:val="00E6324D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1.&#269;tvrtlet&#237;%202019\St&#225;n&#237;%20rozpo&#269;et\Grafy-st&#225;tn&#237;%20rozpo&#269;et-rok-1-q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1.&#269;tvrtlet&#237;%202019\St&#225;n&#237;%20rozpo&#269;et\Grafy-st&#225;tn&#237;%20rozpo&#269;et-rok-1-q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1.&#269;tvrtlet&#237;%202019\po%20v&#237;kendu-dod&#283;lan&#233;\St&#225;n&#237;%20rozpo&#269;et\Grafy-st&#225;tn&#237;%20rozpo&#269;et-rok-1-q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577477727787412E-2"/>
          <c:y val="1.7107238390107405E-2"/>
          <c:w val="0.9019171237054221"/>
          <c:h val="0.81882420592062344"/>
        </c:manualLayout>
      </c:layout>
      <c:barChart>
        <c:barDir val="col"/>
        <c:grouping val="clustered"/>
        <c:varyColors val="0"/>
        <c:ser>
          <c:idx val="4"/>
          <c:order val="3"/>
          <c:tx>
            <c:strRef>
              <c:f>'Státní rozpočet-příjmy'!$A$39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numRef>
              <c:f>'Státní rozpočet-příjmy'!$B$35:$P$35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rozpočet-příjmy'!$B$39:$P$39</c:f>
              <c:numCache>
                <c:formatCode>#\ ##0.0</c:formatCode>
                <c:ptCount val="15"/>
                <c:pt idx="0">
                  <c:v>8.25</c:v>
                </c:pt>
                <c:pt idx="1">
                  <c:v>15.75</c:v>
                </c:pt>
                <c:pt idx="2">
                  <c:v>11.263</c:v>
                </c:pt>
                <c:pt idx="3">
                  <c:v>-13.347</c:v>
                </c:pt>
                <c:pt idx="4">
                  <c:v>-2.3460000000000001</c:v>
                </c:pt>
                <c:pt idx="5">
                  <c:v>-45.942</c:v>
                </c:pt>
                <c:pt idx="6">
                  <c:v>-25.202000000000002</c:v>
                </c:pt>
                <c:pt idx="7">
                  <c:v>-22.69</c:v>
                </c:pt>
                <c:pt idx="8">
                  <c:v>13.97</c:v>
                </c:pt>
                <c:pt idx="9">
                  <c:v>43.59</c:v>
                </c:pt>
                <c:pt idx="10">
                  <c:v>19.91</c:v>
                </c:pt>
                <c:pt idx="11">
                  <c:v>43.6</c:v>
                </c:pt>
                <c:pt idx="12">
                  <c:v>4.68</c:v>
                </c:pt>
                <c:pt idx="13">
                  <c:v>16.260000000000002</c:v>
                </c:pt>
                <c:pt idx="14">
                  <c:v>-9.24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D-487E-A6EB-1E8DAD56A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37259904"/>
        <c:axId val="337258656"/>
      </c:barChart>
      <c:lineChart>
        <c:grouping val="standard"/>
        <c:varyColors val="0"/>
        <c:ser>
          <c:idx val="0"/>
          <c:order val="0"/>
          <c:tx>
            <c:strRef>
              <c:f>'Státní rozpočet-příjmy'!$A$36</c:f>
              <c:strCache>
                <c:ptCount val="1"/>
                <c:pt idx="0">
                  <c:v>DPH a spotřební daně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7"/>
            <c:spPr>
              <a:solidFill>
                <a:srgbClr val="984807"/>
              </a:solidFill>
              <a:ln>
                <a:noFill/>
              </a:ln>
            </c:spPr>
          </c:marker>
          <c:cat>
            <c:numRef>
              <c:f>'Státní rozpočet-příjmy'!$B$35:$P$35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rozpočet-příjmy'!$B$36:$P$36</c:f>
              <c:numCache>
                <c:formatCode>0.0</c:formatCode>
                <c:ptCount val="15"/>
                <c:pt idx="0">
                  <c:v>3.3982715687710368</c:v>
                </c:pt>
                <c:pt idx="1">
                  <c:v>18.543703074089791</c:v>
                </c:pt>
                <c:pt idx="2">
                  <c:v>4.2423518164435876</c:v>
                </c:pt>
                <c:pt idx="3">
                  <c:v>2.4303565287171978</c:v>
                </c:pt>
                <c:pt idx="4">
                  <c:v>-8.8416340235030617</c:v>
                </c:pt>
                <c:pt idx="5">
                  <c:v>17.274401473296507</c:v>
                </c:pt>
                <c:pt idx="6">
                  <c:v>-5.5171691792294837</c:v>
                </c:pt>
                <c:pt idx="7">
                  <c:v>5.5734072022160603</c:v>
                </c:pt>
                <c:pt idx="8">
                  <c:v>19.46893366918556</c:v>
                </c:pt>
                <c:pt idx="9">
                  <c:v>14.679785645260495</c:v>
                </c:pt>
                <c:pt idx="10">
                  <c:v>-19.143557530258931</c:v>
                </c:pt>
                <c:pt idx="11">
                  <c:v>5.4381809568924524</c:v>
                </c:pt>
                <c:pt idx="12">
                  <c:v>6.5953814358882283</c:v>
                </c:pt>
                <c:pt idx="13">
                  <c:v>10.123914692742147</c:v>
                </c:pt>
                <c:pt idx="14">
                  <c:v>-1.2323943661971697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6D-487E-A6EB-1E8DAD56A3EC}"/>
            </c:ext>
          </c:extLst>
        </c:ser>
        <c:ser>
          <c:idx val="1"/>
          <c:order val="1"/>
          <c:tx>
            <c:strRef>
              <c:f>'Státní rozpočet-příjmy'!$A$37</c:f>
              <c:strCache>
                <c:ptCount val="1"/>
                <c:pt idx="0">
                  <c:v>Daně z příjmů (DPFO) ze závislé činnosti</c:v>
                </c:pt>
              </c:strCache>
            </c:strRef>
          </c:tx>
          <c:spPr>
            <a:ln w="19050">
              <a:solidFill>
                <a:srgbClr val="BD1B25"/>
              </a:solidFill>
              <a:prstDash val="solid"/>
            </a:ln>
          </c:spPr>
          <c:marker>
            <c:symbol val="none"/>
          </c:marker>
          <c:cat>
            <c:numRef>
              <c:f>'Státní rozpočet-příjmy'!$B$35:$P$35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rozpočet-příjmy'!$B$37:$P$37</c:f>
              <c:numCache>
                <c:formatCode>0.0</c:formatCode>
                <c:ptCount val="15"/>
                <c:pt idx="0">
                  <c:v>6.9237147595356419</c:v>
                </c:pt>
                <c:pt idx="1">
                  <c:v>4.032570763861969</c:v>
                </c:pt>
                <c:pt idx="2">
                  <c:v>9.1315691390234832</c:v>
                </c:pt>
                <c:pt idx="3">
                  <c:v>1.2636612021857729</c:v>
                </c:pt>
                <c:pt idx="4">
                  <c:v>-4.5531197301855002</c:v>
                </c:pt>
                <c:pt idx="5">
                  <c:v>-1.7314487632508815</c:v>
                </c:pt>
                <c:pt idx="6">
                  <c:v>3.8475368572455864</c:v>
                </c:pt>
                <c:pt idx="7">
                  <c:v>3.8781163434903192</c:v>
                </c:pt>
                <c:pt idx="8">
                  <c:v>4.5000000000000142</c:v>
                </c:pt>
                <c:pt idx="9">
                  <c:v>0.7655502392344431</c:v>
                </c:pt>
                <c:pt idx="10">
                  <c:v>1.772712883823985</c:v>
                </c:pt>
                <c:pt idx="11">
                  <c:v>8.2426127527216266</c:v>
                </c:pt>
                <c:pt idx="12">
                  <c:v>10.287356321839098</c:v>
                </c:pt>
                <c:pt idx="13">
                  <c:v>15.398645127670662</c:v>
                </c:pt>
                <c:pt idx="14">
                  <c:v>12.485888462406862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6D-487E-A6EB-1E8DAD56A3EC}"/>
            </c:ext>
          </c:extLst>
        </c:ser>
        <c:ser>
          <c:idx val="3"/>
          <c:order val="2"/>
          <c:tx>
            <c:strRef>
              <c:f>'Státní rozpočet-příjmy'!$A$38</c:f>
              <c:strCache>
                <c:ptCount val="1"/>
                <c:pt idx="0">
                  <c:v>Daně z příjmů právnických osob (DPPO)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numRef>
              <c:f>'Státní rozpočet-příjmy'!$B$35:$P$35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rozpočet-příjmy'!$B$38:$P$38</c:f>
              <c:numCache>
                <c:formatCode>0.0</c:formatCode>
                <c:ptCount val="15"/>
                <c:pt idx="0">
                  <c:v>17.255621844882981</c:v>
                </c:pt>
                <c:pt idx="1">
                  <c:v>18.082191780821915</c:v>
                </c:pt>
                <c:pt idx="2">
                  <c:v>2.0550215445807112</c:v>
                </c:pt>
                <c:pt idx="3">
                  <c:v>18.38259175056838</c:v>
                </c:pt>
                <c:pt idx="4">
                  <c:v>-14.074074074074076</c:v>
                </c:pt>
                <c:pt idx="5">
                  <c:v>-3.1928480204342691E-2</c:v>
                </c:pt>
                <c:pt idx="6">
                  <c:v>-8.6234429894602442</c:v>
                </c:pt>
                <c:pt idx="7">
                  <c:v>-0.66410346032854761</c:v>
                </c:pt>
                <c:pt idx="8">
                  <c:v>-0.49261083743841994</c:v>
                </c:pt>
                <c:pt idx="9">
                  <c:v>2.5813295615275962</c:v>
                </c:pt>
                <c:pt idx="10">
                  <c:v>7.2388831437435215</c:v>
                </c:pt>
                <c:pt idx="11">
                  <c:v>12.600450016072017</c:v>
                </c:pt>
                <c:pt idx="12">
                  <c:v>10.248358549814427</c:v>
                </c:pt>
                <c:pt idx="13">
                  <c:v>1.1651993785603452</c:v>
                </c:pt>
                <c:pt idx="14">
                  <c:v>3.7880726900435064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E6D-487E-A6EB-1E8DAD56A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88576"/>
        <c:axId val="66855296"/>
      </c:lineChart>
      <c:catAx>
        <c:axId val="7928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66855296"/>
        <c:crosses val="autoZero"/>
        <c:auto val="1"/>
        <c:lblAlgn val="ctr"/>
        <c:lblOffset val="0"/>
        <c:noMultiLvlLbl val="0"/>
      </c:catAx>
      <c:valAx>
        <c:axId val="66855296"/>
        <c:scaling>
          <c:orientation val="minMax"/>
          <c:max val="25"/>
          <c:min val="-2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9288576"/>
        <c:crosses val="autoZero"/>
        <c:crossBetween val="between"/>
        <c:majorUnit val="5"/>
      </c:valAx>
      <c:valAx>
        <c:axId val="337258656"/>
        <c:scaling>
          <c:orientation val="minMax"/>
          <c:min val="-50"/>
        </c:scaling>
        <c:delete val="0"/>
        <c:axPos val="r"/>
        <c:numFmt formatCode="#,##0" sourceLinked="0"/>
        <c:majorTickMark val="out"/>
        <c:minorTickMark val="none"/>
        <c:tickLblPos val="nextTo"/>
        <c:crossAx val="337259904"/>
        <c:crosses val="max"/>
        <c:crossBetween val="between"/>
      </c:valAx>
      <c:catAx>
        <c:axId val="337259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7258656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5809113379182592E-2"/>
          <c:y val="0.88349324889693148"/>
          <c:w val="0.92643262075287514"/>
          <c:h val="0.1015176265333846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306186868686933E-2"/>
          <c:y val="1.544165056508486E-2"/>
          <c:w val="0.89338762626262558"/>
          <c:h val="0.79972056504783351"/>
        </c:manualLayout>
      </c:layout>
      <c:barChart>
        <c:barDir val="col"/>
        <c:grouping val="clustered"/>
        <c:varyColors val="0"/>
        <c:ser>
          <c:idx val="5"/>
          <c:order val="5"/>
          <c:tx>
            <c:strRef>
              <c:f>'Státní rozpočet-důchody'!$G$25</c:f>
              <c:strCache>
                <c:ptCount val="1"/>
                <c:pt idx="0">
                  <c:v>Saldo příjmů a výdajů na důchody (pr.osa)*</c:v>
                </c:pt>
              </c:strCache>
            </c:strRef>
          </c:tx>
          <c:spPr>
            <a:solidFill>
              <a:srgbClr val="A6A6A6"/>
            </a:solidFill>
          </c:spPr>
          <c:invertIfNegative val="0"/>
          <c:cat>
            <c:numRef>
              <c:f>'Státní rozpočet-důchody'!$A$26:$A$40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rozpočet-důchody'!$G$26:$G$40</c:f>
              <c:numCache>
                <c:formatCode>0.0</c:formatCode>
                <c:ptCount val="15"/>
                <c:pt idx="0">
                  <c:v>-2.9710000000000036</c:v>
                </c:pt>
                <c:pt idx="1">
                  <c:v>-6.6470000000000056</c:v>
                </c:pt>
                <c:pt idx="2">
                  <c:v>-0.46999999999999886</c:v>
                </c:pt>
                <c:pt idx="3">
                  <c:v>3.039999999999992</c:v>
                </c:pt>
                <c:pt idx="4">
                  <c:v>-1.9699999999999989</c:v>
                </c:pt>
                <c:pt idx="5">
                  <c:v>-10.36</c:v>
                </c:pt>
                <c:pt idx="6">
                  <c:v>-13.049999999999997</c:v>
                </c:pt>
                <c:pt idx="7">
                  <c:v>-13.510000000000005</c:v>
                </c:pt>
                <c:pt idx="8">
                  <c:v>-7.9300000000000068</c:v>
                </c:pt>
                <c:pt idx="9">
                  <c:v>-5.0800000000000125</c:v>
                </c:pt>
                <c:pt idx="10">
                  <c:v>-3.6500000000000057</c:v>
                </c:pt>
                <c:pt idx="11">
                  <c:v>-5.3399999999999892</c:v>
                </c:pt>
                <c:pt idx="12">
                  <c:v>-4.2399999999999949</c:v>
                </c:pt>
                <c:pt idx="13">
                  <c:v>1.0999999999999943</c:v>
                </c:pt>
                <c:pt idx="14">
                  <c:v>-0.21999999999999886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64-4891-A10F-45E3899CB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axId val="89593344"/>
        <c:axId val="89591808"/>
      </c:barChart>
      <c:lineChart>
        <c:grouping val="standard"/>
        <c:varyColors val="0"/>
        <c:ser>
          <c:idx val="1"/>
          <c:order val="0"/>
          <c:tx>
            <c:strRef>
              <c:f>'Státní rozpočet-důchody'!$B$25</c:f>
              <c:strCache>
                <c:ptCount val="1"/>
              </c:strCache>
            </c:strRef>
          </c:tx>
          <c:spPr>
            <a:ln w="19050">
              <a:noFill/>
            </a:ln>
          </c:spPr>
          <c:marker>
            <c:symbol val="none"/>
          </c:marker>
          <c:cat>
            <c:numRef>
              <c:f>'Státní rozpočet-důchody'!$A$26:$A$40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rozpočet-důchody'!$B$26:$B$40</c:f>
              <c:numCache>
                <c:formatCode>General</c:formatCode>
                <c:ptCount val="1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64-4891-A10F-45E3899CBE63}"/>
            </c:ext>
          </c:extLst>
        </c:ser>
        <c:ser>
          <c:idx val="0"/>
          <c:order val="1"/>
          <c:tx>
            <c:strRef>
              <c:f>'Státní rozpočet-důchody'!$C$25</c:f>
              <c:strCache>
                <c:ptCount val="1"/>
                <c:pt idx="0">
                  <c:v>Počet příjemců důchodů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'Státní rozpočet-důchody'!$A$26:$A$40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rozpočet-důchody'!$C$26:$C$40</c:f>
              <c:numCache>
                <c:formatCode>0.0</c:formatCode>
                <c:ptCount val="15"/>
                <c:pt idx="0">
                  <c:v>1.3618910094317158</c:v>
                </c:pt>
                <c:pt idx="1">
                  <c:v>0.8322690255855747</c:v>
                </c:pt>
                <c:pt idx="2">
                  <c:v>1.3029945698195888</c:v>
                </c:pt>
                <c:pt idx="3">
                  <c:v>1.4568773673978086</c:v>
                </c:pt>
                <c:pt idx="4">
                  <c:v>1.193990994558618</c:v>
                </c:pt>
                <c:pt idx="5">
                  <c:v>1.3818377616083382</c:v>
                </c:pt>
                <c:pt idx="6">
                  <c:v>0.91653177571062372</c:v>
                </c:pt>
                <c:pt idx="7">
                  <c:v>1.6953636567439219</c:v>
                </c:pt>
                <c:pt idx="8">
                  <c:v>-0.29319651061673824</c:v>
                </c:pt>
                <c:pt idx="9">
                  <c:v>-0.14718651612241729</c:v>
                </c:pt>
                <c:pt idx="10">
                  <c:v>9.7627692544463684E-2</c:v>
                </c:pt>
                <c:pt idx="11">
                  <c:v>0.71823179321019381</c:v>
                </c:pt>
                <c:pt idx="12">
                  <c:v>0.19315347773409997</c:v>
                </c:pt>
                <c:pt idx="13">
                  <c:v>0.29646113159431309</c:v>
                </c:pt>
                <c:pt idx="14">
                  <c:v>-0.1852368476659052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64-4891-A10F-45E3899CBE63}"/>
            </c:ext>
          </c:extLst>
        </c:ser>
        <c:ser>
          <c:idx val="2"/>
          <c:order val="2"/>
          <c:tx>
            <c:strRef>
              <c:f>'Státní rozpočet-důchody'!$D$25</c:f>
              <c:strCache>
                <c:ptCount val="1"/>
                <c:pt idx="0">
                  <c:v>z toho starobních trvale krácených**</c:v>
                </c:pt>
              </c:strCache>
            </c:strRef>
          </c:tx>
          <c:spPr>
            <a:ln w="22225">
              <a:noFill/>
            </a:ln>
          </c:spPr>
          <c:marker>
            <c:symbol val="diamond"/>
            <c:size val="6"/>
            <c:spPr>
              <a:solidFill>
                <a:srgbClr val="00B050"/>
              </a:solidFill>
              <a:ln>
                <a:noFill/>
              </a:ln>
            </c:spPr>
          </c:marker>
          <c:cat>
            <c:numRef>
              <c:f>'Státní rozpočet-důchody'!$A$26:$A$40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rozpočet-důchody'!$D$26:$D$40</c:f>
              <c:numCache>
                <c:formatCode>0.0</c:formatCode>
                <c:ptCount val="15"/>
                <c:pt idx="0">
                  <c:v>4.9826926232793056</c:v>
                </c:pt>
                <c:pt idx="1">
                  <c:v>5.4332692314683158</c:v>
                </c:pt>
                <c:pt idx="2">
                  <c:v>9.2825200238597034</c:v>
                </c:pt>
                <c:pt idx="3">
                  <c:v>7.5172503005196205</c:v>
                </c:pt>
                <c:pt idx="4">
                  <c:v>7.4811386918718199</c:v>
                </c:pt>
                <c:pt idx="5">
                  <c:v>11.548006803705448</c:v>
                </c:pt>
                <c:pt idx="6">
                  <c:v>7.149360693935904</c:v>
                </c:pt>
                <c:pt idx="7">
                  <c:v>16.525499225634917</c:v>
                </c:pt>
                <c:pt idx="8">
                  <c:v>3.5838415440981919</c:v>
                </c:pt>
                <c:pt idx="9">
                  <c:v>3.8474276359988977</c:v>
                </c:pt>
                <c:pt idx="10">
                  <c:v>4.1152833334851806</c:v>
                </c:pt>
                <c:pt idx="11">
                  <c:v>3.5115356273312415</c:v>
                </c:pt>
                <c:pt idx="12">
                  <c:v>2.7339489565912913</c:v>
                </c:pt>
                <c:pt idx="13">
                  <c:v>2.4082087476359817</c:v>
                </c:pt>
                <c:pt idx="14">
                  <c:v>1.9436559955511115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D64-4891-A10F-45E3899CBE63}"/>
            </c:ext>
          </c:extLst>
        </c:ser>
        <c:ser>
          <c:idx val="3"/>
          <c:order val="3"/>
          <c:tx>
            <c:strRef>
              <c:f>'Státní rozpočet-důchody'!$E$25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rozpočet-důchody'!$A$26:$A$40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rozpočet-důchody'!$E$26:$E$40</c:f>
              <c:numCache>
                <c:formatCode>0.0</c:formatCode>
                <c:ptCount val="15"/>
                <c:pt idx="0">
                  <c:v>13.205080313784094</c:v>
                </c:pt>
                <c:pt idx="1">
                  <c:v>7.3750206236594664</c:v>
                </c:pt>
                <c:pt idx="2">
                  <c:v>9.7111247695144556</c:v>
                </c:pt>
                <c:pt idx="3">
                  <c:v>9.4677871148459332</c:v>
                </c:pt>
                <c:pt idx="4">
                  <c:v>3.1090071647901851</c:v>
                </c:pt>
                <c:pt idx="5">
                  <c:v>-5.8443975679364826</c:v>
                </c:pt>
                <c:pt idx="6">
                  <c:v>3.8218239325250352</c:v>
                </c:pt>
                <c:pt idx="7">
                  <c:v>3.6938309215536833</c:v>
                </c:pt>
                <c:pt idx="8">
                  <c:v>-0.55086301872934484</c:v>
                </c:pt>
                <c:pt idx="9">
                  <c:v>1.1939931068439193</c:v>
                </c:pt>
                <c:pt idx="10">
                  <c:v>5.7535579613185774</c:v>
                </c:pt>
                <c:pt idx="11">
                  <c:v>5.5440533701403467</c:v>
                </c:pt>
                <c:pt idx="12">
                  <c:v>6.9638186573670424</c:v>
                </c:pt>
                <c:pt idx="13">
                  <c:v>10.646968925114606</c:v>
                </c:pt>
                <c:pt idx="14">
                  <c:v>7.1639042357274434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D64-4891-A10F-45E3899CBE63}"/>
            </c:ext>
          </c:extLst>
        </c:ser>
        <c:ser>
          <c:idx val="4"/>
          <c:order val="4"/>
          <c:tx>
            <c:strRef>
              <c:f>'Státní rozpočet-důchody'!$F$25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'Státní rozpočet-důchody'!$A$26:$A$40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rozpočet-důchody'!$F$26:$F$40</c:f>
              <c:numCache>
                <c:formatCode>0.0</c:formatCode>
                <c:ptCount val="15"/>
                <c:pt idx="0">
                  <c:v>11.655310480472039</c:v>
                </c:pt>
                <c:pt idx="1">
                  <c:v>12.812003585976939</c:v>
                </c:pt>
                <c:pt idx="2">
                  <c:v>0.19936704448812748</c:v>
                </c:pt>
                <c:pt idx="3">
                  <c:v>4.5220537080840444</c:v>
                </c:pt>
                <c:pt idx="4">
                  <c:v>9.9041533546325979</c:v>
                </c:pt>
                <c:pt idx="5">
                  <c:v>4.4573643410852526</c:v>
                </c:pt>
                <c:pt idx="6">
                  <c:v>6.4819109461966491</c:v>
                </c:pt>
                <c:pt idx="7">
                  <c:v>3.6698246760318085</c:v>
                </c:pt>
                <c:pt idx="8">
                  <c:v>-6.3340336134453707</c:v>
                </c:pt>
                <c:pt idx="9">
                  <c:v>-2.1083323987888321</c:v>
                </c:pt>
                <c:pt idx="10">
                  <c:v>3.7805017756902259</c:v>
                </c:pt>
                <c:pt idx="11">
                  <c:v>7.1862236449939303</c:v>
                </c:pt>
                <c:pt idx="12">
                  <c:v>5.4479917610710658</c:v>
                </c:pt>
                <c:pt idx="13">
                  <c:v>4.9907217501709198</c:v>
                </c:pt>
                <c:pt idx="14">
                  <c:v>8.4651162790697612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D64-4891-A10F-45E3899CB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210432"/>
        <c:axId val="84211968"/>
      </c:lineChart>
      <c:catAx>
        <c:axId val="842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84211968"/>
        <c:crossesAt val="0"/>
        <c:auto val="1"/>
        <c:lblAlgn val="ctr"/>
        <c:lblOffset val="0"/>
        <c:noMultiLvlLbl val="0"/>
      </c:catAx>
      <c:valAx>
        <c:axId val="84211968"/>
        <c:scaling>
          <c:orientation val="minMax"/>
          <c:max val="14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84210432"/>
        <c:crosses val="autoZero"/>
        <c:crossBetween val="between"/>
        <c:majorUnit val="2"/>
      </c:valAx>
      <c:valAx>
        <c:axId val="89591808"/>
        <c:scaling>
          <c:orientation val="minMax"/>
          <c:max val="28"/>
          <c:min val="-16"/>
        </c:scaling>
        <c:delete val="0"/>
        <c:axPos val="r"/>
        <c:numFmt formatCode="0" sourceLinked="0"/>
        <c:majorTickMark val="out"/>
        <c:minorTickMark val="none"/>
        <c:tickLblPos val="nextTo"/>
        <c:crossAx val="89593344"/>
        <c:crosses val="max"/>
        <c:crossBetween val="between"/>
        <c:majorUnit val="4"/>
        <c:minorUnit val="2"/>
      </c:valAx>
      <c:catAx>
        <c:axId val="89593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9591808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7528829966329967E-2"/>
          <c:y val="0.8723506235827666"/>
          <c:w val="0.96213320707070704"/>
          <c:h val="0.1207964852607717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654503640965086E-2"/>
          <c:y val="1.7112323287741892E-2"/>
          <c:w val="0.88571919735113291"/>
          <c:h val="0.7606774707477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'Státní rozpočet-výdaje'!$B$31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cat>
            <c:numRef>
              <c:f>'Státní rozpočet-výdaje'!$A$32:$A$46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rozpočet-výdaje'!$B$32:$B$46</c:f>
              <c:numCache>
                <c:formatCode>0.0</c:formatCode>
                <c:ptCount val="15"/>
                <c:pt idx="0">
                  <c:v>192.453</c:v>
                </c:pt>
                <c:pt idx="1">
                  <c:v>210.25</c:v>
                </c:pt>
                <c:pt idx="2">
                  <c:v>220.65</c:v>
                </c:pt>
                <c:pt idx="3">
                  <c:v>251.64</c:v>
                </c:pt>
                <c:pt idx="4">
                  <c:v>242.03</c:v>
                </c:pt>
                <c:pt idx="5">
                  <c:v>262.01</c:v>
                </c:pt>
                <c:pt idx="6">
                  <c:v>252.45</c:v>
                </c:pt>
                <c:pt idx="7">
                  <c:v>258.94</c:v>
                </c:pt>
                <c:pt idx="8">
                  <c:v>261.20999999999998</c:v>
                </c:pt>
                <c:pt idx="9">
                  <c:v>265.72000000000003</c:v>
                </c:pt>
                <c:pt idx="10">
                  <c:v>274.76</c:v>
                </c:pt>
                <c:pt idx="11">
                  <c:v>278.33</c:v>
                </c:pt>
                <c:pt idx="12">
                  <c:v>296.72000000000003</c:v>
                </c:pt>
                <c:pt idx="13">
                  <c:v>317.70999999999998</c:v>
                </c:pt>
                <c:pt idx="14">
                  <c:v>357.13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A-4F7F-9AA4-E1031A43E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'Státní rozpočet-výdaje'!$C$31</c:f>
              <c:strCache>
                <c:ptCount val="1"/>
                <c:pt idx="0">
                  <c:v>Platy a související výdaje*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rozpočet-výdaje'!$A$32:$A$46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rozpočet-výdaje'!$C$32:$C$46</c:f>
              <c:numCache>
                <c:formatCode>0.0</c:formatCode>
                <c:ptCount val="15"/>
                <c:pt idx="0">
                  <c:v>13.224</c:v>
                </c:pt>
                <c:pt idx="1">
                  <c:v>13.83</c:v>
                </c:pt>
                <c:pt idx="2">
                  <c:v>14.85</c:v>
                </c:pt>
                <c:pt idx="3">
                  <c:v>14.73</c:v>
                </c:pt>
                <c:pt idx="4">
                  <c:v>15.14</c:v>
                </c:pt>
                <c:pt idx="5">
                  <c:v>15.42</c:v>
                </c:pt>
                <c:pt idx="6">
                  <c:v>14.05</c:v>
                </c:pt>
                <c:pt idx="7">
                  <c:v>14.35</c:v>
                </c:pt>
                <c:pt idx="8">
                  <c:v>14.46</c:v>
                </c:pt>
                <c:pt idx="9">
                  <c:v>14.8</c:v>
                </c:pt>
                <c:pt idx="10">
                  <c:v>15.8</c:v>
                </c:pt>
                <c:pt idx="11">
                  <c:v>16.75</c:v>
                </c:pt>
                <c:pt idx="12">
                  <c:v>17.75</c:v>
                </c:pt>
                <c:pt idx="13">
                  <c:v>20.47</c:v>
                </c:pt>
                <c:pt idx="14">
                  <c:v>22.19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1A-4F7F-9AA4-E1031A43E798}"/>
            </c:ext>
          </c:extLst>
        </c:ser>
        <c:ser>
          <c:idx val="6"/>
          <c:order val="2"/>
          <c:tx>
            <c:strRef>
              <c:f>'Státní rozpočet-výdaje'!$D$31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rozpočet-výdaje'!$A$32:$A$46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rozpočet-výdaje'!$D$32:$D$46</c:f>
              <c:numCache>
                <c:formatCode>0.0</c:formatCode>
                <c:ptCount val="15"/>
                <c:pt idx="0">
                  <c:v>1.903</c:v>
                </c:pt>
                <c:pt idx="1">
                  <c:v>2.0099999999999998</c:v>
                </c:pt>
                <c:pt idx="2">
                  <c:v>2.0099999999999998</c:v>
                </c:pt>
                <c:pt idx="3">
                  <c:v>1.87</c:v>
                </c:pt>
                <c:pt idx="4">
                  <c:v>3.07</c:v>
                </c:pt>
                <c:pt idx="5">
                  <c:v>4.21</c:v>
                </c:pt>
                <c:pt idx="6">
                  <c:v>3.62</c:v>
                </c:pt>
                <c:pt idx="7">
                  <c:v>2.63</c:v>
                </c:pt>
                <c:pt idx="8">
                  <c:v>2.82</c:v>
                </c:pt>
                <c:pt idx="9">
                  <c:v>2.86</c:v>
                </c:pt>
                <c:pt idx="10">
                  <c:v>2.56</c:v>
                </c:pt>
                <c:pt idx="11">
                  <c:v>2.4500000000000002</c:v>
                </c:pt>
                <c:pt idx="12">
                  <c:v>2.42</c:v>
                </c:pt>
                <c:pt idx="13">
                  <c:v>2.21</c:v>
                </c:pt>
                <c:pt idx="14">
                  <c:v>2.31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A1A-4F7F-9AA4-E1031A43E798}"/>
            </c:ext>
          </c:extLst>
        </c:ser>
        <c:ser>
          <c:idx val="7"/>
          <c:order val="3"/>
          <c:tx>
            <c:strRef>
              <c:f>'Státní rozpočet-výdaje'!$E$31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rozpočet-výdaje'!$A$32:$A$46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rozpočet-výdaje'!$E$32:$E$46</c:f>
              <c:numCache>
                <c:formatCode>General</c:formatCode>
                <c:ptCount val="15"/>
                <c:pt idx="0" formatCode="0.00">
                  <c:v>8.2420000000000009</c:v>
                </c:pt>
                <c:pt idx="1">
                  <c:v>8.39</c:v>
                </c:pt>
                <c:pt idx="2">
                  <c:v>11.18</c:v>
                </c:pt>
                <c:pt idx="3">
                  <c:v>11.07</c:v>
                </c:pt>
                <c:pt idx="4">
                  <c:v>10.199999999999999</c:v>
                </c:pt>
                <c:pt idx="5">
                  <c:v>10.3</c:v>
                </c:pt>
                <c:pt idx="6">
                  <c:v>9.3800000000000008</c:v>
                </c:pt>
                <c:pt idx="7">
                  <c:v>8.89</c:v>
                </c:pt>
                <c:pt idx="8">
                  <c:v>9.2200000000000006</c:v>
                </c:pt>
                <c:pt idx="9">
                  <c:v>9.3699999999999992</c:v>
                </c:pt>
                <c:pt idx="10">
                  <c:v>9.33</c:v>
                </c:pt>
                <c:pt idx="11">
                  <c:v>9.3800000000000008</c:v>
                </c:pt>
                <c:pt idx="12">
                  <c:v>9.2899999999999991</c:v>
                </c:pt>
                <c:pt idx="13">
                  <c:v>9.48</c:v>
                </c:pt>
                <c:pt idx="14">
                  <c:v>9.5500000000000007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A1A-4F7F-9AA4-E1031A43E798}"/>
            </c:ext>
          </c:extLst>
        </c:ser>
        <c:ser>
          <c:idx val="2"/>
          <c:order val="4"/>
          <c:tx>
            <c:strRef>
              <c:f>'Státní rozpočet-výdaje'!$F$31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rozpočet-výdaje'!$A$32:$A$46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rozpočet-výdaje'!$F$32:$F$46</c:f>
              <c:numCache>
                <c:formatCode>0.00</c:formatCode>
                <c:ptCount val="15"/>
                <c:pt idx="0">
                  <c:v>8.9</c:v>
                </c:pt>
                <c:pt idx="1">
                  <c:v>9.6</c:v>
                </c:pt>
                <c:pt idx="2">
                  <c:v>9.6080000000000005</c:v>
                </c:pt>
                <c:pt idx="3">
                  <c:v>9.09</c:v>
                </c:pt>
                <c:pt idx="4">
                  <c:v>7.27</c:v>
                </c:pt>
                <c:pt idx="5">
                  <c:v>6.07</c:v>
                </c:pt>
                <c:pt idx="6">
                  <c:v>6.07</c:v>
                </c:pt>
                <c:pt idx="7">
                  <c:v>5.21</c:v>
                </c:pt>
                <c:pt idx="8">
                  <c:v>5.3</c:v>
                </c:pt>
                <c:pt idx="9">
                  <c:v>5.47</c:v>
                </c:pt>
                <c:pt idx="10">
                  <c:v>6.21</c:v>
                </c:pt>
                <c:pt idx="11">
                  <c:v>6.67</c:v>
                </c:pt>
                <c:pt idx="12">
                  <c:v>7.47</c:v>
                </c:pt>
                <c:pt idx="13">
                  <c:v>8.2899999999999991</c:v>
                </c:pt>
                <c:pt idx="14">
                  <c:v>9.91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A1A-4F7F-9AA4-E1031A43E798}"/>
            </c:ext>
          </c:extLst>
        </c:ser>
        <c:ser>
          <c:idx val="3"/>
          <c:order val="5"/>
          <c:tx>
            <c:strRef>
              <c:f>'Státní rozpočet-výdaje'!$G$31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rozpočet-výdaje'!$A$32:$A$46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rozpočet-výdaje'!$G$32:$G$46</c:f>
              <c:numCache>
                <c:formatCode>General</c:formatCode>
                <c:ptCount val="15"/>
                <c:pt idx="2" formatCode="0.00">
                  <c:v>8.8000000000000007</c:v>
                </c:pt>
                <c:pt idx="3" formatCode="0.00">
                  <c:v>7.8000000000000007</c:v>
                </c:pt>
                <c:pt idx="4" formatCode="0.00">
                  <c:v>7.1</c:v>
                </c:pt>
                <c:pt idx="5" formatCode="0.00">
                  <c:v>7.1999999999999993</c:v>
                </c:pt>
                <c:pt idx="6" formatCode="0.00">
                  <c:v>6.68</c:v>
                </c:pt>
                <c:pt idx="7" formatCode="0.00">
                  <c:v>6.37</c:v>
                </c:pt>
                <c:pt idx="8" formatCode="0.00">
                  <c:v>7.64</c:v>
                </c:pt>
                <c:pt idx="9" formatCode="0.00">
                  <c:v>8.2100000000000009</c:v>
                </c:pt>
                <c:pt idx="10" formatCode="0.00">
                  <c:v>8.44</c:v>
                </c:pt>
                <c:pt idx="11" formatCode="0.00">
                  <c:v>8.34</c:v>
                </c:pt>
                <c:pt idx="12" formatCode="0.00">
                  <c:v>8.85</c:v>
                </c:pt>
                <c:pt idx="13" formatCode="0.00">
                  <c:v>8.48</c:v>
                </c:pt>
                <c:pt idx="14" formatCode="0.00">
                  <c:v>8.41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A1A-4F7F-9AA4-E1031A43E798}"/>
            </c:ext>
          </c:extLst>
        </c:ser>
        <c:ser>
          <c:idx val="4"/>
          <c:order val="6"/>
          <c:tx>
            <c:strRef>
              <c:f>'Státní rozpočet-výdaje'!$J$31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numRef>
              <c:f>'Státní rozpočet-výdaje'!$A$32:$A$46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rozpočet-výdaje'!$J$32:$J$46</c:f>
              <c:numCache>
                <c:formatCode>0.0</c:formatCode>
                <c:ptCount val="15"/>
                <c:pt idx="0">
                  <c:v>6.1210000000000004</c:v>
                </c:pt>
                <c:pt idx="1">
                  <c:v>9.93</c:v>
                </c:pt>
                <c:pt idx="2">
                  <c:v>10.07</c:v>
                </c:pt>
                <c:pt idx="3">
                  <c:v>31.85</c:v>
                </c:pt>
                <c:pt idx="4">
                  <c:v>31.88</c:v>
                </c:pt>
                <c:pt idx="5">
                  <c:v>33.1</c:v>
                </c:pt>
                <c:pt idx="6">
                  <c:v>26.12</c:v>
                </c:pt>
                <c:pt idx="7">
                  <c:v>22.19</c:v>
                </c:pt>
                <c:pt idx="8">
                  <c:v>17.690000000000001</c:v>
                </c:pt>
                <c:pt idx="9">
                  <c:v>14.93</c:v>
                </c:pt>
                <c:pt idx="10">
                  <c:v>19.78</c:v>
                </c:pt>
                <c:pt idx="11">
                  <c:v>20.02</c:v>
                </c:pt>
                <c:pt idx="12">
                  <c:v>6.27</c:v>
                </c:pt>
                <c:pt idx="13">
                  <c:v>11.73</c:v>
                </c:pt>
                <c:pt idx="14">
                  <c:v>16.41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A1A-4F7F-9AA4-E1031A43E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4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2827648"/>
        <c:crosses val="autoZero"/>
        <c:crossBetween val="between"/>
        <c:majorUnit val="5"/>
      </c:valAx>
      <c:valAx>
        <c:axId val="72835072"/>
        <c:scaling>
          <c:orientation val="minMax"/>
          <c:max val="400"/>
          <c:min val="0"/>
        </c:scaling>
        <c:delete val="0"/>
        <c:axPos val="r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2836608"/>
        <c:crosses val="max"/>
        <c:crossBetween val="between"/>
        <c:majorUnit val="5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741173954559867E-2"/>
          <c:y val="0.84135922118589024"/>
          <c:w val="0.87278375696225319"/>
          <c:h val="0.15135989194475927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B2FB-BC75-4841-8CDC-56FE25A2E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331DB-A0A3-4E4B-A5DF-BEC36772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5</Pages>
  <Words>1704</Words>
  <Characters>10058</Characters>
  <Application>Microsoft Office Word</Application>
  <DocSecurity>0</DocSecurity>
  <Lines>83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11739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2019-06-13T09:58:00Z</dcterms:created>
  <dcterms:modified xsi:type="dcterms:W3CDTF">2019-06-13T10:26:00Z</dcterms:modified>
</cp:coreProperties>
</file>