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 xml:space="preserve">Podrobné úmrtnostní tabulky za </w:t>
      </w:r>
      <w:r w:rsidR="008B1384">
        <w:rPr>
          <w:rFonts w:cs="Arial"/>
        </w:rPr>
        <w:t xml:space="preserve">okresy a správní obvody obcí s rozšířenou působností (SO ORP) </w:t>
      </w:r>
      <w:r>
        <w:rPr>
          <w:rFonts w:cs="Arial"/>
        </w:rPr>
        <w:t>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8263D6" w:rsidRDefault="00704A5B" w:rsidP="008263D6">
      <w:pPr>
        <w:rPr>
          <w:rFonts w:cs="Arial"/>
        </w:rPr>
      </w:pPr>
      <w:r>
        <w:rPr>
          <w:rFonts w:cs="Arial"/>
        </w:rPr>
        <w:t xml:space="preserve">S ohledem na vyloučení nahodilých výkyvů jsou tabulky </w:t>
      </w:r>
      <w:r w:rsidR="008263D6">
        <w:rPr>
          <w:rFonts w:cs="Arial"/>
        </w:rPr>
        <w:t>za okresy a SO ORP</w:t>
      </w:r>
      <w:r w:rsidR="006956DF">
        <w:rPr>
          <w:rFonts w:cs="Arial"/>
        </w:rPr>
        <w:t xml:space="preserve"> </w:t>
      </w:r>
      <w:r>
        <w:rPr>
          <w:rFonts w:cs="Arial"/>
        </w:rPr>
        <w:t xml:space="preserve">zpracovány za </w:t>
      </w:r>
      <w:r w:rsidR="008263D6">
        <w:rPr>
          <w:rFonts w:cs="Arial"/>
        </w:rPr>
        <w:t>pětil</w:t>
      </w:r>
      <w:r>
        <w:rPr>
          <w:rFonts w:cs="Arial"/>
        </w:rPr>
        <w:t>eté kalendářní období.</w:t>
      </w:r>
      <w:r w:rsidR="001A6BC7">
        <w:rPr>
          <w:rFonts w:cs="Arial"/>
        </w:rPr>
        <w:t xml:space="preserve"> </w:t>
      </w:r>
      <w:r w:rsidR="008263D6">
        <w:rPr>
          <w:rFonts w:cs="Arial"/>
        </w:rPr>
        <w:t xml:space="preserve">Přesto </w:t>
      </w:r>
      <w:r w:rsidR="008263D6" w:rsidRPr="009D60EF">
        <w:rPr>
          <w:rFonts w:cs="Arial"/>
          <w:b/>
        </w:rPr>
        <w:t xml:space="preserve">nízké počty zemřelých a použitá (časově i prostorově jednotná) metodika vyrovnávání </w:t>
      </w:r>
      <w:r w:rsidR="008263D6">
        <w:rPr>
          <w:rFonts w:cs="Arial"/>
          <w:b/>
        </w:rPr>
        <w:t>měr</w:t>
      </w:r>
      <w:r w:rsidR="008263D6" w:rsidRPr="009D60EF">
        <w:rPr>
          <w:rFonts w:cs="Arial"/>
          <w:b/>
        </w:rPr>
        <w:t xml:space="preserve"> úmrt</w:t>
      </w:r>
      <w:r w:rsidR="008263D6">
        <w:rPr>
          <w:rFonts w:cs="Arial"/>
          <w:b/>
        </w:rPr>
        <w:t>nosti</w:t>
      </w:r>
      <w:r w:rsidR="008263D6" w:rsidRPr="009D60EF">
        <w:rPr>
          <w:rFonts w:cs="Arial"/>
          <w:b/>
        </w:rPr>
        <w:t xml:space="preserve"> mohou stát za výkyvy v časové řadě. </w:t>
      </w:r>
      <w:r w:rsidR="008263D6">
        <w:rPr>
          <w:rFonts w:cs="Arial"/>
        </w:rPr>
        <w:t>Kompletní podrobné úmrtnostní tabulky jsou publikovány pouze za okresy, za SO ORP jsou prezentovány jen výsledné naděje dožití ve vybraných věcích.</w:t>
      </w:r>
    </w:p>
    <w:p w:rsidR="00EE4B1B" w:rsidRPr="00C96CCE" w:rsidRDefault="001A6BC7" w:rsidP="00213C0A">
      <w:pPr>
        <w:rPr>
          <w:i/>
        </w:rPr>
      </w:pPr>
      <w:r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0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(D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8263D6" w:rsidRDefault="00477325" w:rsidP="008263D6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(P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</w:t>
      </w:r>
      <w:r w:rsidR="00462E2E">
        <w:rPr>
          <w:rFonts w:cs="Arial"/>
        </w:rPr>
        <w:t>, resp. součet středních stavů v příslušných letech</w:t>
      </w:r>
      <w:r>
        <w:rPr>
          <w:rFonts w:cs="Arial"/>
        </w:rPr>
        <w:t xml:space="preserve">. V případě </w:t>
      </w:r>
      <w:r w:rsidR="001071AC">
        <w:rPr>
          <w:rFonts w:cs="Arial"/>
        </w:rPr>
        <w:t xml:space="preserve">tabulek za </w:t>
      </w:r>
      <w:r w:rsidR="008263D6">
        <w:rPr>
          <w:rFonts w:cs="Arial"/>
        </w:rPr>
        <w:t xml:space="preserve">okresy </w:t>
      </w:r>
      <w:r>
        <w:rPr>
          <w:rFonts w:cs="Arial"/>
        </w:rPr>
        <w:t>je střední stav definován jako bilancovaný počet obyvatel k 1. 7. daného roku</w:t>
      </w:r>
      <w:r w:rsidR="008263D6">
        <w:rPr>
          <w:rFonts w:cs="Arial"/>
        </w:rPr>
        <w:t xml:space="preserve">. V případě tabulek za SO ORP je střední stav vypočten jako průměr </w:t>
      </w:r>
      <w:r w:rsidR="00462E2E">
        <w:rPr>
          <w:rFonts w:cs="Arial"/>
        </w:rPr>
        <w:t>počátečního a</w:t>
      </w:r>
      <w:r w:rsidR="008263D6">
        <w:rPr>
          <w:rFonts w:cs="Arial"/>
        </w:rPr>
        <w:t xml:space="preserve"> koncov</w:t>
      </w:r>
      <w:r w:rsidR="00462E2E">
        <w:rPr>
          <w:rFonts w:cs="Arial"/>
        </w:rPr>
        <w:t>é</w:t>
      </w:r>
      <w:r w:rsidR="008263D6">
        <w:rPr>
          <w:rFonts w:cs="Arial"/>
        </w:rPr>
        <w:t>h</w:t>
      </w:r>
      <w:r w:rsidR="00462E2E">
        <w:rPr>
          <w:rFonts w:cs="Arial"/>
        </w:rPr>
        <w:t>o</w:t>
      </w:r>
      <w:r w:rsidR="008263D6">
        <w:rPr>
          <w:rFonts w:cs="Arial"/>
        </w:rPr>
        <w:t xml:space="preserve"> stav</w:t>
      </w:r>
      <w:r w:rsidR="00462E2E">
        <w:rPr>
          <w:rFonts w:cs="Arial"/>
        </w:rPr>
        <w:t>u daného roku</w:t>
      </w:r>
      <w:r w:rsidR="008263D6">
        <w:rPr>
          <w:rFonts w:cs="Arial"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(q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477325" w:rsidRPr="00C37FA8" w:rsidRDefault="00D065C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rFonts w:ascii="Cambria Math" w:hAnsi="Cambria Math" w:cs="Arial"/>
          <w:sz w:val="24"/>
        </w:rPr>
        <w:tab/>
      </w:r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r w:rsidR="005D1303">
        <w:rPr>
          <w:rFonts w:cs="Arial"/>
          <w:iCs/>
        </w:rPr>
        <w:t>m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a</w:t>
      </w:r>
      <w:r w:rsidR="005D1303" w:rsidRPr="00C37FA8">
        <w:rPr>
          <w:rFonts w:cs="Arial"/>
          <w:iCs/>
          <w:vertAlign w:val="subscript"/>
        </w:rPr>
        <w:t>x</w:t>
      </w:r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(l</w:t>
      </w:r>
      <w:r w:rsidRPr="00704A5B">
        <w:rPr>
          <w:rFonts w:cs="Arial"/>
          <w:b/>
          <w:iCs/>
          <w:vertAlign w:val="subscript"/>
        </w:rPr>
        <w:t>x</w:t>
      </w:r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C37FA8" w:rsidRPr="00C37FA8" w:rsidRDefault="00D065CD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(d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477325" w:rsidRPr="00B21224" w:rsidRDefault="00D065C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(L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477325" w:rsidRPr="00B21224" w:rsidRDefault="00D065C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(T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r>
        <w:rPr>
          <w:rFonts w:cs="Arial"/>
        </w:rPr>
        <w:t xml:space="preserve"> od věku x do nejvyššího věku tabulky:</w:t>
      </w:r>
    </w:p>
    <w:p w:rsidR="00477325" w:rsidRPr="00B21224" w:rsidRDefault="00D065C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477325" w:rsidRPr="00C37FA8" w:rsidRDefault="00D065CD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sz w:val="24"/>
        </w:rPr>
        <w:tab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r w:rsidRPr="007E18EC">
        <w:rPr>
          <w:rFonts w:cs="Arial"/>
          <w:iCs/>
        </w:rPr>
        <w:t>m</w:t>
      </w:r>
      <w:r w:rsidRPr="007E18EC">
        <w:rPr>
          <w:rFonts w:cs="Arial"/>
          <w:iCs/>
          <w:vertAlign w:val="subscript"/>
        </w:rPr>
        <w:t>x</w:t>
      </w:r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Default="00D065C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okres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t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sub>
                        <m:sup/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1.7.(t)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P</m:t>
                          </m:r>
                        </m:e>
                      </m:sPre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nary>
            </m:den>
          </m:f>
        </m:oMath>
      </m:oMathPara>
    </w:p>
    <w:p w:rsidR="00101B1E" w:rsidRPr="00B974F9" w:rsidRDefault="00D065C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SO ORP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t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sub>
                        <m:sup/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fPr>
                    <m:num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1.1.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t</m:t>
                              </m:r>
                            </m:e>
                          </m:d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31.12.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t</m:t>
                                  </m:r>
                                </m:e>
                              </m:d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x</m:t>
                                  </m:r>
                                </m:sub>
                                <m:sup/>
                              </m:sSubSup>
                            </m:e>
                          </m:sPre>
                        </m:e>
                      </m:sPre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</w:rPr>
                    <m:t>)</m:t>
                  </m:r>
                </m:e>
              </m:nary>
            </m:den>
          </m:f>
        </m:oMath>
      </m:oMathPara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P-spliny,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 xml:space="preserve">P-GAM (Eilers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>ředpokládá Poissonovo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r w:rsidR="00AA1F80">
        <w:t xml:space="preserve">tzn. </w:t>
      </w:r>
      <w:r w:rsidR="00E037DD" w:rsidRPr="001D231C">
        <w:t>nižší počty zemřelých jsou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>Úmrtnostní modely přitom obecně pracují se spojitou definicí míry úmrtnosti, tzv. force of mortality (někdy překládáno jako síla úmrtnosti), značenou µ</w:t>
      </w:r>
      <w:r w:rsidR="00EC4A31" w:rsidRPr="00FA72B8">
        <w:rPr>
          <w:vertAlign w:val="subscript"/>
        </w:rPr>
        <w:t>x</w:t>
      </w:r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D065C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 ≅ µ</m:t>
              </m:r>
            </m:e>
            <m:sub>
              <m:r>
                <w:rPr>
                  <w:rFonts w:ascii="Cambria Math" w:hAnsi="Cambria Math"/>
                  <w:sz w:val="24"/>
                </w:rPr>
                <m:t>x+0,5</m:t>
              </m:r>
            </m:sub>
          </m:sSub>
        </m:oMath>
      </m:oMathPara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r w:rsidR="00E037DD" w:rsidRPr="005E0E2D">
        <w:t>Kannis</w:t>
      </w:r>
      <w:r>
        <w:t>to</w:t>
      </w:r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D065C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+c</m:t>
          </m:r>
        </m:oMath>
      </m:oMathPara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 x je věk a α, β jsou jednotlivé parametry a c je konstanta</w:t>
      </w:r>
      <w:r>
        <w:t xml:space="preserve">. Parametry funkce jsou odhadnuty metodou maximální věrohodnosti. Výchozí odhad parametrů je založen na předpokladu Poissonova rozdělení počtů zemřelých </w:t>
      </w:r>
      <w:r w:rsidR="00EC4A31">
        <w:t>(</w:t>
      </w:r>
      <w:r>
        <w:t>D</w:t>
      </w:r>
      <w:r w:rsidR="00EC4A31">
        <w:t>)</w:t>
      </w:r>
      <w:r>
        <w:t xml:space="preserve"> ve věku x. Na základě těchto předpokladů je pak maximalizován logaritmus věrohodnostní funkce (L)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věrohodnostní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</w:t>
      </w:r>
      <w:bookmarkStart w:id="1" w:name="_GoBack"/>
      <w:bookmarkEnd w:id="1"/>
      <w:r w:rsidRPr="006C1EDE">
        <w:t xml:space="preserve">charakterizují úmrtnost lépe než vyrovnané hodnoty, je vyšší než 75 let. Pro hladký průběh nahrazení </w:t>
      </w:r>
      <w:r w:rsidRPr="006C1EDE">
        <w:lastRenderedPageBreak/>
        <w:t xml:space="preserve">vyrovnaných hodnot modelovými hodnotami </w:t>
      </w:r>
      <w:r w:rsidR="00AA1F80">
        <w:t xml:space="preserve">se </w:t>
      </w:r>
      <w:r w:rsidRPr="006C1EDE">
        <w:t xml:space="preserve">nejprve hledá věk y vyšší než 75 let, kde je pozorován nejnižší rozdíl mezi vyrovnanou a modelovou mírou úmrtnosti, tzn. </w:t>
      </w:r>
      <w:r w:rsidR="00AA1F80">
        <w:t xml:space="preserve">takový </w:t>
      </w:r>
      <w:r w:rsidRPr="006C1EDE">
        <w:t>věk y, pro který platí:</w:t>
      </w:r>
    </w:p>
    <w:p w:rsidR="00E037DD" w:rsidRPr="00C0258A" w:rsidRDefault="00D065C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y pak provedeme postupnou graduaci vyrovnaných na modelové hodnoty pro věky </w:t>
      </w:r>
      <w:r w:rsidR="00FC405A">
        <w:br/>
      </w:r>
      <w:r w:rsidRPr="006C1EDE">
        <w:t>x</w:t>
      </w:r>
      <w:r w:rsidR="00FA72B8">
        <w:t> </w:t>
      </w:r>
      <w:r w:rsidRPr="006C1EDE">
        <w:rPr>
          <w:rFonts w:ascii="Cambria Math" w:hAnsi="Cambria Math" w:cs="Cambria Math"/>
        </w:rPr>
        <w:t>∈</w:t>
      </w:r>
      <w:r w:rsidR="00FA72B8">
        <w:rPr>
          <w:rFonts w:ascii="Cambria Math" w:hAnsi="Cambria Math" w:cs="Cambria Math"/>
        </w:rPr>
        <w:t> </w:t>
      </w:r>
      <w:r w:rsidRPr="006C1EDE">
        <w:t>[(y-4), (y+4)] dle vztahu:</w:t>
      </w:r>
    </w:p>
    <w:p w:rsidR="00E037DD" w:rsidRPr="00B21224" w:rsidRDefault="00D065C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grad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× 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vyrovn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model</m:t>
              </m:r>
            </m:sup>
          </m:sSubSup>
        </m:oMath>
      </m:oMathPara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 (y-5):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(y-4) až (y+4):</w:t>
      </w:r>
      <w:r>
        <w:tab/>
      </w:r>
      <w:r>
        <w:tab/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(y+5)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m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r w:rsidRPr="00650584">
        <w:rPr>
          <w:rFonts w:cs="Arial"/>
          <w:iCs/>
        </w:rPr>
        <w:t>q</w:t>
      </w:r>
      <w:r w:rsidRPr="00650584">
        <w:rPr>
          <w:rFonts w:cs="Arial"/>
          <w:iCs/>
          <w:vertAlign w:val="subscript"/>
        </w:rPr>
        <w:t>x</w:t>
      </w:r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(Chiang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D065CD" w:rsidP="00650584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>Parametr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vyčísluje průměrný počet člověkoroků prožitých v daném věkovém intervalu zemřelými jedinci. Hodnotu a</w:t>
      </w:r>
      <w:r w:rsidRPr="00650584">
        <w:rPr>
          <w:rFonts w:cs="Arial"/>
          <w:iCs/>
          <w:vertAlign w:val="subscript"/>
        </w:rPr>
        <w:t>x</w:t>
      </w:r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(Preston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(a</w:t>
      </w:r>
      <w:r w:rsidR="005D08AF" w:rsidRPr="005D08AF">
        <w:rPr>
          <w:rFonts w:cs="Arial"/>
          <w:iCs/>
          <w:vertAlign w:val="subscript"/>
        </w:rPr>
        <w:t>0</w:t>
      </w:r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(Andreev a Kingkade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>odnota a</w:t>
      </w:r>
      <w:r w:rsidR="005D08AF">
        <w:rPr>
          <w:rFonts w:cs="Arial"/>
          <w:iCs/>
          <w:vertAlign w:val="subscript"/>
        </w:rPr>
        <w:t>0</w:t>
      </w:r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5D08AF" w:rsidRPr="00B21224" w:rsidRDefault="00D065CD" w:rsidP="005D08AF">
      <w:pPr>
        <w:jc w:val="center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</w:rPr>
                <m:t>poz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dny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</w:rPr>
            <m:t>/ 365</m:t>
          </m:r>
        </m:oMath>
      </m:oMathPara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>dnota a</w:t>
      </w:r>
      <w:r w:rsidR="00AA1F80">
        <w:rPr>
          <w:rFonts w:cs="Arial"/>
          <w:iCs/>
          <w:vertAlign w:val="subscript"/>
        </w:rPr>
        <w:t>0</w:t>
      </w:r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>U poslední otevřené věkové skupiny (zde 105+) je parametr a</w:t>
      </w:r>
      <w:r w:rsidRPr="005D08AF">
        <w:rPr>
          <w:rFonts w:cs="Arial"/>
          <w:iCs/>
          <w:vertAlign w:val="subscript"/>
        </w:rPr>
        <w:t>x</w:t>
      </w:r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Preston</w:t>
      </w:r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D065CD" w:rsidP="00080BC7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105+</m:t>
              </m:r>
            </m:sub>
          </m:sSub>
          <m: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105+</m:t>
                  </m:r>
                </m:sub>
              </m:sSub>
            </m:den>
          </m:f>
        </m:oMath>
      </m:oMathPara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lastRenderedPageBreak/>
        <w:t>Další postup výpočtu úmrtnostních tabulek navazuje na vypočtené hodnoty q</w:t>
      </w:r>
      <w:r w:rsidRPr="003F65ED">
        <w:rPr>
          <w:rFonts w:cs="Arial"/>
          <w:iCs/>
          <w:vertAlign w:val="subscript"/>
        </w:rPr>
        <w:t>x</w:t>
      </w:r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Andreev, E. a Kingkade, W. W. (2015). Average age at death in infancy and infant mortality level: Reconsidering the Coale-Demeny formulas at current levels of low mortality. </w:t>
      </w:r>
      <w:r w:rsidRPr="00BA39DB">
        <w:rPr>
          <w:rFonts w:eastAsiaTheme="minorEastAsia" w:cs="Arial"/>
          <w:i/>
          <w:szCs w:val="20"/>
        </w:rPr>
        <w:t>Demographic Research</w:t>
      </w:r>
      <w:r w:rsidRPr="00BA39DB">
        <w:rPr>
          <w:rFonts w:eastAsiaTheme="minorEastAsia" w:cs="Arial"/>
          <w:szCs w:val="20"/>
        </w:rPr>
        <w:t>. 33(13): 363−390.</w:t>
      </w:r>
    </w:p>
    <w:p w:rsidR="002964B2" w:rsidRPr="00BA39DB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Eilers, P. H. C. a Marx B. D. (1996). Flexible Smoothing with B-splines and Penalties. </w:t>
      </w:r>
      <w:r w:rsidRPr="00BA39DB">
        <w:rPr>
          <w:rFonts w:cs="Arial"/>
          <w:i/>
          <w:szCs w:val="20"/>
        </w:rPr>
        <w:t>Statistical Science.</w:t>
      </w:r>
      <w:r w:rsidRPr="00BA39DB">
        <w:rPr>
          <w:rFonts w:cs="Arial"/>
          <w:szCs w:val="20"/>
        </w:rPr>
        <w:t xml:space="preserve"> 11(2):89</w:t>
      </w:r>
      <w:r w:rsidR="00BA39DB">
        <w:rPr>
          <w:rFonts w:cs="Arial"/>
          <w:szCs w:val="20"/>
        </w:rPr>
        <w:t>–</w:t>
      </w:r>
      <w:r w:rsidRPr="00BA39DB">
        <w:rPr>
          <w:rFonts w:cs="Arial"/>
          <w:szCs w:val="20"/>
        </w:rPr>
        <w:t>121.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Chiang, C. L. (1984). </w:t>
      </w:r>
      <w:r w:rsidRPr="00BA39DB">
        <w:rPr>
          <w:rFonts w:cs="Arial"/>
          <w:i/>
          <w:szCs w:val="20"/>
        </w:rPr>
        <w:t>The Life Table and Its Applications</w:t>
      </w:r>
      <w:r w:rsidRPr="00BA39DB">
        <w:rPr>
          <w:rFonts w:cs="Arial"/>
          <w:szCs w:val="20"/>
        </w:rPr>
        <w:t>. Robert E. Krieger Publishing Company, Malabar, FL, USA.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r w:rsidRPr="00BA39DB">
        <w:rPr>
          <w:rFonts w:eastAsiaTheme="minorEastAsia" w:cs="Arial"/>
          <w:szCs w:val="20"/>
        </w:rPr>
        <w:t xml:space="preserve">Preston, S. H., Heuveline, P., Guillot, M. (2001). </w:t>
      </w:r>
      <w:r w:rsidRPr="00BA39DB">
        <w:rPr>
          <w:rFonts w:eastAsiaTheme="minorEastAsia" w:cs="Arial"/>
          <w:i/>
          <w:szCs w:val="20"/>
        </w:rPr>
        <w:t>Demography: Measuring and modeling population processes</w:t>
      </w:r>
      <w:r w:rsidRPr="00BA39DB">
        <w:rPr>
          <w:rFonts w:eastAsiaTheme="minorEastAsia" w:cs="Arial"/>
          <w:szCs w:val="20"/>
        </w:rPr>
        <w:t>. Oxford: Blackwell Publishers.</w:t>
      </w:r>
    </w:p>
    <w:p w:rsidR="002964B2" w:rsidRPr="00BA39DB" w:rsidRDefault="002964B2" w:rsidP="00BA39DB">
      <w:pPr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Thatcher, A., Kannisto, V., a Vaupel, J. W. (1998). </w:t>
      </w:r>
      <w:r w:rsidRPr="00BA39DB">
        <w:rPr>
          <w:rFonts w:cs="Arial"/>
          <w:i/>
          <w:szCs w:val="20"/>
        </w:rPr>
        <w:t>The Force of Mortality at Ages 80 to 120.</w:t>
      </w:r>
      <w:r w:rsidRPr="00BA39DB">
        <w:rPr>
          <w:rFonts w:cs="Arial"/>
          <w:szCs w:val="20"/>
        </w:rPr>
        <w:t xml:space="preserve"> Odense, Denmark: Odense University Press.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CD" w:rsidRDefault="00D065CD" w:rsidP="00E71A58">
      <w:r>
        <w:separator/>
      </w:r>
    </w:p>
  </w:endnote>
  <w:endnote w:type="continuationSeparator" w:id="0">
    <w:p w:rsidR="00D065CD" w:rsidRDefault="00D065C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3753670F" wp14:editId="15A57B0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487CC8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487CC8">
      <w:rPr>
        <w:rStyle w:val="ZpatChar"/>
        <w:szCs w:val="16"/>
      </w:rPr>
      <w:t xml:space="preserve">2014–2018 / </w:t>
    </w:r>
    <w:r w:rsidR="00487CC8">
      <w:rPr>
        <w:rStyle w:val="ZpatChar"/>
        <w:i/>
        <w:szCs w:val="16"/>
      </w:rPr>
      <w:t>2014–2018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6192" behindDoc="0" locked="0" layoutInCell="1" allowOverlap="1" wp14:anchorId="0F53A93B" wp14:editId="178FF15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487CC8">
      <w:rPr>
        <w:rStyle w:val="ZpatChar"/>
        <w:szCs w:val="16"/>
      </w:rPr>
      <w:t xml:space="preserve">2014–2018 / </w:t>
    </w:r>
    <w:r w:rsidR="00487CC8">
      <w:rPr>
        <w:rStyle w:val="ZpatChar"/>
        <w:i/>
        <w:szCs w:val="16"/>
      </w:rPr>
      <w:t>2014–2018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87CC8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CD" w:rsidRDefault="00D065CD" w:rsidP="00E71A58">
      <w:r>
        <w:separator/>
      </w:r>
    </w:p>
  </w:footnote>
  <w:footnote w:type="continuationSeparator" w:id="0">
    <w:p w:rsidR="00D065CD" w:rsidRDefault="00D065C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 xml:space="preserve">Úmrtnostní tabulky za </w:t>
    </w:r>
    <w:r w:rsidR="00C821CB">
      <w:t>okresy a naděje dožití ve správních obvodech ORP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 xml:space="preserve">Life Tables for the </w:t>
    </w:r>
    <w:r w:rsidR="00C821CB">
      <w:rPr>
        <w:i/>
      </w:rPr>
      <w:t>Districts and Life Expectancies for the Administrative Districts of MEP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CB" w:rsidRPr="00937AE2" w:rsidRDefault="00C821CB" w:rsidP="00C821CB">
    <w:pPr>
      <w:pStyle w:val="Zhlav"/>
    </w:pPr>
    <w:r>
      <w:t>Úmrtnostní tabulky za okresy a naděje dožití ve správních obvodech ORP</w:t>
    </w:r>
  </w:p>
  <w:p w:rsidR="00284876" w:rsidRPr="00C821CB" w:rsidRDefault="00C821CB" w:rsidP="00C821CB">
    <w:pPr>
      <w:pStyle w:val="Zhlav"/>
      <w:rPr>
        <w:i/>
      </w:rPr>
    </w:pPr>
    <w:r>
      <w:rPr>
        <w:i/>
      </w:rPr>
      <w:t>Life Tables for the Districts and Life Expectancies for the Administrative Districts of MEP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118D"/>
    <w:rsid w:val="0032656E"/>
    <w:rsid w:val="003320B0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E2E"/>
    <w:rsid w:val="00476240"/>
    <w:rsid w:val="00476439"/>
    <w:rsid w:val="00477325"/>
    <w:rsid w:val="0047735C"/>
    <w:rsid w:val="004776BC"/>
    <w:rsid w:val="0048139F"/>
    <w:rsid w:val="00481E40"/>
    <w:rsid w:val="00484ECE"/>
    <w:rsid w:val="00487CC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7C4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99B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263D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84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AF4280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21CB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065C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5A64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A3CA7C1A-AB79-4951-9321-2B40E06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1168-49B0-4886-9F06-67F81524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27</TotalTime>
  <Pages>4</Pages>
  <Words>1311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Bc. David Morávek</cp:lastModifiedBy>
  <cp:revision>9</cp:revision>
  <cp:lastPrinted>2018-05-11T09:05:00Z</cp:lastPrinted>
  <dcterms:created xsi:type="dcterms:W3CDTF">2018-07-09T11:22:00Z</dcterms:created>
  <dcterms:modified xsi:type="dcterms:W3CDTF">2019-07-03T09:09:00Z</dcterms:modified>
</cp:coreProperties>
</file>