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charts/chart59.xml" ContentType="application/vnd.openxmlformats-officedocument.drawingml.chart+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emf" ContentType="image/x-emf"/>
  <Override PartName="/word/charts/chart49.xml" ContentType="application/vnd.openxmlformats-officedocument.drawingml.chart+xml"/>
  <Override PartName="/word/drawings/drawing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drawings/drawing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E40" w:rsidRPr="00360DE3" w:rsidRDefault="00783C17" w:rsidP="00E67696">
      <w:pPr>
        <w:rPr>
          <w:lang w:eastAsia="ar-SA"/>
        </w:rPr>
        <w:sectPr w:rsidR="00A75E40" w:rsidRPr="00360DE3" w:rsidSect="0085114D">
          <w:pgSz w:w="11906" w:h="16838" w:code="9"/>
          <w:pgMar w:top="1134" w:right="1134" w:bottom="1418" w:left="1134" w:header="709" w:footer="709" w:gutter="0"/>
          <w:pgNumType w:start="1"/>
          <w:cols w:space="708"/>
          <w:docGrid w:linePitch="360"/>
        </w:sectPr>
      </w:pPr>
      <w:bookmarkStart w:id="0" w:name="_GoBack"/>
      <w:r>
        <w:rPr>
          <w:noProof/>
        </w:rPr>
        <w:pict>
          <v:group id="Group 24" o:spid="_x0000_s1026" style="position:absolute;left:0;text-align:left;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IhfS0AAIA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">
            <o:lock v:ext="edit" aspectratio="t"/>
            <v:rect id="Rectangle 9" o:spid="_x0000_s1027" style="position:absolute;left:1215;top:901;width:676;height: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" fillcolor="#0071bc" stroked="f">
              <o:lock v:ext="edit" aspectratio="t"/>
            </v:rect>
            <v:rect id="Rectangle 10" o:spid="_x0000_s1028" style="position:absolute;left:567;top:1131;width:1324;height: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" fillcolor="#0071bc" stroked="f">
              <o:lock v:ext="edit" aspectratio="t"/>
            </v:rect>
            <v:rect id="Rectangle 11" o:spid="_x0000_s1029" style="position:absolute;left:1288;top:1361;width:603;height: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w:r>
      <w:r>
        <w:rPr>
          <w:noProof/>
        </w:rPr>
        <w:pict>
          <v:shapetype id="_x0000_t202" coordsize="21600,21600" o:spt="202" path="m,l,21600r21600,l21600,xe">
            <v:stroke joinstyle="miter"/>
            <v:path gradientshapeok="t" o:connecttype="rect"/>
          </v:shapetype>
          <v:shape id="Textové pole 2" o:spid="_x0000_s1040" type="#_x0000_t202" style="position:absolute;left:0;text-align:left;margin-left:134.3pt;margin-top:643.55pt;width:403.95pt;height:72.85pt;z-index:25165670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Br&#10;7JmgSAIAADsEAAAOAAAAAAAAAAAAAAAAAC4CAABkcnMvZTJvRG9jLnhtbFBLAQItABQABgAIAAAA&#10;IQBU965p4gAAAA4BAAAPAAAAAAAAAAAAAAAAAKIEAABkcnMvZG93bnJldi54bWxQSwUGAAAAAAQA&#10;BADzAAAAsQUAAAAA&#10;" filled="f" stroked="f">
            <v:textbox inset="0,0,0,0">
              <w:txbxContent>
                <w:p w:rsidR="00C805DC" w:rsidRDefault="00C805DC" w:rsidP="004924DC">
                  <w:r>
                    <w:t>Zpracoval: o</w:t>
                  </w:r>
                  <w:r w:rsidRPr="006C5577">
                    <w:t>dbor</w:t>
                  </w:r>
                  <w:r>
                    <w:t xml:space="preserve"> Kancelář předsedy, oddělení svodných analýz</w:t>
                  </w:r>
                  <w:r w:rsidRPr="006C5577">
                    <w:t xml:space="preserve"> </w:t>
                  </w:r>
                </w:p>
                <w:p w:rsidR="00C805DC" w:rsidRPr="006C5577" w:rsidRDefault="00C805DC" w:rsidP="004924DC">
                  <w:r w:rsidRPr="006C5577">
                    <w:t xml:space="preserve">Ředitel odboru: </w:t>
                  </w:r>
                  <w:proofErr w:type="spellStart"/>
                  <w:r>
                    <w:t>Egor</w:t>
                  </w:r>
                  <w:proofErr w:type="spellEnd"/>
                  <w:r>
                    <w:t xml:space="preserve"> </w:t>
                  </w:r>
                  <w:proofErr w:type="spellStart"/>
                  <w:r>
                    <w:t>Sidorov</w:t>
                  </w:r>
                  <w:proofErr w:type="spellEnd"/>
                  <w:r>
                    <w:t>, </w:t>
                  </w:r>
                  <w:proofErr w:type="spellStart"/>
                  <w:r>
                    <w:t>Ph.D</w:t>
                  </w:r>
                  <w:proofErr w:type="spellEnd"/>
                  <w:r>
                    <w:t>.</w:t>
                  </w:r>
                </w:p>
                <w:p w:rsidR="00C805DC" w:rsidRPr="006C5577" w:rsidRDefault="00C805DC" w:rsidP="004924DC">
                  <w:r w:rsidRPr="006C5577">
                    <w:t xml:space="preserve">Kontaktní osoba: </w:t>
                  </w:r>
                  <w:r>
                    <w:t xml:space="preserve">Karolína </w:t>
                  </w:r>
                  <w:proofErr w:type="spellStart"/>
                  <w:r>
                    <w:t>Súkupová</w:t>
                  </w:r>
                  <w:proofErr w:type="spellEnd"/>
                  <w:r w:rsidRPr="006C5577">
                    <w:t>,</w:t>
                  </w:r>
                  <w:r>
                    <w:t xml:space="preserve"> e-mail: karolina.sukupova@czso.cz</w:t>
                  </w:r>
                </w:p>
              </w:txbxContent>
            </v:textbox>
            <w10:wrap anchorx="page" anchory="page"/>
            <w10:anchorlock/>
          </v:shape>
        </w:pict>
      </w:r>
      <w:r>
        <w:rPr>
          <w:noProof/>
        </w:rPr>
        <w:pict>
          <v:shape id="_x0000_s1039" type="#_x0000_t202" style="position:absolute;left:0;text-align:left;margin-left:134.65pt;margin-top:368.55pt;width:403.9pt;height:132.8pt;z-index:25165568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" filled="f" stroked="f">
            <v:textbox style="mso-fit-shape-to-text:t" inset="0,0,0,0">
              <w:txbxContent>
                <w:p w:rsidR="00C805DC" w:rsidRPr="004924DC" w:rsidRDefault="00C805DC" w:rsidP="004924DC">
                  <w:pPr>
                    <w:pStyle w:val="TLIdentifikace-sted"/>
                  </w:pPr>
                  <w:r>
                    <w:t>Souhrnná data o České republice</w:t>
                  </w:r>
                </w:p>
                <w:p w:rsidR="00C805DC" w:rsidRPr="004924DC" w:rsidRDefault="00C805DC" w:rsidP="004924DC">
                  <w:pPr>
                    <w:pStyle w:val="TLIdentifikace-sted"/>
                  </w:pPr>
                  <w:r>
                    <w:t>Praha, 31. 10. 2018</w:t>
                  </w:r>
                </w:p>
                <w:p w:rsidR="00C805DC" w:rsidRPr="004924DC" w:rsidRDefault="00C805DC" w:rsidP="004924DC">
                  <w:pPr>
                    <w:pStyle w:val="TLIdentifikace-sted"/>
                  </w:pPr>
                  <w:r w:rsidRPr="004924DC">
                    <w:t xml:space="preserve">Kód publikace: </w:t>
                  </w:r>
                  <w:r w:rsidRPr="003C4BE8">
                    <w:rPr>
                      <w:rStyle w:val="content"/>
                      <w:rFonts w:eastAsia="MS Gothic" w:cs="Arial"/>
                    </w:rPr>
                    <w:t>320305-18</w:t>
                  </w:r>
                </w:p>
                <w:p w:rsidR="00C805DC" w:rsidRPr="004924DC" w:rsidRDefault="00C805DC" w:rsidP="004924DC">
                  <w:pPr>
                    <w:pStyle w:val="TLIdentifikace-sted"/>
                  </w:pPr>
                  <w:r>
                    <w:t xml:space="preserve">Č. </w:t>
                  </w:r>
                  <w:proofErr w:type="spellStart"/>
                  <w:r>
                    <w:t>j</w:t>
                  </w:r>
                  <w:proofErr w:type="spellEnd"/>
                  <w:r>
                    <w:t xml:space="preserve">.: </w:t>
                  </w:r>
                  <w:r w:rsidRPr="00833BF2">
                    <w:rPr>
                      <w:rFonts w:cs="Arial"/>
                      <w:bCs/>
                    </w:rPr>
                    <w:t>CSU-03093/2018-01</w:t>
                  </w:r>
                </w:p>
                <w:p w:rsidR="00C805DC" w:rsidRPr="004924DC" w:rsidRDefault="00C805DC" w:rsidP="004924DC">
                  <w:pPr>
                    <w:pStyle w:val="TLIdentifikace-sted"/>
                  </w:pPr>
                  <w:r w:rsidRPr="004924DC">
                    <w:t xml:space="preserve">Pořadové číslo v roce: </w:t>
                  </w:r>
                  <w:r>
                    <w:t>1</w:t>
                  </w:r>
                </w:p>
              </w:txbxContent>
            </v:textbox>
            <w10:wrap anchorx="page" anchory="page"/>
            <w10:anchorlock/>
          </v:shape>
        </w:pict>
      </w:r>
      <w:r>
        <w:rPr>
          <w:noProof/>
        </w:rPr>
        <w:pict>
          <v:shape id="_x0000_s1038" type="#_x0000_t202" style="position:absolute;left:0;text-align:left;margin-left:134.65pt;margin-top:116.25pt;width:403.9pt;height:96.6pt;z-index:2516546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" filled="f" stroked="f">
            <v:textbox style="mso-fit-shape-to-text:t" inset="0,0,0,0">
              <w:txbxContent>
                <w:p w:rsidR="00C805DC" w:rsidRPr="000E6FBD" w:rsidRDefault="00C805DC" w:rsidP="000E6FBD">
                  <w:pPr>
                    <w:pStyle w:val="Nzev"/>
                  </w:pPr>
                  <w:r>
                    <w:t>Analýza ekonomického vývoje v roce 2017</w:t>
                  </w:r>
                </w:p>
                <w:p w:rsidR="00C805DC" w:rsidRPr="0012192F" w:rsidRDefault="00C805DC" w:rsidP="0012192F">
                  <w:pPr>
                    <w:pStyle w:val="Podtitul"/>
                  </w:pPr>
                </w:p>
              </w:txbxContent>
            </v:textbox>
            <w10:wrap anchorx="page" anchory="page"/>
            <w10:anchorlock/>
          </v:shape>
        </w:pict>
      </w:r>
      <w:r>
        <w:rPr>
          <w:noProof/>
        </w:rPr>
        <w:pict>
          <v:shape id="_x0000_s1037" type="#_x0000_t202" style="position:absolute;left:0;text-align:left;margin-left:134.65pt;margin-top:759.8pt;width:403.95pt;height:14.15pt;z-index:25165875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" filled="f" stroked="f">
            <v:textbox inset="0,0,0,0">
              <w:txbxContent>
                <w:p w:rsidR="00C805DC" w:rsidRPr="004924DC" w:rsidRDefault="00C805DC" w:rsidP="004924DC">
                  <w:r w:rsidRPr="004924DC">
                    <w:t xml:space="preserve">© Český statistický úřad, </w:t>
                  </w:r>
                  <w:r>
                    <w:t>Praha</w:t>
                  </w:r>
                  <w:r w:rsidRPr="004924DC">
                    <w:t xml:space="preserve">, </w:t>
                  </w:r>
                  <w:r>
                    <w:t>2018</w:t>
                  </w:r>
                </w:p>
                <w:p w:rsidR="00C805DC" w:rsidRPr="005251DD" w:rsidRDefault="00C805DC" w:rsidP="00665BA4"/>
                <w:p w:rsidR="00C805DC" w:rsidRPr="005251DD" w:rsidRDefault="00C805DC" w:rsidP="00FC684B"/>
                <w:p w:rsidR="00C805DC" w:rsidRDefault="00C805DC"/>
                <w:p w:rsidR="00C805DC" w:rsidRPr="00097407" w:rsidRDefault="00C805DC" w:rsidP="00665BA4">
                  <w:r w:rsidRPr="00097407">
                    <w:t xml:space="preserve">© </w:t>
                  </w:r>
                  <w:r w:rsidRPr="005251DD">
                    <w:t>Český statistický úřad</w:t>
                  </w:r>
                  <w:r>
                    <w:t xml:space="preserve"> / </w:t>
                  </w:r>
                  <w:proofErr w:type="spellStart"/>
                  <w:r w:rsidRPr="009A1902">
                    <w:rPr>
                      <w:i/>
                    </w:rPr>
                    <w:t>Czech</w:t>
                  </w:r>
                  <w:proofErr w:type="spellEnd"/>
                  <w:r w:rsidRPr="009A1902">
                    <w:rPr>
                      <w:i/>
                    </w:rPr>
                    <w:t xml:space="preserve">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rsidR="00C805DC" w:rsidRPr="005251DD" w:rsidRDefault="00C805DC" w:rsidP="00665BA4"/>
                <w:p w:rsidR="00C805DC" w:rsidRPr="005251DD" w:rsidRDefault="00C805DC" w:rsidP="00FC684B"/>
              </w:txbxContent>
            </v:textbox>
            <w10:wrap anchorx="page" anchory="page"/>
            <w10:anchorlock/>
          </v:shape>
        </w:pict>
      </w:r>
      <w:r>
        <w:rPr>
          <w:noProof/>
        </w:rPr>
        <w:pict>
          <v:line id="Přímá spojnice 33" o:spid="_x0000_s1036" style="position:absolute;left:0;text-align:left;z-index:251653632;visibility:visible;mso-wrap-distance-top:-8e-5mm;mso-wrap-distance-bottom:-8e-5mm;mso-position-horizontal-relative:page;mso-position-vertical-relative:page;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BFD8k5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F63FB7" w:rsidRPr="00360DE3">
        <w:br w:type="page"/>
      </w:r>
      <w:bookmarkEnd w:id="0"/>
      <w:r w:rsidR="00D57677" w:rsidRPr="00360DE3">
        <w:lastRenderedPageBreak/>
        <w:br w:type="page"/>
      </w:r>
      <w:r>
        <w:rPr>
          <w:noProof/>
        </w:rPr>
        <w:pict>
          <v:shape id="_x0000_s1035" type="#_x0000_t202" style="position:absolute;left:0;text-align:left;margin-left:57pt;margin-top:113.4pt;width:481.85pt;height:604.2pt;z-index:2516597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" filled="f" stroked="f">
            <v:textbox style="mso-fit-shape-to-text:t" inset="0,0,0,0">
              <w:txbxContent>
                <w:p w:rsidR="00C805DC" w:rsidRPr="006F5416" w:rsidRDefault="00C805DC" w:rsidP="006F5416">
                  <w:pPr>
                    <w:pStyle w:val="TLKontaktyerven"/>
                  </w:pPr>
                  <w:r w:rsidRPr="006F5416">
                    <w:t>KONTAKTY V ÚSTŘEDÍ</w:t>
                  </w:r>
                </w:p>
                <w:p w:rsidR="00C805DC" w:rsidRPr="007D40DF" w:rsidRDefault="00C805DC" w:rsidP="00825C4D">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rsidR="00C805DC" w:rsidRPr="00D235B7" w:rsidRDefault="00C805DC" w:rsidP="00825C4D">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rsidR="00C805DC" w:rsidRPr="00D235B7" w:rsidRDefault="00C805DC" w:rsidP="00825C4D">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rsidR="00C805DC" w:rsidRPr="00D235B7" w:rsidRDefault="00C805DC" w:rsidP="00825C4D">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rsidR="00C805DC" w:rsidRPr="00D235B7" w:rsidRDefault="00C805DC" w:rsidP="00825C4D">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rsidR="00C805DC" w:rsidRPr="004A61C5" w:rsidRDefault="00C805DC" w:rsidP="00825C4D">
                  <w:pPr>
                    <w:pStyle w:val="TLKontakty"/>
                    <w:spacing w:after="80" w:line="240" w:lineRule="auto"/>
                    <w:contextualSpacing w:val="0"/>
                    <w:rPr>
                      <w:color w:val="auto"/>
                    </w:rPr>
                  </w:pPr>
                </w:p>
                <w:p w:rsidR="00C805DC" w:rsidRPr="00D66223" w:rsidRDefault="00C805DC" w:rsidP="00D66223">
                  <w:pPr>
                    <w:pStyle w:val="TLKontaktyerven"/>
                  </w:pPr>
                  <w:r w:rsidRPr="00D66223">
                    <w:t>INFORMAČNÍ SLUŽBY V REGIONECH</w:t>
                  </w:r>
                </w:p>
                <w:p w:rsidR="00C805DC" w:rsidRPr="00992CF3" w:rsidRDefault="00C805DC" w:rsidP="00825C4D">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rsidR="00C805DC" w:rsidRPr="00992CF3" w:rsidRDefault="00C805DC" w:rsidP="00825C4D">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rsidR="00C805DC" w:rsidRPr="004A61C5" w:rsidRDefault="00C805DC" w:rsidP="00825C4D">
                  <w:pPr>
                    <w:pStyle w:val="TLKontakty"/>
                    <w:spacing w:after="80" w:line="240" w:lineRule="auto"/>
                    <w:rPr>
                      <w:color w:val="auto"/>
                    </w:rPr>
                  </w:pPr>
                </w:p>
                <w:p w:rsidR="00C805DC" w:rsidRPr="00992CF3" w:rsidRDefault="00C805DC" w:rsidP="00825C4D">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rsidR="00C805DC" w:rsidRPr="00992CF3" w:rsidRDefault="00C805DC" w:rsidP="00825C4D">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rsidR="00C805DC" w:rsidRPr="004A61C5" w:rsidRDefault="00C805DC" w:rsidP="00825C4D">
                  <w:pPr>
                    <w:pStyle w:val="TLKontakty"/>
                    <w:spacing w:after="80" w:line="240" w:lineRule="auto"/>
                    <w:rPr>
                      <w:color w:val="auto"/>
                    </w:rPr>
                  </w:pPr>
                </w:p>
                <w:p w:rsidR="00C805DC" w:rsidRPr="00992CF3" w:rsidRDefault="00C805DC" w:rsidP="00825C4D">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rsidR="00C805DC" w:rsidRPr="00992CF3" w:rsidRDefault="00C805DC" w:rsidP="00825C4D">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rsidR="00C805DC" w:rsidRPr="004A61C5" w:rsidRDefault="00C805DC" w:rsidP="00825C4D">
                  <w:pPr>
                    <w:pStyle w:val="TLKontakty"/>
                    <w:spacing w:after="80" w:line="240" w:lineRule="auto"/>
                    <w:rPr>
                      <w:color w:val="auto"/>
                    </w:rPr>
                  </w:pPr>
                </w:p>
                <w:p w:rsidR="00C805DC" w:rsidRPr="00BC731E" w:rsidRDefault="00C805DC" w:rsidP="00825C4D">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rsidR="00C805DC" w:rsidRPr="004A61C5" w:rsidRDefault="00C805DC" w:rsidP="00825C4D">
                  <w:pPr>
                    <w:pStyle w:val="TLKontakty"/>
                    <w:spacing w:after="80" w:line="240" w:lineRule="auto"/>
                    <w:rPr>
                      <w:color w:val="auto"/>
                    </w:rPr>
                  </w:pPr>
                </w:p>
                <w:p w:rsidR="00C805DC" w:rsidRPr="004A61C5" w:rsidRDefault="00C805DC" w:rsidP="00825C4D">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rsidR="00C805DC" w:rsidRPr="004A61C5" w:rsidRDefault="00C805DC" w:rsidP="00825C4D">
                  <w:pPr>
                    <w:pStyle w:val="TLKontakty"/>
                    <w:spacing w:after="80" w:line="240" w:lineRule="auto"/>
                    <w:rPr>
                      <w:color w:val="auto"/>
                    </w:rPr>
                  </w:pPr>
                </w:p>
                <w:p w:rsidR="00C805DC" w:rsidRPr="004A61C5" w:rsidRDefault="00C805DC" w:rsidP="00825C4D">
                  <w:pPr>
                    <w:pStyle w:val="TLKontakty"/>
                    <w:spacing w:after="80" w:line="240" w:lineRule="auto"/>
                    <w:rPr>
                      <w:b w:val="0"/>
                      <w:color w:val="auto"/>
                    </w:rPr>
                  </w:pPr>
                  <w:r w:rsidRPr="00D66223">
                    <w:t>Ústí nad Labem</w:t>
                  </w:r>
                  <w:r w:rsidRPr="004A61C5">
                    <w:rPr>
                      <w:b w:val="0"/>
                      <w:color w:val="auto"/>
                    </w:rPr>
                    <w:t xml:space="preserve"> | </w:t>
                  </w:r>
                  <w:proofErr w:type="spellStart"/>
                  <w:r w:rsidRPr="004A61C5">
                    <w:rPr>
                      <w:b w:val="0"/>
                      <w:color w:val="auto"/>
                    </w:rPr>
                    <w:t>Špálova</w:t>
                  </w:r>
                  <w:proofErr w:type="spellEnd"/>
                  <w:r w:rsidRPr="004A61C5">
                    <w:rPr>
                      <w:b w:val="0"/>
                      <w:color w:val="auto"/>
                    </w:rPr>
                    <w:t xml:space="preserve">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rsidR="00C805DC" w:rsidRPr="004A61C5" w:rsidRDefault="00C805DC" w:rsidP="00825C4D">
                  <w:pPr>
                    <w:pStyle w:val="TLKontakty"/>
                    <w:spacing w:after="80" w:line="240" w:lineRule="auto"/>
                    <w:rPr>
                      <w:color w:val="auto"/>
                    </w:rPr>
                  </w:pPr>
                </w:p>
                <w:p w:rsidR="00C805DC" w:rsidRPr="004A61C5" w:rsidRDefault="00C805DC" w:rsidP="00825C4D">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rsidR="00C805DC" w:rsidRPr="004A61C5" w:rsidRDefault="00C805DC" w:rsidP="00825C4D">
                  <w:pPr>
                    <w:pStyle w:val="TLKontakty"/>
                    <w:spacing w:after="80" w:line="240" w:lineRule="auto"/>
                    <w:rPr>
                      <w:b w:val="0"/>
                      <w:color w:val="auto"/>
                    </w:rPr>
                  </w:pPr>
                </w:p>
                <w:p w:rsidR="00C805DC" w:rsidRPr="004A61C5" w:rsidRDefault="00C805DC" w:rsidP="00825C4D">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rsidR="00C805DC" w:rsidRPr="004A61C5" w:rsidRDefault="00C805DC" w:rsidP="00825C4D">
                  <w:pPr>
                    <w:pStyle w:val="TLKontakty"/>
                    <w:spacing w:after="80" w:line="240" w:lineRule="auto"/>
                    <w:rPr>
                      <w:color w:val="auto"/>
                    </w:rPr>
                  </w:pPr>
                </w:p>
                <w:p w:rsidR="00C805DC" w:rsidRPr="004A61C5" w:rsidRDefault="00C805DC" w:rsidP="00825C4D">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rsidR="00C805DC" w:rsidRPr="004A61C5" w:rsidRDefault="00C805DC" w:rsidP="00825C4D">
                  <w:pPr>
                    <w:pStyle w:val="TLKontakty"/>
                    <w:spacing w:after="80" w:line="240" w:lineRule="auto"/>
                    <w:rPr>
                      <w:b w:val="0"/>
                      <w:color w:val="auto"/>
                    </w:rPr>
                  </w:pPr>
                </w:p>
                <w:p w:rsidR="00C805DC" w:rsidRPr="004A61C5" w:rsidRDefault="00C805DC" w:rsidP="00825C4D">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rsidR="00C805DC" w:rsidRPr="004A61C5" w:rsidRDefault="00C805DC" w:rsidP="00825C4D">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rsidR="00C805DC" w:rsidRDefault="00C805DC" w:rsidP="00825C4D">
                  <w:pPr>
                    <w:pStyle w:val="TLKontakty"/>
                    <w:spacing w:after="80" w:line="240" w:lineRule="auto"/>
                  </w:pPr>
                </w:p>
                <w:p w:rsidR="00C805DC" w:rsidRPr="00BC731E" w:rsidRDefault="00C805DC" w:rsidP="00825C4D">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rsidR="00C805DC" w:rsidRPr="004A61C5" w:rsidRDefault="00C805DC" w:rsidP="00825C4D">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rsidR="00C805DC" w:rsidRPr="004A61C5" w:rsidRDefault="00C805DC" w:rsidP="00825C4D">
                  <w:pPr>
                    <w:pStyle w:val="TLKontakty"/>
                    <w:spacing w:after="80" w:line="240" w:lineRule="auto"/>
                    <w:rPr>
                      <w:b w:val="0"/>
                      <w:color w:val="auto"/>
                    </w:rPr>
                  </w:pPr>
                </w:p>
                <w:p w:rsidR="00C805DC" w:rsidRPr="005E7C78" w:rsidRDefault="00C805DC" w:rsidP="00825C4D">
                  <w:pPr>
                    <w:pStyle w:val="TLKontakty"/>
                    <w:spacing w:after="80" w:line="240" w:lineRule="auto"/>
                    <w:rPr>
                      <w:b w:val="0"/>
                      <w:color w:val="auto"/>
                    </w:rPr>
                  </w:pPr>
                  <w:r w:rsidRPr="00D66223">
                    <w:t>Olomouc</w:t>
                  </w:r>
                  <w:r w:rsidRPr="005E7C78">
                    <w:rPr>
                      <w:b w:val="0"/>
                      <w:color w:val="auto"/>
                    </w:rPr>
                    <w:t xml:space="preserve"> | </w:t>
                  </w:r>
                  <w:proofErr w:type="spellStart"/>
                  <w:r w:rsidRPr="005E7C78">
                    <w:rPr>
                      <w:b w:val="0"/>
                      <w:color w:val="auto"/>
                    </w:rPr>
                    <w:t>Jeremenkova</w:t>
                  </w:r>
                  <w:proofErr w:type="spellEnd"/>
                  <w:r w:rsidRPr="005E7C78">
                    <w:rPr>
                      <w:b w:val="0"/>
                      <w:color w:val="auto"/>
                    </w:rPr>
                    <w:t xml:space="preserve"> 1142/42, 772 11 Olomouc, </w:t>
                  </w:r>
                  <w:r>
                    <w:rPr>
                      <w:b w:val="0"/>
                      <w:color w:val="auto"/>
                    </w:rPr>
                    <w:t xml:space="preserve">tel.: </w:t>
                  </w:r>
                  <w:r w:rsidRPr="005E7C78">
                    <w:rPr>
                      <w:b w:val="0"/>
                      <w:color w:val="auto"/>
                    </w:rPr>
                    <w:t xml:space="preserve">585 731 </w:t>
                  </w:r>
                  <w:r w:rsidRPr="00BC731E">
                    <w:rPr>
                      <w:b w:val="0"/>
                      <w:color w:val="auto"/>
                    </w:rPr>
                    <w:t>516, 585 731 511</w:t>
                  </w:r>
                </w:p>
                <w:p w:rsidR="00C805DC" w:rsidRPr="005E7C78" w:rsidRDefault="00C805DC" w:rsidP="00825C4D">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rsidR="00C805DC" w:rsidRPr="005E7C78" w:rsidRDefault="00C805DC" w:rsidP="00825C4D">
                  <w:pPr>
                    <w:pStyle w:val="TLKontakty"/>
                    <w:spacing w:after="80" w:line="240" w:lineRule="auto"/>
                    <w:rPr>
                      <w:b w:val="0"/>
                      <w:color w:val="auto"/>
                    </w:rPr>
                  </w:pPr>
                </w:p>
                <w:p w:rsidR="00C805DC" w:rsidRPr="005E7C78" w:rsidRDefault="00C805DC" w:rsidP="00825C4D">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rsidR="00C805DC" w:rsidRDefault="00C805DC" w:rsidP="00825C4D">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rsidR="00C805DC" w:rsidRPr="005E7C78" w:rsidRDefault="00C805DC" w:rsidP="00095135">
                  <w:pPr>
                    <w:pStyle w:val="TLKontakty"/>
                    <w:spacing w:after="80" w:line="240" w:lineRule="auto"/>
                    <w:rPr>
                      <w:b w:val="0"/>
                      <w:color w:val="auto"/>
                    </w:rPr>
                  </w:pPr>
                </w:p>
                <w:p w:rsidR="00C805DC" w:rsidRPr="005E7C78" w:rsidRDefault="00C805DC" w:rsidP="00095135">
                  <w:pPr>
                    <w:pStyle w:val="TLKontakty"/>
                    <w:spacing w:after="80" w:line="240" w:lineRule="auto"/>
                    <w:rPr>
                      <w:b w:val="0"/>
                      <w:color w:val="auto"/>
                    </w:rPr>
                  </w:pPr>
                  <w:r w:rsidRPr="00D66223">
                    <w:t>Ostrava</w:t>
                  </w:r>
                  <w:r w:rsidRPr="005E7C78">
                    <w:rPr>
                      <w:b w:val="0"/>
                      <w:color w:val="auto"/>
                    </w:rPr>
                    <w:t xml:space="preserve"> | </w:t>
                  </w:r>
                  <w:proofErr w:type="spellStart"/>
                  <w:r w:rsidRPr="005E7C78">
                    <w:rPr>
                      <w:b w:val="0"/>
                      <w:color w:val="auto"/>
                    </w:rPr>
                    <w:t>Repinova</w:t>
                  </w:r>
                  <w:proofErr w:type="spellEnd"/>
                  <w:r w:rsidRPr="005E7C78">
                    <w:rPr>
                      <w:b w:val="0"/>
                      <w:color w:val="auto"/>
                    </w:rPr>
                    <w:t xml:space="preserve"> 17, 702 03 Ostrava,</w:t>
                  </w:r>
                  <w:r>
                    <w:rPr>
                      <w:b w:val="0"/>
                      <w:color w:val="auto"/>
                    </w:rPr>
                    <w:t xml:space="preserve"> tel: </w:t>
                  </w:r>
                  <w:r w:rsidRPr="005E7C78">
                    <w:rPr>
                      <w:b w:val="0"/>
                      <w:color w:val="auto"/>
                    </w:rPr>
                    <w:t>595 131 230, 595 131 232</w:t>
                  </w:r>
                </w:p>
                <w:p w:rsidR="00C805DC" w:rsidRPr="00095135" w:rsidRDefault="00C805DC"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w:r>
      <w:r>
        <w:rPr>
          <w:noProof/>
        </w:rPr>
        <w:pict>
          <v:shape id="_x0000_s1034" type="#_x0000_t202" style="position:absolute;left:0;text-align:left;margin-left:56.7pt;margin-top:747pt;width:481.9pt;height:28.35pt;z-index:2516618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" filled="f" stroked="f">
            <v:textbox inset="0,0,0,0">
              <w:txbxContent>
                <w:p w:rsidR="00C805DC" w:rsidRPr="00321924" w:rsidRDefault="00C805DC" w:rsidP="00A16E1D">
                  <w:pPr>
                    <w:jc w:val="left"/>
                  </w:pPr>
                  <w:r w:rsidRPr="002B38B8">
                    <w:rPr>
                      <w:rFonts w:cs="Arial"/>
                      <w:szCs w:val="20"/>
                    </w:rPr>
                    <w:t xml:space="preserve">ISBN </w:t>
                  </w:r>
                  <w:r w:rsidR="002B38B8" w:rsidRPr="002B38B8">
                    <w:rPr>
                      <w:rFonts w:cs="Arial"/>
                      <w:szCs w:val="20"/>
                    </w:rPr>
                    <w:t>978-80-250-2874-2</w:t>
                  </w:r>
                  <w:r w:rsidRPr="002B38B8">
                    <w:rPr>
                      <w:rFonts w:cs="Arial"/>
                      <w:szCs w:val="20"/>
                    </w:rPr>
                    <w:br/>
                  </w:r>
                  <w:r w:rsidRPr="00321924">
                    <w:t xml:space="preserve">© Český statistický úřad, </w:t>
                  </w:r>
                  <w:r>
                    <w:t>Praha, 2018</w:t>
                  </w:r>
                </w:p>
                <w:p w:rsidR="00C805DC" w:rsidRDefault="00C805DC"/>
                <w:p w:rsidR="00C805DC" w:rsidRPr="00841D9F" w:rsidRDefault="00C805DC" w:rsidP="000A3A2C">
                  <w:r w:rsidRPr="00841D9F">
                    <w:rPr>
                      <w:szCs w:val="26"/>
                    </w:rPr>
                    <w:t xml:space="preserve">ISBN XX-XXXX-XXX-X  </w:t>
                  </w:r>
                  <w:r w:rsidRPr="00841D9F">
                    <w:t>(pouze u nepravidelných a ročních publikací)</w:t>
                  </w:r>
                </w:p>
                <w:p w:rsidR="00C805DC" w:rsidRPr="00AF2852" w:rsidRDefault="00C805DC" w:rsidP="000A3A2C">
                  <w:r w:rsidRPr="00841D9F">
                    <w:t>© Český sta</w:t>
                  </w:r>
                  <w:r>
                    <w:t xml:space="preserve">tistický úřad / </w:t>
                  </w:r>
                  <w:proofErr w:type="spellStart"/>
                  <w:r w:rsidRPr="009A1902">
                    <w:rPr>
                      <w:i/>
                    </w:rPr>
                    <w:t>Czech</w:t>
                  </w:r>
                  <w:proofErr w:type="spellEnd"/>
                  <w:r w:rsidRPr="009A1902">
                    <w:rPr>
                      <w:i/>
                    </w:rPr>
                    <w:t xml:space="preserve">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w:r>
      <w:r>
        <w:rPr>
          <w:noProof/>
        </w:rPr>
        <w:pict>
          <v:shape id="_x0000_s1033" type="#_x0000_t202" style="position:absolute;left:0;text-align:left;margin-left:56.95pt;margin-top:56.95pt;width:481.85pt;height:43.75pt;z-index:251660800;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" filled="f" stroked="f">
            <v:textbox style="mso-fit-shape-to-text:t" inset="0,0,0,0">
              <w:txbxContent>
                <w:p w:rsidR="00C805DC" w:rsidRPr="009A1902" w:rsidRDefault="00C805DC"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w:r>
    </w:p>
    <w:sdt>
      <w:sdtPr>
        <w:rPr>
          <w:b w:val="0"/>
          <w:color w:val="auto"/>
          <w:sz w:val="20"/>
        </w:rPr>
        <w:id w:val="5357999"/>
        <w:docPartObj>
          <w:docPartGallery w:val="Table of Contents"/>
          <w:docPartUnique/>
        </w:docPartObj>
      </w:sdtPr>
      <w:sdtContent>
        <w:p w:rsidR="00F46502" w:rsidRPr="00360DE3" w:rsidRDefault="00F46502" w:rsidP="00F46502">
          <w:pPr>
            <w:pStyle w:val="Obsah"/>
          </w:pPr>
          <w:r w:rsidRPr="00360DE3">
            <w:t>Obsah</w:t>
          </w:r>
        </w:p>
        <w:p w:rsidR="00EA0840" w:rsidRDefault="00EA0840" w:rsidP="00EA0840">
          <w:pPr>
            <w:pStyle w:val="Obsah1"/>
          </w:pPr>
        </w:p>
        <w:p w:rsidR="00F162B3" w:rsidRDefault="00783C17" w:rsidP="00EA0840">
          <w:pPr>
            <w:pStyle w:val="Obsah1"/>
          </w:pPr>
          <w:r w:rsidRPr="00360DE3">
            <w:fldChar w:fldCharType="begin"/>
          </w:r>
          <w:r w:rsidR="00F46502" w:rsidRPr="00360DE3">
            <w:instrText xml:space="preserve"> TOC \o "1-3" \h \z \u </w:instrText>
          </w:r>
          <w:r w:rsidRPr="00360DE3">
            <w:fldChar w:fldCharType="separate"/>
          </w:r>
          <w:hyperlink w:anchor="_Toc527639457" w:history="1">
            <w:r w:rsidR="00F162B3" w:rsidRPr="00DF3114">
              <w:rPr>
                <w:rStyle w:val="Hypertextovodkaz"/>
              </w:rPr>
              <w:t>Shrnutí</w:t>
            </w:r>
            <w:r w:rsidR="00F162B3">
              <w:rPr>
                <w:webHidden/>
              </w:rPr>
              <w:tab/>
            </w:r>
            <w:r>
              <w:rPr>
                <w:webHidden/>
              </w:rPr>
              <w:fldChar w:fldCharType="begin"/>
            </w:r>
            <w:r w:rsidR="00F162B3">
              <w:rPr>
                <w:webHidden/>
              </w:rPr>
              <w:instrText xml:space="preserve"> PAGEREF _Toc527639457 \h </w:instrText>
            </w:r>
            <w:r>
              <w:rPr>
                <w:webHidden/>
              </w:rPr>
            </w:r>
            <w:r>
              <w:rPr>
                <w:webHidden/>
              </w:rPr>
              <w:fldChar w:fldCharType="separate"/>
            </w:r>
            <w:r w:rsidR="000B525B">
              <w:rPr>
                <w:webHidden/>
              </w:rPr>
              <w:t>4</w:t>
            </w:r>
            <w:r>
              <w:rPr>
                <w:webHidden/>
              </w:rPr>
              <w:fldChar w:fldCharType="end"/>
            </w:r>
          </w:hyperlink>
        </w:p>
        <w:p w:rsidR="00EA0840" w:rsidRPr="00EA0840" w:rsidRDefault="00EA0840" w:rsidP="00EA0840">
          <w:pPr>
            <w:pStyle w:val="Obsahpoloky"/>
            <w:rPr>
              <w:rFonts w:eastAsiaTheme="minorEastAsia"/>
              <w:noProof/>
            </w:rPr>
          </w:pPr>
        </w:p>
        <w:p w:rsidR="00F162B3" w:rsidRPr="00EA0840" w:rsidRDefault="00783C17" w:rsidP="00EA0840">
          <w:pPr>
            <w:pStyle w:val="Obsah1"/>
            <w:rPr>
              <w:rFonts w:asciiTheme="minorHAnsi" w:eastAsiaTheme="minorEastAsia" w:hAnsiTheme="minorHAnsi" w:cstheme="minorBidi"/>
              <w:sz w:val="22"/>
              <w:szCs w:val="22"/>
            </w:rPr>
          </w:pPr>
          <w:hyperlink w:anchor="_Toc527639458" w:history="1">
            <w:r w:rsidR="00F162B3" w:rsidRPr="00EA0840">
              <w:rPr>
                <w:rStyle w:val="Hypertextovodkaz"/>
                <w:b/>
              </w:rPr>
              <w:t>Základní makroekonomické okruhy</w:t>
            </w:r>
            <w:r w:rsidR="00F162B3" w:rsidRPr="00EA0840">
              <w:rPr>
                <w:webHidden/>
              </w:rPr>
              <w:tab/>
            </w:r>
            <w:r w:rsidRPr="00EA0840">
              <w:rPr>
                <w:webHidden/>
              </w:rPr>
              <w:fldChar w:fldCharType="begin"/>
            </w:r>
            <w:r w:rsidR="00F162B3" w:rsidRPr="00EA0840">
              <w:rPr>
                <w:webHidden/>
              </w:rPr>
              <w:instrText xml:space="preserve"> PAGEREF _Toc527639458 \h </w:instrText>
            </w:r>
            <w:r w:rsidRPr="00EA0840">
              <w:rPr>
                <w:webHidden/>
              </w:rPr>
            </w:r>
            <w:r w:rsidRPr="00EA0840">
              <w:rPr>
                <w:webHidden/>
              </w:rPr>
              <w:fldChar w:fldCharType="separate"/>
            </w:r>
            <w:r w:rsidR="000B525B">
              <w:rPr>
                <w:webHidden/>
              </w:rPr>
              <w:t>6</w:t>
            </w:r>
            <w:r w:rsidRPr="00EA0840">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59" w:history="1">
            <w:r w:rsidR="00F162B3" w:rsidRPr="00DF3114">
              <w:rPr>
                <w:rStyle w:val="Hypertextovodkaz"/>
              </w:rPr>
              <w:t>1. Hrubý domácí produkt</w:t>
            </w:r>
            <w:r w:rsidR="00F162B3">
              <w:rPr>
                <w:webHidden/>
              </w:rPr>
              <w:tab/>
            </w:r>
            <w:r>
              <w:rPr>
                <w:webHidden/>
              </w:rPr>
              <w:fldChar w:fldCharType="begin"/>
            </w:r>
            <w:r w:rsidR="00F162B3">
              <w:rPr>
                <w:webHidden/>
              </w:rPr>
              <w:instrText xml:space="preserve"> PAGEREF _Toc527639459 \h </w:instrText>
            </w:r>
            <w:r>
              <w:rPr>
                <w:webHidden/>
              </w:rPr>
            </w:r>
            <w:r>
              <w:rPr>
                <w:webHidden/>
              </w:rPr>
              <w:fldChar w:fldCharType="separate"/>
            </w:r>
            <w:r w:rsidR="000B525B">
              <w:rPr>
                <w:webHidden/>
              </w:rPr>
              <w:t>6</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60" w:history="1">
            <w:r w:rsidR="00F162B3" w:rsidRPr="00DF3114">
              <w:rPr>
                <w:rStyle w:val="Hypertextovodkaz"/>
              </w:rPr>
              <w:t>2. Ceny</w:t>
            </w:r>
            <w:r w:rsidR="00F162B3">
              <w:rPr>
                <w:webHidden/>
              </w:rPr>
              <w:tab/>
            </w:r>
            <w:r>
              <w:rPr>
                <w:webHidden/>
              </w:rPr>
              <w:fldChar w:fldCharType="begin"/>
            </w:r>
            <w:r w:rsidR="00F162B3">
              <w:rPr>
                <w:webHidden/>
              </w:rPr>
              <w:instrText xml:space="preserve"> PAGEREF _Toc527639460 \h </w:instrText>
            </w:r>
            <w:r>
              <w:rPr>
                <w:webHidden/>
              </w:rPr>
            </w:r>
            <w:r>
              <w:rPr>
                <w:webHidden/>
              </w:rPr>
              <w:fldChar w:fldCharType="separate"/>
            </w:r>
            <w:r w:rsidR="000B525B">
              <w:rPr>
                <w:webHidden/>
              </w:rPr>
              <w:t>9</w:t>
            </w:r>
            <w:r>
              <w:rPr>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1" w:history="1">
            <w:r w:rsidR="00F162B3" w:rsidRPr="00DF3114">
              <w:rPr>
                <w:rStyle w:val="Hypertextovodkaz"/>
                <w:noProof/>
              </w:rPr>
              <w:t>2.1 Deflátor HDP</w:t>
            </w:r>
            <w:r w:rsidR="00F162B3">
              <w:rPr>
                <w:noProof/>
                <w:webHidden/>
              </w:rPr>
              <w:tab/>
            </w:r>
            <w:r>
              <w:rPr>
                <w:noProof/>
                <w:webHidden/>
              </w:rPr>
              <w:fldChar w:fldCharType="begin"/>
            </w:r>
            <w:r w:rsidR="00F162B3">
              <w:rPr>
                <w:noProof/>
                <w:webHidden/>
              </w:rPr>
              <w:instrText xml:space="preserve"> PAGEREF _Toc527639461 \h </w:instrText>
            </w:r>
            <w:r>
              <w:rPr>
                <w:noProof/>
                <w:webHidden/>
              </w:rPr>
            </w:r>
            <w:r>
              <w:rPr>
                <w:noProof/>
                <w:webHidden/>
              </w:rPr>
              <w:fldChar w:fldCharType="separate"/>
            </w:r>
            <w:r w:rsidR="000B525B">
              <w:rPr>
                <w:noProof/>
                <w:webHidden/>
              </w:rPr>
              <w:t>9</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2" w:history="1">
            <w:r w:rsidR="00F162B3" w:rsidRPr="00DF3114">
              <w:rPr>
                <w:rStyle w:val="Hypertextovodkaz"/>
                <w:noProof/>
              </w:rPr>
              <w:t>2.2 Spotřebitelské ceny</w:t>
            </w:r>
            <w:r w:rsidR="00F162B3">
              <w:rPr>
                <w:noProof/>
                <w:webHidden/>
              </w:rPr>
              <w:tab/>
            </w:r>
            <w:r>
              <w:rPr>
                <w:noProof/>
                <w:webHidden/>
              </w:rPr>
              <w:fldChar w:fldCharType="begin"/>
            </w:r>
            <w:r w:rsidR="00F162B3">
              <w:rPr>
                <w:noProof/>
                <w:webHidden/>
              </w:rPr>
              <w:instrText xml:space="preserve"> PAGEREF _Toc527639462 \h </w:instrText>
            </w:r>
            <w:r>
              <w:rPr>
                <w:noProof/>
                <w:webHidden/>
              </w:rPr>
            </w:r>
            <w:r>
              <w:rPr>
                <w:noProof/>
                <w:webHidden/>
              </w:rPr>
              <w:fldChar w:fldCharType="separate"/>
            </w:r>
            <w:r w:rsidR="000B525B">
              <w:rPr>
                <w:noProof/>
                <w:webHidden/>
              </w:rPr>
              <w:t>9</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3" w:history="1">
            <w:r w:rsidR="00F162B3" w:rsidRPr="00DF3114">
              <w:rPr>
                <w:rStyle w:val="Hypertextovodkaz"/>
                <w:noProof/>
              </w:rPr>
              <w:t>2.3 Ceny výrobců</w:t>
            </w:r>
            <w:r w:rsidR="00F162B3">
              <w:rPr>
                <w:noProof/>
                <w:webHidden/>
              </w:rPr>
              <w:tab/>
            </w:r>
            <w:r>
              <w:rPr>
                <w:noProof/>
                <w:webHidden/>
              </w:rPr>
              <w:fldChar w:fldCharType="begin"/>
            </w:r>
            <w:r w:rsidR="00F162B3">
              <w:rPr>
                <w:noProof/>
                <w:webHidden/>
              </w:rPr>
              <w:instrText xml:space="preserve"> PAGEREF _Toc527639463 \h </w:instrText>
            </w:r>
            <w:r>
              <w:rPr>
                <w:noProof/>
                <w:webHidden/>
              </w:rPr>
            </w:r>
            <w:r>
              <w:rPr>
                <w:noProof/>
                <w:webHidden/>
              </w:rPr>
              <w:fldChar w:fldCharType="separate"/>
            </w:r>
            <w:r w:rsidR="000B525B">
              <w:rPr>
                <w:noProof/>
                <w:webHidden/>
              </w:rPr>
              <w:t>12</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4" w:history="1">
            <w:r w:rsidR="00F162B3" w:rsidRPr="00DF3114">
              <w:rPr>
                <w:rStyle w:val="Hypertextovodkaz"/>
                <w:noProof/>
              </w:rPr>
              <w:t>2.4 Ceny v zahraničním obchodě se zbožím</w:t>
            </w:r>
            <w:r w:rsidR="00F162B3">
              <w:rPr>
                <w:noProof/>
                <w:webHidden/>
              </w:rPr>
              <w:tab/>
            </w:r>
            <w:r>
              <w:rPr>
                <w:noProof/>
                <w:webHidden/>
              </w:rPr>
              <w:fldChar w:fldCharType="begin"/>
            </w:r>
            <w:r w:rsidR="00F162B3">
              <w:rPr>
                <w:noProof/>
                <w:webHidden/>
              </w:rPr>
              <w:instrText xml:space="preserve"> PAGEREF _Toc527639464 \h </w:instrText>
            </w:r>
            <w:r>
              <w:rPr>
                <w:noProof/>
                <w:webHidden/>
              </w:rPr>
            </w:r>
            <w:r>
              <w:rPr>
                <w:noProof/>
                <w:webHidden/>
              </w:rPr>
              <w:fldChar w:fldCharType="separate"/>
            </w:r>
            <w:r w:rsidR="000B525B">
              <w:rPr>
                <w:noProof/>
                <w:webHidden/>
              </w:rPr>
              <w:t>14</w:t>
            </w:r>
            <w:r>
              <w:rPr>
                <w:noProof/>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65" w:history="1">
            <w:r w:rsidR="00F162B3" w:rsidRPr="00DF3114">
              <w:rPr>
                <w:rStyle w:val="Hypertextovodkaz"/>
              </w:rPr>
              <w:t>3. Vnější ekonomické vztahy</w:t>
            </w:r>
            <w:r w:rsidR="00F162B3">
              <w:rPr>
                <w:webHidden/>
              </w:rPr>
              <w:tab/>
            </w:r>
            <w:r>
              <w:rPr>
                <w:webHidden/>
              </w:rPr>
              <w:fldChar w:fldCharType="begin"/>
            </w:r>
            <w:r w:rsidR="00F162B3">
              <w:rPr>
                <w:webHidden/>
              </w:rPr>
              <w:instrText xml:space="preserve"> PAGEREF _Toc527639465 \h </w:instrText>
            </w:r>
            <w:r>
              <w:rPr>
                <w:webHidden/>
              </w:rPr>
            </w:r>
            <w:r>
              <w:rPr>
                <w:webHidden/>
              </w:rPr>
              <w:fldChar w:fldCharType="separate"/>
            </w:r>
            <w:r w:rsidR="000B525B">
              <w:rPr>
                <w:webHidden/>
              </w:rPr>
              <w:t>15</w:t>
            </w:r>
            <w:r>
              <w:rPr>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6" w:history="1">
            <w:r w:rsidR="00F162B3" w:rsidRPr="00DF3114">
              <w:rPr>
                <w:rStyle w:val="Hypertextovodkaz"/>
                <w:noProof/>
              </w:rPr>
              <w:t>3.1 Finanční vztahy s nerezidenty</w:t>
            </w:r>
            <w:r w:rsidR="00F162B3">
              <w:rPr>
                <w:noProof/>
                <w:webHidden/>
              </w:rPr>
              <w:tab/>
            </w:r>
            <w:r>
              <w:rPr>
                <w:noProof/>
                <w:webHidden/>
              </w:rPr>
              <w:fldChar w:fldCharType="begin"/>
            </w:r>
            <w:r w:rsidR="00F162B3">
              <w:rPr>
                <w:noProof/>
                <w:webHidden/>
              </w:rPr>
              <w:instrText xml:space="preserve"> PAGEREF _Toc527639466 \h </w:instrText>
            </w:r>
            <w:r>
              <w:rPr>
                <w:noProof/>
                <w:webHidden/>
              </w:rPr>
            </w:r>
            <w:r>
              <w:rPr>
                <w:noProof/>
                <w:webHidden/>
              </w:rPr>
              <w:fldChar w:fldCharType="separate"/>
            </w:r>
            <w:r w:rsidR="000B525B">
              <w:rPr>
                <w:noProof/>
                <w:webHidden/>
              </w:rPr>
              <w:t>15</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7" w:history="1">
            <w:r w:rsidR="00F162B3" w:rsidRPr="00DF3114">
              <w:rPr>
                <w:rStyle w:val="Hypertextovodkaz"/>
                <w:noProof/>
              </w:rPr>
              <w:t>3.2 Zahraniční obchod a jeho struktura</w:t>
            </w:r>
            <w:r w:rsidR="00F162B3">
              <w:rPr>
                <w:noProof/>
                <w:webHidden/>
              </w:rPr>
              <w:tab/>
            </w:r>
            <w:r>
              <w:rPr>
                <w:noProof/>
                <w:webHidden/>
              </w:rPr>
              <w:fldChar w:fldCharType="begin"/>
            </w:r>
            <w:r w:rsidR="00F162B3">
              <w:rPr>
                <w:noProof/>
                <w:webHidden/>
              </w:rPr>
              <w:instrText xml:space="preserve"> PAGEREF _Toc527639467 \h </w:instrText>
            </w:r>
            <w:r>
              <w:rPr>
                <w:noProof/>
                <w:webHidden/>
              </w:rPr>
            </w:r>
            <w:r>
              <w:rPr>
                <w:noProof/>
                <w:webHidden/>
              </w:rPr>
              <w:fldChar w:fldCharType="separate"/>
            </w:r>
            <w:r w:rsidR="000B525B">
              <w:rPr>
                <w:noProof/>
                <w:webHidden/>
              </w:rPr>
              <w:t>15</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68" w:history="1">
            <w:r w:rsidR="00F162B3" w:rsidRPr="00DF3114">
              <w:rPr>
                <w:rStyle w:val="Hypertextovodkaz"/>
                <w:noProof/>
              </w:rPr>
              <w:t>3.3 Investiční pozice a zahraniční dluh</w:t>
            </w:r>
            <w:r w:rsidR="00F162B3">
              <w:rPr>
                <w:noProof/>
                <w:webHidden/>
              </w:rPr>
              <w:tab/>
            </w:r>
            <w:r>
              <w:rPr>
                <w:noProof/>
                <w:webHidden/>
              </w:rPr>
              <w:fldChar w:fldCharType="begin"/>
            </w:r>
            <w:r w:rsidR="00F162B3">
              <w:rPr>
                <w:noProof/>
                <w:webHidden/>
              </w:rPr>
              <w:instrText xml:space="preserve"> PAGEREF _Toc527639468 \h </w:instrText>
            </w:r>
            <w:r>
              <w:rPr>
                <w:noProof/>
                <w:webHidden/>
              </w:rPr>
            </w:r>
            <w:r>
              <w:rPr>
                <w:noProof/>
                <w:webHidden/>
              </w:rPr>
              <w:fldChar w:fldCharType="separate"/>
            </w:r>
            <w:r w:rsidR="000B525B">
              <w:rPr>
                <w:noProof/>
                <w:webHidden/>
              </w:rPr>
              <w:t>16</w:t>
            </w:r>
            <w:r>
              <w:rPr>
                <w:noProof/>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69" w:history="1">
            <w:r w:rsidR="00F162B3" w:rsidRPr="00DF3114">
              <w:rPr>
                <w:rStyle w:val="Hypertextovodkaz"/>
              </w:rPr>
              <w:t>4. Investice</w:t>
            </w:r>
            <w:r w:rsidR="00F162B3">
              <w:rPr>
                <w:webHidden/>
              </w:rPr>
              <w:tab/>
            </w:r>
            <w:r>
              <w:rPr>
                <w:webHidden/>
              </w:rPr>
              <w:fldChar w:fldCharType="begin"/>
            </w:r>
            <w:r w:rsidR="00F162B3">
              <w:rPr>
                <w:webHidden/>
              </w:rPr>
              <w:instrText xml:space="preserve"> PAGEREF _Toc527639469 \h </w:instrText>
            </w:r>
            <w:r>
              <w:rPr>
                <w:webHidden/>
              </w:rPr>
            </w:r>
            <w:r>
              <w:rPr>
                <w:webHidden/>
              </w:rPr>
              <w:fldChar w:fldCharType="separate"/>
            </w:r>
            <w:r w:rsidR="000B525B">
              <w:rPr>
                <w:webHidden/>
              </w:rPr>
              <w:t>18</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70" w:history="1">
            <w:r w:rsidR="00F162B3" w:rsidRPr="00DF3114">
              <w:rPr>
                <w:rStyle w:val="Hypertextovodkaz"/>
              </w:rPr>
              <w:t>5. Trh práce</w:t>
            </w:r>
            <w:r w:rsidR="00F162B3">
              <w:rPr>
                <w:webHidden/>
              </w:rPr>
              <w:tab/>
            </w:r>
            <w:r>
              <w:rPr>
                <w:webHidden/>
              </w:rPr>
              <w:fldChar w:fldCharType="begin"/>
            </w:r>
            <w:r w:rsidR="00F162B3">
              <w:rPr>
                <w:webHidden/>
              </w:rPr>
              <w:instrText xml:space="preserve"> PAGEREF _Toc527639470 \h </w:instrText>
            </w:r>
            <w:r>
              <w:rPr>
                <w:webHidden/>
              </w:rPr>
            </w:r>
            <w:r>
              <w:rPr>
                <w:webHidden/>
              </w:rPr>
              <w:fldChar w:fldCharType="separate"/>
            </w:r>
            <w:r w:rsidR="000B525B">
              <w:rPr>
                <w:webHidden/>
              </w:rPr>
              <w:t>21</w:t>
            </w:r>
            <w:r>
              <w:rPr>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71" w:history="1">
            <w:r w:rsidR="00F162B3" w:rsidRPr="00DF3114">
              <w:rPr>
                <w:rStyle w:val="Hypertextovodkaz"/>
                <w:noProof/>
              </w:rPr>
              <w:t>5.1 Zaměstnanost</w:t>
            </w:r>
            <w:r w:rsidR="00F162B3">
              <w:rPr>
                <w:noProof/>
                <w:webHidden/>
              </w:rPr>
              <w:tab/>
            </w:r>
            <w:r>
              <w:rPr>
                <w:noProof/>
                <w:webHidden/>
              </w:rPr>
              <w:fldChar w:fldCharType="begin"/>
            </w:r>
            <w:r w:rsidR="00F162B3">
              <w:rPr>
                <w:noProof/>
                <w:webHidden/>
              </w:rPr>
              <w:instrText xml:space="preserve"> PAGEREF _Toc527639471 \h </w:instrText>
            </w:r>
            <w:r>
              <w:rPr>
                <w:noProof/>
                <w:webHidden/>
              </w:rPr>
            </w:r>
            <w:r>
              <w:rPr>
                <w:noProof/>
                <w:webHidden/>
              </w:rPr>
              <w:fldChar w:fldCharType="separate"/>
            </w:r>
            <w:r w:rsidR="000B525B">
              <w:rPr>
                <w:noProof/>
                <w:webHidden/>
              </w:rPr>
              <w:t>21</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72" w:history="1">
            <w:r w:rsidR="00F162B3" w:rsidRPr="00DF3114">
              <w:rPr>
                <w:rStyle w:val="Hypertextovodkaz"/>
                <w:noProof/>
              </w:rPr>
              <w:t>5.2 Nezaměstnanost</w:t>
            </w:r>
            <w:r w:rsidR="00F162B3">
              <w:rPr>
                <w:noProof/>
                <w:webHidden/>
              </w:rPr>
              <w:tab/>
            </w:r>
            <w:r>
              <w:rPr>
                <w:noProof/>
                <w:webHidden/>
              </w:rPr>
              <w:fldChar w:fldCharType="begin"/>
            </w:r>
            <w:r w:rsidR="00F162B3">
              <w:rPr>
                <w:noProof/>
                <w:webHidden/>
              </w:rPr>
              <w:instrText xml:space="preserve"> PAGEREF _Toc527639472 \h </w:instrText>
            </w:r>
            <w:r>
              <w:rPr>
                <w:noProof/>
                <w:webHidden/>
              </w:rPr>
            </w:r>
            <w:r>
              <w:rPr>
                <w:noProof/>
                <w:webHidden/>
              </w:rPr>
              <w:fldChar w:fldCharType="separate"/>
            </w:r>
            <w:r w:rsidR="000B525B">
              <w:rPr>
                <w:noProof/>
                <w:webHidden/>
              </w:rPr>
              <w:t>24</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73" w:history="1">
            <w:r w:rsidR="00F162B3" w:rsidRPr="00DF3114">
              <w:rPr>
                <w:rStyle w:val="Hypertextovodkaz"/>
                <w:noProof/>
              </w:rPr>
              <w:t>5.3 Mzdy a jejich diferenciace</w:t>
            </w:r>
            <w:r w:rsidR="00F162B3">
              <w:rPr>
                <w:noProof/>
                <w:webHidden/>
              </w:rPr>
              <w:tab/>
            </w:r>
            <w:r>
              <w:rPr>
                <w:noProof/>
                <w:webHidden/>
              </w:rPr>
              <w:fldChar w:fldCharType="begin"/>
            </w:r>
            <w:r w:rsidR="00F162B3">
              <w:rPr>
                <w:noProof/>
                <w:webHidden/>
              </w:rPr>
              <w:instrText xml:space="preserve"> PAGEREF _Toc527639473 \h </w:instrText>
            </w:r>
            <w:r>
              <w:rPr>
                <w:noProof/>
                <w:webHidden/>
              </w:rPr>
            </w:r>
            <w:r>
              <w:rPr>
                <w:noProof/>
                <w:webHidden/>
              </w:rPr>
              <w:fldChar w:fldCharType="separate"/>
            </w:r>
            <w:r w:rsidR="000B525B">
              <w:rPr>
                <w:noProof/>
                <w:webHidden/>
              </w:rPr>
              <w:t>28</w:t>
            </w:r>
            <w:r>
              <w:rPr>
                <w:noProof/>
                <w:webHidden/>
              </w:rPr>
              <w:fldChar w:fldCharType="end"/>
            </w:r>
          </w:hyperlink>
        </w:p>
        <w:p w:rsidR="00EA0840" w:rsidRDefault="00EA0840" w:rsidP="00EA0840">
          <w:pPr>
            <w:pStyle w:val="Obsah1"/>
          </w:pPr>
        </w:p>
        <w:p w:rsidR="00F162B3" w:rsidRPr="00EA0840" w:rsidRDefault="00783C17" w:rsidP="00EA0840">
          <w:pPr>
            <w:pStyle w:val="Obsah1"/>
            <w:rPr>
              <w:rFonts w:asciiTheme="minorHAnsi" w:eastAsiaTheme="minorEastAsia" w:hAnsiTheme="minorHAnsi" w:cstheme="minorBidi"/>
              <w:sz w:val="22"/>
              <w:szCs w:val="22"/>
            </w:rPr>
          </w:pPr>
          <w:hyperlink w:anchor="_Toc527639474" w:history="1">
            <w:r w:rsidR="00F162B3" w:rsidRPr="00EA0840">
              <w:rPr>
                <w:rStyle w:val="Hypertextovodkaz"/>
                <w:b/>
              </w:rPr>
              <w:t>Hlavní institucionální sektory ekonomiky</w:t>
            </w:r>
            <w:r w:rsidR="00F162B3" w:rsidRPr="00EA0840">
              <w:rPr>
                <w:webHidden/>
              </w:rPr>
              <w:tab/>
            </w:r>
            <w:r w:rsidRPr="00EA0840">
              <w:rPr>
                <w:webHidden/>
              </w:rPr>
              <w:fldChar w:fldCharType="begin"/>
            </w:r>
            <w:r w:rsidR="00F162B3" w:rsidRPr="00EA0840">
              <w:rPr>
                <w:webHidden/>
              </w:rPr>
              <w:instrText xml:space="preserve"> PAGEREF _Toc527639474 \h </w:instrText>
            </w:r>
            <w:r w:rsidRPr="00EA0840">
              <w:rPr>
                <w:webHidden/>
              </w:rPr>
            </w:r>
            <w:r w:rsidRPr="00EA0840">
              <w:rPr>
                <w:webHidden/>
              </w:rPr>
              <w:fldChar w:fldCharType="separate"/>
            </w:r>
            <w:r w:rsidR="000B525B">
              <w:rPr>
                <w:webHidden/>
              </w:rPr>
              <w:t>34</w:t>
            </w:r>
            <w:r w:rsidRPr="00EA0840">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75" w:history="1">
            <w:r w:rsidR="00F162B3" w:rsidRPr="00DF3114">
              <w:rPr>
                <w:rStyle w:val="Hypertextovodkaz"/>
              </w:rPr>
              <w:t>6. Nefinanční podniky</w:t>
            </w:r>
            <w:r w:rsidR="00F162B3">
              <w:rPr>
                <w:webHidden/>
              </w:rPr>
              <w:tab/>
            </w:r>
            <w:r>
              <w:rPr>
                <w:webHidden/>
              </w:rPr>
              <w:fldChar w:fldCharType="begin"/>
            </w:r>
            <w:r w:rsidR="00F162B3">
              <w:rPr>
                <w:webHidden/>
              </w:rPr>
              <w:instrText xml:space="preserve"> PAGEREF _Toc527639475 \h </w:instrText>
            </w:r>
            <w:r>
              <w:rPr>
                <w:webHidden/>
              </w:rPr>
            </w:r>
            <w:r>
              <w:rPr>
                <w:webHidden/>
              </w:rPr>
              <w:fldChar w:fldCharType="separate"/>
            </w:r>
            <w:r w:rsidR="000B525B">
              <w:rPr>
                <w:webHidden/>
              </w:rPr>
              <w:t>34</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76" w:history="1">
            <w:r w:rsidR="00F162B3" w:rsidRPr="00DF3114">
              <w:rPr>
                <w:rStyle w:val="Hypertextovodkaz"/>
              </w:rPr>
              <w:t>7. Finanční instituce</w:t>
            </w:r>
            <w:r w:rsidR="00F162B3">
              <w:rPr>
                <w:webHidden/>
              </w:rPr>
              <w:tab/>
            </w:r>
            <w:r>
              <w:rPr>
                <w:webHidden/>
              </w:rPr>
              <w:fldChar w:fldCharType="begin"/>
            </w:r>
            <w:r w:rsidR="00F162B3">
              <w:rPr>
                <w:webHidden/>
              </w:rPr>
              <w:instrText xml:space="preserve"> PAGEREF _Toc527639476 \h </w:instrText>
            </w:r>
            <w:r>
              <w:rPr>
                <w:webHidden/>
              </w:rPr>
            </w:r>
            <w:r>
              <w:rPr>
                <w:webHidden/>
              </w:rPr>
              <w:fldChar w:fldCharType="separate"/>
            </w:r>
            <w:r w:rsidR="000B525B">
              <w:rPr>
                <w:webHidden/>
              </w:rPr>
              <w:t>40</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77" w:history="1">
            <w:r w:rsidR="00F162B3" w:rsidRPr="00DF3114">
              <w:rPr>
                <w:rStyle w:val="Hypertextovodkaz"/>
              </w:rPr>
              <w:t>8. Domácnosti</w:t>
            </w:r>
            <w:r w:rsidR="00F162B3">
              <w:rPr>
                <w:webHidden/>
              </w:rPr>
              <w:tab/>
            </w:r>
            <w:r>
              <w:rPr>
                <w:webHidden/>
              </w:rPr>
              <w:fldChar w:fldCharType="begin"/>
            </w:r>
            <w:r w:rsidR="00F162B3">
              <w:rPr>
                <w:webHidden/>
              </w:rPr>
              <w:instrText xml:space="preserve"> PAGEREF _Toc527639477 \h </w:instrText>
            </w:r>
            <w:r>
              <w:rPr>
                <w:webHidden/>
              </w:rPr>
            </w:r>
            <w:r>
              <w:rPr>
                <w:webHidden/>
              </w:rPr>
              <w:fldChar w:fldCharType="separate"/>
            </w:r>
            <w:r w:rsidR="000B525B">
              <w:rPr>
                <w:webHidden/>
              </w:rPr>
              <w:t>42</w:t>
            </w:r>
            <w:r>
              <w:rPr>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78" w:history="1">
            <w:r w:rsidR="00F162B3" w:rsidRPr="00DF3114">
              <w:rPr>
                <w:rStyle w:val="Hypertextovodkaz"/>
                <w:noProof/>
              </w:rPr>
              <w:t>8.1 Příjmy domácností</w:t>
            </w:r>
            <w:r w:rsidR="00F162B3">
              <w:rPr>
                <w:noProof/>
                <w:webHidden/>
              </w:rPr>
              <w:tab/>
            </w:r>
            <w:r>
              <w:rPr>
                <w:noProof/>
                <w:webHidden/>
              </w:rPr>
              <w:fldChar w:fldCharType="begin"/>
            </w:r>
            <w:r w:rsidR="00F162B3">
              <w:rPr>
                <w:noProof/>
                <w:webHidden/>
              </w:rPr>
              <w:instrText xml:space="preserve"> PAGEREF _Toc527639478 \h </w:instrText>
            </w:r>
            <w:r>
              <w:rPr>
                <w:noProof/>
                <w:webHidden/>
              </w:rPr>
            </w:r>
            <w:r>
              <w:rPr>
                <w:noProof/>
                <w:webHidden/>
              </w:rPr>
              <w:fldChar w:fldCharType="separate"/>
            </w:r>
            <w:r w:rsidR="000B525B">
              <w:rPr>
                <w:noProof/>
                <w:webHidden/>
              </w:rPr>
              <w:t>42</w:t>
            </w:r>
            <w:r>
              <w:rPr>
                <w:noProof/>
                <w:webHidden/>
              </w:rPr>
              <w:fldChar w:fldCharType="end"/>
            </w:r>
          </w:hyperlink>
        </w:p>
        <w:p w:rsidR="00F162B3" w:rsidRDefault="00783C17">
          <w:pPr>
            <w:pStyle w:val="Obsah2"/>
            <w:rPr>
              <w:rFonts w:asciiTheme="minorHAnsi" w:eastAsiaTheme="minorEastAsia" w:hAnsiTheme="minorHAnsi" w:cstheme="minorBidi"/>
              <w:noProof/>
              <w:sz w:val="22"/>
              <w:szCs w:val="22"/>
            </w:rPr>
          </w:pPr>
          <w:hyperlink w:anchor="_Toc527639479" w:history="1">
            <w:r w:rsidR="00F162B3" w:rsidRPr="00DF3114">
              <w:rPr>
                <w:rStyle w:val="Hypertextovodkaz"/>
                <w:noProof/>
              </w:rPr>
              <w:t>8.2 Výdaje domácností</w:t>
            </w:r>
            <w:r w:rsidR="00F162B3">
              <w:rPr>
                <w:noProof/>
                <w:webHidden/>
              </w:rPr>
              <w:tab/>
            </w:r>
            <w:r>
              <w:rPr>
                <w:noProof/>
                <w:webHidden/>
              </w:rPr>
              <w:fldChar w:fldCharType="begin"/>
            </w:r>
            <w:r w:rsidR="00F162B3">
              <w:rPr>
                <w:noProof/>
                <w:webHidden/>
              </w:rPr>
              <w:instrText xml:space="preserve"> PAGEREF _Toc527639479 \h </w:instrText>
            </w:r>
            <w:r>
              <w:rPr>
                <w:noProof/>
                <w:webHidden/>
              </w:rPr>
            </w:r>
            <w:r>
              <w:rPr>
                <w:noProof/>
                <w:webHidden/>
              </w:rPr>
              <w:fldChar w:fldCharType="separate"/>
            </w:r>
            <w:r w:rsidR="000B525B">
              <w:rPr>
                <w:noProof/>
                <w:webHidden/>
              </w:rPr>
              <w:t>44</w:t>
            </w:r>
            <w:r>
              <w:rPr>
                <w:noProof/>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0" w:history="1">
            <w:r w:rsidR="00F162B3" w:rsidRPr="00DF3114">
              <w:rPr>
                <w:rStyle w:val="Hypertextovodkaz"/>
              </w:rPr>
              <w:t>9. Hospodaření vládních institucí</w:t>
            </w:r>
            <w:r w:rsidR="00F162B3">
              <w:rPr>
                <w:webHidden/>
              </w:rPr>
              <w:tab/>
            </w:r>
            <w:r>
              <w:rPr>
                <w:webHidden/>
              </w:rPr>
              <w:fldChar w:fldCharType="begin"/>
            </w:r>
            <w:r w:rsidR="00F162B3">
              <w:rPr>
                <w:webHidden/>
              </w:rPr>
              <w:instrText xml:space="preserve"> PAGEREF _Toc527639480 \h </w:instrText>
            </w:r>
            <w:r>
              <w:rPr>
                <w:webHidden/>
              </w:rPr>
            </w:r>
            <w:r>
              <w:rPr>
                <w:webHidden/>
              </w:rPr>
              <w:fldChar w:fldCharType="separate"/>
            </w:r>
            <w:r w:rsidR="000B525B">
              <w:rPr>
                <w:webHidden/>
              </w:rPr>
              <w:t>46</w:t>
            </w:r>
            <w:r>
              <w:rPr>
                <w:webHidden/>
              </w:rPr>
              <w:fldChar w:fldCharType="end"/>
            </w:r>
          </w:hyperlink>
        </w:p>
        <w:p w:rsidR="00EA0840" w:rsidRDefault="00EA0840" w:rsidP="00EA0840">
          <w:pPr>
            <w:pStyle w:val="Obsah1"/>
          </w:pPr>
        </w:p>
        <w:p w:rsidR="00F162B3" w:rsidRPr="00EA0840" w:rsidRDefault="00783C17" w:rsidP="00EA0840">
          <w:pPr>
            <w:pStyle w:val="Obsah1"/>
            <w:rPr>
              <w:rFonts w:asciiTheme="minorHAnsi" w:eastAsiaTheme="minorEastAsia" w:hAnsiTheme="minorHAnsi" w:cstheme="minorBidi"/>
              <w:sz w:val="22"/>
              <w:szCs w:val="22"/>
            </w:rPr>
          </w:pPr>
          <w:hyperlink w:anchor="_Toc527639481" w:history="1">
            <w:r w:rsidR="00F162B3" w:rsidRPr="00EA0840">
              <w:rPr>
                <w:rStyle w:val="Hypertextovodkaz"/>
                <w:b/>
              </w:rPr>
              <w:t>Vybraná odvětví ekonomiky</w:t>
            </w:r>
            <w:r w:rsidR="00F162B3" w:rsidRPr="00EA0840">
              <w:rPr>
                <w:webHidden/>
              </w:rPr>
              <w:tab/>
            </w:r>
            <w:r w:rsidRPr="00EA0840">
              <w:rPr>
                <w:webHidden/>
              </w:rPr>
              <w:fldChar w:fldCharType="begin"/>
            </w:r>
            <w:r w:rsidR="00F162B3" w:rsidRPr="00EA0840">
              <w:rPr>
                <w:webHidden/>
              </w:rPr>
              <w:instrText xml:space="preserve"> PAGEREF _Toc527639481 \h </w:instrText>
            </w:r>
            <w:r w:rsidRPr="00EA0840">
              <w:rPr>
                <w:webHidden/>
              </w:rPr>
            </w:r>
            <w:r w:rsidRPr="00EA0840">
              <w:rPr>
                <w:webHidden/>
              </w:rPr>
              <w:fldChar w:fldCharType="separate"/>
            </w:r>
            <w:r w:rsidR="000B525B">
              <w:rPr>
                <w:webHidden/>
              </w:rPr>
              <w:t>50</w:t>
            </w:r>
            <w:r w:rsidRPr="00EA0840">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2" w:history="1">
            <w:r w:rsidR="00F162B3" w:rsidRPr="00DF3114">
              <w:rPr>
                <w:rStyle w:val="Hypertextovodkaz"/>
              </w:rPr>
              <w:t>10. Zemědělství, lesnictví a rybářství</w:t>
            </w:r>
            <w:r w:rsidR="00F162B3">
              <w:rPr>
                <w:webHidden/>
              </w:rPr>
              <w:tab/>
            </w:r>
            <w:r>
              <w:rPr>
                <w:webHidden/>
              </w:rPr>
              <w:fldChar w:fldCharType="begin"/>
            </w:r>
            <w:r w:rsidR="00F162B3">
              <w:rPr>
                <w:webHidden/>
              </w:rPr>
              <w:instrText xml:space="preserve"> PAGEREF _Toc527639482 \h </w:instrText>
            </w:r>
            <w:r>
              <w:rPr>
                <w:webHidden/>
              </w:rPr>
            </w:r>
            <w:r>
              <w:rPr>
                <w:webHidden/>
              </w:rPr>
              <w:fldChar w:fldCharType="separate"/>
            </w:r>
            <w:r w:rsidR="000B525B">
              <w:rPr>
                <w:webHidden/>
              </w:rPr>
              <w:t>50</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3" w:history="1">
            <w:r w:rsidR="00F162B3" w:rsidRPr="00DF3114">
              <w:rPr>
                <w:rStyle w:val="Hypertextovodkaz"/>
              </w:rPr>
              <w:t>11. Zpracovatelský průmysl, těžba a dobývání, energetika</w:t>
            </w:r>
            <w:r w:rsidR="00F162B3">
              <w:rPr>
                <w:webHidden/>
              </w:rPr>
              <w:tab/>
            </w:r>
            <w:r>
              <w:rPr>
                <w:webHidden/>
              </w:rPr>
              <w:fldChar w:fldCharType="begin"/>
            </w:r>
            <w:r w:rsidR="00F162B3">
              <w:rPr>
                <w:webHidden/>
              </w:rPr>
              <w:instrText xml:space="preserve"> PAGEREF _Toc527639483 \h </w:instrText>
            </w:r>
            <w:r>
              <w:rPr>
                <w:webHidden/>
              </w:rPr>
            </w:r>
            <w:r>
              <w:rPr>
                <w:webHidden/>
              </w:rPr>
              <w:fldChar w:fldCharType="separate"/>
            </w:r>
            <w:r w:rsidR="000B525B">
              <w:rPr>
                <w:webHidden/>
              </w:rPr>
              <w:t>56</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4" w:history="1">
            <w:r w:rsidR="00F162B3" w:rsidRPr="00DF3114">
              <w:rPr>
                <w:rStyle w:val="Hypertextovodkaz"/>
              </w:rPr>
              <w:t>12. Stavebnictví</w:t>
            </w:r>
            <w:r w:rsidR="00F162B3">
              <w:rPr>
                <w:webHidden/>
              </w:rPr>
              <w:tab/>
            </w:r>
            <w:r>
              <w:rPr>
                <w:webHidden/>
              </w:rPr>
              <w:fldChar w:fldCharType="begin"/>
            </w:r>
            <w:r w:rsidR="00F162B3">
              <w:rPr>
                <w:webHidden/>
              </w:rPr>
              <w:instrText xml:space="preserve"> PAGEREF _Toc527639484 \h </w:instrText>
            </w:r>
            <w:r>
              <w:rPr>
                <w:webHidden/>
              </w:rPr>
            </w:r>
            <w:r>
              <w:rPr>
                <w:webHidden/>
              </w:rPr>
              <w:fldChar w:fldCharType="separate"/>
            </w:r>
            <w:r w:rsidR="000B525B">
              <w:rPr>
                <w:webHidden/>
              </w:rPr>
              <w:t>62</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5" w:history="1">
            <w:r w:rsidR="00F162B3" w:rsidRPr="00DF3114">
              <w:rPr>
                <w:rStyle w:val="Hypertextovodkaz"/>
              </w:rPr>
              <w:t>13. Obchod, doprava</w:t>
            </w:r>
            <w:r w:rsidR="00F162B3">
              <w:rPr>
                <w:webHidden/>
              </w:rPr>
              <w:tab/>
            </w:r>
            <w:r>
              <w:rPr>
                <w:webHidden/>
              </w:rPr>
              <w:fldChar w:fldCharType="begin"/>
            </w:r>
            <w:r w:rsidR="00F162B3">
              <w:rPr>
                <w:webHidden/>
              </w:rPr>
              <w:instrText xml:space="preserve"> PAGEREF _Toc527639485 \h </w:instrText>
            </w:r>
            <w:r>
              <w:rPr>
                <w:webHidden/>
              </w:rPr>
            </w:r>
            <w:r>
              <w:rPr>
                <w:webHidden/>
              </w:rPr>
              <w:fldChar w:fldCharType="separate"/>
            </w:r>
            <w:r w:rsidR="000B525B">
              <w:rPr>
                <w:webHidden/>
              </w:rPr>
              <w:t>67</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6" w:history="1">
            <w:r w:rsidR="00F162B3" w:rsidRPr="00DF3114">
              <w:rPr>
                <w:rStyle w:val="Hypertextovodkaz"/>
              </w:rPr>
              <w:t>14. Ubytování a pohostinství</w:t>
            </w:r>
            <w:r w:rsidR="00F162B3">
              <w:rPr>
                <w:webHidden/>
              </w:rPr>
              <w:tab/>
            </w:r>
            <w:r>
              <w:rPr>
                <w:webHidden/>
              </w:rPr>
              <w:fldChar w:fldCharType="begin"/>
            </w:r>
            <w:r w:rsidR="00F162B3">
              <w:rPr>
                <w:webHidden/>
              </w:rPr>
              <w:instrText xml:space="preserve"> PAGEREF _Toc527639486 \h </w:instrText>
            </w:r>
            <w:r>
              <w:rPr>
                <w:webHidden/>
              </w:rPr>
            </w:r>
            <w:r>
              <w:rPr>
                <w:webHidden/>
              </w:rPr>
              <w:fldChar w:fldCharType="separate"/>
            </w:r>
            <w:r w:rsidR="000B525B">
              <w:rPr>
                <w:webHidden/>
              </w:rPr>
              <w:t>71</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7" w:history="1">
            <w:r w:rsidR="00F162B3" w:rsidRPr="00DF3114">
              <w:rPr>
                <w:rStyle w:val="Hypertextovodkaz"/>
              </w:rPr>
              <w:t>15. Informační a komunikační činnosti</w:t>
            </w:r>
            <w:r w:rsidR="00F162B3">
              <w:rPr>
                <w:webHidden/>
              </w:rPr>
              <w:tab/>
            </w:r>
            <w:r>
              <w:rPr>
                <w:webHidden/>
              </w:rPr>
              <w:fldChar w:fldCharType="begin"/>
            </w:r>
            <w:r w:rsidR="00F162B3">
              <w:rPr>
                <w:webHidden/>
              </w:rPr>
              <w:instrText xml:space="preserve"> PAGEREF _Toc527639487 \h </w:instrText>
            </w:r>
            <w:r>
              <w:rPr>
                <w:webHidden/>
              </w:rPr>
            </w:r>
            <w:r>
              <w:rPr>
                <w:webHidden/>
              </w:rPr>
              <w:fldChar w:fldCharType="separate"/>
            </w:r>
            <w:r w:rsidR="000B525B">
              <w:rPr>
                <w:webHidden/>
              </w:rPr>
              <w:t>75</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8" w:history="1">
            <w:r w:rsidR="00F162B3" w:rsidRPr="00DF3114">
              <w:rPr>
                <w:rStyle w:val="Hypertextovodkaz"/>
              </w:rPr>
              <w:t>16. Pro</w:t>
            </w:r>
            <w:r w:rsidR="009C3ED8">
              <w:rPr>
                <w:rStyle w:val="Hypertextovodkaz"/>
              </w:rPr>
              <w:t>fesní, vědecké, technické a administrativní</w:t>
            </w:r>
            <w:r w:rsidR="00F162B3" w:rsidRPr="00DF3114">
              <w:rPr>
                <w:rStyle w:val="Hypertextovodkaz"/>
              </w:rPr>
              <w:t xml:space="preserve"> činnosti</w:t>
            </w:r>
            <w:r w:rsidR="00F162B3">
              <w:rPr>
                <w:webHidden/>
              </w:rPr>
              <w:tab/>
            </w:r>
            <w:r>
              <w:rPr>
                <w:webHidden/>
              </w:rPr>
              <w:fldChar w:fldCharType="begin"/>
            </w:r>
            <w:r w:rsidR="00F162B3">
              <w:rPr>
                <w:webHidden/>
              </w:rPr>
              <w:instrText xml:space="preserve"> PAGEREF _Toc527639488 \h </w:instrText>
            </w:r>
            <w:r>
              <w:rPr>
                <w:webHidden/>
              </w:rPr>
            </w:r>
            <w:r>
              <w:rPr>
                <w:webHidden/>
              </w:rPr>
              <w:fldChar w:fldCharType="separate"/>
            </w:r>
            <w:r w:rsidR="000B525B">
              <w:rPr>
                <w:webHidden/>
              </w:rPr>
              <w:t>78</w:t>
            </w:r>
            <w:r>
              <w:rPr>
                <w:webHidden/>
              </w:rPr>
              <w:fldChar w:fldCharType="end"/>
            </w:r>
          </w:hyperlink>
        </w:p>
        <w:p w:rsidR="00F162B3" w:rsidRDefault="00783C17" w:rsidP="00EA0840">
          <w:pPr>
            <w:pStyle w:val="Obsah1"/>
            <w:rPr>
              <w:rFonts w:asciiTheme="minorHAnsi" w:eastAsiaTheme="minorEastAsia" w:hAnsiTheme="minorHAnsi" w:cstheme="minorBidi"/>
              <w:sz w:val="22"/>
              <w:szCs w:val="22"/>
            </w:rPr>
          </w:pPr>
          <w:hyperlink w:anchor="_Toc527639489" w:history="1">
            <w:r w:rsidR="00F162B3" w:rsidRPr="00DF3114">
              <w:rPr>
                <w:rStyle w:val="Hypertextovodkaz"/>
              </w:rPr>
              <w:t>17. Veřejné služby</w:t>
            </w:r>
            <w:r w:rsidR="00F162B3">
              <w:rPr>
                <w:webHidden/>
              </w:rPr>
              <w:tab/>
            </w:r>
            <w:r>
              <w:rPr>
                <w:webHidden/>
              </w:rPr>
              <w:fldChar w:fldCharType="begin"/>
            </w:r>
            <w:r w:rsidR="00F162B3">
              <w:rPr>
                <w:webHidden/>
              </w:rPr>
              <w:instrText xml:space="preserve"> PAGEREF _Toc527639489 \h </w:instrText>
            </w:r>
            <w:r>
              <w:rPr>
                <w:webHidden/>
              </w:rPr>
            </w:r>
            <w:r>
              <w:rPr>
                <w:webHidden/>
              </w:rPr>
              <w:fldChar w:fldCharType="separate"/>
            </w:r>
            <w:r w:rsidR="000B525B">
              <w:rPr>
                <w:webHidden/>
              </w:rPr>
              <w:t>82</w:t>
            </w:r>
            <w:r>
              <w:rPr>
                <w:webHidden/>
              </w:rPr>
              <w:fldChar w:fldCharType="end"/>
            </w:r>
          </w:hyperlink>
        </w:p>
        <w:p w:rsidR="00F46502" w:rsidRPr="00360DE3" w:rsidRDefault="00783C17" w:rsidP="00F46502">
          <w:r w:rsidRPr="00360DE3">
            <w:fldChar w:fldCharType="end"/>
          </w:r>
        </w:p>
      </w:sdtContent>
    </w:sdt>
    <w:p w:rsidR="00F46502" w:rsidRPr="00360DE3" w:rsidRDefault="00F46502" w:rsidP="00F46502">
      <w:pPr>
        <w:pStyle w:val="Textpoznpodarou"/>
        <w:jc w:val="both"/>
        <w:rPr>
          <w:rFonts w:cs="Arial"/>
          <w:color w:val="000000"/>
        </w:rPr>
      </w:pPr>
    </w:p>
    <w:p w:rsidR="00F46502" w:rsidRPr="00360DE3" w:rsidRDefault="00F46502" w:rsidP="00F46502">
      <w:pPr>
        <w:pStyle w:val="Textpoznpodarou"/>
        <w:jc w:val="both"/>
        <w:rPr>
          <w:rFonts w:cs="Arial"/>
          <w:color w:val="000000"/>
        </w:rPr>
      </w:pPr>
    </w:p>
    <w:p w:rsidR="00F46502" w:rsidRPr="00360DE3" w:rsidRDefault="00F46502" w:rsidP="00F46502">
      <w:pPr>
        <w:pStyle w:val="Textpoznpodarou"/>
        <w:jc w:val="both"/>
        <w:rPr>
          <w:rFonts w:cs="Arial"/>
          <w:color w:val="000000"/>
        </w:rPr>
      </w:pPr>
    </w:p>
    <w:p w:rsidR="00F46502" w:rsidRPr="00360DE3" w:rsidRDefault="00F46502" w:rsidP="00F46502">
      <w:pPr>
        <w:pStyle w:val="Textpoznpodarou"/>
        <w:jc w:val="both"/>
        <w:rPr>
          <w:rFonts w:cs="Arial"/>
          <w:color w:val="000000"/>
        </w:rPr>
      </w:pPr>
    </w:p>
    <w:p w:rsidR="00F46502" w:rsidRPr="00360DE3" w:rsidRDefault="00F46502" w:rsidP="00F46502">
      <w:pPr>
        <w:pStyle w:val="Textpoznpodarou"/>
        <w:jc w:val="both"/>
        <w:rPr>
          <w:rFonts w:cs="Arial"/>
          <w:color w:val="000000"/>
        </w:rPr>
      </w:pPr>
    </w:p>
    <w:p w:rsidR="00F46502" w:rsidRPr="00360DE3" w:rsidRDefault="00F46502" w:rsidP="00F46502">
      <w:pPr>
        <w:pStyle w:val="Textpoznpodarou"/>
        <w:jc w:val="both"/>
        <w:rPr>
          <w:rFonts w:cs="Arial"/>
          <w:color w:val="000000"/>
        </w:rPr>
      </w:pPr>
    </w:p>
    <w:p w:rsidR="00F46502" w:rsidRPr="00360DE3" w:rsidRDefault="00F46502" w:rsidP="00F46502">
      <w:pPr>
        <w:pStyle w:val="Textpoznpodarou"/>
        <w:jc w:val="both"/>
        <w:rPr>
          <w:rFonts w:cs="Arial"/>
          <w:color w:val="000000"/>
        </w:rPr>
      </w:pPr>
      <w:r w:rsidRPr="00360DE3">
        <w:rPr>
          <w:rFonts w:cs="Arial"/>
          <w:color w:val="000000"/>
        </w:rPr>
        <w:t xml:space="preserve">Zdroje dat v celé analýze: ČSÚ, </w:t>
      </w:r>
      <w:r w:rsidR="000B525B">
        <w:rPr>
          <w:rFonts w:cs="Arial"/>
          <w:color w:val="000000"/>
        </w:rPr>
        <w:t xml:space="preserve">ČNB, </w:t>
      </w:r>
      <w:r w:rsidRPr="00360DE3">
        <w:rPr>
          <w:rFonts w:cs="Arial"/>
          <w:color w:val="000000"/>
        </w:rPr>
        <w:t xml:space="preserve">MF ČR, </w:t>
      </w:r>
      <w:r w:rsidR="000B525B">
        <w:rPr>
          <w:rFonts w:cs="Arial"/>
          <w:color w:val="000000"/>
        </w:rPr>
        <w:t>MD,</w:t>
      </w:r>
      <w:r w:rsidRPr="00360DE3">
        <w:rPr>
          <w:rFonts w:cs="Arial"/>
          <w:color w:val="000000"/>
        </w:rPr>
        <w:t xml:space="preserve"> MPSV, ČSSZ, </w:t>
      </w:r>
      <w:proofErr w:type="spellStart"/>
      <w:r w:rsidRPr="00360DE3">
        <w:rPr>
          <w:rFonts w:cs="Arial"/>
          <w:color w:val="000000"/>
        </w:rPr>
        <w:t>Eurostat</w:t>
      </w:r>
      <w:proofErr w:type="spellEnd"/>
      <w:r w:rsidRPr="00360DE3">
        <w:rPr>
          <w:rFonts w:cs="Arial"/>
          <w:color w:val="000000"/>
        </w:rPr>
        <w:t>, propočty ČSÚ.</w:t>
      </w:r>
    </w:p>
    <w:p w:rsidR="00F46502" w:rsidRPr="00360DE3" w:rsidRDefault="00F46502" w:rsidP="00F46502">
      <w:pPr>
        <w:pStyle w:val="Textpoznpodarou"/>
        <w:jc w:val="both"/>
        <w:rPr>
          <w:rFonts w:cs="Arial"/>
          <w:color w:val="000000"/>
        </w:rPr>
      </w:pPr>
      <w:r w:rsidRPr="00360DE3">
        <w:rPr>
          <w:rFonts w:cs="Arial"/>
          <w:color w:val="000000"/>
        </w:rPr>
        <w:t xml:space="preserve">Poslední informace uváděné v této publikaci pocházejí </w:t>
      </w:r>
      <w:r w:rsidR="00BC0E31">
        <w:rPr>
          <w:rFonts w:cs="Arial"/>
          <w:color w:val="000000"/>
        </w:rPr>
        <w:t>z</w:t>
      </w:r>
      <w:r w:rsidRPr="00833BF2">
        <w:rPr>
          <w:rFonts w:cs="Arial"/>
          <w:color w:val="000000"/>
        </w:rPr>
        <w:t> </w:t>
      </w:r>
      <w:r w:rsidR="00833BF2" w:rsidRPr="00833BF2">
        <w:rPr>
          <w:rFonts w:cs="Arial"/>
          <w:color w:val="000000"/>
        </w:rPr>
        <w:t>27. září</w:t>
      </w:r>
      <w:r w:rsidRPr="00833BF2">
        <w:rPr>
          <w:rFonts w:cs="Arial"/>
          <w:color w:val="000000"/>
        </w:rPr>
        <w:t xml:space="preserve"> 2018.</w:t>
      </w:r>
    </w:p>
    <w:p w:rsidR="00EE4B1B" w:rsidRPr="00360DE3" w:rsidRDefault="00F46502" w:rsidP="00F46502">
      <w:pPr>
        <w:pStyle w:val="Nadpis11"/>
      </w:pPr>
      <w:r w:rsidRPr="00360DE3">
        <w:br w:type="page"/>
      </w:r>
      <w:bookmarkStart w:id="1" w:name="_Toc527639457"/>
      <w:r w:rsidRPr="00360DE3">
        <w:lastRenderedPageBreak/>
        <w:t>Shrnutí</w:t>
      </w:r>
      <w:bookmarkEnd w:id="1"/>
    </w:p>
    <w:p w:rsidR="00CB259D" w:rsidRPr="005A2C7B" w:rsidRDefault="006003D1" w:rsidP="00067A82">
      <w:pPr>
        <w:pStyle w:val="Normalodrka"/>
        <w:spacing w:after="160"/>
        <w:rPr>
          <w:spacing w:val="-4"/>
        </w:rPr>
      </w:pPr>
      <w:r w:rsidRPr="005A2C7B">
        <w:rPr>
          <w:spacing w:val="-4"/>
        </w:rPr>
        <w:t>Pro českou ekonomiku byl v roce 2017 příznačný silný hospodářský růst. Hrubý domácí produkt</w:t>
      </w:r>
      <w:r w:rsidR="00CE153B" w:rsidRPr="005A2C7B">
        <w:rPr>
          <w:spacing w:val="-4"/>
        </w:rPr>
        <w:t xml:space="preserve"> (HDP)</w:t>
      </w:r>
      <w:r w:rsidRPr="005A2C7B">
        <w:rPr>
          <w:spacing w:val="-4"/>
        </w:rPr>
        <w:t xml:space="preserve"> se navýšil o 4,3 % a přispěly k tomu všechny jeho složky. </w:t>
      </w:r>
      <w:r w:rsidR="00CE153B" w:rsidRPr="005A2C7B">
        <w:rPr>
          <w:spacing w:val="-4"/>
        </w:rPr>
        <w:t>Posílila role spotřeby, která se loni zvýšila o</w:t>
      </w:r>
      <w:r w:rsidR="003870EE" w:rsidRPr="005A2C7B">
        <w:rPr>
          <w:spacing w:val="-4"/>
        </w:rPr>
        <w:t> </w:t>
      </w:r>
      <w:r w:rsidR="00CE153B" w:rsidRPr="005A2C7B">
        <w:rPr>
          <w:spacing w:val="-4"/>
        </w:rPr>
        <w:t xml:space="preserve">3,4 %. Po slabém roce 2016 k růstu HDP přispěly i investiční výdaje. Ty vzrostly o 3,7 %. </w:t>
      </w:r>
      <w:r w:rsidR="008E0DC9" w:rsidRPr="005A2C7B">
        <w:rPr>
          <w:spacing w:val="-4"/>
        </w:rPr>
        <w:t>Již čtvrtý rok přetrval silný kladný příspěvek bilance zahraničního obchodu. Hrubá přidaná hodnota</w:t>
      </w:r>
      <w:r w:rsidR="004E326C" w:rsidRPr="005A2C7B">
        <w:rPr>
          <w:spacing w:val="-4"/>
        </w:rPr>
        <w:t xml:space="preserve"> (HPH)</w:t>
      </w:r>
      <w:r w:rsidR="008E0DC9" w:rsidRPr="005A2C7B">
        <w:rPr>
          <w:spacing w:val="-4"/>
        </w:rPr>
        <w:t xml:space="preserve"> se zvýšila o</w:t>
      </w:r>
      <w:r w:rsidR="003870EE" w:rsidRPr="005A2C7B">
        <w:rPr>
          <w:spacing w:val="-4"/>
        </w:rPr>
        <w:t> </w:t>
      </w:r>
      <w:r w:rsidR="008E0DC9" w:rsidRPr="005A2C7B">
        <w:rPr>
          <w:spacing w:val="-4"/>
        </w:rPr>
        <w:t xml:space="preserve">4,2 %. </w:t>
      </w:r>
      <w:r w:rsidR="004E326C" w:rsidRPr="005A2C7B">
        <w:rPr>
          <w:spacing w:val="-4"/>
        </w:rPr>
        <w:t>Silná zahraniční poptávka byla živnou půdou pro zpracovatelský průmysl, který většinově přispíval k růstu HPH. Díky rostoucí domácí kupní síle však prosperovala i odvětví služeb.</w:t>
      </w:r>
      <w:r w:rsidR="00CB259D" w:rsidRPr="005A2C7B">
        <w:rPr>
          <w:spacing w:val="-4"/>
        </w:rPr>
        <w:t xml:space="preserve"> Česko patřilo mezi nejrychleji rostoucí země EU. Výrazně překonalo unijní průměr růstu HDP, který dosáhl 2,4 %</w:t>
      </w:r>
    </w:p>
    <w:p w:rsidR="00330060" w:rsidRPr="005A2C7B" w:rsidRDefault="003870EE" w:rsidP="00067A82">
      <w:pPr>
        <w:pStyle w:val="Normalodrka"/>
        <w:spacing w:after="160"/>
        <w:rPr>
          <w:spacing w:val="-4"/>
        </w:rPr>
      </w:pPr>
      <w:r w:rsidRPr="005A2C7B">
        <w:rPr>
          <w:spacing w:val="-4"/>
        </w:rPr>
        <w:t xml:space="preserve">Cenový vývoj se </w:t>
      </w:r>
      <w:r w:rsidR="001916DB" w:rsidRPr="005A2C7B">
        <w:rPr>
          <w:spacing w:val="-4"/>
        </w:rPr>
        <w:t xml:space="preserve">v roce 2017 odpoutal od </w:t>
      </w:r>
      <w:r w:rsidR="00D943C6" w:rsidRPr="005A2C7B">
        <w:rPr>
          <w:spacing w:val="-4"/>
        </w:rPr>
        <w:t xml:space="preserve">trendu předchozích </w:t>
      </w:r>
      <w:r w:rsidR="006F2595" w:rsidRPr="005A2C7B">
        <w:rPr>
          <w:spacing w:val="-4"/>
        </w:rPr>
        <w:t xml:space="preserve">tří let a vykázal výraznější růstovou dynamiku. Zrychlil zejména růst </w:t>
      </w:r>
      <w:r w:rsidR="001528B9" w:rsidRPr="005A2C7B">
        <w:rPr>
          <w:spacing w:val="-4"/>
        </w:rPr>
        <w:t xml:space="preserve">spotřebitelských cen, které se v loňském roce zvýšily celkem o 2,5 %. Hlavním tahounem růstu byly ceny potravin, zesílil však i vliv cen bydlení a dopravy. Zejména ceny bydlení vstoupily do veřejné diskuze v souvislosti se silně rostoucími cenami nemovitostí. </w:t>
      </w:r>
      <w:r w:rsidR="005E2A7C" w:rsidRPr="005A2C7B">
        <w:rPr>
          <w:spacing w:val="-4"/>
        </w:rPr>
        <w:t xml:space="preserve">Výrazné zrychlení růstu spotřebitelských cen bylo společné celé EU. </w:t>
      </w:r>
      <w:r w:rsidR="00BA0DD3" w:rsidRPr="005A2C7B">
        <w:rPr>
          <w:spacing w:val="-4"/>
        </w:rPr>
        <w:t>Ceny průmysl</w:t>
      </w:r>
      <w:r w:rsidR="00A230A8" w:rsidRPr="005A2C7B">
        <w:rPr>
          <w:spacing w:val="-4"/>
        </w:rPr>
        <w:t>ových výrobců se loni zvýšily o </w:t>
      </w:r>
      <w:r w:rsidR="00BA0DD3" w:rsidRPr="005A2C7B">
        <w:rPr>
          <w:spacing w:val="-4"/>
        </w:rPr>
        <w:t>1,8 %. Hlavní podíl na tom mělo navýšení cen ve zpracovatelském průmyslu o 2,3 %, po pěti letech se však zvýšily i ceny těžby a dobývání (3,8 %).</w:t>
      </w:r>
      <w:r w:rsidR="00330060" w:rsidRPr="005A2C7B">
        <w:rPr>
          <w:spacing w:val="-4"/>
        </w:rPr>
        <w:t xml:space="preserve"> Výrazného růstu se dočkaly i ceny zemědělské výroby (</w:t>
      </w:r>
      <w:r w:rsidR="00716E3F" w:rsidRPr="005A2C7B">
        <w:rPr>
          <w:spacing w:val="-4"/>
        </w:rPr>
        <w:t>7,3 %</w:t>
      </w:r>
      <w:r w:rsidR="00330060" w:rsidRPr="005A2C7B">
        <w:rPr>
          <w:spacing w:val="-4"/>
        </w:rPr>
        <w:t>)</w:t>
      </w:r>
      <w:r w:rsidR="00716E3F" w:rsidRPr="005A2C7B">
        <w:rPr>
          <w:spacing w:val="-4"/>
        </w:rPr>
        <w:t xml:space="preserve">. Přispěly k tomu především ceny živočišné výroby, které vzrostly o 15,2 %. </w:t>
      </w:r>
      <w:r w:rsidR="00F859D0" w:rsidRPr="005A2C7B">
        <w:rPr>
          <w:spacing w:val="-4"/>
        </w:rPr>
        <w:t>Celkové zrychlení ekonomiky a zejména mzdového růstu vedlo i ke zvýšení cen tržních služeb o 1,3 %. Domácí cenový vývoj ovlivňovaly i negativní směnné relace. Ty byly výsledkem poklesu cen vývozu o 0,1 % (ceny dovozu vzrostly o 0,9 %). Klíčovým faktorem se stalo posílení kurzu koruny vůči euru i dolaru. To způsobovalo pokles cen vývozu i dovozu, zejména v druhé polovině roku.</w:t>
      </w:r>
      <w:r w:rsidR="00716E3F" w:rsidRPr="005A2C7B">
        <w:rPr>
          <w:spacing w:val="-4"/>
        </w:rPr>
        <w:t xml:space="preserve"> </w:t>
      </w:r>
    </w:p>
    <w:p w:rsidR="003870EE" w:rsidRPr="005A2C7B" w:rsidRDefault="00FF3EEC" w:rsidP="00067A82">
      <w:pPr>
        <w:pStyle w:val="Normalodrka"/>
        <w:spacing w:after="160"/>
        <w:rPr>
          <w:spacing w:val="-4"/>
        </w:rPr>
      </w:pPr>
      <w:r w:rsidRPr="005A2C7B">
        <w:rPr>
          <w:spacing w:val="-4"/>
        </w:rPr>
        <w:t>V roce 2017 silně rostl vývoz (</w:t>
      </w:r>
      <w:r w:rsidR="00193818" w:rsidRPr="005A2C7B">
        <w:rPr>
          <w:spacing w:val="-4"/>
        </w:rPr>
        <w:t>6,5 %</w:t>
      </w:r>
      <w:r w:rsidRPr="005A2C7B">
        <w:rPr>
          <w:spacing w:val="-4"/>
        </w:rPr>
        <w:t>) i dovoz (</w:t>
      </w:r>
      <w:r w:rsidR="00193818" w:rsidRPr="005A2C7B">
        <w:rPr>
          <w:spacing w:val="-4"/>
        </w:rPr>
        <w:t>6,8 %</w:t>
      </w:r>
      <w:r w:rsidRPr="005A2C7B">
        <w:rPr>
          <w:spacing w:val="-4"/>
        </w:rPr>
        <w:t>) zboží. Rostl přebytek obchodu s</w:t>
      </w:r>
      <w:r w:rsidR="009C3ED8">
        <w:rPr>
          <w:spacing w:val="-4"/>
        </w:rPr>
        <w:t> motorovými vozidly a</w:t>
      </w:r>
      <w:r w:rsidR="009C3ED8" w:rsidRPr="005A2C7B">
        <w:rPr>
          <w:spacing w:val="-4"/>
        </w:rPr>
        <w:t> </w:t>
      </w:r>
      <w:r w:rsidR="00193818" w:rsidRPr="005A2C7B">
        <w:rPr>
          <w:spacing w:val="-4"/>
        </w:rPr>
        <w:t xml:space="preserve">stroji a zařízeními. Růst cen některých surovin pak zvýšil deficit obchodu se zeměmi mimo EU, odkud Česko většinově suroviny dováží. </w:t>
      </w:r>
      <w:r w:rsidR="0010106F" w:rsidRPr="005A2C7B">
        <w:rPr>
          <w:spacing w:val="-4"/>
        </w:rPr>
        <w:t xml:space="preserve">Celkový přebytek zahraničního obchodu navyšovaly služby. </w:t>
      </w:r>
      <w:r w:rsidRPr="005A2C7B">
        <w:rPr>
          <w:spacing w:val="-4"/>
        </w:rPr>
        <w:t>Ekonomická prosperita vedla mimo jiné k nárůstu zisků</w:t>
      </w:r>
      <w:r w:rsidR="0010106F" w:rsidRPr="005A2C7B">
        <w:rPr>
          <w:spacing w:val="-4"/>
        </w:rPr>
        <w:t xml:space="preserve"> z přímých investic. Ty byly reinvestovány ve větší míře než v minulých letech. Ekonomické vztahy se zahraničím ovlivnilo i ukončení režimu intervencí a následné posílení kurzu koruny vůči ostatním měnám. Vedlo to k výraznému navýšení zahraničního dluhu, především v podobě krátkodobého zadlužení.</w:t>
      </w:r>
    </w:p>
    <w:p w:rsidR="006A73A6" w:rsidRPr="005A2C7B" w:rsidRDefault="007C7BAE" w:rsidP="00067A82">
      <w:pPr>
        <w:pStyle w:val="Normalodrka"/>
        <w:spacing w:after="160"/>
        <w:rPr>
          <w:spacing w:val="-4"/>
        </w:rPr>
      </w:pPr>
      <w:r w:rsidRPr="005A2C7B">
        <w:rPr>
          <w:spacing w:val="-4"/>
        </w:rPr>
        <w:t>Investiční výdaje se loni z</w:t>
      </w:r>
      <w:r w:rsidR="00186919" w:rsidRPr="005A2C7B">
        <w:rPr>
          <w:spacing w:val="-4"/>
        </w:rPr>
        <w:t>výšily o 3,3 %. Dynamika již ne</w:t>
      </w:r>
      <w:r w:rsidRPr="005A2C7B">
        <w:rPr>
          <w:spacing w:val="-4"/>
        </w:rPr>
        <w:t>byla tak ovlivněna vývojem čerpání evropských dotací jako v letech 2014-2016. Zvýšily se investiční výdaje ve všech sektorech ekonomiky. Nefinanční podniky se snažily výdaji na stroje a zařízení řešit problém nedostatku pracovní síly, domácnosti dále investovaly do obydlí. U finančních institucí pokračoval výrazný nárů</w:t>
      </w:r>
      <w:r w:rsidR="00C805DC">
        <w:rPr>
          <w:spacing w:val="-4"/>
        </w:rPr>
        <w:t>st investic</w:t>
      </w:r>
      <w:r w:rsidR="00A230A8" w:rsidRPr="005A2C7B">
        <w:rPr>
          <w:spacing w:val="-4"/>
        </w:rPr>
        <w:t xml:space="preserve"> směřovaný do ICT a </w:t>
      </w:r>
      <w:r w:rsidRPr="005A2C7B">
        <w:rPr>
          <w:spacing w:val="-4"/>
        </w:rPr>
        <w:t>produktů duševního vlastnictví. Vládní instituce mírně oživily investice d</w:t>
      </w:r>
      <w:r w:rsidR="005A2C7B">
        <w:rPr>
          <w:spacing w:val="-4"/>
        </w:rPr>
        <w:t>o infrastruktury. L</w:t>
      </w:r>
      <w:r w:rsidR="007D0C24" w:rsidRPr="005A2C7B">
        <w:rPr>
          <w:spacing w:val="-4"/>
        </w:rPr>
        <w:t>oňské posílení investiční aktivity bylo společné většině států ze střední a východní Evropy.</w:t>
      </w:r>
    </w:p>
    <w:p w:rsidR="00186919" w:rsidRPr="005A2C7B" w:rsidRDefault="00186919" w:rsidP="00067A82">
      <w:pPr>
        <w:pStyle w:val="Normalodrka"/>
        <w:spacing w:after="160"/>
        <w:rPr>
          <w:spacing w:val="-4"/>
        </w:rPr>
      </w:pPr>
      <w:r w:rsidRPr="005A2C7B">
        <w:rPr>
          <w:spacing w:val="-4"/>
        </w:rPr>
        <w:t xml:space="preserve">Tuzemský trh práce zažil v roce 2017 výjimečný rok. Pokračující svižný růst ekonomiky se pozitivně odrazil v tvorbě nových pracovních míst i v tempu celkové zaměstnanosti. Role zpracovatelského průmyslu jako hlavního tvůrce pracovních míst loni oslabila ve prospěch služeb, kde sílila zejména odvětví s dominancí státu. Pokračovala také dlouhodobě silná poptávka po pracovnících v informačních a komunikačních činnostech. Sezónně očištěná míra obecné nezaměstnanosti se </w:t>
      </w:r>
      <w:r w:rsidR="00F433FE" w:rsidRPr="005A2C7B">
        <w:rPr>
          <w:spacing w:val="-4"/>
        </w:rPr>
        <w:t>v roce</w:t>
      </w:r>
      <w:r w:rsidRPr="005A2C7B">
        <w:rPr>
          <w:spacing w:val="-4"/>
        </w:rPr>
        <w:t xml:space="preserve"> 2017 plynule snižovala a na jeho konci dosahovala u žen 2,9 %, u mužů 2,0 %. Práci nacházeli hlavně dlouhodobě nezaměstnaní. V míře nezaměstnanosti podobně jako v míře volných pracovních míst drželo Česko primát v EU. Objem vyplacených mezd byl (v pojetí národních účtů) meziročně vyšší o 8,2 %. K akceleraci růstu průměrných výdělků přispělo zvyšování minimální mzdy i </w:t>
      </w:r>
      <w:r w:rsidR="00093E3F" w:rsidRPr="005A2C7B">
        <w:rPr>
          <w:spacing w:val="-4"/>
        </w:rPr>
        <w:t xml:space="preserve">navýšení v oblastech </w:t>
      </w:r>
      <w:r w:rsidRPr="005A2C7B">
        <w:rPr>
          <w:spacing w:val="-4"/>
        </w:rPr>
        <w:t xml:space="preserve">s dominací </w:t>
      </w:r>
      <w:r w:rsidR="00093E3F" w:rsidRPr="005A2C7B">
        <w:rPr>
          <w:spacing w:val="-4"/>
        </w:rPr>
        <w:t>veřejného sektoru</w:t>
      </w:r>
      <w:r w:rsidRPr="005A2C7B">
        <w:rPr>
          <w:spacing w:val="-4"/>
        </w:rPr>
        <w:t>. Relativní mzdové rozdíly z pohledu odvětví, profesí či regionů se nezvyšovaly.</w:t>
      </w:r>
    </w:p>
    <w:p w:rsidR="006A73A6" w:rsidRPr="005A2C7B" w:rsidRDefault="00680001" w:rsidP="00067A82">
      <w:pPr>
        <w:pStyle w:val="Normalodrka"/>
        <w:spacing w:after="160"/>
        <w:rPr>
          <w:spacing w:val="-4"/>
        </w:rPr>
      </w:pPr>
      <w:r w:rsidRPr="005A2C7B">
        <w:rPr>
          <w:spacing w:val="-4"/>
        </w:rPr>
        <w:t>Sektoru nefinančních podniků, reprezentovanému z pohledu tvorby HPH téměř z poloviny odvě</w:t>
      </w:r>
      <w:r w:rsidR="00C805DC">
        <w:rPr>
          <w:spacing w:val="-4"/>
        </w:rPr>
        <w:t>tvím průmyslu, se dařilo. Jeho</w:t>
      </w:r>
      <w:r w:rsidRPr="005A2C7B">
        <w:rPr>
          <w:spacing w:val="-4"/>
        </w:rPr>
        <w:t xml:space="preserve"> podíl na přidané hodnotě celé ekonomiky vzrostl na rekordních 62,7 %. Růstové tempo zaměstnanosti sláblo (na +1,7 %), přesto bylo vyšší než v celé ekonomice. Sílící náklady na pracovní </w:t>
      </w:r>
      <w:r w:rsidR="00093E3F" w:rsidRPr="005A2C7B">
        <w:rPr>
          <w:spacing w:val="-4"/>
        </w:rPr>
        <w:t>sílu se odrazily</w:t>
      </w:r>
      <w:r w:rsidRPr="005A2C7B">
        <w:rPr>
          <w:spacing w:val="-4"/>
        </w:rPr>
        <w:t xml:space="preserve"> v míře zisku podniků, jež klesla druhým rokem v řadě. V kontextu EU však patřila k nejvyšším, unijní úroveň převyšovala o 9,4 p. </w:t>
      </w:r>
      <w:proofErr w:type="spellStart"/>
      <w:r w:rsidRPr="005A2C7B">
        <w:rPr>
          <w:spacing w:val="-4"/>
        </w:rPr>
        <w:t>b</w:t>
      </w:r>
      <w:proofErr w:type="spellEnd"/>
      <w:r w:rsidRPr="005A2C7B">
        <w:rPr>
          <w:spacing w:val="-4"/>
        </w:rPr>
        <w:t xml:space="preserve">. Výše čistého odlivu vlastnických důchodů ze sektoru nefinančních podniků (509 mld. korun) se meziročně nezměnila, když snížení </w:t>
      </w:r>
      <w:r w:rsidR="00093E3F" w:rsidRPr="005A2C7B">
        <w:rPr>
          <w:spacing w:val="-4"/>
        </w:rPr>
        <w:t>negativní</w:t>
      </w:r>
      <w:r w:rsidRPr="005A2C7B">
        <w:rPr>
          <w:spacing w:val="-4"/>
        </w:rPr>
        <w:t xml:space="preserve">ho </w:t>
      </w:r>
      <w:r w:rsidR="00093E3F" w:rsidRPr="005A2C7B">
        <w:rPr>
          <w:spacing w:val="-4"/>
        </w:rPr>
        <w:t>salda</w:t>
      </w:r>
      <w:r w:rsidRPr="005A2C7B">
        <w:rPr>
          <w:spacing w:val="-4"/>
        </w:rPr>
        <w:t xml:space="preserve"> úroků</w:t>
      </w:r>
      <w:r w:rsidR="00093E3F" w:rsidRPr="005A2C7B">
        <w:rPr>
          <w:spacing w:val="-4"/>
        </w:rPr>
        <w:t xml:space="preserve">, ale i </w:t>
      </w:r>
      <w:r w:rsidRPr="005A2C7B">
        <w:rPr>
          <w:spacing w:val="-4"/>
        </w:rPr>
        <w:t xml:space="preserve">dividend bylo </w:t>
      </w:r>
      <w:r w:rsidRPr="005A2C7B">
        <w:rPr>
          <w:spacing w:val="-4"/>
        </w:rPr>
        <w:lastRenderedPageBreak/>
        <w:t>kompenzováno vyšším objem</w:t>
      </w:r>
      <w:r w:rsidR="005A2C7B">
        <w:rPr>
          <w:spacing w:val="-4"/>
        </w:rPr>
        <w:t>em</w:t>
      </w:r>
      <w:r w:rsidRPr="005A2C7B">
        <w:rPr>
          <w:spacing w:val="-4"/>
        </w:rPr>
        <w:t xml:space="preserve"> </w:t>
      </w:r>
      <w:r w:rsidRPr="005A2C7B">
        <w:rPr>
          <w:rFonts w:cs="Arial"/>
          <w:spacing w:val="-4"/>
          <w:szCs w:val="20"/>
        </w:rPr>
        <w:t xml:space="preserve">reinvestovaných zisků z přímých zahraničních investic. Míra investic podniků </w:t>
      </w:r>
      <w:r w:rsidR="005A2C7B">
        <w:rPr>
          <w:rFonts w:cs="Arial"/>
          <w:spacing w:val="-4"/>
          <w:szCs w:val="20"/>
        </w:rPr>
        <w:t>činil</w:t>
      </w:r>
      <w:r w:rsidRPr="005A2C7B">
        <w:rPr>
          <w:rFonts w:cs="Arial"/>
          <w:spacing w:val="-4"/>
          <w:szCs w:val="20"/>
        </w:rPr>
        <w:t xml:space="preserve">a 28,1 % a meziročně se snížila o 0,8 p. </w:t>
      </w:r>
      <w:proofErr w:type="spellStart"/>
      <w:r w:rsidRPr="005A2C7B">
        <w:rPr>
          <w:rFonts w:cs="Arial"/>
          <w:spacing w:val="-4"/>
          <w:szCs w:val="20"/>
        </w:rPr>
        <w:t>b</w:t>
      </w:r>
      <w:proofErr w:type="spellEnd"/>
      <w:r w:rsidRPr="005A2C7B">
        <w:rPr>
          <w:rFonts w:cs="Arial"/>
          <w:spacing w:val="-4"/>
          <w:szCs w:val="20"/>
        </w:rPr>
        <w:t>. Tempo růstu objemu bankovních úvěrů nefinančním podnikům mírně zvolnilo na 4,9 % (z 6,6 % z roku 2016). Platební morálka podniků se dále zlepšovala</w:t>
      </w:r>
      <w:r w:rsidR="005A2C7B" w:rsidRPr="005A2C7B">
        <w:rPr>
          <w:rFonts w:cs="Arial"/>
          <w:spacing w:val="-4"/>
          <w:szCs w:val="20"/>
        </w:rPr>
        <w:t>.</w:t>
      </w:r>
    </w:p>
    <w:p w:rsidR="006A73A6" w:rsidRPr="005A2C7B" w:rsidRDefault="002B6B06" w:rsidP="00067A82">
      <w:pPr>
        <w:pStyle w:val="Normalodrka"/>
        <w:spacing w:after="160"/>
        <w:rPr>
          <w:spacing w:val="-4"/>
        </w:rPr>
      </w:pPr>
      <w:r w:rsidRPr="005A2C7B">
        <w:rPr>
          <w:spacing w:val="-4"/>
        </w:rPr>
        <w:t>V sektoru finančních institucí se začala výrazněji projevov</w:t>
      </w:r>
      <w:r w:rsidR="004F16F7" w:rsidRPr="005A2C7B">
        <w:rPr>
          <w:spacing w:val="-4"/>
        </w:rPr>
        <w:t>at několik let trvající stagnace</w:t>
      </w:r>
      <w:r w:rsidRPr="005A2C7B">
        <w:rPr>
          <w:spacing w:val="-4"/>
        </w:rPr>
        <w:t xml:space="preserve"> zaměstnanosti</w:t>
      </w:r>
      <w:r w:rsidR="004F16F7" w:rsidRPr="005A2C7B">
        <w:rPr>
          <w:spacing w:val="-4"/>
        </w:rPr>
        <w:t>, která loni vyústila do poklesu o 3,2 %</w:t>
      </w:r>
      <w:r w:rsidRPr="005A2C7B">
        <w:rPr>
          <w:spacing w:val="-4"/>
        </w:rPr>
        <w:t>.</w:t>
      </w:r>
      <w:r w:rsidR="004F16F7" w:rsidRPr="005A2C7B">
        <w:rPr>
          <w:spacing w:val="-4"/>
        </w:rPr>
        <w:t xml:space="preserve"> Výsledkem bylo mírné snížení vyplacených náhrad zaměstnancům (navzdory růstu průměrné mzdy ve finančnictví a pojišťovnictví o 3,6 %). Míra zisku celého sektoru následně dosáhla 61,3 %.</w:t>
      </w:r>
    </w:p>
    <w:p w:rsidR="006A73A6" w:rsidRPr="005A2C7B" w:rsidRDefault="006A73A6" w:rsidP="00067A82">
      <w:pPr>
        <w:pStyle w:val="Normalodrka"/>
        <w:spacing w:after="160"/>
        <w:rPr>
          <w:spacing w:val="-4"/>
        </w:rPr>
      </w:pPr>
      <w:r w:rsidRPr="005A2C7B">
        <w:rPr>
          <w:spacing w:val="-4"/>
        </w:rPr>
        <w:t>Domácnosti</w:t>
      </w:r>
      <w:r w:rsidR="004F16F7" w:rsidRPr="005A2C7B">
        <w:rPr>
          <w:spacing w:val="-4"/>
        </w:rPr>
        <w:t xml:space="preserve"> čerpaly z úspěšného ekonomického vývoje. Jejich disponibiln</w:t>
      </w:r>
      <w:r w:rsidR="00A230A8" w:rsidRPr="005A2C7B">
        <w:rPr>
          <w:spacing w:val="-4"/>
        </w:rPr>
        <w:t>í důchod loni vzrostl o 4,1 % a </w:t>
      </w:r>
      <w:r w:rsidR="004F16F7" w:rsidRPr="005A2C7B">
        <w:rPr>
          <w:spacing w:val="-4"/>
        </w:rPr>
        <w:t>hlavní měrou se na růstu podílelo zvyšování mezd a platů. Naopak výsledn</w:t>
      </w:r>
      <w:r w:rsidR="009C3ED8">
        <w:rPr>
          <w:spacing w:val="-4"/>
        </w:rPr>
        <w:t>é saldo důchodů z vlastnictví i</w:t>
      </w:r>
      <w:r w:rsidR="009C3ED8" w:rsidRPr="005A2C7B">
        <w:rPr>
          <w:spacing w:val="-4"/>
        </w:rPr>
        <w:t> </w:t>
      </w:r>
      <w:r w:rsidR="004F16F7" w:rsidRPr="005A2C7B">
        <w:rPr>
          <w:spacing w:val="-4"/>
        </w:rPr>
        <w:t>saldo druhotného rozdělení (sociální příspěvky mínus odvedené daně)</w:t>
      </w:r>
      <w:r w:rsidR="00750EF8" w:rsidRPr="005A2C7B">
        <w:rPr>
          <w:spacing w:val="-4"/>
        </w:rPr>
        <w:t xml:space="preserve"> růst disponibilního příjmu tlumilo. Na rozdíl od minulých třech let se v roce 2017 zvýšil rozdíl mezi nominálním růstem příjmů a reálným posílením kupní síly. Výdaje domácností na konečnou spotřebu loni vzrostly o 4,3 %, nejvíce od roku 2003. Rychlejší růst spotřeby než příjmů vedl také k poklesu </w:t>
      </w:r>
      <w:r w:rsidR="00347378" w:rsidRPr="005A2C7B">
        <w:rPr>
          <w:spacing w:val="-4"/>
        </w:rPr>
        <w:t>míry úspor. K nárůstu spotřeby nejvíce přispěly výdaje na služby, které s</w:t>
      </w:r>
      <w:r w:rsidR="00F433FE" w:rsidRPr="005A2C7B">
        <w:rPr>
          <w:spacing w:val="-4"/>
        </w:rPr>
        <w:t>ílily pátým</w:t>
      </w:r>
      <w:r w:rsidR="00347378" w:rsidRPr="005A2C7B">
        <w:rPr>
          <w:spacing w:val="-4"/>
        </w:rPr>
        <w:t xml:space="preserve"> rokem i výraznější růst výdajů na střednědobé statky (oblečení, obuv, sportovní vybavení, atd.). Zvýšená investiční aktivita domácností (především do obydlí) byla spojena mimo jiné s rostoucími cenami nemovitostí. To potvrzují i data ČNB, ze kterých vyplývá rostoucí průměrná výše poskytnutých úvěrů na bydlení.</w:t>
      </w:r>
    </w:p>
    <w:p w:rsidR="006A73A6" w:rsidRPr="005A2C7B" w:rsidRDefault="006A73A6" w:rsidP="00067A82">
      <w:pPr>
        <w:pStyle w:val="Normalodrka"/>
        <w:spacing w:after="160"/>
        <w:rPr>
          <w:spacing w:val="-4"/>
        </w:rPr>
      </w:pPr>
      <w:r w:rsidRPr="005A2C7B">
        <w:rPr>
          <w:spacing w:val="-4"/>
        </w:rPr>
        <w:t xml:space="preserve">Hospodaření </w:t>
      </w:r>
      <w:r w:rsidR="009C3ED8">
        <w:rPr>
          <w:spacing w:val="-4"/>
        </w:rPr>
        <w:t xml:space="preserve">sektoru </w:t>
      </w:r>
      <w:r w:rsidRPr="005A2C7B">
        <w:rPr>
          <w:spacing w:val="-4"/>
        </w:rPr>
        <w:t>vládních institucí</w:t>
      </w:r>
      <w:r w:rsidR="00551238" w:rsidRPr="005A2C7B">
        <w:rPr>
          <w:spacing w:val="-4"/>
        </w:rPr>
        <w:t xml:space="preserve"> bylo loni přebytkové, podruhé v řadě.</w:t>
      </w:r>
      <w:r w:rsidR="00A230A8" w:rsidRPr="005A2C7B">
        <w:rPr>
          <w:spacing w:val="-4"/>
        </w:rPr>
        <w:t xml:space="preserve"> Přebytek se meziročně zvýšil a </w:t>
      </w:r>
      <w:r w:rsidR="00551238" w:rsidRPr="005A2C7B">
        <w:rPr>
          <w:spacing w:val="-4"/>
        </w:rPr>
        <w:t>dosáhl 80,6 mld. korun (1,6 % HDP). V mezinárodním srovnání se tak Česko výší relativního přebytku vyšvihlo na třetí místo v EU. Na výsledku hospodaření se projevil zejména silný růst daňových příjmů spojený s rostoucím výkonem ekonomiky i m</w:t>
      </w:r>
      <w:r w:rsidR="009C3ED8">
        <w:rPr>
          <w:spacing w:val="-4"/>
        </w:rPr>
        <w:t xml:space="preserve">zdovým vývojem. Výdaje </w:t>
      </w:r>
      <w:r w:rsidR="00551238" w:rsidRPr="005A2C7B">
        <w:rPr>
          <w:spacing w:val="-4"/>
        </w:rPr>
        <w:t xml:space="preserve">sektoru </w:t>
      </w:r>
      <w:r w:rsidR="009C3ED8">
        <w:rPr>
          <w:spacing w:val="-4"/>
        </w:rPr>
        <w:t xml:space="preserve">vládních institucí </w:t>
      </w:r>
      <w:r w:rsidR="00551238" w:rsidRPr="005A2C7B">
        <w:rPr>
          <w:spacing w:val="-4"/>
        </w:rPr>
        <w:t>rovněž silně rostly. Klíčový vliv měly náhrady zaměstnanců sektoru (nárůst o 10,2 %)</w:t>
      </w:r>
      <w:r w:rsidR="00182799" w:rsidRPr="005A2C7B">
        <w:rPr>
          <w:spacing w:val="-4"/>
        </w:rPr>
        <w:t>, především místní vládní instituce k tomu přidaly i silný růst investičních výdajů.</w:t>
      </w:r>
    </w:p>
    <w:p w:rsidR="00D1005A" w:rsidRPr="005A2C7B" w:rsidRDefault="00D1005A" w:rsidP="00067A82">
      <w:pPr>
        <w:pStyle w:val="Normalodrka"/>
        <w:spacing w:after="160"/>
        <w:rPr>
          <w:spacing w:val="-4"/>
        </w:rPr>
      </w:pPr>
      <w:r w:rsidRPr="005A2C7B">
        <w:rPr>
          <w:spacing w:val="-4"/>
        </w:rPr>
        <w:t xml:space="preserve">HPH v odvětví zemědělství, lesnictví a rybářství se meziročně snížila o 3,0 %, nejvíce po roce 2010. </w:t>
      </w:r>
      <w:r w:rsidR="00A230A8" w:rsidRPr="005A2C7B">
        <w:rPr>
          <w:spacing w:val="-4"/>
        </w:rPr>
        <w:t>V </w:t>
      </w:r>
      <w:r w:rsidRPr="005A2C7B">
        <w:rPr>
          <w:spacing w:val="-4"/>
        </w:rPr>
        <w:t xml:space="preserve">samotném lesnictví výkony rostly. Rekordní těžba dřeva (nejvyšší po v historii </w:t>
      </w:r>
      <w:r w:rsidR="00A230A8" w:rsidRPr="005A2C7B">
        <w:rPr>
          <w:spacing w:val="-4"/>
        </w:rPr>
        <w:t>ČR) souvisela s </w:t>
      </w:r>
      <w:r w:rsidRPr="005A2C7B">
        <w:rPr>
          <w:color w:val="000000"/>
          <w:spacing w:val="-4"/>
        </w:rPr>
        <w:t xml:space="preserve">kalamitními situacemi. Zemědělství táhla dolů rostlinná produkce, v níž slabší úroda obilovin, olejnin či ovoce zastínila dobré výsledky </w:t>
      </w:r>
      <w:r w:rsidRPr="005A2C7B">
        <w:rPr>
          <w:spacing w:val="-4"/>
        </w:rPr>
        <w:t>producentů cukrové řepy, luskovin, chmele i vinných hroznů. Naopak v živočišné oblasti vyšší produkce mléka i vajec dokázaly pokles výroby masa (o 2,5 % meziročně, nejhlubší za posledních pět let) kompenzovat. Negativní saldo agrárního zahraničního obchodu ČR</w:t>
      </w:r>
      <w:r w:rsidR="009C3ED8">
        <w:rPr>
          <w:spacing w:val="-4"/>
        </w:rPr>
        <w:t xml:space="preserve"> se nadále prohlubovalo – jak u</w:t>
      </w:r>
      <w:r w:rsidR="009C3ED8" w:rsidRPr="005A2C7B">
        <w:rPr>
          <w:spacing w:val="-4"/>
        </w:rPr>
        <w:t> </w:t>
      </w:r>
      <w:r w:rsidRPr="005A2C7B">
        <w:rPr>
          <w:spacing w:val="-4"/>
        </w:rPr>
        <w:t>prvovýrobců, tak zejména u zpracovatelů.</w:t>
      </w:r>
    </w:p>
    <w:p w:rsidR="00BE468E" w:rsidRPr="005A2C7B" w:rsidRDefault="00BE468E" w:rsidP="00067A82">
      <w:pPr>
        <w:pStyle w:val="Normalodrka"/>
        <w:spacing w:after="160"/>
        <w:rPr>
          <w:spacing w:val="-4"/>
        </w:rPr>
      </w:pPr>
      <w:r w:rsidRPr="005A2C7B">
        <w:rPr>
          <w:spacing w:val="-4"/>
        </w:rPr>
        <w:t xml:space="preserve">Průmysl loni těžil z rostoucí tuzemské i zahraniční poptávky. HPH posílila meziročně o 9,0 %, nejvíce po roce 2006. K růstu HPH v průmyslu přispěly z poloviny automobilový průmysl a nejbližší návazné obory. Dařilo se strojírenství, výrobě počítačů, ale i většině menších zpracovatelských oborů. Po ukončení odstávek plně obnovily výrobní kapacity chemický průmysl i energetika. S dlouhodobějšími problémy se </w:t>
      </w:r>
      <w:r w:rsidR="005A2C7B">
        <w:rPr>
          <w:spacing w:val="-4"/>
        </w:rPr>
        <w:t xml:space="preserve">naopak </w:t>
      </w:r>
      <w:r w:rsidRPr="005A2C7B">
        <w:rPr>
          <w:spacing w:val="-4"/>
        </w:rPr>
        <w:t xml:space="preserve">potýkal těžební průmysl a také hutnictví. </w:t>
      </w:r>
    </w:p>
    <w:p w:rsidR="00067A82" w:rsidRPr="005A2C7B" w:rsidRDefault="00067A82" w:rsidP="005A2C7B">
      <w:pPr>
        <w:pStyle w:val="Normalodrka"/>
        <w:spacing w:after="160"/>
        <w:rPr>
          <w:spacing w:val="-4"/>
        </w:rPr>
      </w:pPr>
      <w:r w:rsidRPr="005A2C7B">
        <w:rPr>
          <w:color w:val="0D0D0D" w:themeColor="text1" w:themeTint="F2"/>
          <w:spacing w:val="-4"/>
        </w:rPr>
        <w:t>Meziroční pokles produkce ve stavebnictví se loni zastavil, nepříznivý vývoj v případě HPH ale přetrvával. Ta loni jen nepatrně překračovala úroveň z roku 2012, kdy v tomto odvětví recese vrcholila. K redukci HPH přisp</w:t>
      </w:r>
      <w:r w:rsidR="005A2C7B">
        <w:rPr>
          <w:color w:val="0D0D0D" w:themeColor="text1" w:themeTint="F2"/>
          <w:spacing w:val="-4"/>
        </w:rPr>
        <w:t>ělo loni</w:t>
      </w:r>
      <w:r w:rsidRPr="005A2C7B">
        <w:rPr>
          <w:color w:val="0D0D0D" w:themeColor="text1" w:themeTint="F2"/>
          <w:spacing w:val="-4"/>
        </w:rPr>
        <w:t xml:space="preserve"> </w:t>
      </w:r>
      <w:r w:rsidR="005A2C7B">
        <w:rPr>
          <w:color w:val="0D0D0D" w:themeColor="text1" w:themeTint="F2"/>
          <w:spacing w:val="-4"/>
        </w:rPr>
        <w:t>hlavně inženýrské</w:t>
      </w:r>
      <w:r w:rsidRPr="005A2C7B">
        <w:rPr>
          <w:color w:val="0D0D0D" w:themeColor="text1" w:themeTint="F2"/>
          <w:spacing w:val="-4"/>
        </w:rPr>
        <w:t xml:space="preserve"> stavitelství. Více se dařilo specializovaných stavebním činnostem. </w:t>
      </w:r>
      <w:r w:rsidRPr="005A2C7B">
        <w:rPr>
          <w:spacing w:val="-4"/>
        </w:rPr>
        <w:t xml:space="preserve">Již druhým rokem v řadě zůstaly nejvýznamnější složkou stavebních prací opravy a údržba. Zrychloval růst výstavby </w:t>
      </w:r>
      <w:r w:rsidRPr="005A2C7B">
        <w:rPr>
          <w:color w:val="0D0D0D"/>
          <w:spacing w:val="-4"/>
        </w:rPr>
        <w:t>nebytových výrobních budov. Již čtvrtým rokem v řadě mírně ožívala výstavba bytových budov. Vyhlídky odvětví stavebnictví se v průběhu roku výrazně zlepšovaly, což souviselo s růstem nových zakázek.</w:t>
      </w:r>
    </w:p>
    <w:p w:rsidR="00FF3EEC" w:rsidRPr="005A2C7B" w:rsidRDefault="005A2C7B" w:rsidP="005A2C7B">
      <w:pPr>
        <w:pStyle w:val="Normalodrka"/>
      </w:pPr>
      <w:r w:rsidRPr="005A2C7B">
        <w:rPr>
          <w:spacing w:val="-4"/>
        </w:rPr>
        <w:t>V celém terciárním sektor</w:t>
      </w:r>
      <w:r w:rsidR="00BD2211">
        <w:rPr>
          <w:spacing w:val="-4"/>
        </w:rPr>
        <w:t>u ekonomiky vzrostla v roce 2017 HPH o 4,2</w:t>
      </w:r>
      <w:r w:rsidRPr="005A2C7B">
        <w:rPr>
          <w:spacing w:val="-4"/>
        </w:rPr>
        <w:t xml:space="preserve"> %. Vedle peněžnictví a pojišťovnictví se dařilo zejména informačním komunikačním činnostem (+5,7 %).</w:t>
      </w:r>
      <w:r>
        <w:rPr>
          <w:spacing w:val="-4"/>
        </w:rPr>
        <w:t xml:space="preserve"> Na růstu služeb se </w:t>
      </w:r>
      <w:r w:rsidRPr="005A2C7B">
        <w:rPr>
          <w:spacing w:val="-4"/>
        </w:rPr>
        <w:t>a</w:t>
      </w:r>
      <w:r>
        <w:rPr>
          <w:spacing w:val="-4"/>
        </w:rPr>
        <w:t>le</w:t>
      </w:r>
      <w:r w:rsidRPr="005A2C7B">
        <w:rPr>
          <w:spacing w:val="-4"/>
        </w:rPr>
        <w:t xml:space="preserve"> nejvíce </w:t>
      </w:r>
      <w:r>
        <w:rPr>
          <w:spacing w:val="-4"/>
        </w:rPr>
        <w:t>podílelo uskupení</w:t>
      </w:r>
      <w:r w:rsidRPr="005A2C7B">
        <w:rPr>
          <w:spacing w:val="-4"/>
        </w:rPr>
        <w:t xml:space="preserve"> obchod, doprava, ubytování a pohostinství</w:t>
      </w:r>
      <w:r w:rsidR="00BD2211">
        <w:rPr>
          <w:spacing w:val="-4"/>
        </w:rPr>
        <w:t>, které k mezi</w:t>
      </w:r>
      <w:r w:rsidR="00942C19">
        <w:rPr>
          <w:spacing w:val="-4"/>
        </w:rPr>
        <w:t>r</w:t>
      </w:r>
      <w:r w:rsidR="00BD2211">
        <w:rPr>
          <w:spacing w:val="-4"/>
        </w:rPr>
        <w:t>o</w:t>
      </w:r>
      <w:r w:rsidR="00942C19">
        <w:rPr>
          <w:spacing w:val="-4"/>
        </w:rPr>
        <w:t>čně vyšší HPH p</w:t>
      </w:r>
      <w:r w:rsidR="00D050F8">
        <w:rPr>
          <w:spacing w:val="-4"/>
        </w:rPr>
        <w:t>řispělo</w:t>
      </w:r>
      <w:r w:rsidRPr="005A2C7B">
        <w:rPr>
          <w:spacing w:val="-4"/>
        </w:rPr>
        <w:t xml:space="preserve"> téměř ze 40 %. Příznivý vývoj na trhu práce společně s dalším posílením optimistických očekávání spotřebitelů vyústily v téměř 6 % růst maloobchodních tržeb. Šlo o desetileté maximum. Rostoucí mobilita obyvatel se odrážela ve vyšších přepravních výkonech všech druhů veřejné dopravy. Tržby v ubytování byly podpořeny dynamickým růstem cestovního ruchu. </w:t>
      </w:r>
      <w:r w:rsidRPr="005A2C7B">
        <w:rPr>
          <w:color w:val="0D0D0D"/>
          <w:spacing w:val="-4"/>
        </w:rPr>
        <w:t>Loni počet hostů v hromadných ubytovacích zařízeních meziročně vzrostl o 8,8 % a</w:t>
      </w:r>
      <w:r w:rsidR="00BD2211" w:rsidRPr="005A2C7B">
        <w:rPr>
          <w:spacing w:val="-4"/>
        </w:rPr>
        <w:t> </w:t>
      </w:r>
      <w:r w:rsidR="00BD2211">
        <w:rPr>
          <w:color w:val="0D0D0D"/>
          <w:spacing w:val="-4"/>
        </w:rPr>
        <w:t>poprvé překročil</w:t>
      </w:r>
      <w:r w:rsidRPr="005A2C7B">
        <w:rPr>
          <w:color w:val="0D0D0D"/>
          <w:spacing w:val="-4"/>
        </w:rPr>
        <w:t xml:space="preserve"> hranici</w:t>
      </w:r>
      <w:r w:rsidR="00BD2211">
        <w:rPr>
          <w:color w:val="0D0D0D"/>
          <w:spacing w:val="-4"/>
        </w:rPr>
        <w:t xml:space="preserve"> 20 milionů</w:t>
      </w:r>
      <w:r w:rsidRPr="005A2C7B">
        <w:rPr>
          <w:color w:val="0D0D0D"/>
          <w:spacing w:val="-4"/>
        </w:rPr>
        <w:t>.</w:t>
      </w:r>
      <w:r w:rsidR="002B2127">
        <w:rPr>
          <w:color w:val="0D0D0D"/>
          <w:spacing w:val="-4"/>
        </w:rPr>
        <w:t xml:space="preserve"> K růstu počtu přenocování přispěli v roce 2017 nejvíce ruští občané.</w:t>
      </w:r>
      <w:r w:rsidR="00FF3EEC" w:rsidRPr="00360DE3">
        <w:br w:type="page"/>
      </w:r>
    </w:p>
    <w:p w:rsidR="00A50D73" w:rsidRPr="00360DE3" w:rsidRDefault="00F46502" w:rsidP="00F46502">
      <w:pPr>
        <w:pStyle w:val="Nadpis1"/>
      </w:pPr>
      <w:bookmarkStart w:id="2" w:name="_Toc527639458"/>
      <w:r w:rsidRPr="00360DE3">
        <w:lastRenderedPageBreak/>
        <w:t>Základní makroekonomické okruhy</w:t>
      </w:r>
      <w:bookmarkEnd w:id="2"/>
    </w:p>
    <w:p w:rsidR="00F46502" w:rsidRPr="00360DE3" w:rsidRDefault="00F46502" w:rsidP="00F46502">
      <w:pPr>
        <w:pStyle w:val="Nadpis11"/>
      </w:pPr>
      <w:bookmarkStart w:id="3" w:name="_Toc527639459"/>
      <w:r w:rsidRPr="00360DE3">
        <w:t>1. Hrubý domácí produkt</w:t>
      </w:r>
      <w:bookmarkEnd w:id="3"/>
    </w:p>
    <w:tbl>
      <w:tblPr>
        <w:tblW w:w="9644" w:type="dxa"/>
        <w:tblInd w:w="-15" w:type="dxa"/>
        <w:tblCellMar>
          <w:left w:w="0" w:type="dxa"/>
          <w:right w:w="0" w:type="dxa"/>
        </w:tblCellMar>
        <w:tblLook w:val="00A0"/>
      </w:tblPr>
      <w:tblGrid>
        <w:gridCol w:w="1909"/>
        <w:gridCol w:w="264"/>
        <w:gridCol w:w="7471"/>
      </w:tblGrid>
      <w:tr w:rsidR="00F46502" w:rsidRPr="00360DE3" w:rsidTr="002B213A">
        <w:trPr>
          <w:trHeight w:val="145"/>
        </w:trPr>
        <w:tc>
          <w:tcPr>
            <w:tcW w:w="1909" w:type="dxa"/>
            <w:shd w:val="clear" w:color="auto" w:fill="auto"/>
          </w:tcPr>
          <w:p w:rsidR="00F46502" w:rsidRPr="00360DE3" w:rsidRDefault="00F46502" w:rsidP="002B213A">
            <w:pPr>
              <w:pStyle w:val="Marginlie"/>
              <w:rPr>
                <w:spacing w:val="0"/>
              </w:rPr>
            </w:pPr>
            <w:r w:rsidRPr="00360DE3">
              <w:rPr>
                <w:spacing w:val="0"/>
              </w:rPr>
              <w:t>Hrubý domácí produkt se v minulém roce reálně zvýšil o 4,3 %.</w:t>
            </w:r>
          </w:p>
        </w:tc>
        <w:tc>
          <w:tcPr>
            <w:tcW w:w="264" w:type="dxa"/>
            <w:shd w:val="clear" w:color="auto" w:fill="auto"/>
          </w:tcPr>
          <w:p w:rsidR="00F46502" w:rsidRPr="00360DE3" w:rsidRDefault="00F46502" w:rsidP="002B213A">
            <w:pPr>
              <w:pStyle w:val="Textpoznpodarou1"/>
              <w:jc w:val="both"/>
            </w:pPr>
          </w:p>
        </w:tc>
        <w:tc>
          <w:tcPr>
            <w:tcW w:w="7471" w:type="dxa"/>
            <w:shd w:val="clear" w:color="auto" w:fill="auto"/>
          </w:tcPr>
          <w:p w:rsidR="00F46502" w:rsidRPr="00360DE3" w:rsidRDefault="00F46502" w:rsidP="002B213A">
            <w:r w:rsidRPr="00360DE3">
              <w:t xml:space="preserve">Hrubý domácí produkt (HDP) v roce 2017 dosáhl 5 045,2 mld. korun (v běžných cenách). Poprvé tak byla překonána hranice 5 bilionů. Reálný meziroční přírůstek HDP činil 4,3 %, tempo tak výrazně zrychlilo v porovnání s předchozím rokem. Šlo o čtvrtý kladný přírůstek v řadě. Během posledního čtyřletého období konjunktury se HDP reálně zvýšil o 15,6 %. V celém uvedeném období stabilně přetrvával silný příspěvek bilance zahraničního obchodu. Výrazného hospodářského růstu v loňském roce však mohlo být dosaženo díky součinnosti všech složek HDP. Klíčovým faktorem, který přispěl ke zrychlení, byly výdaje na spotřebu domácností. </w:t>
            </w:r>
          </w:p>
        </w:tc>
      </w:tr>
      <w:tr w:rsidR="00F46502" w:rsidRPr="00360DE3" w:rsidTr="002B213A">
        <w:tc>
          <w:tcPr>
            <w:tcW w:w="1909" w:type="dxa"/>
            <w:vMerge w:val="restart"/>
            <w:shd w:val="clear" w:color="auto" w:fill="auto"/>
          </w:tcPr>
          <w:p w:rsidR="00F46502" w:rsidRPr="00360DE3" w:rsidRDefault="00F46502" w:rsidP="002B213A">
            <w:pPr>
              <w:pStyle w:val="Marginlie"/>
              <w:rPr>
                <w:spacing w:val="0"/>
              </w:rPr>
            </w:pPr>
          </w:p>
        </w:tc>
        <w:tc>
          <w:tcPr>
            <w:tcW w:w="264" w:type="dxa"/>
            <w:vMerge w:val="restart"/>
            <w:shd w:val="clear" w:color="auto" w:fill="auto"/>
          </w:tcPr>
          <w:p w:rsidR="00F46502" w:rsidRPr="00360DE3" w:rsidRDefault="00F46502" w:rsidP="002B213A">
            <w:pPr>
              <w:pStyle w:val="Textpoznpodarou1"/>
              <w:jc w:val="both"/>
            </w:pPr>
          </w:p>
        </w:tc>
        <w:tc>
          <w:tcPr>
            <w:tcW w:w="7471" w:type="dxa"/>
            <w:shd w:val="clear" w:color="auto" w:fill="auto"/>
          </w:tcPr>
          <w:p w:rsidR="000D514E" w:rsidRDefault="00F46502" w:rsidP="002B213A">
            <w:pPr>
              <w:spacing w:after="0"/>
              <w:rPr>
                <w:b/>
              </w:rPr>
            </w:pPr>
            <w:r w:rsidRPr="00360DE3">
              <w:rPr>
                <w:b/>
              </w:rPr>
              <w:t xml:space="preserve">Graf č. </w:t>
            </w:r>
            <w:proofErr w:type="gramStart"/>
            <w:r w:rsidR="002B213A" w:rsidRPr="00360DE3">
              <w:rPr>
                <w:b/>
              </w:rPr>
              <w:t>1.1</w:t>
            </w:r>
            <w:r w:rsidRPr="00360DE3">
              <w:rPr>
                <w:b/>
              </w:rPr>
              <w:t xml:space="preserve">  Příspěvky</w:t>
            </w:r>
            <w:proofErr w:type="gramEnd"/>
            <w:r w:rsidRPr="00360DE3">
              <w:rPr>
                <w:b/>
              </w:rPr>
              <w:t xml:space="preserve"> jednotlivých složek ke změně HDP* </w:t>
            </w:r>
          </w:p>
          <w:p w:rsidR="00F46502" w:rsidRPr="00360DE3" w:rsidRDefault="00F46502" w:rsidP="002B213A">
            <w:pPr>
              <w:spacing w:after="0"/>
              <w:rPr>
                <w:b/>
              </w:rPr>
            </w:pPr>
            <w:r w:rsidRPr="00360DE3">
              <w:t>(objemové indexy, v p. </w:t>
            </w:r>
            <w:proofErr w:type="spellStart"/>
            <w:r w:rsidRPr="00360DE3">
              <w:t>b</w:t>
            </w:r>
            <w:proofErr w:type="spellEnd"/>
            <w:r w:rsidRPr="00360DE3">
              <w:t>., růst HDP v %)</w:t>
            </w:r>
          </w:p>
        </w:tc>
      </w:tr>
      <w:tr w:rsidR="00F46502" w:rsidRPr="00360DE3" w:rsidTr="002B213A">
        <w:trPr>
          <w:trHeight w:val="170"/>
        </w:trPr>
        <w:tc>
          <w:tcPr>
            <w:tcW w:w="1909" w:type="dxa"/>
            <w:vMerge/>
            <w:shd w:val="clear" w:color="auto" w:fill="auto"/>
          </w:tcPr>
          <w:p w:rsidR="00F46502" w:rsidRPr="00360DE3" w:rsidRDefault="00F46502" w:rsidP="002B213A">
            <w:pPr>
              <w:pStyle w:val="Marginlie"/>
              <w:rPr>
                <w:spacing w:val="0"/>
              </w:rPr>
            </w:pPr>
          </w:p>
        </w:tc>
        <w:tc>
          <w:tcPr>
            <w:tcW w:w="264" w:type="dxa"/>
            <w:vMerge/>
            <w:shd w:val="clear" w:color="auto" w:fill="auto"/>
          </w:tcPr>
          <w:p w:rsidR="00F46502" w:rsidRPr="00360DE3" w:rsidRDefault="00F46502" w:rsidP="002B213A">
            <w:pPr>
              <w:pStyle w:val="Textpoznpodarou1"/>
              <w:jc w:val="both"/>
            </w:pPr>
          </w:p>
        </w:tc>
        <w:tc>
          <w:tcPr>
            <w:tcW w:w="7471" w:type="dxa"/>
            <w:shd w:val="clear" w:color="auto" w:fill="auto"/>
          </w:tcPr>
          <w:p w:rsidR="00F46502" w:rsidRPr="00360DE3" w:rsidRDefault="00F46502" w:rsidP="002B213A">
            <w:pPr>
              <w:spacing w:after="0"/>
            </w:pPr>
            <w:r w:rsidRPr="00360DE3">
              <w:rPr>
                <w:noProof/>
              </w:rPr>
              <w:drawing>
                <wp:inline distT="0" distB="0" distL="0" distR="0">
                  <wp:extent cx="4737600" cy="3553200"/>
                  <wp:effectExtent l="0" t="0" r="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F46502" w:rsidRPr="00360DE3" w:rsidTr="002B213A">
        <w:trPr>
          <w:trHeight w:val="170"/>
        </w:trPr>
        <w:tc>
          <w:tcPr>
            <w:tcW w:w="1909" w:type="dxa"/>
            <w:vMerge/>
            <w:shd w:val="clear" w:color="auto" w:fill="auto"/>
          </w:tcPr>
          <w:p w:rsidR="00F46502" w:rsidRPr="00360DE3" w:rsidRDefault="00F46502" w:rsidP="002B213A">
            <w:pPr>
              <w:pStyle w:val="Marginlie"/>
              <w:rPr>
                <w:spacing w:val="0"/>
              </w:rPr>
            </w:pPr>
          </w:p>
        </w:tc>
        <w:tc>
          <w:tcPr>
            <w:tcW w:w="264" w:type="dxa"/>
            <w:vMerge/>
            <w:shd w:val="clear" w:color="auto" w:fill="auto"/>
          </w:tcPr>
          <w:p w:rsidR="00F46502" w:rsidRPr="00360DE3" w:rsidRDefault="00F46502" w:rsidP="002B213A">
            <w:pPr>
              <w:pStyle w:val="Textpoznpodarou1"/>
              <w:jc w:val="both"/>
            </w:pPr>
          </w:p>
        </w:tc>
        <w:tc>
          <w:tcPr>
            <w:tcW w:w="7471" w:type="dxa"/>
            <w:shd w:val="clear" w:color="auto" w:fill="auto"/>
          </w:tcPr>
          <w:p w:rsidR="00F46502" w:rsidRPr="00360DE3" w:rsidRDefault="00F46502" w:rsidP="002B213A">
            <w:pPr>
              <w:spacing w:after="0"/>
              <w:rPr>
                <w:sz w:val="14"/>
                <w:szCs w:val="14"/>
              </w:rPr>
            </w:pPr>
            <w:r w:rsidRPr="00360DE3">
              <w:rPr>
                <w:sz w:val="14"/>
                <w:szCs w:val="14"/>
              </w:rPr>
              <w:t>Zdroj: ČSÚ</w:t>
            </w:r>
          </w:p>
          <w:p w:rsidR="00F46502" w:rsidRPr="00360DE3" w:rsidRDefault="00F46502" w:rsidP="002B213A">
            <w:pPr>
              <w:rPr>
                <w:sz w:val="14"/>
                <w:szCs w:val="14"/>
              </w:rPr>
            </w:pPr>
            <w:r w:rsidRPr="00360DE3">
              <w:rPr>
                <w:sz w:val="14"/>
                <w:szCs w:val="14"/>
              </w:rPr>
              <w:t>*Po vyloučení dovozu pro konečné užití</w:t>
            </w:r>
          </w:p>
        </w:tc>
      </w:tr>
      <w:tr w:rsidR="00F46502" w:rsidRPr="00360DE3" w:rsidTr="002B213A">
        <w:trPr>
          <w:trHeight w:val="145"/>
        </w:trPr>
        <w:tc>
          <w:tcPr>
            <w:tcW w:w="1909" w:type="dxa"/>
            <w:shd w:val="clear" w:color="auto" w:fill="auto"/>
          </w:tcPr>
          <w:p w:rsidR="00F46502" w:rsidRPr="00360DE3" w:rsidRDefault="00F46502" w:rsidP="002B213A">
            <w:pPr>
              <w:pStyle w:val="Marginlie"/>
              <w:rPr>
                <w:spacing w:val="0"/>
              </w:rPr>
            </w:pPr>
            <w:r w:rsidRPr="00360DE3">
              <w:rPr>
                <w:spacing w:val="0"/>
              </w:rPr>
              <w:t>Hospodářský růst byl podpořen všemi složkami HDP. Nejvýrazněji se projevoval růst spotřeby a investic.</w:t>
            </w:r>
          </w:p>
        </w:tc>
        <w:tc>
          <w:tcPr>
            <w:tcW w:w="264" w:type="dxa"/>
            <w:shd w:val="clear" w:color="auto" w:fill="auto"/>
          </w:tcPr>
          <w:p w:rsidR="00F46502" w:rsidRPr="00360DE3" w:rsidRDefault="00F46502" w:rsidP="002B213A">
            <w:pPr>
              <w:pStyle w:val="Textpoznpodarou1"/>
              <w:jc w:val="both"/>
            </w:pPr>
          </w:p>
        </w:tc>
        <w:tc>
          <w:tcPr>
            <w:tcW w:w="7471" w:type="dxa"/>
            <w:shd w:val="clear" w:color="auto" w:fill="auto"/>
          </w:tcPr>
          <w:p w:rsidR="00F46502" w:rsidRPr="00360DE3" w:rsidRDefault="00F46502" w:rsidP="002B213A">
            <w:r w:rsidRPr="00360DE3">
              <w:t xml:space="preserve">Celkový příspěvek výdajů na konečnou spotřebu k růstu HDP loni dosáhl 2,3 p. </w:t>
            </w:r>
            <w:proofErr w:type="spellStart"/>
            <w:r w:rsidRPr="00360DE3">
              <w:t>b</w:t>
            </w:r>
            <w:proofErr w:type="spellEnd"/>
            <w:r w:rsidRPr="00360DE3">
              <w:t>.</w:t>
            </w:r>
            <w:r w:rsidRPr="00360DE3">
              <w:rPr>
                <w:rStyle w:val="Znakapoznpodarou"/>
              </w:rPr>
              <w:footnoteReference w:id="1"/>
            </w:r>
            <w:r w:rsidRPr="00360DE3">
              <w:t xml:space="preserve"> Klíčovou roli měly domácnosti, jejichž spotřební výdaje se reálně zvýšily o 4,3 % (zrychlení o 0,7 p. </w:t>
            </w:r>
            <w:proofErr w:type="spellStart"/>
            <w:r w:rsidRPr="00360DE3">
              <w:t>b</w:t>
            </w:r>
            <w:proofErr w:type="spellEnd"/>
            <w:r w:rsidRPr="00360DE3">
              <w:t xml:space="preserve">.). Samotný příspěvek spotřeby domácností k růstu HDP narostl na 2,1 p. </w:t>
            </w:r>
            <w:proofErr w:type="spellStart"/>
            <w:r w:rsidRPr="00360DE3">
              <w:t>b</w:t>
            </w:r>
            <w:proofErr w:type="spellEnd"/>
            <w:r w:rsidRPr="00360DE3">
              <w:t>.</w:t>
            </w:r>
            <w:r w:rsidR="000D514E">
              <w:t>,</w:t>
            </w:r>
            <w:r w:rsidRPr="00360DE3">
              <w:t xml:space="preserve"> a byl </w:t>
            </w:r>
            <w:r w:rsidR="000D514E">
              <w:t xml:space="preserve">zároveň </w:t>
            </w:r>
            <w:r w:rsidRPr="00360DE3">
              <w:t xml:space="preserve">nejvyšší od roku 1996. Naopak výdaje na spotřebu vládních institucí rostly pomaleji než v roce 2016 – zvýšily se o 1,3 %. Výsledný příspěvek k celkovému hospodářskému růstu činil 0,2 p. </w:t>
            </w:r>
            <w:proofErr w:type="spellStart"/>
            <w:r w:rsidRPr="00360DE3">
              <w:t>b</w:t>
            </w:r>
            <w:proofErr w:type="spellEnd"/>
            <w:r w:rsidRPr="00360DE3">
              <w:t xml:space="preserve">. Druhý nejvyšší příspěvek k růstu vzešel od rostoucí bilance zahraničního obchodu. Dosáhl 1,4 p. </w:t>
            </w:r>
            <w:proofErr w:type="spellStart"/>
            <w:r w:rsidRPr="00360DE3">
              <w:t>b</w:t>
            </w:r>
            <w:proofErr w:type="spellEnd"/>
            <w:r w:rsidRPr="00360DE3">
              <w:t>.</w:t>
            </w:r>
            <w:r w:rsidR="000D514E">
              <w:t>,</w:t>
            </w:r>
            <w:r w:rsidRPr="00360DE3">
              <w:t xml:space="preserve"> a byl nejvyšší za posledních pět let. Po slabém roce 2016 došlo i k oživení investiční aktivity. Výdaje na tvorbu hrubého fixního kapitálu se zvýšily o 3,3 % a růst HDP podpořily 0,8 p. </w:t>
            </w:r>
            <w:proofErr w:type="spellStart"/>
            <w:r w:rsidRPr="00360DE3">
              <w:t>b</w:t>
            </w:r>
            <w:proofErr w:type="spellEnd"/>
            <w:r w:rsidRPr="00360DE3">
              <w:t>. Tento příspěvek byl (pomineme-li nestandardní rok 2015</w:t>
            </w:r>
            <w:r w:rsidRPr="00360DE3">
              <w:rPr>
                <w:rStyle w:val="Znakapoznpodarou"/>
              </w:rPr>
              <w:footnoteReference w:id="2"/>
            </w:r>
            <w:r w:rsidRPr="00360DE3">
              <w:t xml:space="preserve">) nejvyšší od roku 2007.  </w:t>
            </w:r>
          </w:p>
        </w:tc>
      </w:tr>
      <w:tr w:rsidR="00F46502" w:rsidRPr="00360DE3" w:rsidTr="002B213A">
        <w:trPr>
          <w:trHeight w:val="145"/>
        </w:trPr>
        <w:tc>
          <w:tcPr>
            <w:tcW w:w="1909" w:type="dxa"/>
            <w:shd w:val="clear" w:color="auto" w:fill="auto"/>
          </w:tcPr>
          <w:p w:rsidR="00F46502" w:rsidRPr="00360DE3" w:rsidRDefault="00F46502" w:rsidP="002B213A">
            <w:pPr>
              <w:pStyle w:val="Marginlie"/>
              <w:rPr>
                <w:spacing w:val="0"/>
              </w:rPr>
            </w:pPr>
            <w:r w:rsidRPr="00360DE3">
              <w:rPr>
                <w:spacing w:val="0"/>
              </w:rPr>
              <w:lastRenderedPageBreak/>
              <w:t>Zpracovatelský průmysl loni dále posílil svou převahu v českém hospodářství.</w:t>
            </w:r>
          </w:p>
        </w:tc>
        <w:tc>
          <w:tcPr>
            <w:tcW w:w="264" w:type="dxa"/>
            <w:shd w:val="clear" w:color="auto" w:fill="auto"/>
          </w:tcPr>
          <w:p w:rsidR="00F46502" w:rsidRPr="00360DE3" w:rsidRDefault="00F46502" w:rsidP="002B213A">
            <w:pPr>
              <w:pStyle w:val="Textpoznpodarou1"/>
              <w:jc w:val="both"/>
            </w:pPr>
          </w:p>
        </w:tc>
        <w:tc>
          <w:tcPr>
            <w:tcW w:w="7471" w:type="dxa"/>
            <w:shd w:val="clear" w:color="auto" w:fill="auto"/>
          </w:tcPr>
          <w:p w:rsidR="00F46502" w:rsidRPr="00360DE3" w:rsidRDefault="00F46502" w:rsidP="002B213A">
            <w:r w:rsidRPr="00360DE3">
              <w:t xml:space="preserve">Nabídkovou stranu ekonomiky reprezentuje hrubá přidaná hodnota (HPH). Ta loni dosáhla v běžných cenách 4 527,6 mld. korun a reálně se zvýšila o 4,2 %. Hlavním tvůrcem HPH je v české ekonomice dlouhodobě zpracovatelský průmysl, ve kterém HPH loni vzrostla o 10,5 %. Zpracovatelský průmysl tak nejvýrazněji přispěl k růstu HPH (3,0 p. </w:t>
            </w:r>
            <w:proofErr w:type="spellStart"/>
            <w:r w:rsidRPr="00360DE3">
              <w:t>b</w:t>
            </w:r>
            <w:proofErr w:type="spellEnd"/>
            <w:r w:rsidRPr="00360DE3">
              <w:t xml:space="preserve">.). Ostatním průmyslovým odvětvím se tak nedařilo a růst tlumila celkem o 0,1 p. </w:t>
            </w:r>
            <w:proofErr w:type="spellStart"/>
            <w:r w:rsidRPr="00360DE3">
              <w:t>b</w:t>
            </w:r>
            <w:proofErr w:type="spellEnd"/>
            <w:r w:rsidRPr="00360DE3">
              <w:t xml:space="preserve">. Výjimkou byla výroba a rozvod elektřiny, plynu, tepla a klimatizovaného vzduchu, kde po čtyřech letech propadů loni došlo k mírnému růstu HPH ve výši 3,9 %. Pokračoval však pokles u těžby a dobývání (-9,6 %) a o 3,0 % se snížila HPH v odvětvích věnujících se zásobování vodou a činnostem souvisejícím s odpadními vodami. Pokračoval i slabý výkon stavebnictví, kde HPH meziročně poklesla o 2,9 %. I pod vlivem slabší úrody než v předchozích letech došlo ke snížení HPH v zemědělství, lesnictví a rybářství o 3,0 %.  </w:t>
            </w:r>
          </w:p>
        </w:tc>
      </w:tr>
      <w:tr w:rsidR="00F46502" w:rsidRPr="00360DE3" w:rsidTr="002B213A">
        <w:trPr>
          <w:trHeight w:val="170"/>
        </w:trPr>
        <w:tc>
          <w:tcPr>
            <w:tcW w:w="1909" w:type="dxa"/>
            <w:vMerge w:val="restart"/>
            <w:shd w:val="clear" w:color="auto" w:fill="auto"/>
          </w:tcPr>
          <w:p w:rsidR="00F46502" w:rsidRPr="00360DE3" w:rsidRDefault="00F46502" w:rsidP="002B213A">
            <w:pPr>
              <w:pStyle w:val="Marginlie"/>
              <w:spacing w:after="240"/>
              <w:rPr>
                <w:spacing w:val="0"/>
              </w:rPr>
            </w:pPr>
          </w:p>
        </w:tc>
        <w:tc>
          <w:tcPr>
            <w:tcW w:w="264" w:type="dxa"/>
            <w:vMerge w:val="restart"/>
            <w:shd w:val="clear" w:color="auto" w:fill="auto"/>
          </w:tcPr>
          <w:p w:rsidR="00F46502" w:rsidRPr="00360DE3" w:rsidRDefault="00F46502" w:rsidP="002B213A">
            <w:pPr>
              <w:pStyle w:val="Textpoznpodarou1"/>
              <w:spacing w:after="240"/>
              <w:jc w:val="both"/>
            </w:pPr>
          </w:p>
        </w:tc>
        <w:tc>
          <w:tcPr>
            <w:tcW w:w="7471" w:type="dxa"/>
            <w:shd w:val="clear" w:color="auto" w:fill="auto"/>
          </w:tcPr>
          <w:p w:rsidR="000D514E" w:rsidRDefault="00F46502" w:rsidP="002B213A">
            <w:pPr>
              <w:spacing w:after="0"/>
              <w:rPr>
                <w:rFonts w:cs="Arial"/>
                <w:lang w:eastAsia="en-US"/>
              </w:rPr>
            </w:pPr>
            <w:r w:rsidRPr="00360DE3">
              <w:rPr>
                <w:rFonts w:cs="Arial"/>
                <w:b/>
                <w:lang w:eastAsia="en-US"/>
              </w:rPr>
              <w:t xml:space="preserve">Graf č. </w:t>
            </w:r>
            <w:proofErr w:type="gramStart"/>
            <w:r w:rsidR="002B213A" w:rsidRPr="00360DE3">
              <w:rPr>
                <w:rFonts w:cs="Arial"/>
                <w:b/>
                <w:lang w:eastAsia="en-US"/>
              </w:rPr>
              <w:t>1.2</w:t>
            </w:r>
            <w:r w:rsidRPr="00360DE3">
              <w:rPr>
                <w:rFonts w:cs="Arial"/>
                <w:b/>
                <w:lang w:eastAsia="en-US"/>
              </w:rPr>
              <w:t xml:space="preserve">  Příspěvky</w:t>
            </w:r>
            <w:proofErr w:type="gramEnd"/>
            <w:r w:rsidRPr="00360DE3">
              <w:rPr>
                <w:rFonts w:cs="Arial"/>
                <w:b/>
                <w:lang w:eastAsia="en-US"/>
              </w:rPr>
              <w:t xml:space="preserve"> odvětví ke změně HPH</w:t>
            </w:r>
            <w:r w:rsidRPr="00360DE3">
              <w:rPr>
                <w:rFonts w:cs="Arial"/>
                <w:lang w:eastAsia="en-US"/>
              </w:rPr>
              <w:t xml:space="preserve"> </w:t>
            </w:r>
          </w:p>
          <w:p w:rsidR="00F46502" w:rsidRPr="00360DE3" w:rsidRDefault="00F46502" w:rsidP="002B213A">
            <w:pPr>
              <w:spacing w:after="0"/>
            </w:pPr>
            <w:r w:rsidRPr="00360DE3">
              <w:rPr>
                <w:rFonts w:cs="Arial"/>
                <w:lang w:eastAsia="en-US"/>
              </w:rPr>
              <w:t xml:space="preserve">(objemové indexy, v p. </w:t>
            </w:r>
            <w:proofErr w:type="spellStart"/>
            <w:r w:rsidRPr="00360DE3">
              <w:rPr>
                <w:rFonts w:cs="Arial"/>
                <w:lang w:eastAsia="en-US"/>
              </w:rPr>
              <w:t>b</w:t>
            </w:r>
            <w:proofErr w:type="spellEnd"/>
            <w:r w:rsidRPr="00360DE3">
              <w:rPr>
                <w:rFonts w:cs="Arial"/>
                <w:lang w:eastAsia="en-US"/>
              </w:rPr>
              <w:t>., HPH v %)</w:t>
            </w:r>
          </w:p>
        </w:tc>
      </w:tr>
      <w:tr w:rsidR="00F46502" w:rsidRPr="00360DE3" w:rsidTr="002B213A">
        <w:trPr>
          <w:trHeight w:val="170"/>
        </w:trPr>
        <w:tc>
          <w:tcPr>
            <w:tcW w:w="1909" w:type="dxa"/>
            <w:vMerge/>
            <w:shd w:val="clear" w:color="auto" w:fill="auto"/>
          </w:tcPr>
          <w:p w:rsidR="00F46502" w:rsidRPr="00360DE3" w:rsidRDefault="00F46502" w:rsidP="002B213A">
            <w:pPr>
              <w:pStyle w:val="Marginlie"/>
              <w:spacing w:after="240"/>
              <w:rPr>
                <w:spacing w:val="0"/>
              </w:rPr>
            </w:pPr>
          </w:p>
        </w:tc>
        <w:tc>
          <w:tcPr>
            <w:tcW w:w="264" w:type="dxa"/>
            <w:vMerge/>
            <w:shd w:val="clear" w:color="auto" w:fill="auto"/>
          </w:tcPr>
          <w:p w:rsidR="00F46502" w:rsidRPr="00360DE3" w:rsidRDefault="00F46502" w:rsidP="002B213A">
            <w:pPr>
              <w:pStyle w:val="Textpoznpodarou1"/>
              <w:spacing w:after="240"/>
              <w:jc w:val="both"/>
            </w:pPr>
          </w:p>
        </w:tc>
        <w:tc>
          <w:tcPr>
            <w:tcW w:w="7471" w:type="dxa"/>
            <w:shd w:val="clear" w:color="auto" w:fill="auto"/>
          </w:tcPr>
          <w:p w:rsidR="00F46502" w:rsidRPr="00360DE3" w:rsidRDefault="00F46502" w:rsidP="002B213A">
            <w:pPr>
              <w:spacing w:after="0"/>
            </w:pPr>
            <w:r w:rsidRPr="00360DE3">
              <w:rPr>
                <w:noProof/>
              </w:rPr>
              <w:drawing>
                <wp:inline distT="0" distB="0" distL="0" distR="0">
                  <wp:extent cx="4737600" cy="355320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F46502" w:rsidRPr="00360DE3" w:rsidTr="002B213A">
        <w:trPr>
          <w:trHeight w:val="170"/>
        </w:trPr>
        <w:tc>
          <w:tcPr>
            <w:tcW w:w="1909" w:type="dxa"/>
            <w:vMerge/>
            <w:shd w:val="clear" w:color="auto" w:fill="auto"/>
          </w:tcPr>
          <w:p w:rsidR="00F46502" w:rsidRPr="00360DE3" w:rsidRDefault="00F46502" w:rsidP="002B213A">
            <w:pPr>
              <w:pStyle w:val="Marginlie"/>
              <w:spacing w:after="240"/>
              <w:rPr>
                <w:spacing w:val="0"/>
              </w:rPr>
            </w:pPr>
          </w:p>
        </w:tc>
        <w:tc>
          <w:tcPr>
            <w:tcW w:w="264" w:type="dxa"/>
            <w:vMerge/>
            <w:shd w:val="clear" w:color="auto" w:fill="auto"/>
          </w:tcPr>
          <w:p w:rsidR="00F46502" w:rsidRPr="00360DE3" w:rsidRDefault="00F46502" w:rsidP="002B213A">
            <w:pPr>
              <w:pStyle w:val="Textpoznpodarou1"/>
              <w:spacing w:after="240"/>
              <w:jc w:val="both"/>
            </w:pPr>
          </w:p>
        </w:tc>
        <w:tc>
          <w:tcPr>
            <w:tcW w:w="7471" w:type="dxa"/>
            <w:shd w:val="clear" w:color="auto" w:fill="auto"/>
          </w:tcPr>
          <w:p w:rsidR="00F46502" w:rsidRPr="00360DE3" w:rsidRDefault="00F46502" w:rsidP="002B213A">
            <w:pPr>
              <w:rPr>
                <w:sz w:val="14"/>
                <w:szCs w:val="14"/>
              </w:rPr>
            </w:pPr>
            <w:r w:rsidRPr="00360DE3">
              <w:rPr>
                <w:sz w:val="14"/>
                <w:szCs w:val="14"/>
              </w:rPr>
              <w:t>Zdroj:ČSÚ</w:t>
            </w:r>
          </w:p>
        </w:tc>
      </w:tr>
      <w:tr w:rsidR="00B30358" w:rsidRPr="00360DE3" w:rsidTr="002B213A">
        <w:trPr>
          <w:trHeight w:val="212"/>
        </w:trPr>
        <w:tc>
          <w:tcPr>
            <w:tcW w:w="1909" w:type="dxa"/>
            <w:shd w:val="clear" w:color="auto" w:fill="auto"/>
          </w:tcPr>
          <w:p w:rsidR="00B30358" w:rsidRPr="00360DE3" w:rsidRDefault="00B30358" w:rsidP="00A7184F">
            <w:pPr>
              <w:pStyle w:val="Marginlie"/>
              <w:rPr>
                <w:spacing w:val="0"/>
              </w:rPr>
            </w:pPr>
            <w:r w:rsidRPr="00360DE3">
              <w:rPr>
                <w:spacing w:val="0"/>
              </w:rPr>
              <w:t xml:space="preserve">Odvětví </w:t>
            </w:r>
            <w:proofErr w:type="gramStart"/>
            <w:r w:rsidRPr="00360DE3">
              <w:rPr>
                <w:spacing w:val="0"/>
              </w:rPr>
              <w:t>služeb  podporovalo</w:t>
            </w:r>
            <w:proofErr w:type="gramEnd"/>
            <w:r w:rsidRPr="00360DE3">
              <w:rPr>
                <w:spacing w:val="0"/>
              </w:rPr>
              <w:t xml:space="preserve"> zvýšení domácí poptávky.</w:t>
            </w:r>
          </w:p>
        </w:tc>
        <w:tc>
          <w:tcPr>
            <w:tcW w:w="264" w:type="dxa"/>
            <w:shd w:val="clear" w:color="auto" w:fill="auto"/>
          </w:tcPr>
          <w:p w:rsidR="00B30358" w:rsidRPr="00360DE3" w:rsidRDefault="00B30358" w:rsidP="00A7184F">
            <w:pPr>
              <w:pStyle w:val="Textpoznpodarou1"/>
              <w:jc w:val="both"/>
            </w:pPr>
          </w:p>
        </w:tc>
        <w:tc>
          <w:tcPr>
            <w:tcW w:w="7471" w:type="dxa"/>
            <w:shd w:val="clear" w:color="auto" w:fill="auto"/>
          </w:tcPr>
          <w:p w:rsidR="00B30358" w:rsidRPr="00360DE3" w:rsidRDefault="00B30358" w:rsidP="00A7184F">
            <w:r w:rsidRPr="00360DE3">
              <w:t xml:space="preserve">Odvětvím služeb prospívala zvýšená domácí poptávka i obecné zrychlení hospodářského růstu. Celkový příspěvek služeb k růstu HPH činil 1,6 p. </w:t>
            </w:r>
            <w:proofErr w:type="spellStart"/>
            <w:r w:rsidRPr="00360DE3">
              <w:t>b</w:t>
            </w:r>
            <w:proofErr w:type="spellEnd"/>
            <w:r w:rsidRPr="00360DE3">
              <w:t>. Zvýšená spotřeba domácností podpořila zejména ubytování, stravování a pohostinství, kde růst HPH zrychlil na 3,5 %. Zrychlení ekonomiky a zvýšená potřeba pohybu zboží pak stimulovaly odvětví doprava a skladování – zde se HPH zvýšila o 5,8 %. Naopak u velkoobchodu a maloobchodu se tempo růstu udrželo na 1,7 %. Dohromady zmíněná odvětví přispěla k rů</w:t>
            </w:r>
            <w:r>
              <w:t xml:space="preserve">stu HPH 0,6 p. </w:t>
            </w:r>
            <w:proofErr w:type="spellStart"/>
            <w:r>
              <w:t>b</w:t>
            </w:r>
            <w:proofErr w:type="spellEnd"/>
            <w:r>
              <w:t>. Informačním a</w:t>
            </w:r>
            <w:r w:rsidRPr="00360DE3">
              <w:t> komunikačním činnostem se daří již pět let (oživení zde proběhlo již v roce 2013, dříve než v ostatních důležitých odvětvích), lon</w:t>
            </w:r>
            <w:r>
              <w:t>i jejich HPH vzrostla o 5,7 % a</w:t>
            </w:r>
            <w:r w:rsidRPr="00360DE3">
              <w:t xml:space="preserve"> odvětví přispělo k růstu 0,3 p. </w:t>
            </w:r>
            <w:proofErr w:type="spellStart"/>
            <w:r w:rsidRPr="00360DE3">
              <w:t>b</w:t>
            </w:r>
            <w:proofErr w:type="spellEnd"/>
            <w:r w:rsidRPr="00360DE3">
              <w:t>. Poměrně silně s</w:t>
            </w:r>
            <w:r>
              <w:t>e zvyšovala HPH v peněžnictví a</w:t>
            </w:r>
            <w:r w:rsidRPr="00360DE3">
              <w:t xml:space="preserve"> pojišťovnictví (6,3 %), které podpořilo celkový růst 0,3 p. </w:t>
            </w:r>
            <w:proofErr w:type="spellStart"/>
            <w:r w:rsidRPr="00360DE3">
              <w:t>b</w:t>
            </w:r>
            <w:proofErr w:type="spellEnd"/>
            <w:r w:rsidRPr="00360DE3">
              <w:t xml:space="preserve">. Ostatní odvětví služeb růst podpořila méně. Oslabil růst u profesních, vědeckých a technických činností (2,7 %) i u administrativy a podpůrných činností (4,8 %, příspěvek 0,2 p. </w:t>
            </w:r>
            <w:proofErr w:type="spellStart"/>
            <w:r w:rsidRPr="00360DE3">
              <w:t>b</w:t>
            </w:r>
            <w:proofErr w:type="spellEnd"/>
            <w:r w:rsidRPr="00360DE3">
              <w:t xml:space="preserve">.). Rovněž </w:t>
            </w:r>
            <w:r w:rsidRPr="00360DE3">
              <w:lastRenderedPageBreak/>
              <w:t xml:space="preserve">0,2 p. </w:t>
            </w:r>
            <w:proofErr w:type="spellStart"/>
            <w:r w:rsidRPr="00360DE3">
              <w:t>b</w:t>
            </w:r>
            <w:proofErr w:type="spellEnd"/>
            <w:r w:rsidRPr="00360DE3">
              <w:t xml:space="preserve">. </w:t>
            </w:r>
            <w:proofErr w:type="gramStart"/>
            <w:r w:rsidRPr="00360DE3">
              <w:t>podpořila</w:t>
            </w:r>
            <w:proofErr w:type="gramEnd"/>
            <w:r w:rsidRPr="00360DE3">
              <w:t xml:space="preserve"> růst HPH odvětví </w:t>
            </w:r>
            <w:r>
              <w:t xml:space="preserve">služeb </w:t>
            </w:r>
            <w:r w:rsidRPr="00360DE3">
              <w:t>s dominancí státu</w:t>
            </w:r>
            <w:r>
              <w:rPr>
                <w:rStyle w:val="Znakapoznpodarou"/>
              </w:rPr>
              <w:footnoteReference w:id="3"/>
            </w:r>
            <w:r w:rsidRPr="00360DE3">
              <w:t>, kde hrubá přidaná hodnota vzrostla o 1,6 %. Útlum zažívaly činnosti v oblasti nemovitostí (</w:t>
            </w:r>
            <w:r w:rsidRPr="00360DE3">
              <w:noBreakHyphen/>
              <w:t xml:space="preserve">0,2 %). </w:t>
            </w:r>
          </w:p>
        </w:tc>
      </w:tr>
      <w:tr w:rsidR="00B30358" w:rsidRPr="00360DE3" w:rsidTr="002B213A">
        <w:trPr>
          <w:trHeight w:val="212"/>
        </w:trPr>
        <w:tc>
          <w:tcPr>
            <w:tcW w:w="1909" w:type="dxa"/>
            <w:shd w:val="clear" w:color="auto" w:fill="auto"/>
          </w:tcPr>
          <w:p w:rsidR="00B30358" w:rsidRPr="00360DE3" w:rsidRDefault="00B30358" w:rsidP="002B213A">
            <w:pPr>
              <w:pStyle w:val="Marginlie"/>
              <w:spacing w:after="240"/>
              <w:rPr>
                <w:spacing w:val="0"/>
              </w:rPr>
            </w:pPr>
            <w:r w:rsidRPr="00360DE3">
              <w:rPr>
                <w:spacing w:val="0"/>
              </w:rPr>
              <w:lastRenderedPageBreak/>
              <w:t>Pozitivní ekonomický vývoj probíhal napříč státy Evropské unie.</w:t>
            </w:r>
          </w:p>
        </w:tc>
        <w:tc>
          <w:tcPr>
            <w:tcW w:w="264" w:type="dxa"/>
            <w:shd w:val="clear" w:color="auto" w:fill="auto"/>
          </w:tcPr>
          <w:p w:rsidR="00B30358" w:rsidRPr="00360DE3" w:rsidRDefault="00B30358" w:rsidP="002B213A">
            <w:pPr>
              <w:pStyle w:val="Textpoznpodarou1"/>
              <w:spacing w:after="240"/>
              <w:jc w:val="both"/>
            </w:pPr>
          </w:p>
        </w:tc>
        <w:tc>
          <w:tcPr>
            <w:tcW w:w="7471" w:type="dxa"/>
            <w:shd w:val="clear" w:color="auto" w:fill="auto"/>
          </w:tcPr>
          <w:p w:rsidR="00B30358" w:rsidRPr="00360DE3" w:rsidRDefault="00B30358" w:rsidP="002B213A">
            <w:r w:rsidRPr="00360DE3">
              <w:t xml:space="preserve">Hrubý domácí produkt v Evropské unii loni vzrostl o 2,4 %. Výkon unijní ekonomiky tak zrychlil a dosáhl nejvyšší hodnoty přírůstku od konjunkturního roku 2007. Z celkového pohledu ke zrychlení přispělo zvýšení přebytku obchodní bilance i mírné posílení investiční aktivity. Růst spotřeby naopak zmírnil. Zrychlení hospodářského růstu se odehrálo ve většině </w:t>
            </w:r>
            <w:r>
              <w:t>jednotlivých ekonomik, důvody u</w:t>
            </w:r>
            <w:r w:rsidRPr="00360DE3">
              <w:t> jednotlivých zemí však byly různé. Nejvýraznějšího přírůstku HDP (7,2 %) dosáhlo Irsko, kde panují poměrně nestandardní podmínky, které znesnadňují srovnání se zbytkem EU</w:t>
            </w:r>
            <w:r w:rsidRPr="00360DE3">
              <w:rPr>
                <w:rStyle w:val="Znakapoznpodarou"/>
              </w:rPr>
              <w:footnoteReference w:id="4"/>
            </w:r>
            <w:r w:rsidRPr="00360DE3">
              <w:t>. K růstu zde každopádně přispělo více než zdvojnásobení přebytku bilance zahraničního obchodu. Mezi nejrychle</w:t>
            </w:r>
            <w:r>
              <w:t>ji rostoucími zeměmi se umístily i novější členské státy</w:t>
            </w:r>
            <w:r w:rsidRPr="00360DE3">
              <w:t xml:space="preserve"> Unie. Růst zde podpořila podobně jako v ČR zejména kombinace zvýšených výdajů na spotřebu a posílené investiční aktivity. To byl případ Rumunska (růst HDP o 6,9 %), Slovinska (5,0 %), Estonska (4,9 %) nebo Lotyšska (4,5 %). Poprvé od roku 2007 rostl HDP u všech zemí EU. Nejnižšího přírůstku dosáhlo Řecko (1,4 %, došlo zde k výraznému nárůstu investic), Itálie (1,5 %), shodně Velká Británie a Belgie (1,7 %). Ekonomika Velké Británie byla jednou z mála, kde došlo k meziročnímu zpomalení růstu. Určité zvolňování výkonu zd</w:t>
            </w:r>
            <w:r>
              <w:t>e trvá již třetím rokem.</w:t>
            </w:r>
          </w:p>
        </w:tc>
      </w:tr>
      <w:tr w:rsidR="00B30358" w:rsidRPr="00360DE3" w:rsidTr="002B213A">
        <w:trPr>
          <w:trHeight w:val="150"/>
        </w:trPr>
        <w:tc>
          <w:tcPr>
            <w:tcW w:w="1909" w:type="dxa"/>
            <w:vMerge w:val="restart"/>
            <w:shd w:val="clear" w:color="auto" w:fill="auto"/>
          </w:tcPr>
          <w:p w:rsidR="00B30358" w:rsidRPr="00360DE3" w:rsidRDefault="00B30358" w:rsidP="002B213A">
            <w:pPr>
              <w:pStyle w:val="Marginlie"/>
              <w:spacing w:after="240"/>
              <w:rPr>
                <w:spacing w:val="0"/>
              </w:rPr>
            </w:pPr>
          </w:p>
        </w:tc>
        <w:tc>
          <w:tcPr>
            <w:tcW w:w="264" w:type="dxa"/>
            <w:vMerge w:val="restart"/>
            <w:shd w:val="clear" w:color="auto" w:fill="auto"/>
          </w:tcPr>
          <w:p w:rsidR="00B30358" w:rsidRPr="00360DE3" w:rsidRDefault="00B30358" w:rsidP="002B213A">
            <w:pPr>
              <w:pStyle w:val="Textpoznpodarou1"/>
              <w:jc w:val="both"/>
            </w:pPr>
          </w:p>
        </w:tc>
        <w:tc>
          <w:tcPr>
            <w:tcW w:w="7471" w:type="dxa"/>
            <w:shd w:val="clear" w:color="auto" w:fill="auto"/>
          </w:tcPr>
          <w:p w:rsidR="00B30358" w:rsidRDefault="00B30358" w:rsidP="002B213A">
            <w:pPr>
              <w:spacing w:after="0"/>
            </w:pPr>
            <w:r w:rsidRPr="00360DE3">
              <w:rPr>
                <w:b/>
              </w:rPr>
              <w:t xml:space="preserve">Graf č. </w:t>
            </w:r>
            <w:proofErr w:type="gramStart"/>
            <w:r w:rsidRPr="00360DE3">
              <w:rPr>
                <w:b/>
              </w:rPr>
              <w:t>1.3  Hrubý</w:t>
            </w:r>
            <w:proofErr w:type="gramEnd"/>
            <w:r w:rsidRPr="00360DE3">
              <w:rPr>
                <w:b/>
              </w:rPr>
              <w:t xml:space="preserve"> domácí produkt</w:t>
            </w:r>
            <w:r w:rsidRPr="00360DE3">
              <w:t xml:space="preserve"> </w:t>
            </w:r>
          </w:p>
          <w:p w:rsidR="00B30358" w:rsidRPr="00360DE3" w:rsidRDefault="00B30358" w:rsidP="002B213A">
            <w:pPr>
              <w:spacing w:after="0"/>
            </w:pPr>
            <w:r w:rsidRPr="00360DE3">
              <w:t>(meziroční přírůstek v %)</w:t>
            </w:r>
          </w:p>
        </w:tc>
      </w:tr>
      <w:tr w:rsidR="00B30358" w:rsidRPr="00360DE3" w:rsidTr="002B213A">
        <w:trPr>
          <w:trHeight w:val="150"/>
        </w:trPr>
        <w:tc>
          <w:tcPr>
            <w:tcW w:w="1909" w:type="dxa"/>
            <w:vMerge/>
            <w:shd w:val="clear" w:color="auto" w:fill="auto"/>
          </w:tcPr>
          <w:p w:rsidR="00B30358" w:rsidRPr="00360DE3" w:rsidRDefault="00B30358" w:rsidP="002B213A">
            <w:pPr>
              <w:pStyle w:val="Marginlie"/>
              <w:spacing w:after="240"/>
              <w:rPr>
                <w:spacing w:val="0"/>
              </w:rPr>
            </w:pPr>
          </w:p>
        </w:tc>
        <w:tc>
          <w:tcPr>
            <w:tcW w:w="264" w:type="dxa"/>
            <w:vMerge/>
            <w:shd w:val="clear" w:color="auto" w:fill="auto"/>
          </w:tcPr>
          <w:p w:rsidR="00B30358" w:rsidRPr="00360DE3" w:rsidRDefault="00B30358" w:rsidP="002B213A">
            <w:pPr>
              <w:pStyle w:val="Textpoznpodarou1"/>
              <w:jc w:val="both"/>
            </w:pPr>
          </w:p>
        </w:tc>
        <w:tc>
          <w:tcPr>
            <w:tcW w:w="7471" w:type="dxa"/>
            <w:shd w:val="clear" w:color="auto" w:fill="auto"/>
          </w:tcPr>
          <w:p w:rsidR="00B30358" w:rsidRPr="00360DE3" w:rsidRDefault="00B30358" w:rsidP="002B213A">
            <w:pPr>
              <w:spacing w:after="0"/>
            </w:pPr>
            <w:r w:rsidRPr="00360DE3">
              <w:rPr>
                <w:noProof/>
              </w:rPr>
              <w:drawing>
                <wp:inline distT="0" distB="0" distL="0" distR="0">
                  <wp:extent cx="4737600" cy="3553200"/>
                  <wp:effectExtent l="0" t="0" r="0" b="0"/>
                  <wp:docPr id="4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B30358" w:rsidRPr="00360DE3" w:rsidTr="002B213A">
        <w:trPr>
          <w:trHeight w:val="150"/>
        </w:trPr>
        <w:tc>
          <w:tcPr>
            <w:tcW w:w="1909" w:type="dxa"/>
            <w:vMerge/>
            <w:shd w:val="clear" w:color="auto" w:fill="auto"/>
          </w:tcPr>
          <w:p w:rsidR="00B30358" w:rsidRPr="00360DE3" w:rsidRDefault="00B30358" w:rsidP="002B213A">
            <w:pPr>
              <w:pStyle w:val="Marginlie"/>
              <w:spacing w:after="240"/>
              <w:rPr>
                <w:spacing w:val="0"/>
              </w:rPr>
            </w:pPr>
          </w:p>
        </w:tc>
        <w:tc>
          <w:tcPr>
            <w:tcW w:w="264" w:type="dxa"/>
            <w:vMerge/>
            <w:shd w:val="clear" w:color="auto" w:fill="auto"/>
          </w:tcPr>
          <w:p w:rsidR="00B30358" w:rsidRPr="00360DE3" w:rsidRDefault="00B30358" w:rsidP="002B213A">
            <w:pPr>
              <w:pStyle w:val="Textpoznpodarou1"/>
              <w:jc w:val="both"/>
            </w:pPr>
          </w:p>
        </w:tc>
        <w:tc>
          <w:tcPr>
            <w:tcW w:w="7471" w:type="dxa"/>
            <w:shd w:val="clear" w:color="auto" w:fill="auto"/>
          </w:tcPr>
          <w:p w:rsidR="00B30358" w:rsidRPr="00360DE3" w:rsidRDefault="00B30358" w:rsidP="002B213A">
            <w:pPr>
              <w:spacing w:after="0"/>
              <w:rPr>
                <w:sz w:val="14"/>
                <w:szCs w:val="14"/>
              </w:rPr>
            </w:pPr>
            <w:r w:rsidRPr="00360DE3">
              <w:rPr>
                <w:sz w:val="14"/>
                <w:szCs w:val="14"/>
              </w:rPr>
              <w:t xml:space="preserve">Zdroj: </w:t>
            </w:r>
            <w:proofErr w:type="spellStart"/>
            <w:r w:rsidRPr="00360DE3">
              <w:rPr>
                <w:sz w:val="14"/>
                <w:szCs w:val="14"/>
              </w:rPr>
              <w:t>Eurostat</w:t>
            </w:r>
            <w:proofErr w:type="spellEnd"/>
          </w:p>
        </w:tc>
      </w:tr>
      <w:tr w:rsidR="00B30358" w:rsidRPr="00360DE3" w:rsidTr="002B213A">
        <w:trPr>
          <w:trHeight w:val="150"/>
        </w:trPr>
        <w:tc>
          <w:tcPr>
            <w:tcW w:w="1909" w:type="dxa"/>
            <w:shd w:val="clear" w:color="auto" w:fill="auto"/>
          </w:tcPr>
          <w:p w:rsidR="00B30358" w:rsidRPr="00360DE3" w:rsidRDefault="00B30358" w:rsidP="002B213A">
            <w:pPr>
              <w:pStyle w:val="Marginlie"/>
              <w:spacing w:after="240"/>
              <w:rPr>
                <w:spacing w:val="0"/>
              </w:rPr>
            </w:pPr>
          </w:p>
        </w:tc>
        <w:tc>
          <w:tcPr>
            <w:tcW w:w="264" w:type="dxa"/>
            <w:shd w:val="clear" w:color="auto" w:fill="auto"/>
          </w:tcPr>
          <w:p w:rsidR="00B30358" w:rsidRPr="00360DE3" w:rsidRDefault="00B30358" w:rsidP="002B213A">
            <w:pPr>
              <w:pStyle w:val="Textpoznpodarou1"/>
              <w:jc w:val="both"/>
            </w:pPr>
          </w:p>
        </w:tc>
        <w:tc>
          <w:tcPr>
            <w:tcW w:w="7471" w:type="dxa"/>
            <w:shd w:val="clear" w:color="auto" w:fill="auto"/>
          </w:tcPr>
          <w:p w:rsidR="00B30358" w:rsidRPr="00360DE3" w:rsidRDefault="00B30358" w:rsidP="002B213A">
            <w:pPr>
              <w:spacing w:after="0"/>
              <w:rPr>
                <w:sz w:val="14"/>
                <w:szCs w:val="14"/>
              </w:rPr>
            </w:pPr>
          </w:p>
        </w:tc>
      </w:tr>
    </w:tbl>
    <w:p w:rsidR="00F46502" w:rsidRPr="00360DE3" w:rsidRDefault="00F46502" w:rsidP="00F46502">
      <w:pPr>
        <w:pStyle w:val="Nadpis1"/>
      </w:pPr>
      <w:bookmarkStart w:id="4" w:name="_Toc511215218"/>
      <w:bookmarkStart w:id="5" w:name="_Toc527639460"/>
      <w:r w:rsidRPr="00360DE3">
        <w:lastRenderedPageBreak/>
        <w:t>2. Ceny</w:t>
      </w:r>
      <w:bookmarkEnd w:id="4"/>
      <w:bookmarkEnd w:id="5"/>
    </w:p>
    <w:p w:rsidR="00F46502" w:rsidRPr="00360DE3" w:rsidRDefault="00F46502" w:rsidP="00F46502">
      <w:pPr>
        <w:pStyle w:val="Nadpis21"/>
      </w:pPr>
      <w:bookmarkStart w:id="6" w:name="_Toc527639461"/>
      <w:r w:rsidRPr="00360DE3">
        <w:t>2.1 Deflátor HDP</w:t>
      </w:r>
      <w:bookmarkEnd w:id="6"/>
    </w:p>
    <w:tbl>
      <w:tblPr>
        <w:tblW w:w="9597" w:type="dxa"/>
        <w:tblInd w:w="-15" w:type="dxa"/>
        <w:tblLayout w:type="fixed"/>
        <w:tblCellMar>
          <w:left w:w="0" w:type="dxa"/>
          <w:right w:w="0" w:type="dxa"/>
        </w:tblCellMar>
        <w:tblLook w:val="00A0"/>
      </w:tblPr>
      <w:tblGrid>
        <w:gridCol w:w="1966"/>
        <w:gridCol w:w="276"/>
        <w:gridCol w:w="7355"/>
      </w:tblGrid>
      <w:tr w:rsidR="00F46502" w:rsidRPr="00360DE3" w:rsidTr="002B213A">
        <w:trPr>
          <w:trHeight w:val="145"/>
        </w:trPr>
        <w:tc>
          <w:tcPr>
            <w:tcW w:w="1966" w:type="dxa"/>
          </w:tcPr>
          <w:p w:rsidR="00F46502" w:rsidRPr="00360DE3" w:rsidRDefault="00F46502" w:rsidP="002B213A">
            <w:pPr>
              <w:pStyle w:val="Marginlie"/>
              <w:rPr>
                <w:spacing w:val="0"/>
              </w:rPr>
            </w:pPr>
            <w:r w:rsidRPr="00360DE3">
              <w:rPr>
                <w:spacing w:val="0"/>
              </w:rPr>
              <w:t>Celková cenová hladina loni vzrostla o 1,3 %. Růst výrazně podpořily spotřební statky.</w:t>
            </w:r>
          </w:p>
        </w:tc>
        <w:tc>
          <w:tcPr>
            <w:tcW w:w="276" w:type="dxa"/>
          </w:tcPr>
          <w:p w:rsidR="00F46502" w:rsidRPr="00360DE3" w:rsidRDefault="00F46502" w:rsidP="002B213A">
            <w:pPr>
              <w:pStyle w:val="Textpoznpodarou"/>
              <w:jc w:val="both"/>
            </w:pPr>
          </w:p>
        </w:tc>
        <w:tc>
          <w:tcPr>
            <w:tcW w:w="7355" w:type="dxa"/>
          </w:tcPr>
          <w:p w:rsidR="00F46502" w:rsidRPr="00360DE3" w:rsidRDefault="00F46502" w:rsidP="00EA405F">
            <w:pPr>
              <w:spacing w:after="220"/>
            </w:pPr>
            <w:r w:rsidRPr="00360DE3">
              <w:t>Celková cenová hladina měřená deflátorem hrubého domácího produktu se v roce 2017 zvýšila o 1,4 %. To je o 0,2 p. </w:t>
            </w:r>
            <w:proofErr w:type="spellStart"/>
            <w:r w:rsidRPr="00360DE3">
              <w:t>b</w:t>
            </w:r>
            <w:proofErr w:type="spellEnd"/>
            <w:r w:rsidRPr="00360DE3">
              <w:t xml:space="preserve">. </w:t>
            </w:r>
            <w:proofErr w:type="gramStart"/>
            <w:r w:rsidRPr="00360DE3">
              <w:t>více</w:t>
            </w:r>
            <w:proofErr w:type="gramEnd"/>
            <w:r w:rsidRPr="00360DE3">
              <w:t xml:space="preserve"> než v předchozím roce. Přitom se v porovnání s rokem 2016 zrychlil růst cen statků spotřebovávaných domácnostmi (z 0,5 % na 2,4 %), podobně jako ceny zboží a služeb spotřebovávaných vládními </w:t>
            </w:r>
            <w:proofErr w:type="gramStart"/>
            <w:r w:rsidRPr="00360DE3">
              <w:t>institucemi (z 1,8</w:t>
            </w:r>
            <w:proofErr w:type="gramEnd"/>
            <w:r w:rsidRPr="00360DE3">
              <w:t xml:space="preserve"> % na 4,0 %). Zrychlení se nevyhnulo ani cenám kapitálových statků. Ty celkově vzrostly o 1,3 %. </w:t>
            </w:r>
          </w:p>
        </w:tc>
      </w:tr>
      <w:tr w:rsidR="00F46502" w:rsidRPr="00360DE3" w:rsidTr="002B213A">
        <w:trPr>
          <w:trHeight w:val="145"/>
        </w:trPr>
        <w:tc>
          <w:tcPr>
            <w:tcW w:w="1966" w:type="dxa"/>
            <w:shd w:val="clear" w:color="auto" w:fill="auto"/>
          </w:tcPr>
          <w:p w:rsidR="00F46502" w:rsidRPr="00360DE3" w:rsidRDefault="00F46502" w:rsidP="002B213A">
            <w:pPr>
              <w:pStyle w:val="Marginlie"/>
              <w:rPr>
                <w:spacing w:val="0"/>
              </w:rPr>
            </w:pPr>
            <w:r w:rsidRPr="00360DE3">
              <w:rPr>
                <w:spacing w:val="0"/>
              </w:rPr>
              <w:t>Směnné relace byly poprvé po čtyřech letech záporné.</w:t>
            </w:r>
          </w:p>
        </w:tc>
        <w:tc>
          <w:tcPr>
            <w:tcW w:w="276" w:type="dxa"/>
          </w:tcPr>
          <w:p w:rsidR="00F46502" w:rsidRPr="00360DE3" w:rsidRDefault="00F46502" w:rsidP="002B213A">
            <w:pPr>
              <w:pStyle w:val="Textpoznpodarou"/>
              <w:jc w:val="both"/>
            </w:pPr>
          </w:p>
        </w:tc>
        <w:tc>
          <w:tcPr>
            <w:tcW w:w="7355" w:type="dxa"/>
          </w:tcPr>
          <w:p w:rsidR="00F46502" w:rsidRPr="00360DE3" w:rsidRDefault="00F46502" w:rsidP="00EA405F">
            <w:pPr>
              <w:spacing w:after="220"/>
            </w:pPr>
            <w:r w:rsidRPr="00360DE3">
              <w:t>Výslednou cenovou hladinu však po celý rok negativně ovlivňovaly záporné směnné relace. Ty loni dosáhly 99,0 %. Do záporných hodnot se směnné relace dostaly poprvé po čtyřech letech. Důvodem byl výsledek obchodu se zbožím, směnné relace zde loni činily 98,8 %. Naopak směnné relace zahraničního obchodu se službami dosáhly 100,2 %.</w:t>
            </w:r>
          </w:p>
        </w:tc>
      </w:tr>
      <w:tr w:rsidR="00F46502" w:rsidRPr="00360DE3" w:rsidTr="002B213A">
        <w:trPr>
          <w:trHeight w:val="90"/>
        </w:trPr>
        <w:tc>
          <w:tcPr>
            <w:tcW w:w="1966" w:type="dxa"/>
            <w:vMerge w:val="restart"/>
            <w:shd w:val="clear" w:color="auto" w:fill="auto"/>
          </w:tcPr>
          <w:p w:rsidR="00F46502" w:rsidRPr="00360DE3" w:rsidRDefault="00F46502" w:rsidP="002B213A">
            <w:pPr>
              <w:pStyle w:val="Marginlie"/>
              <w:rPr>
                <w:spacing w:val="0"/>
              </w:rPr>
            </w:pPr>
          </w:p>
        </w:tc>
        <w:tc>
          <w:tcPr>
            <w:tcW w:w="276" w:type="dxa"/>
            <w:vMerge w:val="restart"/>
          </w:tcPr>
          <w:p w:rsidR="00F46502" w:rsidRPr="00360DE3" w:rsidRDefault="00F46502" w:rsidP="002B213A">
            <w:pPr>
              <w:pStyle w:val="Textpoznpodarou"/>
              <w:jc w:val="both"/>
            </w:pPr>
          </w:p>
        </w:tc>
        <w:tc>
          <w:tcPr>
            <w:tcW w:w="7355" w:type="dxa"/>
          </w:tcPr>
          <w:p w:rsidR="00F46502" w:rsidRPr="00360DE3" w:rsidRDefault="00F46502" w:rsidP="002B213A">
            <w:pPr>
              <w:spacing w:after="0"/>
              <w:rPr>
                <w:b/>
              </w:rPr>
            </w:pPr>
            <w:r w:rsidRPr="00360DE3">
              <w:rPr>
                <w:b/>
              </w:rPr>
              <w:t xml:space="preserve">Graf č. </w:t>
            </w:r>
            <w:proofErr w:type="gramStart"/>
            <w:r w:rsidR="002B213A" w:rsidRPr="00360DE3">
              <w:rPr>
                <w:b/>
              </w:rPr>
              <w:t>2.1.1</w:t>
            </w:r>
            <w:r w:rsidRPr="00360DE3">
              <w:rPr>
                <w:b/>
              </w:rPr>
              <w:t xml:space="preserve">  Deflátor</w:t>
            </w:r>
            <w:proofErr w:type="gramEnd"/>
            <w:r w:rsidRPr="00360DE3">
              <w:rPr>
                <w:b/>
              </w:rPr>
              <w:t xml:space="preserve"> HDP a jeho složek </w:t>
            </w:r>
            <w:r w:rsidRPr="00360DE3">
              <w:t>(meziroční změna v %)</w:t>
            </w:r>
          </w:p>
        </w:tc>
      </w:tr>
      <w:tr w:rsidR="00F46502" w:rsidRPr="00360DE3" w:rsidTr="002B213A">
        <w:trPr>
          <w:trHeight w:val="90"/>
        </w:trPr>
        <w:tc>
          <w:tcPr>
            <w:tcW w:w="1966" w:type="dxa"/>
            <w:vMerge/>
            <w:shd w:val="clear" w:color="auto" w:fill="auto"/>
          </w:tcPr>
          <w:p w:rsidR="00F46502" w:rsidRPr="00360DE3" w:rsidRDefault="00F46502" w:rsidP="002B213A">
            <w:pPr>
              <w:pStyle w:val="Marginlie"/>
              <w:rPr>
                <w:spacing w:val="0"/>
              </w:rPr>
            </w:pPr>
          </w:p>
        </w:tc>
        <w:tc>
          <w:tcPr>
            <w:tcW w:w="276" w:type="dxa"/>
            <w:vMerge/>
          </w:tcPr>
          <w:p w:rsidR="00F46502" w:rsidRPr="00360DE3" w:rsidRDefault="00F46502" w:rsidP="002B213A">
            <w:pPr>
              <w:pStyle w:val="Textpoznpodarou"/>
              <w:jc w:val="both"/>
            </w:pPr>
          </w:p>
        </w:tc>
        <w:tc>
          <w:tcPr>
            <w:tcW w:w="7355" w:type="dxa"/>
          </w:tcPr>
          <w:p w:rsidR="00F46502" w:rsidRPr="00360DE3" w:rsidRDefault="00F46502" w:rsidP="002B213A">
            <w:pPr>
              <w:spacing w:after="0"/>
              <w:rPr>
                <w:b/>
              </w:rPr>
            </w:pPr>
            <w:r w:rsidRPr="00360DE3">
              <w:rPr>
                <w:b/>
                <w:noProof/>
              </w:rPr>
              <w:drawing>
                <wp:inline distT="0" distB="0" distL="0" distR="0">
                  <wp:extent cx="4740295" cy="3522964"/>
                  <wp:effectExtent l="0" t="0" r="0" b="0"/>
                  <wp:docPr id="1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F46502" w:rsidRPr="00360DE3" w:rsidTr="002B213A">
        <w:trPr>
          <w:trHeight w:val="90"/>
        </w:trPr>
        <w:tc>
          <w:tcPr>
            <w:tcW w:w="1966" w:type="dxa"/>
            <w:vMerge/>
            <w:shd w:val="clear" w:color="auto" w:fill="auto"/>
          </w:tcPr>
          <w:p w:rsidR="00F46502" w:rsidRPr="00360DE3" w:rsidRDefault="00F46502" w:rsidP="002B213A">
            <w:pPr>
              <w:pStyle w:val="Marginlie"/>
              <w:rPr>
                <w:spacing w:val="0"/>
              </w:rPr>
            </w:pPr>
          </w:p>
        </w:tc>
        <w:tc>
          <w:tcPr>
            <w:tcW w:w="276" w:type="dxa"/>
            <w:vMerge/>
          </w:tcPr>
          <w:p w:rsidR="00F46502" w:rsidRPr="00360DE3" w:rsidRDefault="00F46502" w:rsidP="002B213A">
            <w:pPr>
              <w:pStyle w:val="Textpoznpodarou"/>
              <w:jc w:val="both"/>
            </w:pPr>
          </w:p>
        </w:tc>
        <w:tc>
          <w:tcPr>
            <w:tcW w:w="7355" w:type="dxa"/>
          </w:tcPr>
          <w:p w:rsidR="00F46502" w:rsidRPr="00360DE3" w:rsidRDefault="00493F18" w:rsidP="00EA405F">
            <w:pPr>
              <w:pStyle w:val="Textpoznpodarou"/>
              <w:spacing w:after="220" w:line="276" w:lineRule="auto"/>
              <w:jc w:val="both"/>
              <w:rPr>
                <w:b/>
              </w:rPr>
            </w:pPr>
            <w:r>
              <w:rPr>
                <w:sz w:val="14"/>
                <w:szCs w:val="14"/>
              </w:rPr>
              <w:t>Z</w:t>
            </w:r>
            <w:r w:rsidR="00F46502" w:rsidRPr="00360DE3">
              <w:rPr>
                <w:sz w:val="14"/>
                <w:szCs w:val="14"/>
              </w:rPr>
              <w:t>droj: ČSÚ, vlastní výpočty</w:t>
            </w:r>
          </w:p>
        </w:tc>
      </w:tr>
    </w:tbl>
    <w:p w:rsidR="00F46502" w:rsidRPr="00360DE3" w:rsidRDefault="00F46502" w:rsidP="00F46502">
      <w:pPr>
        <w:pStyle w:val="Nadpis2"/>
      </w:pPr>
      <w:bookmarkStart w:id="7" w:name="_Toc527639462"/>
      <w:r w:rsidRPr="00360DE3">
        <w:t>2.2 Spotřebitelské ceny</w:t>
      </w:r>
      <w:bookmarkEnd w:id="7"/>
    </w:p>
    <w:tbl>
      <w:tblPr>
        <w:tblW w:w="9644" w:type="dxa"/>
        <w:tblInd w:w="-15" w:type="dxa"/>
        <w:tblLayout w:type="fixed"/>
        <w:tblCellMar>
          <w:left w:w="0" w:type="dxa"/>
          <w:right w:w="0" w:type="dxa"/>
        </w:tblCellMar>
        <w:tblLook w:val="00A0"/>
      </w:tblPr>
      <w:tblGrid>
        <w:gridCol w:w="1976"/>
        <w:gridCol w:w="277"/>
        <w:gridCol w:w="7391"/>
      </w:tblGrid>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Po letech stagnace se v roce 2017 obnovil růst spotřebitelských cen.</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EA405F">
            <w:pPr>
              <w:spacing w:after="220"/>
              <w:rPr>
                <w:sz w:val="16"/>
                <w:szCs w:val="16"/>
              </w:rPr>
            </w:pPr>
            <w:r w:rsidRPr="00360DE3">
              <w:t>Index spotřebitelských cen v roce 2017 vzrostl o 2,5 %. To je nejvíce od roku 2012. V porovnání s lety 2014–2016 došlo tedy ke značnému oživení meziroční dynamiky. Zlom se odehrál již v posledních měsících roku 2016. Meziroční přírůstek indexu se dostal nad 2% hranici v lednu 2017 (poprvé od prosince 2012). Pod 2% hranicí se tedy meziroční dynamika držela nepřetržitě 47 měsíců a dotkla se jí až v prosinci 2016. V průběhu roku 2017 pak meziroční růst spotřebitelských cen sílil. Tomu napomohlo výrazné meziměsíční navýšení indexu v lednu (0,8 %). Díky tomu se udržela meziroční dynamika nad 2% hranicí i ve 2. čtvrtletí, kdy index stagnoval. Dalšímu zrychlení meziročního růstu spotřebitelských cen napomohly meziměsíční impulsy v červenci a říjnu (0,5 %).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 xml:space="preserve">Rostly ceny všech hlavních komponent spotřebního </w:t>
            </w:r>
            <w:r w:rsidRPr="00360DE3">
              <w:rPr>
                <w:spacing w:val="0"/>
              </w:rPr>
              <w:lastRenderedPageBreak/>
              <w:t xml:space="preserve">koše. Klíčový byl příspěvek potravin a nealkoholických nápojů. </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pPr>
              <w:rPr>
                <w:sz w:val="16"/>
                <w:szCs w:val="16"/>
              </w:rPr>
            </w:pPr>
            <w:r w:rsidRPr="00360DE3">
              <w:t xml:space="preserve">Klíčovou komponentou spotřebitelského koše, která táhla loňský růst cen, byly potraviny. Jejich příspěvek k růstu v roce 2017 činil 0,9 procentního bodu (p. </w:t>
            </w:r>
            <w:proofErr w:type="spellStart"/>
            <w:r w:rsidRPr="00360DE3">
              <w:t>b</w:t>
            </w:r>
            <w:proofErr w:type="spellEnd"/>
            <w:r w:rsidRPr="00360DE3">
              <w:t xml:space="preserve">.). </w:t>
            </w:r>
            <w:r w:rsidRPr="00360DE3">
              <w:lastRenderedPageBreak/>
              <w:t xml:space="preserve">Sílící růst cen bydlení a energií přispěl 0,4 p. </w:t>
            </w:r>
            <w:proofErr w:type="spellStart"/>
            <w:r w:rsidRPr="00360DE3">
              <w:t>b</w:t>
            </w:r>
            <w:proofErr w:type="spellEnd"/>
            <w:r w:rsidRPr="00360DE3">
              <w:t xml:space="preserve">., stejně jako ceny dopravy. Zatímco doprava tlačila spotřebitelské ceny vzhůru především v 1. čtvrtletí, bydlení a energie výrazněji podpořily růst v druhé polovině roku. Výrazněji (0,3 p. </w:t>
            </w:r>
            <w:proofErr w:type="spellStart"/>
            <w:r w:rsidRPr="00360DE3">
              <w:t>b</w:t>
            </w:r>
            <w:proofErr w:type="spellEnd"/>
            <w:r w:rsidRPr="00360DE3">
              <w:t xml:space="preserve">.) k růstu přispělo i stravování a ubytování, které má přitom ve spotřebitelském koši poměrně malou váhu (5,4 %). V porovnání s rokem 2016 se snížil příspěvek alkoholických nápojů a tabáku a loni dosáhl 0,2 </w:t>
            </w:r>
            <w:proofErr w:type="spellStart"/>
            <w:proofErr w:type="gramStart"/>
            <w:r w:rsidRPr="00360DE3">
              <w:t>p.b</w:t>
            </w:r>
            <w:proofErr w:type="spellEnd"/>
            <w:r w:rsidRPr="00360DE3">
              <w:t>.</w:t>
            </w:r>
            <w:proofErr w:type="gramEnd"/>
          </w:p>
        </w:tc>
      </w:tr>
      <w:tr w:rsidR="00F46502" w:rsidRPr="00360DE3" w:rsidTr="002B213A">
        <w:tc>
          <w:tcPr>
            <w:tcW w:w="1976" w:type="dxa"/>
            <w:vMerge w:val="restart"/>
          </w:tcPr>
          <w:p w:rsidR="00F46502" w:rsidRPr="00360DE3" w:rsidRDefault="00F46502" w:rsidP="002B213A">
            <w:pPr>
              <w:pStyle w:val="Marginlie"/>
              <w:rPr>
                <w:spacing w:val="0"/>
              </w:rPr>
            </w:pPr>
          </w:p>
        </w:tc>
        <w:tc>
          <w:tcPr>
            <w:tcW w:w="277" w:type="dxa"/>
            <w:vMerge w:val="restart"/>
          </w:tcPr>
          <w:p w:rsidR="00F46502" w:rsidRPr="00360DE3" w:rsidRDefault="00F46502" w:rsidP="002B213A">
            <w:pPr>
              <w:pStyle w:val="Textpoznpodarou"/>
              <w:jc w:val="both"/>
            </w:pPr>
          </w:p>
        </w:tc>
        <w:tc>
          <w:tcPr>
            <w:tcW w:w="7391" w:type="dxa"/>
          </w:tcPr>
          <w:p w:rsidR="000D514E" w:rsidRDefault="00F46502" w:rsidP="002B213A">
            <w:pPr>
              <w:spacing w:after="0"/>
              <w:rPr>
                <w:b/>
              </w:rPr>
            </w:pPr>
            <w:r w:rsidRPr="00360DE3">
              <w:rPr>
                <w:b/>
              </w:rPr>
              <w:t xml:space="preserve">Graf č. </w:t>
            </w:r>
            <w:proofErr w:type="gramStart"/>
            <w:r w:rsidRPr="00360DE3">
              <w:rPr>
                <w:b/>
              </w:rPr>
              <w:t>2</w:t>
            </w:r>
            <w:r w:rsidR="002B213A" w:rsidRPr="00360DE3">
              <w:rPr>
                <w:b/>
              </w:rPr>
              <w:t>.2.1</w:t>
            </w:r>
            <w:r w:rsidRPr="00360DE3">
              <w:rPr>
                <w:b/>
              </w:rPr>
              <w:t xml:space="preserve">  Index</w:t>
            </w:r>
            <w:proofErr w:type="gramEnd"/>
            <w:r w:rsidRPr="00360DE3">
              <w:rPr>
                <w:b/>
              </w:rPr>
              <w:t xml:space="preserve"> spotřebitelských cen, rozklad přírůstku </w:t>
            </w:r>
          </w:p>
          <w:p w:rsidR="00F46502" w:rsidRPr="00360DE3" w:rsidRDefault="00F46502" w:rsidP="002B213A">
            <w:pPr>
              <w:spacing w:after="0"/>
              <w:rPr>
                <w:b/>
              </w:rPr>
            </w:pPr>
            <w:r w:rsidRPr="00360DE3">
              <w:t>(meziroční změna v p. </w:t>
            </w:r>
            <w:proofErr w:type="spellStart"/>
            <w:r w:rsidRPr="00360DE3">
              <w:t>b</w:t>
            </w:r>
            <w:proofErr w:type="spellEnd"/>
            <w:r w:rsidRPr="00360DE3">
              <w:t>.)</w:t>
            </w:r>
          </w:p>
        </w:tc>
      </w:tr>
      <w:tr w:rsidR="00F46502" w:rsidRPr="00360DE3" w:rsidTr="002B213A">
        <w:trPr>
          <w:trHeight w:val="170"/>
        </w:trPr>
        <w:tc>
          <w:tcPr>
            <w:tcW w:w="1976" w:type="dxa"/>
            <w:vMerge/>
          </w:tcPr>
          <w:p w:rsidR="00F46502" w:rsidRPr="00360DE3" w:rsidRDefault="00F46502" w:rsidP="002B213A">
            <w:pPr>
              <w:pStyle w:val="Marginlie"/>
              <w:rPr>
                <w:spacing w:val="0"/>
              </w:rPr>
            </w:pPr>
          </w:p>
        </w:tc>
        <w:tc>
          <w:tcPr>
            <w:tcW w:w="277" w:type="dxa"/>
            <w:vMerge/>
          </w:tcPr>
          <w:p w:rsidR="00F46502" w:rsidRPr="00360DE3" w:rsidRDefault="00F46502" w:rsidP="002B213A">
            <w:pPr>
              <w:pStyle w:val="Textpoznpodarou"/>
              <w:jc w:val="both"/>
            </w:pPr>
          </w:p>
        </w:tc>
        <w:tc>
          <w:tcPr>
            <w:tcW w:w="7391" w:type="dxa"/>
          </w:tcPr>
          <w:p w:rsidR="00F46502" w:rsidRPr="00360DE3" w:rsidRDefault="00F46502" w:rsidP="002B213A">
            <w:pPr>
              <w:spacing w:after="0"/>
            </w:pPr>
            <w:r w:rsidRPr="00360DE3">
              <w:rPr>
                <w:noProof/>
              </w:rPr>
              <w:drawing>
                <wp:inline distT="0" distB="0" distL="0" distR="0">
                  <wp:extent cx="4737600" cy="3552825"/>
                  <wp:effectExtent l="0" t="0" r="0" b="0"/>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F46502" w:rsidRPr="00360DE3" w:rsidTr="002B213A">
        <w:trPr>
          <w:trHeight w:val="170"/>
        </w:trPr>
        <w:tc>
          <w:tcPr>
            <w:tcW w:w="1976" w:type="dxa"/>
            <w:vMerge/>
          </w:tcPr>
          <w:p w:rsidR="00F46502" w:rsidRPr="00360DE3" w:rsidRDefault="00F46502" w:rsidP="002B213A">
            <w:pPr>
              <w:pStyle w:val="Marginlie"/>
              <w:rPr>
                <w:spacing w:val="0"/>
              </w:rPr>
            </w:pPr>
          </w:p>
        </w:tc>
        <w:tc>
          <w:tcPr>
            <w:tcW w:w="277" w:type="dxa"/>
            <w:vMerge/>
          </w:tcPr>
          <w:p w:rsidR="00F46502" w:rsidRPr="00360DE3" w:rsidRDefault="00F46502" w:rsidP="002B213A">
            <w:pPr>
              <w:pStyle w:val="Textpoznpodarou"/>
              <w:jc w:val="both"/>
            </w:pPr>
          </w:p>
        </w:tc>
        <w:tc>
          <w:tcPr>
            <w:tcW w:w="7391" w:type="dxa"/>
          </w:tcPr>
          <w:p w:rsidR="00F46502" w:rsidRPr="00360DE3" w:rsidRDefault="00F46502" w:rsidP="002B213A">
            <w:pPr>
              <w:rPr>
                <w:sz w:val="14"/>
                <w:szCs w:val="14"/>
              </w:rPr>
            </w:pPr>
            <w:r w:rsidRPr="00360DE3">
              <w:rPr>
                <w:sz w:val="14"/>
                <w:szCs w:val="14"/>
              </w:rPr>
              <w:t>Zdroj: ČSÚ</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potravin loni velmi výrazně rostly. Zdražování se týkalo téměř všech tříd klasifikace. Nejvýrazněji se projevilo zdražení mléčných výrobků, vajec, masa a pekárenských výrobků.</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pPr>
              <w:rPr>
                <w:sz w:val="16"/>
                <w:szCs w:val="16"/>
              </w:rPr>
            </w:pPr>
            <w:r w:rsidRPr="00360DE3">
              <w:t xml:space="preserve">Ceny potravin a nealkoholických nápojů se v roce 2017 meziročně zvýšily o 5,2 %. Jde o nejvyšší hodnotu od roku 2012. S výjimkou zeleniny rostly ceny všech tříd v tomto oddílu klasifikace spotřeby. V meziroční dynamice se nejvýrazněji projevila třída mléko, sýry a vejce, která k růstu cen potravin a nápojů přispěla 1,9 p. </w:t>
            </w:r>
            <w:proofErr w:type="spellStart"/>
            <w:r w:rsidRPr="00360DE3">
              <w:t>b</w:t>
            </w:r>
            <w:proofErr w:type="spellEnd"/>
            <w:r w:rsidRPr="00360DE3">
              <w:t xml:space="preserve">. Celkově v roce 2017 tato položka zdražila o 10,8 % a jde o nejvyšší hodnotu od roku 2008. Výrazně rostly i ceny masa (oproti roku 2016 o 4,4 %). Ty přispěly k navýšení cen potravin a nápojů 1,1 p. </w:t>
            </w:r>
            <w:proofErr w:type="spellStart"/>
            <w:r w:rsidRPr="00360DE3">
              <w:t>b</w:t>
            </w:r>
            <w:proofErr w:type="spellEnd"/>
            <w:r w:rsidRPr="00360DE3">
              <w:t xml:space="preserve">. Pekárenské výrobky a obiloviny loni zdražily o 5,1 % a k růstu cen potravin a nápojů přidaly 0,8 p. </w:t>
            </w:r>
            <w:proofErr w:type="spellStart"/>
            <w:r w:rsidRPr="00360DE3">
              <w:t>b</w:t>
            </w:r>
            <w:proofErr w:type="spellEnd"/>
            <w:r w:rsidRPr="00360DE3">
              <w:t xml:space="preserve">. Třída oleje a tuky má v indexu spotřebitelských cen jen malou váhu (0,8 %) a v samotných potravinách a nealkoholických nápojích její zastoupení dosahuje 4,3 %. Přesto díky meziročnímu navýšení o 14,2 % přispěla k růstu cen svého nadřazeného oddílu o 0,6 p. </w:t>
            </w:r>
            <w:proofErr w:type="spellStart"/>
            <w:r w:rsidRPr="00360DE3">
              <w:t>b</w:t>
            </w:r>
            <w:proofErr w:type="spellEnd"/>
            <w:r w:rsidRPr="00360DE3">
              <w:t>. Do této třídy patří hojně medializované máslo.</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energií loni mírně klesly, růst nákladů na bydlení a energie tak pohánělo zejména zvyšující se imputované nájemné a nájemné z bytů.</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 xml:space="preserve">Ceny bydlení, vody, energií a paliv oproti roku 2016 vloni vzrostly o 1,7 %. Ještě v 1. čtvrtletí meziroční přírůstek cen bydlení a energií nepřesáhl 1,0 %, v dalších čtvrtletích však zrychloval. Samotné ceny energií loni přitom poklesly o 0,7 %. Zrychlení růstu nákladů na bydlení a energie lze přičíst především imputovanému nájemnému (meziroční růst 4,2 %), které zčásti odráží výrazně rostoucí ceny nemovitostí. Napětí na trhu s nemovitostmi se promítlo i do zvyšujícího se nájemného z bytů (2,2 %). Situaci názorně vykresluje pohled na vývoj indexu cen nemovitostí. Ten v roce 2017 vzrostl o 11,7 % (7,2 % v roce 2016). Jeho hlavní součástí jsou nákupy starších obydlí, které zdražily o 11,4 %. V loňském roce však </w:t>
            </w:r>
            <w:r w:rsidRPr="00360DE3">
              <w:lastRenderedPageBreak/>
              <w:t xml:space="preserve">došlo k výraznému zrychlení cenového růstu v nových stavebních projektech. To odráží vzestup cen nových obydlí o 13,9 % (v roce 2016 to bylo 5,9 %).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lastRenderedPageBreak/>
              <w:t>Ustálení cen ropy zmírnilo vliv cen dopravy na vývoj celkového indexu spotřebitelských cen.</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Ceny dopravy měly klíčový dopad na spotřebitelské ceny v letech 2015-2016. Nyní jejich význam pro ně mírně poklesl. Celkově ceny dopravy loni vzrostly o 3,7 %. Rostly přitom náklady na provoz dopravních prostředků (5,2 %), které ovlivnil růst cen ropy, i ceny samotných dopravních prostředků (3,1 %). Nejvýrazněji rostly ceny dopravy na počátku roku, kdy se silně projevoval vliv nízké srovnávací základny u cen ropy v předchozím roce. Zatímco náklady na provoz dopravních prostředků tak tlačily na růst cen dopravy v 1. pololetí, ve druhé polovině roku se výrazněji projevilo zdražování osobních dopravních prostředků povzbuzené silnou domácí poptávkou. Podobně silně jako ceny dopravy působilo na spotřebitelské ceny i stravování a ubytování. Zde loni vzrostly ceny o 5,7 %. Jedním z důvodů bylo poměrně výrazné navýšení mezd v tomto odvětví. Rostoucí náklady se následně přenesly do cenové hladiny.</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Česko bylo součástí širší vlny oživení cenového růstu v EU.</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 xml:space="preserve">Výrazné zrychlení růstu spotřebitelských cen bylo společné prakticky celé Evropské unii. V porovnání s rokem 2016 se loni zvýšil harmonizovaný index spotřebitelských cen (HICP) v EU 28 o 1,7 % (v roce 2016 meziroční růst cen činil 0,3 %). V zemích platících eurem rostly spotřebitelské ceny o 1,5 % (zrychlení z 0,2 % v roce 2016). Nejrychleji loni rostly ceny v Estonsku (3,7 %), Litvě (3,7 %) a Lotyšsku (2,9 %). Česká republika se vloni umístila v první šestici zemí s nejrychlejším cenovým růstem. Nejpomaleji rostly ceny v Irsku (0,3 %), na Kypru (0,7 %) a ve Finsku (0,8 %). Tyto tři země byly jediné, kde ceny vzrostly o méně než 1 %. Poprvé po čtyřech letech se meziročně zvýšily spotřebitelské ceny ve všech zemích EU.  </w:t>
            </w:r>
          </w:p>
        </w:tc>
      </w:tr>
      <w:tr w:rsidR="00F46502" w:rsidRPr="00360DE3" w:rsidTr="002B213A">
        <w:trPr>
          <w:trHeight w:val="170"/>
        </w:trPr>
        <w:tc>
          <w:tcPr>
            <w:tcW w:w="1976" w:type="dxa"/>
            <w:vMerge w:val="restart"/>
          </w:tcPr>
          <w:p w:rsidR="00F46502" w:rsidRPr="00360DE3" w:rsidRDefault="00F46502" w:rsidP="002B213A">
            <w:pPr>
              <w:pStyle w:val="Marginlie"/>
              <w:rPr>
                <w:spacing w:val="0"/>
              </w:rPr>
            </w:pPr>
          </w:p>
        </w:tc>
        <w:tc>
          <w:tcPr>
            <w:tcW w:w="277" w:type="dxa"/>
            <w:vMerge w:val="restart"/>
          </w:tcPr>
          <w:p w:rsidR="00F46502" w:rsidRPr="00360DE3" w:rsidRDefault="00F46502" w:rsidP="002B213A">
            <w:pPr>
              <w:pStyle w:val="Textpoznpodarou"/>
              <w:jc w:val="both"/>
            </w:pPr>
          </w:p>
        </w:tc>
        <w:tc>
          <w:tcPr>
            <w:tcW w:w="7391" w:type="dxa"/>
          </w:tcPr>
          <w:p w:rsidR="000D514E" w:rsidRDefault="00F46502" w:rsidP="00E212C9">
            <w:pPr>
              <w:spacing w:after="0"/>
              <w:rPr>
                <w:b/>
              </w:rPr>
            </w:pPr>
            <w:r w:rsidRPr="00360DE3">
              <w:rPr>
                <w:b/>
              </w:rPr>
              <w:t xml:space="preserve">Graf č. </w:t>
            </w:r>
            <w:r w:rsidR="002B213A" w:rsidRPr="00360DE3">
              <w:rPr>
                <w:b/>
              </w:rPr>
              <w:t>2.2.</w:t>
            </w:r>
            <w:r w:rsidR="00E212C9" w:rsidRPr="00360DE3">
              <w:rPr>
                <w:b/>
              </w:rPr>
              <w:t>2</w:t>
            </w:r>
            <w:r w:rsidRPr="00360DE3">
              <w:rPr>
                <w:b/>
              </w:rPr>
              <w:t xml:space="preserve"> Harmonizovaný index spotřebitelských cen </w:t>
            </w:r>
          </w:p>
          <w:p w:rsidR="00F46502" w:rsidRPr="00360DE3" w:rsidRDefault="00F46502" w:rsidP="00E212C9">
            <w:pPr>
              <w:spacing w:after="0"/>
              <w:rPr>
                <w:b/>
              </w:rPr>
            </w:pPr>
            <w:r w:rsidRPr="00360DE3">
              <w:t>(meziroční změna v %)</w:t>
            </w:r>
          </w:p>
        </w:tc>
      </w:tr>
      <w:tr w:rsidR="00F46502" w:rsidRPr="00360DE3" w:rsidTr="002B213A">
        <w:trPr>
          <w:trHeight w:val="170"/>
        </w:trPr>
        <w:tc>
          <w:tcPr>
            <w:tcW w:w="1976" w:type="dxa"/>
            <w:vMerge/>
          </w:tcPr>
          <w:p w:rsidR="00F46502" w:rsidRPr="00360DE3" w:rsidRDefault="00F46502" w:rsidP="002B213A">
            <w:pPr>
              <w:pStyle w:val="Marginlie"/>
              <w:rPr>
                <w:spacing w:val="0"/>
              </w:rPr>
            </w:pPr>
          </w:p>
        </w:tc>
        <w:tc>
          <w:tcPr>
            <w:tcW w:w="277" w:type="dxa"/>
            <w:vMerge/>
          </w:tcPr>
          <w:p w:rsidR="00F46502" w:rsidRPr="00360DE3" w:rsidRDefault="00F46502" w:rsidP="002B213A">
            <w:pPr>
              <w:pStyle w:val="Textpoznpodarou"/>
              <w:jc w:val="both"/>
            </w:pPr>
          </w:p>
        </w:tc>
        <w:tc>
          <w:tcPr>
            <w:tcW w:w="7391" w:type="dxa"/>
          </w:tcPr>
          <w:p w:rsidR="00F46502" w:rsidRPr="00360DE3" w:rsidRDefault="00F46502" w:rsidP="002B213A">
            <w:pPr>
              <w:spacing w:after="0"/>
            </w:pPr>
            <w:r w:rsidRPr="00360DE3">
              <w:rPr>
                <w:noProof/>
              </w:rPr>
              <w:drawing>
                <wp:inline distT="0" distB="0" distL="0" distR="0">
                  <wp:extent cx="4737600" cy="3553200"/>
                  <wp:effectExtent l="0" t="0" r="0" b="0"/>
                  <wp:docPr id="1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F46502" w:rsidRPr="00360DE3" w:rsidTr="002B213A">
        <w:trPr>
          <w:trHeight w:val="170"/>
        </w:trPr>
        <w:tc>
          <w:tcPr>
            <w:tcW w:w="1976" w:type="dxa"/>
            <w:vMerge/>
          </w:tcPr>
          <w:p w:rsidR="00F46502" w:rsidRPr="00360DE3" w:rsidRDefault="00F46502" w:rsidP="002B213A">
            <w:pPr>
              <w:pStyle w:val="Marginlie"/>
              <w:rPr>
                <w:spacing w:val="0"/>
              </w:rPr>
            </w:pPr>
          </w:p>
        </w:tc>
        <w:tc>
          <w:tcPr>
            <w:tcW w:w="277" w:type="dxa"/>
            <w:vMerge/>
          </w:tcPr>
          <w:p w:rsidR="00F46502" w:rsidRPr="00360DE3" w:rsidRDefault="00F46502" w:rsidP="002B213A">
            <w:pPr>
              <w:pStyle w:val="Textpoznpodarou"/>
              <w:jc w:val="both"/>
            </w:pPr>
          </w:p>
        </w:tc>
        <w:tc>
          <w:tcPr>
            <w:tcW w:w="7391" w:type="dxa"/>
          </w:tcPr>
          <w:p w:rsidR="00F46502" w:rsidRPr="00360DE3" w:rsidRDefault="00F46502" w:rsidP="002B213A">
            <w:pPr>
              <w:rPr>
                <w:sz w:val="14"/>
                <w:szCs w:val="14"/>
              </w:rPr>
            </w:pPr>
            <w:r w:rsidRPr="00360DE3">
              <w:rPr>
                <w:sz w:val="14"/>
                <w:szCs w:val="14"/>
              </w:rPr>
              <w:t xml:space="preserve">Zdroj: </w:t>
            </w:r>
            <w:proofErr w:type="spellStart"/>
            <w:r w:rsidRPr="00360DE3">
              <w:rPr>
                <w:sz w:val="14"/>
                <w:szCs w:val="14"/>
              </w:rPr>
              <w:t>Eurostat</w:t>
            </w:r>
            <w:proofErr w:type="spellEnd"/>
          </w:p>
        </w:tc>
      </w:tr>
      <w:tr w:rsidR="00F46502" w:rsidRPr="00360DE3" w:rsidTr="002B213A">
        <w:trPr>
          <w:trHeight w:val="145"/>
        </w:trPr>
        <w:tc>
          <w:tcPr>
            <w:tcW w:w="1976" w:type="dxa"/>
          </w:tcPr>
          <w:p w:rsidR="00F46502" w:rsidRPr="00360DE3" w:rsidRDefault="00F46502" w:rsidP="002B213A">
            <w:pPr>
              <w:pStyle w:val="Marginlie"/>
              <w:rPr>
                <w:spacing w:val="0"/>
              </w:rPr>
            </w:pPr>
          </w:p>
          <w:p w:rsidR="00F46502" w:rsidRPr="00360DE3" w:rsidRDefault="00F46502" w:rsidP="002B213A">
            <w:pPr>
              <w:pStyle w:val="Marginlie"/>
              <w:rPr>
                <w:spacing w:val="0"/>
              </w:rPr>
            </w:pPr>
          </w:p>
          <w:p w:rsidR="00F46502" w:rsidRPr="00360DE3" w:rsidRDefault="00F46502" w:rsidP="002B213A">
            <w:pPr>
              <w:pStyle w:val="Marginlie"/>
              <w:rPr>
                <w:spacing w:val="0"/>
              </w:rPr>
            </w:pPr>
            <w:r w:rsidRPr="00360DE3">
              <w:rPr>
                <w:spacing w:val="0"/>
              </w:rPr>
              <w:lastRenderedPageBreak/>
              <w:t>Potraviny a nealkoholické nápoje byly jedním z faktorů, který poháněl růst cen v zemích EU.</w:t>
            </w:r>
          </w:p>
          <w:p w:rsidR="00F46502" w:rsidRPr="00360DE3" w:rsidRDefault="00F46502" w:rsidP="002B213A">
            <w:pPr>
              <w:pStyle w:val="Marginlie"/>
              <w:rPr>
                <w:spacing w:val="0"/>
              </w:rPr>
            </w:pP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 xml:space="preserve">Podobně jako v Česku, i v EU zaznamenaly loni potraviny a nealkoholické nápoje výrazné zrychlení cenového růstu (z 0,2 % na 2,1 %). Nejvyšší meziroční růst cen </w:t>
            </w:r>
            <w:r w:rsidRPr="00360DE3">
              <w:lastRenderedPageBreak/>
              <w:t xml:space="preserve">v tomto segmentu spotřeby se krom Česka objevil v Estonsku a Lotyšsku (u obou o 5,6 %). Při pohledu na další spotřební kategorie je patrné, že v pobaltských státech růst spotřebitelských cen závisel na podobných faktorech jako u nás. Kromě potravin zde silně rostly i ceny dopravy (v Litvě o 5,0 %, v Estonsku o 4,8 %). Nezanedbatelným faktorem pro vysoký růst spotřebitelských cen v Litvě (10,7 %) a Estonsku (8,7 %) byly rovněž alkoholické nápoje, které mají v Pobaltí velmi vysokou váhu ve spotřebním koši. V Litvě (7,2 %) a v Estonsku (6,4 %) zaznamenali statistici také silný růst cen ubytování a stravování. V Lotyšsku působily výrazně </w:t>
            </w:r>
            <w:proofErr w:type="spellStart"/>
            <w:r w:rsidRPr="00360DE3">
              <w:t>proinflačně</w:t>
            </w:r>
            <w:proofErr w:type="spellEnd"/>
            <w:r w:rsidRPr="00360DE3">
              <w:t xml:space="preserve"> ceny pošty a telekomunikací (4,4 %). Naopak Irsko, Finsko a Kypr, kde byl růst HICP loni nejnižší, jsou rovněž jediné země EU, kde potraviny a nealkoholické nápoje zlevnily. Na Kypru dále loni poklesla cena alkoholických nápojů a tabáku o 2,3 %, v Irsku se </w:t>
            </w:r>
            <w:r w:rsidR="009C3ED8">
              <w:t>snížily ceny oblečení a obuvi o</w:t>
            </w:r>
            <w:r w:rsidR="009C3ED8" w:rsidRPr="005A2C7B">
              <w:rPr>
                <w:spacing w:val="-4"/>
              </w:rPr>
              <w:t> </w:t>
            </w:r>
            <w:r w:rsidRPr="00360DE3">
              <w:t>4,3 %, obě země zažívaly i výrazný pokles cen bytového vybavení. Ve Finsku proti růstu cen působilo oblečení a obuv, méně výrazný než ve zbytku EU zde byl růst cen dopravy, poklesly ceny pošt a telekomunikací.</w:t>
            </w:r>
          </w:p>
        </w:tc>
      </w:tr>
    </w:tbl>
    <w:p w:rsidR="00F46502" w:rsidRPr="00360DE3" w:rsidRDefault="00F46502" w:rsidP="00F46502">
      <w:pPr>
        <w:pStyle w:val="Nadpis2"/>
      </w:pPr>
      <w:bookmarkStart w:id="8" w:name="_Toc527639463"/>
      <w:r w:rsidRPr="00360DE3">
        <w:lastRenderedPageBreak/>
        <w:t>2.3 Ceny výrobců</w:t>
      </w:r>
      <w:bookmarkEnd w:id="8"/>
    </w:p>
    <w:tbl>
      <w:tblPr>
        <w:tblW w:w="9644" w:type="dxa"/>
        <w:tblInd w:w="-15" w:type="dxa"/>
        <w:tblLayout w:type="fixed"/>
        <w:tblCellMar>
          <w:left w:w="0" w:type="dxa"/>
          <w:right w:w="0" w:type="dxa"/>
        </w:tblCellMar>
        <w:tblLook w:val="00A0"/>
      </w:tblPr>
      <w:tblGrid>
        <w:gridCol w:w="1976"/>
        <w:gridCol w:w="277"/>
        <w:gridCol w:w="7391"/>
      </w:tblGrid>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Index cen výrobců loni vzrostl poprvé od roku 2013.</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Celkově index cen průmyslových výrobců v roce 2017 vzrostl o 1,8 %, poprvé od roku 2013. Index se do značné míry odvíjí od pohybu cen výrobků a služeb ve zpracovatelském průmyslu. Váha tato sekce je př</w:t>
            </w:r>
            <w:r w:rsidR="00EA405F">
              <w:t>ibližně 80 % celkového indexu a</w:t>
            </w:r>
            <w:r w:rsidR="00EA405F" w:rsidRPr="00360DE3">
              <w:t> </w:t>
            </w:r>
            <w:r w:rsidRPr="00360DE3">
              <w:t>v roce 2017 zde ceny vzrostly o 2,3 %. Ceny v</w:t>
            </w:r>
            <w:r w:rsidR="00EA405F">
              <w:t>ýrobců elektřiny, plynu, páry a</w:t>
            </w:r>
            <w:r w:rsidR="00EA405F" w:rsidRPr="00360DE3">
              <w:t> </w:t>
            </w:r>
            <w:r w:rsidRPr="00360DE3">
              <w:t>klimatizovaného vzduchu se loni snížily o 1,2 %, c</w:t>
            </w:r>
            <w:r w:rsidR="00EA405F">
              <w:t>eny těžby a dobývání vzrostly o</w:t>
            </w:r>
            <w:r w:rsidR="00EA405F" w:rsidRPr="00360DE3">
              <w:t> </w:t>
            </w:r>
            <w:r w:rsidRPr="00360DE3">
              <w:t xml:space="preserve">3,8 % a zásobování vodou a služby spojené s odpadními vodami setrvaly na růstu 1,3 %.  </w:t>
            </w:r>
          </w:p>
        </w:tc>
      </w:tr>
      <w:tr w:rsidR="00F46502" w:rsidRPr="00360DE3" w:rsidTr="002B213A">
        <w:trPr>
          <w:trHeight w:val="170"/>
        </w:trPr>
        <w:tc>
          <w:tcPr>
            <w:tcW w:w="1976" w:type="dxa"/>
            <w:vMerge w:val="restart"/>
          </w:tcPr>
          <w:p w:rsidR="00F46502" w:rsidRPr="00360DE3" w:rsidRDefault="00F46502" w:rsidP="002B213A">
            <w:pPr>
              <w:pStyle w:val="Marginlie"/>
              <w:rPr>
                <w:spacing w:val="0"/>
              </w:rPr>
            </w:pPr>
          </w:p>
        </w:tc>
        <w:tc>
          <w:tcPr>
            <w:tcW w:w="277" w:type="dxa"/>
            <w:vMerge w:val="restart"/>
          </w:tcPr>
          <w:p w:rsidR="00F46502" w:rsidRPr="00360DE3" w:rsidRDefault="00F46502" w:rsidP="002B213A">
            <w:pPr>
              <w:pStyle w:val="Textpoznpodarou"/>
              <w:jc w:val="both"/>
            </w:pPr>
          </w:p>
        </w:tc>
        <w:tc>
          <w:tcPr>
            <w:tcW w:w="7391" w:type="dxa"/>
          </w:tcPr>
          <w:p w:rsidR="000D514E" w:rsidRDefault="00F46502" w:rsidP="001D198A">
            <w:pPr>
              <w:spacing w:after="0"/>
              <w:rPr>
                <w:b/>
                <w:szCs w:val="20"/>
                <w:lang w:eastAsia="en-US"/>
              </w:rPr>
            </w:pPr>
            <w:r w:rsidRPr="00360DE3">
              <w:rPr>
                <w:b/>
                <w:szCs w:val="20"/>
              </w:rPr>
              <w:t xml:space="preserve">Graf č. </w:t>
            </w:r>
            <w:proofErr w:type="gramStart"/>
            <w:r w:rsidR="001D198A" w:rsidRPr="00360DE3">
              <w:rPr>
                <w:b/>
                <w:szCs w:val="20"/>
              </w:rPr>
              <w:t>2.3.1</w:t>
            </w:r>
            <w:r w:rsidRPr="00360DE3">
              <w:rPr>
                <w:b/>
                <w:szCs w:val="20"/>
              </w:rPr>
              <w:t xml:space="preserve">  </w:t>
            </w:r>
            <w:r w:rsidRPr="00360DE3">
              <w:rPr>
                <w:b/>
                <w:szCs w:val="20"/>
                <w:lang w:eastAsia="en-US"/>
              </w:rPr>
              <w:t>Ceny</w:t>
            </w:r>
            <w:proofErr w:type="gramEnd"/>
            <w:r w:rsidRPr="00360DE3">
              <w:rPr>
                <w:b/>
                <w:szCs w:val="20"/>
                <w:lang w:eastAsia="en-US"/>
              </w:rPr>
              <w:t xml:space="preserve"> průmyslových výrobců podle sekcí CZ-CPA </w:t>
            </w:r>
          </w:p>
          <w:p w:rsidR="00F46502" w:rsidRPr="00360DE3" w:rsidRDefault="00F46502" w:rsidP="001D198A">
            <w:pPr>
              <w:spacing w:after="0"/>
              <w:rPr>
                <w:b/>
                <w:szCs w:val="20"/>
              </w:rPr>
            </w:pPr>
            <w:r w:rsidRPr="00360DE3">
              <w:rPr>
                <w:szCs w:val="20"/>
                <w:lang w:eastAsia="en-US"/>
              </w:rPr>
              <w:t>(meziročně, v</w:t>
            </w:r>
            <w:r w:rsidR="001D198A" w:rsidRPr="00360DE3">
              <w:rPr>
                <w:szCs w:val="20"/>
                <w:lang w:eastAsia="en-US"/>
              </w:rPr>
              <w:t> </w:t>
            </w:r>
            <w:r w:rsidRPr="00360DE3">
              <w:rPr>
                <w:szCs w:val="20"/>
                <w:lang w:eastAsia="en-US"/>
              </w:rPr>
              <w:t>%)</w:t>
            </w:r>
          </w:p>
        </w:tc>
      </w:tr>
      <w:tr w:rsidR="00F46502" w:rsidRPr="00360DE3" w:rsidTr="002B213A">
        <w:trPr>
          <w:trHeight w:val="170"/>
        </w:trPr>
        <w:tc>
          <w:tcPr>
            <w:tcW w:w="1976" w:type="dxa"/>
            <w:vMerge/>
          </w:tcPr>
          <w:p w:rsidR="00F46502" w:rsidRPr="00360DE3" w:rsidRDefault="00F46502" w:rsidP="002B213A">
            <w:pPr>
              <w:pStyle w:val="Marginlie"/>
              <w:rPr>
                <w:spacing w:val="0"/>
              </w:rPr>
            </w:pPr>
          </w:p>
        </w:tc>
        <w:tc>
          <w:tcPr>
            <w:tcW w:w="277" w:type="dxa"/>
            <w:vMerge/>
          </w:tcPr>
          <w:p w:rsidR="00F46502" w:rsidRPr="00360DE3" w:rsidRDefault="00F46502" w:rsidP="002B213A">
            <w:pPr>
              <w:pStyle w:val="Textpoznpodarou"/>
              <w:jc w:val="both"/>
            </w:pPr>
          </w:p>
        </w:tc>
        <w:tc>
          <w:tcPr>
            <w:tcW w:w="7391" w:type="dxa"/>
          </w:tcPr>
          <w:p w:rsidR="00F46502" w:rsidRPr="00360DE3" w:rsidRDefault="00F46502" w:rsidP="002B213A">
            <w:pPr>
              <w:spacing w:after="0"/>
            </w:pPr>
            <w:r w:rsidRPr="00360DE3">
              <w:rPr>
                <w:noProof/>
              </w:rPr>
              <w:drawing>
                <wp:inline distT="0" distB="0" distL="0" distR="0">
                  <wp:extent cx="4737600" cy="3553200"/>
                  <wp:effectExtent l="0" t="0" r="0" b="0"/>
                  <wp:docPr id="1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F46502" w:rsidRPr="00360DE3" w:rsidTr="002B213A">
        <w:trPr>
          <w:trHeight w:val="170"/>
        </w:trPr>
        <w:tc>
          <w:tcPr>
            <w:tcW w:w="1976" w:type="dxa"/>
            <w:vMerge/>
          </w:tcPr>
          <w:p w:rsidR="00F46502" w:rsidRPr="00360DE3" w:rsidRDefault="00F46502" w:rsidP="002B213A">
            <w:pPr>
              <w:pStyle w:val="Marginlie"/>
              <w:rPr>
                <w:spacing w:val="0"/>
              </w:rPr>
            </w:pPr>
          </w:p>
        </w:tc>
        <w:tc>
          <w:tcPr>
            <w:tcW w:w="277" w:type="dxa"/>
            <w:vMerge/>
          </w:tcPr>
          <w:p w:rsidR="00F46502" w:rsidRPr="00360DE3" w:rsidRDefault="00F46502" w:rsidP="002B213A">
            <w:pPr>
              <w:pStyle w:val="Textpoznpodarou"/>
              <w:jc w:val="both"/>
            </w:pPr>
          </w:p>
        </w:tc>
        <w:tc>
          <w:tcPr>
            <w:tcW w:w="7391" w:type="dxa"/>
          </w:tcPr>
          <w:p w:rsidR="00F46502" w:rsidRPr="00360DE3" w:rsidRDefault="00F46502" w:rsidP="002B213A">
            <w:pPr>
              <w:rPr>
                <w:sz w:val="14"/>
                <w:szCs w:val="14"/>
              </w:rPr>
            </w:pPr>
            <w:r w:rsidRPr="00360DE3">
              <w:rPr>
                <w:sz w:val="14"/>
                <w:szCs w:val="14"/>
              </w:rPr>
              <w:t>Zdroj: ČSÚ</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I ve zpracovatelském průmyslu byl růst cen</w:t>
            </w:r>
          </w:p>
          <w:p w:rsidR="00F46502" w:rsidRPr="00360DE3" w:rsidRDefault="00F46502" w:rsidP="002B213A">
            <w:pPr>
              <w:pStyle w:val="Marginlie"/>
              <w:rPr>
                <w:spacing w:val="0"/>
              </w:rPr>
            </w:pPr>
            <w:r w:rsidRPr="00360DE3">
              <w:rPr>
                <w:spacing w:val="0"/>
              </w:rPr>
              <w:t>nejvýraznější za poslední roky.</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Ceny výrobků a služeb zpracovatelského průmyslu</w:t>
            </w:r>
            <w:r w:rsidR="00EA405F">
              <w:t xml:space="preserve"> v letech 2015 a 2016 klesaly a</w:t>
            </w:r>
            <w:r w:rsidR="00EA405F" w:rsidRPr="00360DE3">
              <w:t> </w:t>
            </w:r>
            <w:r w:rsidRPr="00360DE3">
              <w:t xml:space="preserve">loňský růst o 2,3 % byl nejvyšší od roku 2011. V minulých letech tuto dynamiku výrazně ovlivňovala cena ropy. Ta se na počátku roku 2017 výrazně meziročně </w:t>
            </w:r>
            <w:r w:rsidRPr="00360DE3">
              <w:lastRenderedPageBreak/>
              <w:t>zvýšila a především v první čtvrtině roku tak k růstu cen ve zpracovatelském průmyslu podstatnou měrou přispěl koks a rafinované ropné výrobky. Výrazně působilo i zvýšení cen obecných kovů a kovodělných výrobků o 5,3 %, které bylo navíc rovnoměrně rozloženo do celého roku. Ceny potravinářských výrobků, nápojů a tabáku se loni zvýšily o 2,6 %, u chemických látek a výrobků o 3,0 %. Naopak ceny dopravních prostředků klesly o 2,2 %. V průběhu roku se jejich meziroční propad prohluboval, což kvůli jejich váze v indexu přispělo k postupnému zpomalování celkového růstu cen výrobků zpracovatelského průmyslu. Jedním z důvodů bylo i postupné prosakování posilujícího kurzu koruny do cen.</w:t>
            </w:r>
          </w:p>
        </w:tc>
      </w:tr>
      <w:tr w:rsidR="00F46502" w:rsidRPr="00360DE3" w:rsidTr="002B213A">
        <w:trPr>
          <w:trHeight w:val="412"/>
        </w:trPr>
        <w:tc>
          <w:tcPr>
            <w:tcW w:w="1976" w:type="dxa"/>
          </w:tcPr>
          <w:p w:rsidR="00F46502" w:rsidRPr="00360DE3" w:rsidRDefault="00F46502" w:rsidP="002B213A">
            <w:pPr>
              <w:pStyle w:val="Marginlie"/>
              <w:rPr>
                <w:spacing w:val="0"/>
              </w:rPr>
            </w:pPr>
            <w:r w:rsidRPr="00360DE3">
              <w:rPr>
                <w:spacing w:val="0"/>
              </w:rPr>
              <w:lastRenderedPageBreak/>
              <w:t>S výjimkou elektřiny, plynu, páry a klimatizovaného vzduchu ostatní sekce průmyslu prolomily trend posledních let a ceny zde rostly.</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 xml:space="preserve">Ceny elektřiny, plynu, páry a klimatizovaného vzduchu loni poklesly počtvrté v řadě (-1,2 %), tempo se však výrazně zmírnilo. Tuto dynamiku kopíroval především vývoj cen elektřiny a jejího přenosu a obchodu (-2,1 %, zmírnění oproti roku 2016). Naopak ceny plynu a jeho rozvodu vzrostly loni o </w:t>
            </w:r>
            <w:r w:rsidR="00EA405F">
              <w:t>3,0 %. Ceny páry a horké vody a</w:t>
            </w:r>
            <w:r w:rsidR="00EA405F" w:rsidRPr="00360DE3">
              <w:t> </w:t>
            </w:r>
            <w:r w:rsidRPr="00360DE3">
              <w:t>souvisejících služeb stagnovaly (0,2 %). Výrazný obrat nastal ve vývoji cen těžby a dobývání. Ty loni vzrostly o 3,8 % (v roce 2016 klesly o 6,1 %). Projevilo se zvýšení cen černého a hnědého uhlí a lignitu o 6,4</w:t>
            </w:r>
            <w:r w:rsidR="00EA405F">
              <w:t xml:space="preserve"> % i cen ropy a zemního plynu o</w:t>
            </w:r>
            <w:r w:rsidR="00EA405F" w:rsidRPr="00360DE3">
              <w:t> </w:t>
            </w:r>
            <w:r w:rsidRPr="00360DE3">
              <w:t xml:space="preserve">6,8 % (u ropy došlo k růstu o 22,7 %, ceny plynu klesly o 5,0 %). Ceny ostatní těžby však loni stagnovaly (0,4 %).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výrobců v EU rostly silněji než v Česku.</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Vzhledem k tomu, že vývoj cen ropy má globální dopad, ceny výrobců v EU i Česku měly podobný trend a z tříletého poklesu se dostaly do růstové fáze. Oproti roku 2016 vzrostly ceny průmyslových výrobců v EU o 3,6 % a v </w:t>
            </w:r>
            <w:proofErr w:type="spellStart"/>
            <w:r w:rsidRPr="00360DE3">
              <w:t>eurozóně</w:t>
            </w:r>
            <w:proofErr w:type="spellEnd"/>
            <w:r w:rsidRPr="00360DE3">
              <w:t xml:space="preserve"> o 3,1 %. Ceny ve zpracovatelském průmyslu se v EU zvýšily o</w:t>
            </w:r>
            <w:r w:rsidR="00EA405F">
              <w:t xml:space="preserve"> 3,3 %, elektřina, plyn, pára a</w:t>
            </w:r>
            <w:r w:rsidR="00EA405F" w:rsidRPr="00360DE3">
              <w:t> </w:t>
            </w:r>
            <w:r w:rsidRPr="00360DE3">
              <w:t>klimatizovaný vzduch zdražily o 3,1 %, těžba a dobývání o 13,7 % a zásobování vodou o 1,2 %. Nejvyšší růst cen výrobců se loni odehrával v Belgii (8,9 %). Ceny zde výrazně rostly v celém průmyslu, nejvíce se však projevovaly základní kovy (25,6 %), koks a rafinované ropné výrobky (17,2 %) a chemické výrobky (8,1 %). Ceny výrobců měly silný růst ve Velké Británii (6,2 %) a Polsku (4,7 %). U obou se projevoval skokový nárůst cen těžby a dobývání (</w:t>
            </w:r>
            <w:r w:rsidR="00EA405F">
              <w:t>ve Velké Británii vlivem ropy a</w:t>
            </w:r>
            <w:r w:rsidR="00EA405F" w:rsidRPr="00360DE3">
              <w:t> </w:t>
            </w:r>
            <w:r w:rsidRPr="00360DE3">
              <w:t xml:space="preserve">zemního plynu o 24,6 %, v Polsku bylo důležité uhlí </w:t>
            </w:r>
            <w:r w:rsidR="00EA405F">
              <w:t>a lignit a ceny těžby vylétly o</w:t>
            </w:r>
            <w:r w:rsidR="00EA405F" w:rsidRPr="00360DE3">
              <w:t> </w:t>
            </w:r>
            <w:r w:rsidRPr="00360DE3">
              <w:t xml:space="preserve">22,2 %). V Lucembursku ceny výrobců klesly o 1,9 % (ceny elektřiny, plynu, páry a klimatizovaného vzduchu se zde propadly o 10,7 %), V Irsku klesly o 0,4 % a na Maltě vzrostly o 0,7 %.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zemědělských výrobců loni poměrně výrazně vzrostly, především pod vlivem cen živočišné výroby.</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Ceny v zemědělské výrobě v letech 2014–2016 poměrně výrazně klesaly, loňský rok však přinesl změnu. Oproti roku 2016 se ceny zemědělských výrobců zvýšily o 7,3 %. Klíčový byl 15,2% růst cen živočišné výroby, ceny rostlinné výroby se zvýšily o 1,7 %. Růst cen živočišné výroby byl mimořádný i ve srovnání s poslední růstovou fází, která skončila v roce 2014. Díky 11,2% zvýšení cen prasat a selat vzrostly ceny hospodářských zvířat o 4,9 %. Proti tomu působil vývoj cen drůbeže, které klesly o 2,3 % (počtvrté v řadě). Mimořádný skok nastal u cen živočišných výrobků (25,4 %, v roce 2016 pokles o 14,3 %). Ceny mléka s</w:t>
            </w:r>
            <w:r w:rsidR="00EA405F">
              <w:t>e zvýšily o 25,8 % a</w:t>
            </w:r>
            <w:r w:rsidR="00EA405F" w:rsidRPr="00360DE3">
              <w:t> </w:t>
            </w:r>
            <w:r w:rsidRPr="00360DE3">
              <w:t>ceny vajec o 23,0 %. V mírném růstu cen rostlinné výroby lze vidět především vývoj cen obilovin, které mají v indexu největší váhu. Ty vzrostly o 1,7 %, z toho ceny pšenice byly vyšší o 3,0 %, žita o 2,3 %. Celkový růst tlumila především kukuřice, jejíž ceny klesly o 3,2 %. Ceny průmysl</w:t>
            </w:r>
            <w:r w:rsidR="00EA405F">
              <w:t>ových plodin vzrostly o 2,5 % a</w:t>
            </w:r>
            <w:r w:rsidR="00EA405F" w:rsidRPr="00360DE3">
              <w:t> </w:t>
            </w:r>
            <w:r w:rsidRPr="00360DE3">
              <w:t>dominovaly jim hlavně olejniny (4,1 %), růst zpomalovala cukrová řepa (-5,2 %). Klesaly ceny krmných plodin (-7,4 %), zeleniny a zahradnických produktů (-1,5 %), i brambor (-8,8 %). Naopak ceny ovoce vyskočily o 34,7 %</w:t>
            </w:r>
            <w:r w:rsidRPr="00360DE3">
              <w:rPr>
                <w:rStyle w:val="Znakapoznpodarou"/>
              </w:rPr>
              <w:footnoteReference w:id="5"/>
            </w:r>
            <w:r w:rsidRPr="00360DE3">
              <w:t xml:space="preserve">. Mezinárodní srovnání </w:t>
            </w:r>
            <w:r w:rsidRPr="00360DE3">
              <w:lastRenderedPageBreak/>
              <w:t xml:space="preserve">je u cen zemědělských výrobců poměrně složité vzhledem k odlišné struktuře zemědělství v jednotlivých zemích. Společné trendy jsou však patrné u obilovin, jejichž ceny klesaly v minulých letech a v roce 2017 mírně vzrostly (v EU o 4,7 %). Výše zmíněný skokový nárůst cen mléka a vajec se odehrál i v okolních státech (mléko v EU nárůst o 19,1 %, vejce o 16,9 %).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lastRenderedPageBreak/>
              <w:t>Ceny tržních služeb vzrostly nejvýrazněji od roku 2009 a projevila se na nich současná konjunkturní fáze.</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Index cen tržních služeb loni vzrostl o 1,3 %. To je nejvyšší a prakticky první výraznější růstová hodnota od roku 2009. Nejvýrazněji ovlivnil ceny tržních služeb 4,1% růst cen pojištění, zajištění a penzijního financování a p</w:t>
            </w:r>
            <w:r w:rsidR="00EA405F">
              <w:t>ak reklamní služby a</w:t>
            </w:r>
            <w:r w:rsidR="00EA405F" w:rsidRPr="00360DE3">
              <w:t> </w:t>
            </w:r>
            <w:r w:rsidRPr="00360DE3">
              <w:t xml:space="preserve">průzkum trhu, kde ceny vzrostly o 2,7 %. Ceny tržních služeb do značné míry ovlivnila probíhající konjunktura. Ta stimulovala zrychlení růstu cen v silniční nákladní dopravě (0,6 %) i ve skladování (6,2 %). Výrazný nedostatek pracovní síly i růst mezd se projevil na 11,5% zvýšení cen služeb agentur zprostředkujících zaměstnání. Růst mezd se projevil i v cenách bezpečnostních a pátracích služeb (5,1 %).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stavebních děl loni rostly rychleji než v roce 2016.</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 xml:space="preserve">Zrychlení ekonomiky povzbudilo i růst cen stavebních děl. Cenový nárůst probíhal napříč jednotlivými druhy stavebních děl, což pravděpodobně odráželo tlak na zvyšování mezd, který se projevil ve výsledných cenách výrobků. Zároveň byl cenový růst poměrně rovnoměrně rozložen a pohyboval se pod 2,0 %. Zvýšily se ceny všech druhů bytových budov (jednobytové o 1,9 %, tří a </w:t>
            </w:r>
            <w:proofErr w:type="spellStart"/>
            <w:r w:rsidRPr="00360DE3">
              <w:t>vícebytové</w:t>
            </w:r>
            <w:proofErr w:type="spellEnd"/>
            <w:r w:rsidRPr="00360DE3">
              <w:t xml:space="preserve"> o 1,8 %). Podobný cenový růst nastal u nebytových budov (1,8 %). Mírněji rostly inženýrských děl, kde váhově dominují dálnice a místní a účelové komunikace (1,6 %).</w:t>
            </w:r>
          </w:p>
        </w:tc>
      </w:tr>
    </w:tbl>
    <w:p w:rsidR="00F46502" w:rsidRPr="00360DE3" w:rsidRDefault="00F46502" w:rsidP="00F46502">
      <w:pPr>
        <w:pStyle w:val="Nadpis2"/>
      </w:pPr>
      <w:bookmarkStart w:id="9" w:name="_Toc527639464"/>
      <w:r w:rsidRPr="00360DE3">
        <w:t>2.4 Ceny v zahraničním obchodě se zbožím</w:t>
      </w:r>
      <w:bookmarkEnd w:id="9"/>
    </w:p>
    <w:tbl>
      <w:tblPr>
        <w:tblW w:w="9644" w:type="dxa"/>
        <w:tblInd w:w="-15" w:type="dxa"/>
        <w:tblLayout w:type="fixed"/>
        <w:tblCellMar>
          <w:left w:w="0" w:type="dxa"/>
          <w:right w:w="0" w:type="dxa"/>
        </w:tblCellMar>
        <w:tblLook w:val="00A0"/>
      </w:tblPr>
      <w:tblGrid>
        <w:gridCol w:w="1976"/>
        <w:gridCol w:w="277"/>
        <w:gridCol w:w="7391"/>
      </w:tblGrid>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vývozu klesly. Do značné míry se na tom podílel obchod se stroji a dopravními prostředky.</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Klíčovým faktorem, který v roce 2017 ovlivňoval ceny vývozu a dovozu byl kurz koruny vůči světovým měnám. Na počátku roku 2017 sice ceny vývozu a dovozu poměrně přesvědčivě rostly, po dubnovém ukončení intervenci ČNB se však tento vývoj obrátil. Posílení bylo tak velké, že v druhé polovině roku způsobovalo meziroční propad cen dovozu i vývozu (po očištění od kurzových vlivů by ceny mírně rostly). Ceny vývozu loni oproti roku 2016 poklesly o 0,1 %. Klíčový byl pokles cen strojů a dopravních prostředků o 2,2 %, jejichž váhu v indexu nepřekonal ani nárůst cen minerálních paliv o 16,3 % a ostatních surovin o 10,3 %. Výrazněji klesaly ceny silničních vozidel (-2,9 %), u strojů a zařízení bylo snížení mírnější (-1,8 %). Pokles celkového indexu pak zmí</w:t>
            </w:r>
            <w:r w:rsidR="00EA405F">
              <w:t>rňoval nárůst cen potravin (2,2</w:t>
            </w:r>
            <w:r w:rsidR="00EA405F" w:rsidRPr="00360DE3">
              <w:t> </w:t>
            </w:r>
            <w:r w:rsidRPr="00360DE3">
              <w:t>%), chemikálií (0,7 %) a polotovarů (1,7 %).</w:t>
            </w:r>
          </w:p>
        </w:tc>
      </w:tr>
      <w:tr w:rsidR="00F46502" w:rsidRPr="00360DE3" w:rsidTr="002B213A">
        <w:trPr>
          <w:trHeight w:val="145"/>
        </w:trPr>
        <w:tc>
          <w:tcPr>
            <w:tcW w:w="1976" w:type="dxa"/>
          </w:tcPr>
          <w:p w:rsidR="00F46502" w:rsidRPr="00360DE3" w:rsidRDefault="00F46502" w:rsidP="002B213A">
            <w:pPr>
              <w:pStyle w:val="Marginlie"/>
              <w:rPr>
                <w:spacing w:val="0"/>
              </w:rPr>
            </w:pPr>
            <w:r w:rsidRPr="00360DE3">
              <w:rPr>
                <w:spacing w:val="0"/>
              </w:rPr>
              <w:t>Ceny dovozu mírně vzrostly, šlo však o výsledek silného růstu v 1. pololetí roku. Ve druhé půli již ceny dovozu rychle klesaly.</w:t>
            </w:r>
          </w:p>
        </w:tc>
        <w:tc>
          <w:tcPr>
            <w:tcW w:w="277" w:type="dxa"/>
          </w:tcPr>
          <w:p w:rsidR="00F46502" w:rsidRPr="00360DE3" w:rsidRDefault="00F46502" w:rsidP="002B213A">
            <w:pPr>
              <w:pStyle w:val="Textpoznpodarou"/>
              <w:jc w:val="both"/>
            </w:pPr>
          </w:p>
        </w:tc>
        <w:tc>
          <w:tcPr>
            <w:tcW w:w="7391" w:type="dxa"/>
          </w:tcPr>
          <w:p w:rsidR="00F46502" w:rsidRPr="00EA405F" w:rsidRDefault="00F46502" w:rsidP="002B213A">
            <w:pPr>
              <w:rPr>
                <w:spacing w:val="-2"/>
              </w:rPr>
            </w:pPr>
            <w:r w:rsidRPr="00EA405F">
              <w:rPr>
                <w:spacing w:val="-2"/>
              </w:rPr>
              <w:t>Ceny dovozu loni celkově vzrostly o 0,9 %. Přitom však v druhé půli roku klesaly rychleji než ceny vývozu (především kvůli posílení kurzu koruny vůči dolaru, který je v dovozu podstatnější než ve vývozu). Podobně jako u vývozu silně rostly ceny minerálních paliv (13,9 %) a ostatních surovin (10,3 %). Mírně rostly ceny polotovarů (4,9 %), potravin (2,8 %) a chemikálií (0,9 %). Naopak klesaly ceny strojů a</w:t>
            </w:r>
            <w:r w:rsidR="00EA405F" w:rsidRPr="00360DE3">
              <w:t> </w:t>
            </w:r>
            <w:r w:rsidRPr="00EA405F">
              <w:rPr>
                <w:spacing w:val="-2"/>
              </w:rPr>
              <w:t>dopravních prostředků (-2,9 %). Výrazněji ne</w:t>
            </w:r>
            <w:r w:rsidR="00EA405F" w:rsidRPr="00EA405F">
              <w:rPr>
                <w:spacing w:val="-2"/>
              </w:rPr>
              <w:t>ž ceny silničních vozidel (-0,4 </w:t>
            </w:r>
            <w:r w:rsidRPr="00EA405F">
              <w:rPr>
                <w:spacing w:val="-2"/>
              </w:rPr>
              <w:t xml:space="preserve">%) se však snižovaly ceny strojů a zařízení (-2,1 %). </w:t>
            </w:r>
          </w:p>
        </w:tc>
      </w:tr>
      <w:tr w:rsidR="00F46502" w:rsidRPr="00360DE3" w:rsidTr="002B213A">
        <w:trPr>
          <w:trHeight w:val="429"/>
        </w:trPr>
        <w:tc>
          <w:tcPr>
            <w:tcW w:w="1976" w:type="dxa"/>
          </w:tcPr>
          <w:p w:rsidR="00F46502" w:rsidRPr="00360DE3" w:rsidRDefault="00F46502" w:rsidP="002B213A">
            <w:pPr>
              <w:pStyle w:val="Marginlie"/>
              <w:rPr>
                <w:spacing w:val="0"/>
              </w:rPr>
            </w:pPr>
            <w:r w:rsidRPr="00360DE3">
              <w:rPr>
                <w:spacing w:val="0"/>
              </w:rPr>
              <w:t>Směnné relace v roce 2017 byly záporné.</w:t>
            </w:r>
          </w:p>
        </w:tc>
        <w:tc>
          <w:tcPr>
            <w:tcW w:w="277" w:type="dxa"/>
          </w:tcPr>
          <w:p w:rsidR="00F46502" w:rsidRPr="00360DE3" w:rsidRDefault="00F46502" w:rsidP="002B213A">
            <w:pPr>
              <w:pStyle w:val="Textpoznpodarou"/>
              <w:jc w:val="both"/>
            </w:pPr>
          </w:p>
        </w:tc>
        <w:tc>
          <w:tcPr>
            <w:tcW w:w="7391" w:type="dxa"/>
          </w:tcPr>
          <w:p w:rsidR="00F46502" w:rsidRPr="00360DE3" w:rsidRDefault="00F46502" w:rsidP="002B213A">
            <w:r w:rsidRPr="00360DE3">
              <w:t>Výsledné směnné relace zahraničního obchodu dosáhly 99,0 %. Záporné byly především směnné relace obchodu s polotovary (96,9 %), dále s potravinami a živými zvířaty (99,4 %), nápoji a tabákem (97,5 %) a chemikáliemi (99,8 %). Kladné směnné relace zaznamenal obchod s minerál</w:t>
            </w:r>
            <w:r w:rsidR="00EA405F">
              <w:t>ními palivy (102,1 %), stroji a</w:t>
            </w:r>
            <w:r w:rsidR="00EA405F" w:rsidRPr="00360DE3">
              <w:t> </w:t>
            </w:r>
            <w:r w:rsidRPr="00360DE3">
              <w:t xml:space="preserve">dopravními prostředky (100,7 %) a průmyslovým spotřebním zbožím (101,2 %). Jak bylo uvedeno výše, v mnohých případech ceny vývozu klesaly pomaleji než ceny dovozu, protože v dovozu měl větší roli vůči koruně silně oslabující dolar.  </w:t>
            </w:r>
          </w:p>
        </w:tc>
      </w:tr>
    </w:tbl>
    <w:p w:rsidR="00BE6186" w:rsidRPr="00360DE3" w:rsidRDefault="00BE6186" w:rsidP="00BE6186">
      <w:pPr>
        <w:pStyle w:val="Nadpis1"/>
      </w:pPr>
      <w:bookmarkStart w:id="10" w:name="_Toc527639465"/>
      <w:r w:rsidRPr="00360DE3">
        <w:lastRenderedPageBreak/>
        <w:t>3. Vnější ekonomické vztahy</w:t>
      </w:r>
      <w:bookmarkEnd w:id="10"/>
    </w:p>
    <w:p w:rsidR="00BE6186" w:rsidRPr="00360DE3" w:rsidRDefault="00BE6186" w:rsidP="00BE6186">
      <w:pPr>
        <w:pStyle w:val="Nadpis2"/>
      </w:pPr>
      <w:bookmarkStart w:id="11" w:name="_Toc527639466"/>
      <w:r w:rsidRPr="00360DE3">
        <w:t>3.1 Finanční vztahy s nerezidenty</w:t>
      </w:r>
      <w:bookmarkEnd w:id="11"/>
    </w:p>
    <w:tbl>
      <w:tblPr>
        <w:tblW w:w="9644" w:type="dxa"/>
        <w:tblInd w:w="-15" w:type="dxa"/>
        <w:tblLayout w:type="fixed"/>
        <w:tblCellMar>
          <w:left w:w="0" w:type="dxa"/>
          <w:right w:w="0" w:type="dxa"/>
        </w:tblCellMar>
        <w:tblLook w:val="00A0"/>
      </w:tblPr>
      <w:tblGrid>
        <w:gridCol w:w="1976"/>
        <w:gridCol w:w="277"/>
        <w:gridCol w:w="7391"/>
      </w:tblGrid>
      <w:tr w:rsidR="00BE6186" w:rsidRPr="00360DE3" w:rsidTr="002B213A">
        <w:trPr>
          <w:trHeight w:val="145"/>
        </w:trPr>
        <w:tc>
          <w:tcPr>
            <w:tcW w:w="1976" w:type="dxa"/>
          </w:tcPr>
          <w:p w:rsidR="00BE6186" w:rsidRPr="00360DE3" w:rsidRDefault="00BE6186" w:rsidP="002B213A">
            <w:pPr>
              <w:pStyle w:val="Marginlie"/>
              <w:rPr>
                <w:spacing w:val="0"/>
              </w:rPr>
            </w:pPr>
            <w:r w:rsidRPr="00360DE3">
              <w:rPr>
                <w:spacing w:val="0"/>
              </w:rPr>
              <w:t>Bilance obchodu se zbožím a službami se navýšila díky výraznému nárůstu přebytku na straně služeb.</w:t>
            </w:r>
          </w:p>
        </w:tc>
        <w:tc>
          <w:tcPr>
            <w:tcW w:w="277" w:type="dxa"/>
          </w:tcPr>
          <w:p w:rsidR="00BE6186" w:rsidRPr="00360DE3" w:rsidRDefault="00BE6186" w:rsidP="002B213A">
            <w:pPr>
              <w:pStyle w:val="Textpoznpodarou"/>
              <w:jc w:val="both"/>
            </w:pPr>
          </w:p>
        </w:tc>
        <w:tc>
          <w:tcPr>
            <w:tcW w:w="7391" w:type="dxa"/>
          </w:tcPr>
          <w:p w:rsidR="00BE6186" w:rsidRPr="00360DE3" w:rsidRDefault="00BE6186" w:rsidP="00DF7AD4">
            <w:pPr>
              <w:spacing w:after="220"/>
            </w:pPr>
            <w:r w:rsidRPr="00360DE3">
              <w:t>Z údajů národních účtů</w:t>
            </w:r>
            <w:r w:rsidRPr="00360DE3">
              <w:rPr>
                <w:rStyle w:val="Znakapoznpodarou"/>
              </w:rPr>
              <w:footnoteReference w:id="6"/>
            </w:r>
            <w:r w:rsidRPr="00360DE3">
              <w:t xml:space="preserve"> vyplývá, že v roce 2017 činilo kladné saldo bilance vývozu a dovozu zboží a služeb 379,4 mld. korun. Meziročně se přebytek navýšil o 11,5 mld. korun, což do značné míry odráží i probíhající vrchol ekonomického cyklu. Srovnáváme totiž s rokem 2016, kdy se kladné saldo zvýšilo o 92,2 mld. korun. Podrobnější pohled ukazuje, že růst přebytku v loňském roce zajistil obchod se službami, Jeho bilance činila 126,3 mld. korun a meziročně se navýšila o 16,9 mld. Naopak kladné saldo zahraničního obchodu se zbožím, který je dominantním prvkem české ekonomiky, se loni snížilo o 5,4 mld. a přebytek dosáhl 253,2 mld. korun.</w:t>
            </w:r>
          </w:p>
        </w:tc>
      </w:tr>
      <w:tr w:rsidR="00BE6186" w:rsidRPr="00360DE3" w:rsidTr="002B213A">
        <w:trPr>
          <w:trHeight w:val="145"/>
        </w:trPr>
        <w:tc>
          <w:tcPr>
            <w:tcW w:w="1976" w:type="dxa"/>
          </w:tcPr>
          <w:p w:rsidR="00BE6186" w:rsidRPr="00360DE3" w:rsidRDefault="00BE6186" w:rsidP="002B213A">
            <w:pPr>
              <w:pStyle w:val="Marginlie"/>
              <w:rPr>
                <w:spacing w:val="0"/>
              </w:rPr>
            </w:pPr>
            <w:r w:rsidRPr="00360DE3">
              <w:rPr>
                <w:spacing w:val="0"/>
              </w:rPr>
              <w:t>Reinvestice zisků měly v roce 2017 větší objem i váhu než v předchozím roce.</w:t>
            </w:r>
          </w:p>
        </w:tc>
        <w:tc>
          <w:tcPr>
            <w:tcW w:w="277" w:type="dxa"/>
          </w:tcPr>
          <w:p w:rsidR="00BE6186" w:rsidRPr="00360DE3" w:rsidRDefault="00BE6186" w:rsidP="002B213A">
            <w:pPr>
              <w:pStyle w:val="Textpoznpodarou"/>
              <w:jc w:val="both"/>
            </w:pPr>
          </w:p>
        </w:tc>
        <w:tc>
          <w:tcPr>
            <w:tcW w:w="7391" w:type="dxa"/>
          </w:tcPr>
          <w:p w:rsidR="00BE6186" w:rsidRPr="005B08EB" w:rsidRDefault="00BE6186" w:rsidP="00DF7AD4">
            <w:pPr>
              <w:spacing w:after="220"/>
              <w:rPr>
                <w:spacing w:val="2"/>
              </w:rPr>
            </w:pPr>
            <w:r w:rsidRPr="005B08EB">
              <w:rPr>
                <w:spacing w:val="2"/>
              </w:rPr>
              <w:t>Ve směru od nerezidentů</w:t>
            </w:r>
            <w:r w:rsidRPr="005B08EB">
              <w:rPr>
                <w:rStyle w:val="Znakapoznpodarou"/>
                <w:spacing w:val="2"/>
              </w:rPr>
              <w:footnoteReference w:id="7"/>
            </w:r>
            <w:r w:rsidRPr="005B08EB">
              <w:rPr>
                <w:spacing w:val="2"/>
              </w:rPr>
              <w:t xml:space="preserve"> k rezidentům v roce 2017 zamířilo 64,4 mld. korun ve formě náhrad zaměstnancům (o 5,9 mld. více než v předchozím roce). Naopak nerezidentům bylo takto vyplaceno 26,7 mld. korun (+3,8 mld.). Výsledné saldo dosáhlo 37,7 mld. korun a meziročně se zvýšilo o 2,1 mld. Zisky z přímých investic zahraničních vlastníků loni dosáhly 451,7 mld. korun, což představovalo 8,9 % HDP. Z toho 275,9 mld. korun odešlo do zahraničí ve formě dividend a</w:t>
            </w:r>
            <w:r w:rsidR="005B08EB" w:rsidRPr="00360DE3">
              <w:t> </w:t>
            </w:r>
            <w:r w:rsidRPr="005B08EB">
              <w:rPr>
                <w:spacing w:val="2"/>
              </w:rPr>
              <w:t>175,8 mld. bylo reinvestováno. V porovnání s rokem 2016 se loni výrazně zvýšil podíl reinvestic na celkových ziscích. Tento vývoj lze spojit s vyšší mírou investiční aktivity podniků vyvolanou mimo jiné nedostatkem pracovní síly, který je nutné řešit inovací výroby. Zisky rezidentů z přímých zahranič</w:t>
            </w:r>
            <w:r w:rsidR="00DF7AD4" w:rsidRPr="005B08EB">
              <w:rPr>
                <w:spacing w:val="2"/>
              </w:rPr>
              <w:t>ních investic loni dosáhly 48,8 </w:t>
            </w:r>
            <w:r w:rsidRPr="005B08EB">
              <w:rPr>
                <w:spacing w:val="2"/>
              </w:rPr>
              <w:t xml:space="preserve">mld. korun a reinvestováno bylo 36,6 mld. Celkové saldo toků prvotních důchodů mezi rezidenty a nerezidenty v roce 2017 činilo -309,9 mld. korun. </w:t>
            </w:r>
          </w:p>
        </w:tc>
      </w:tr>
      <w:tr w:rsidR="00BE6186" w:rsidRPr="00360DE3" w:rsidTr="002B213A">
        <w:trPr>
          <w:trHeight w:val="170"/>
        </w:trPr>
        <w:tc>
          <w:tcPr>
            <w:tcW w:w="1976" w:type="dxa"/>
          </w:tcPr>
          <w:p w:rsidR="00BE6186" w:rsidRPr="00360DE3" w:rsidRDefault="00BE6186" w:rsidP="002B213A">
            <w:pPr>
              <w:pStyle w:val="Marginlie"/>
              <w:rPr>
                <w:spacing w:val="0"/>
              </w:rPr>
            </w:pPr>
            <w:r w:rsidRPr="00360DE3">
              <w:rPr>
                <w:spacing w:val="0"/>
              </w:rPr>
              <w:t>Výsledné saldo běžných transakcí bylo kladné.</w:t>
            </w:r>
          </w:p>
        </w:tc>
        <w:tc>
          <w:tcPr>
            <w:tcW w:w="277" w:type="dxa"/>
          </w:tcPr>
          <w:p w:rsidR="00BE6186" w:rsidRPr="00360DE3" w:rsidRDefault="00BE6186" w:rsidP="002B213A">
            <w:pPr>
              <w:pStyle w:val="Textpoznpodarou"/>
              <w:jc w:val="both"/>
            </w:pPr>
          </w:p>
        </w:tc>
        <w:tc>
          <w:tcPr>
            <w:tcW w:w="7391" w:type="dxa"/>
          </w:tcPr>
          <w:p w:rsidR="00BE6186" w:rsidRPr="00360DE3" w:rsidRDefault="00BE6186" w:rsidP="00DF7AD4">
            <w:pPr>
              <w:spacing w:after="220"/>
            </w:pPr>
            <w:r w:rsidRPr="00360DE3">
              <w:t>Prostřednictvím ostatních transferů (daně, sociální příspěvky a dávky a ostatní běžné transfery) k nerezidentům odešlo k nerezidentům 119,2 mld. korun, v opačném směru to bylo 65,1 mld. Výsledné saldo tak působilo ve směru deficitu běžných transakcí rezidentů s nerezidenty. Díky výraznému přebytku bilance obchodu se zbožím a službami bylo výsledné saldo běžných transakcí kladné a dosáhlo 15,3 mld. korun. Rovněž saldo kapitálových transferů bylo kladné a dosáhlo 31,3 mld. korun. Ze zahraničí totiž přiteklo (především ve formě investičních dotací) 39,1 mld. korun. Čisté výpůjčky (součet salda běžných a kapitálových transferů očištěného o čisté pořízení nefinančních aktiv) dosáhly 42,4 mld. korun a zvýšily se o 16,1 mld.</w:t>
            </w:r>
          </w:p>
        </w:tc>
      </w:tr>
    </w:tbl>
    <w:p w:rsidR="00BE6186" w:rsidRPr="00360DE3" w:rsidRDefault="00BE6186" w:rsidP="00BE6186">
      <w:pPr>
        <w:pStyle w:val="Nadpis2"/>
      </w:pPr>
      <w:bookmarkStart w:id="12" w:name="_Toc527639467"/>
      <w:r w:rsidRPr="00360DE3">
        <w:t>3.2 Zahraniční obchod a jeho struktura</w:t>
      </w:r>
      <w:bookmarkEnd w:id="12"/>
    </w:p>
    <w:tbl>
      <w:tblPr>
        <w:tblW w:w="9597" w:type="dxa"/>
        <w:tblInd w:w="-15" w:type="dxa"/>
        <w:tblLayout w:type="fixed"/>
        <w:tblCellMar>
          <w:left w:w="0" w:type="dxa"/>
          <w:right w:w="0" w:type="dxa"/>
        </w:tblCellMar>
        <w:tblLook w:val="00A0"/>
      </w:tblPr>
      <w:tblGrid>
        <w:gridCol w:w="1966"/>
        <w:gridCol w:w="276"/>
        <w:gridCol w:w="7355"/>
      </w:tblGrid>
      <w:tr w:rsidR="00C466D2" w:rsidRPr="00360DE3" w:rsidTr="002B213A">
        <w:trPr>
          <w:trHeight w:val="145"/>
        </w:trPr>
        <w:tc>
          <w:tcPr>
            <w:tcW w:w="1966" w:type="dxa"/>
          </w:tcPr>
          <w:p w:rsidR="00C466D2" w:rsidRPr="00360DE3" w:rsidRDefault="00C466D2" w:rsidP="00C466D2">
            <w:pPr>
              <w:pStyle w:val="Marginlie"/>
              <w:rPr>
                <w:spacing w:val="0"/>
              </w:rPr>
            </w:pPr>
            <w:r w:rsidRPr="00360DE3">
              <w:rPr>
                <w:spacing w:val="0"/>
              </w:rPr>
              <w:t>Rostl vývoz i dovoz zboží, ale přebytek bilance meziročně nepatrně poklesl.</w:t>
            </w:r>
          </w:p>
        </w:tc>
        <w:tc>
          <w:tcPr>
            <w:tcW w:w="276" w:type="dxa"/>
          </w:tcPr>
          <w:p w:rsidR="00C466D2" w:rsidRPr="00360DE3" w:rsidRDefault="00C466D2" w:rsidP="00C466D2">
            <w:pPr>
              <w:pStyle w:val="Textpoznpodarou"/>
              <w:jc w:val="both"/>
            </w:pPr>
          </w:p>
        </w:tc>
        <w:tc>
          <w:tcPr>
            <w:tcW w:w="7355" w:type="dxa"/>
          </w:tcPr>
          <w:p w:rsidR="00C466D2" w:rsidRPr="00360DE3" w:rsidRDefault="00C466D2" w:rsidP="00C466D2">
            <w:r w:rsidRPr="00360DE3">
              <w:t>Výsledky zahraničního obchodu se zbožím v roce 2017 korespondovaly s celkovým vývojem ekonomiky. Hodnota vývozu zboží dosáhla 3 512,9 mld. korun</w:t>
            </w:r>
            <w:r w:rsidRPr="00360DE3">
              <w:rPr>
                <w:rStyle w:val="Znakapoznpodarou"/>
              </w:rPr>
              <w:footnoteReference w:id="8"/>
            </w:r>
            <w:r w:rsidRPr="00360DE3">
              <w:t xml:space="preserve"> (meziroční nárůst o 213,8 mld. korun, 6,5 %) a bylo dovezeno zboží v hodnotě 3 349,4 mld. korun (navýšení </w:t>
            </w:r>
            <w:r w:rsidR="000D514E">
              <w:t>o 214,0 mld., 6,8 %). Nepatrné zhoršení</w:t>
            </w:r>
            <w:r w:rsidRPr="00360DE3">
              <w:t xml:space="preserve"> přebytku bilance obchodu se zbožím o 0,2 mld. korun tak bylo mimo jiné výsledkem vyššího importu, který ve větší míře než </w:t>
            </w:r>
            <w:r w:rsidR="005B08EB">
              <w:t>dříve saturoval růst spotřeby i</w:t>
            </w:r>
            <w:r w:rsidR="005B08EB" w:rsidRPr="00360DE3">
              <w:t> </w:t>
            </w:r>
            <w:r w:rsidRPr="00360DE3">
              <w:t xml:space="preserve">kapitálových výdajů. </w:t>
            </w:r>
          </w:p>
        </w:tc>
      </w:tr>
      <w:tr w:rsidR="00C466D2" w:rsidRPr="00360DE3" w:rsidTr="002B213A">
        <w:trPr>
          <w:trHeight w:val="145"/>
        </w:trPr>
        <w:tc>
          <w:tcPr>
            <w:tcW w:w="1966" w:type="dxa"/>
            <w:shd w:val="clear" w:color="auto" w:fill="auto"/>
          </w:tcPr>
          <w:p w:rsidR="00C466D2" w:rsidRPr="00360DE3" w:rsidRDefault="00C466D2" w:rsidP="00C466D2">
            <w:pPr>
              <w:pStyle w:val="Marginlie"/>
              <w:rPr>
                <w:spacing w:val="0"/>
              </w:rPr>
            </w:pPr>
            <w:r w:rsidRPr="00360DE3">
              <w:rPr>
                <w:spacing w:val="0"/>
              </w:rPr>
              <w:lastRenderedPageBreak/>
              <w:t>Výrazný dopad na bilanci obchodu se zbožím mělo zvýšení cen surovin.</w:t>
            </w:r>
          </w:p>
        </w:tc>
        <w:tc>
          <w:tcPr>
            <w:tcW w:w="276" w:type="dxa"/>
          </w:tcPr>
          <w:p w:rsidR="00C466D2" w:rsidRPr="00360DE3" w:rsidRDefault="00C466D2" w:rsidP="00C466D2">
            <w:pPr>
              <w:pStyle w:val="Textpoznpodarou"/>
              <w:jc w:val="both"/>
            </w:pPr>
          </w:p>
        </w:tc>
        <w:tc>
          <w:tcPr>
            <w:tcW w:w="7355" w:type="dxa"/>
          </w:tcPr>
          <w:p w:rsidR="00C466D2" w:rsidRPr="00360DE3" w:rsidRDefault="00C466D2" w:rsidP="00C466D2">
            <w:r w:rsidRPr="00360DE3">
              <w:t>Dalším faktorem, který lze s poklesem přebytku bilance obchodu se zbožím spojit je nárůst cen surovin, který navýšil hodnotu dovozu, ve kterém mají v českém prostředí suroviny větší váhu, než v exportu. I to je důvod prohloubení deficitu se zeměmi mimo EU o 67,3 mld. korun. Naopak přebytek obchodu s EU loni dále rostl (o 65,4 mld. korun). Z hlediska jednotlivých oddílů klasifikace produkce mají dlouhodobě největší dopad na výsledný přebytek motorová vozidla, u nichž loni kladné saldo dosáhlo 444,8 mld. korun a zvýšilo se meziročně o 28,9 mld. Výrazný byl i přebytek u strojů a zařízení (74,4 mld. korun, +11,0 mld.) a kovodělných výrobků (58,2 mld. korun, -2,3 mld.). Deficitní je dlouhodobě obchod se základními kovy (deficit ve výši 125,9 mld. korun, prohloubení o 30,1 mld.), ropou a zemním plynem (</w:t>
            </w:r>
            <w:r w:rsidRPr="00360DE3">
              <w:noBreakHyphen/>
              <w:t>117,3 mld., prohloubení o 39,7 mld.) a chemickými látkami a přípravky (</w:t>
            </w:r>
            <w:r w:rsidRPr="00360DE3">
              <w:noBreakHyphen/>
              <w:t>109,5 mld., zmírnění o 10,0 mld.).</w:t>
            </w:r>
          </w:p>
        </w:tc>
      </w:tr>
      <w:tr w:rsidR="00BE6186" w:rsidRPr="00360DE3" w:rsidTr="002B213A">
        <w:trPr>
          <w:trHeight w:val="90"/>
        </w:trPr>
        <w:tc>
          <w:tcPr>
            <w:tcW w:w="1966" w:type="dxa"/>
            <w:shd w:val="clear" w:color="auto" w:fill="auto"/>
          </w:tcPr>
          <w:p w:rsidR="00BE6186" w:rsidRPr="00360DE3" w:rsidRDefault="00BE6186" w:rsidP="002B213A">
            <w:pPr>
              <w:pStyle w:val="Marginlie"/>
              <w:rPr>
                <w:spacing w:val="0"/>
              </w:rPr>
            </w:pPr>
            <w:r w:rsidRPr="00360DE3">
              <w:rPr>
                <w:spacing w:val="0"/>
              </w:rPr>
              <w:t>V posledních letech se proměnila struktura bilance služeb.</w:t>
            </w:r>
          </w:p>
        </w:tc>
        <w:tc>
          <w:tcPr>
            <w:tcW w:w="276" w:type="dxa"/>
          </w:tcPr>
          <w:p w:rsidR="00BE6186" w:rsidRPr="00360DE3" w:rsidRDefault="00BE6186" w:rsidP="002B213A">
            <w:pPr>
              <w:pStyle w:val="Textpoznpodarou"/>
              <w:jc w:val="both"/>
            </w:pPr>
          </w:p>
        </w:tc>
        <w:tc>
          <w:tcPr>
            <w:tcW w:w="7355" w:type="dxa"/>
          </w:tcPr>
          <w:p w:rsidR="00BE6186" w:rsidRPr="00DF7AD4" w:rsidRDefault="00AB5421" w:rsidP="00AB5421">
            <w:pPr>
              <w:rPr>
                <w:spacing w:val="-2"/>
              </w:rPr>
            </w:pPr>
            <w:r w:rsidRPr="00DF7AD4">
              <w:rPr>
                <w:spacing w:val="-2"/>
              </w:rPr>
              <w:t>Z</w:t>
            </w:r>
            <w:r w:rsidR="00BE6186" w:rsidRPr="00DF7AD4">
              <w:rPr>
                <w:spacing w:val="-2"/>
              </w:rPr>
              <w:t xml:space="preserve">ahraniční obchod se službami v loňském roce zajistil navýšení celkového přebytku obchodní bilance. Pro bližší pohled na strukturu vývozu služeb použijeme údaje ČNB. </w:t>
            </w:r>
            <w:r w:rsidRPr="00DF7AD4">
              <w:rPr>
                <w:spacing w:val="-2"/>
              </w:rPr>
              <w:t xml:space="preserve">Od </w:t>
            </w:r>
            <w:proofErr w:type="spellStart"/>
            <w:r w:rsidRPr="00DF7AD4">
              <w:rPr>
                <w:spacing w:val="-2"/>
              </w:rPr>
              <w:t>mimima</w:t>
            </w:r>
            <w:proofErr w:type="spellEnd"/>
            <w:r w:rsidRPr="00DF7AD4">
              <w:rPr>
                <w:spacing w:val="-2"/>
              </w:rPr>
              <w:t xml:space="preserve"> </w:t>
            </w:r>
            <w:r w:rsidR="00BE6186" w:rsidRPr="00DF7AD4">
              <w:rPr>
                <w:spacing w:val="-2"/>
              </w:rPr>
              <w:t xml:space="preserve">v roce 2014 </w:t>
            </w:r>
            <w:r w:rsidRPr="00DF7AD4">
              <w:rPr>
                <w:spacing w:val="-2"/>
              </w:rPr>
              <w:t>se přebytek obchodu se službami odrazil a </w:t>
            </w:r>
            <w:r w:rsidR="00BE6186" w:rsidRPr="00DF7AD4">
              <w:rPr>
                <w:spacing w:val="-2"/>
              </w:rPr>
              <w:t xml:space="preserve">výrazně rostl. </w:t>
            </w:r>
            <w:r w:rsidRPr="00DF7AD4">
              <w:rPr>
                <w:spacing w:val="-2"/>
              </w:rPr>
              <w:t>Jde o</w:t>
            </w:r>
            <w:r w:rsidR="00BE6186" w:rsidRPr="00DF7AD4">
              <w:rPr>
                <w:spacing w:val="-2"/>
              </w:rPr>
              <w:t xml:space="preserve"> výsled</w:t>
            </w:r>
            <w:r w:rsidRPr="00DF7AD4">
              <w:rPr>
                <w:spacing w:val="-2"/>
              </w:rPr>
              <w:t>ek</w:t>
            </w:r>
            <w:r w:rsidR="00BE6186" w:rsidRPr="00DF7AD4">
              <w:rPr>
                <w:spacing w:val="-2"/>
              </w:rPr>
              <w:t xml:space="preserve"> zvyšování přebytku obchodu s telekomunikačními službami, službami v oblasti počítačů a informač</w:t>
            </w:r>
            <w:r w:rsidR="00DF7AD4" w:rsidRPr="00DF7AD4">
              <w:rPr>
                <w:spacing w:val="-2"/>
              </w:rPr>
              <w:t>ními službami (loni dosáhl 37,9 </w:t>
            </w:r>
            <w:r w:rsidR="00BE6186" w:rsidRPr="00DF7AD4">
              <w:rPr>
                <w:spacing w:val="-2"/>
              </w:rPr>
              <w:t>mld. korun). Především v posledních dvou letech výrazně narostl přeb</w:t>
            </w:r>
            <w:r w:rsidR="00DF7AD4" w:rsidRPr="00DF7AD4">
              <w:rPr>
                <w:spacing w:val="-2"/>
              </w:rPr>
              <w:t>ytek u </w:t>
            </w:r>
            <w:r w:rsidR="00BE6186" w:rsidRPr="00DF7AD4">
              <w:rPr>
                <w:spacing w:val="-2"/>
              </w:rPr>
              <w:t>služeb v dopravě (31,2 mld.) a v průběhu let postupně sílí význam výrobních služeb u cizích fyzických vstupů (jde například o montování konečných výrobků z dodaných součástek, 41,2</w:t>
            </w:r>
            <w:r w:rsidR="00DF7AD4" w:rsidRPr="00360DE3">
              <w:t> </w:t>
            </w:r>
            <w:r w:rsidR="00BE6186" w:rsidRPr="00DF7AD4">
              <w:rPr>
                <w:spacing w:val="-2"/>
              </w:rPr>
              <w:t>mld.). Cestovní ruch, který tvořil většinu přebytku před rokem 2014, loni dosáhl kladného salda 35,2 mld. korun. To mírně rostlo, ale tempo zpomalovaly vyšší výdaje domácích spotřebitelů na cestování do zahraničí. Ve směru deficitu stabilně působily poplatky za využívání duševního vlastnictví (-18,9 mld.) a pojišťovací služby a penz</w:t>
            </w:r>
            <w:r w:rsidR="00DF7AD4">
              <w:rPr>
                <w:spacing w:val="-2"/>
              </w:rPr>
              <w:t xml:space="preserve">ijní financování (-11,2 mld.). </w:t>
            </w:r>
          </w:p>
        </w:tc>
      </w:tr>
      <w:tr w:rsidR="00BE6186" w:rsidRPr="00360DE3" w:rsidTr="002B213A">
        <w:trPr>
          <w:trHeight w:val="170"/>
        </w:trPr>
        <w:tc>
          <w:tcPr>
            <w:tcW w:w="1966" w:type="dxa"/>
            <w:vMerge w:val="restart"/>
            <w:shd w:val="clear" w:color="auto" w:fill="auto"/>
          </w:tcPr>
          <w:p w:rsidR="00BE6186" w:rsidRPr="00360DE3" w:rsidRDefault="00BE6186" w:rsidP="002B213A">
            <w:pPr>
              <w:pStyle w:val="Marginlie"/>
              <w:rPr>
                <w:spacing w:val="0"/>
              </w:rPr>
            </w:pPr>
          </w:p>
        </w:tc>
        <w:tc>
          <w:tcPr>
            <w:tcW w:w="276" w:type="dxa"/>
            <w:vMerge w:val="restart"/>
          </w:tcPr>
          <w:p w:rsidR="00BE6186" w:rsidRPr="00360DE3" w:rsidRDefault="00BE6186" w:rsidP="002B213A">
            <w:pPr>
              <w:pStyle w:val="Textpoznpodarou"/>
              <w:jc w:val="both"/>
            </w:pPr>
          </w:p>
        </w:tc>
        <w:tc>
          <w:tcPr>
            <w:tcW w:w="7355" w:type="dxa"/>
          </w:tcPr>
          <w:p w:rsidR="00BE6186" w:rsidRPr="00360DE3" w:rsidRDefault="00BE6186" w:rsidP="001D198A">
            <w:pPr>
              <w:spacing w:after="0"/>
              <w:rPr>
                <w:b/>
              </w:rPr>
            </w:pPr>
            <w:r w:rsidRPr="00360DE3">
              <w:rPr>
                <w:b/>
              </w:rPr>
              <w:t xml:space="preserve">Graf č. </w:t>
            </w:r>
            <w:proofErr w:type="gramStart"/>
            <w:r w:rsidR="001D198A" w:rsidRPr="00360DE3">
              <w:rPr>
                <w:b/>
              </w:rPr>
              <w:t>3.2.1</w:t>
            </w:r>
            <w:r w:rsidRPr="00360DE3">
              <w:rPr>
                <w:b/>
              </w:rPr>
              <w:t xml:space="preserve">  Bilance</w:t>
            </w:r>
            <w:proofErr w:type="gramEnd"/>
            <w:r w:rsidRPr="00360DE3">
              <w:rPr>
                <w:b/>
              </w:rPr>
              <w:t xml:space="preserve"> služeb </w:t>
            </w:r>
            <w:r w:rsidRPr="00360DE3">
              <w:t>(kumulace celého roku, v mld. korun)</w:t>
            </w:r>
          </w:p>
        </w:tc>
      </w:tr>
      <w:tr w:rsidR="00BE6186" w:rsidRPr="00360DE3" w:rsidTr="002B213A">
        <w:trPr>
          <w:trHeight w:val="170"/>
        </w:trPr>
        <w:tc>
          <w:tcPr>
            <w:tcW w:w="1966" w:type="dxa"/>
            <w:vMerge/>
            <w:shd w:val="clear" w:color="auto" w:fill="auto"/>
          </w:tcPr>
          <w:p w:rsidR="00BE6186" w:rsidRPr="00360DE3" w:rsidRDefault="00BE6186" w:rsidP="002B213A">
            <w:pPr>
              <w:pStyle w:val="Marginlie"/>
              <w:rPr>
                <w:spacing w:val="0"/>
              </w:rPr>
            </w:pPr>
          </w:p>
        </w:tc>
        <w:tc>
          <w:tcPr>
            <w:tcW w:w="276" w:type="dxa"/>
            <w:vMerge/>
          </w:tcPr>
          <w:p w:rsidR="00BE6186" w:rsidRPr="00360DE3" w:rsidRDefault="00BE6186" w:rsidP="002B213A">
            <w:pPr>
              <w:pStyle w:val="Textpoznpodarou"/>
              <w:jc w:val="both"/>
            </w:pPr>
          </w:p>
        </w:tc>
        <w:tc>
          <w:tcPr>
            <w:tcW w:w="7355" w:type="dxa"/>
          </w:tcPr>
          <w:p w:rsidR="00BE6186" w:rsidRPr="00360DE3" w:rsidRDefault="00BE6186" w:rsidP="002B213A">
            <w:pPr>
              <w:spacing w:after="0"/>
            </w:pPr>
            <w:r w:rsidRPr="00360DE3">
              <w:rPr>
                <w:noProof/>
              </w:rPr>
              <w:drawing>
                <wp:inline distT="0" distB="0" distL="0" distR="0">
                  <wp:extent cx="4737600" cy="3362700"/>
                  <wp:effectExtent l="0" t="0" r="0" b="0"/>
                  <wp:docPr id="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E6186" w:rsidRPr="00360DE3" w:rsidTr="002B213A">
        <w:trPr>
          <w:trHeight w:val="170"/>
        </w:trPr>
        <w:tc>
          <w:tcPr>
            <w:tcW w:w="1966" w:type="dxa"/>
            <w:vMerge/>
            <w:shd w:val="clear" w:color="auto" w:fill="auto"/>
          </w:tcPr>
          <w:p w:rsidR="00BE6186" w:rsidRPr="00360DE3" w:rsidRDefault="00BE6186" w:rsidP="002B213A">
            <w:pPr>
              <w:pStyle w:val="Marginlie"/>
              <w:rPr>
                <w:spacing w:val="0"/>
              </w:rPr>
            </w:pPr>
          </w:p>
        </w:tc>
        <w:tc>
          <w:tcPr>
            <w:tcW w:w="276" w:type="dxa"/>
            <w:vMerge/>
          </w:tcPr>
          <w:p w:rsidR="00BE6186" w:rsidRPr="00360DE3" w:rsidRDefault="00BE6186" w:rsidP="002B213A">
            <w:pPr>
              <w:pStyle w:val="Textpoznpodarou"/>
              <w:jc w:val="both"/>
            </w:pPr>
          </w:p>
        </w:tc>
        <w:tc>
          <w:tcPr>
            <w:tcW w:w="7355" w:type="dxa"/>
          </w:tcPr>
          <w:p w:rsidR="00BE6186" w:rsidRPr="00360DE3" w:rsidRDefault="00BE6186" w:rsidP="002B213A">
            <w:pPr>
              <w:rPr>
                <w:sz w:val="14"/>
                <w:szCs w:val="14"/>
              </w:rPr>
            </w:pPr>
            <w:r w:rsidRPr="00360DE3">
              <w:rPr>
                <w:sz w:val="14"/>
                <w:szCs w:val="14"/>
              </w:rPr>
              <w:t>Zdroj: ČNB</w:t>
            </w:r>
          </w:p>
        </w:tc>
      </w:tr>
    </w:tbl>
    <w:p w:rsidR="00BE6186" w:rsidRPr="00360DE3" w:rsidRDefault="00BE6186" w:rsidP="00BE6186">
      <w:pPr>
        <w:pStyle w:val="Nadpis2"/>
      </w:pPr>
      <w:bookmarkStart w:id="13" w:name="_Toc527639468"/>
      <w:r w:rsidRPr="00360DE3">
        <w:t>3.3 Investiční pozice a zahraniční dluh</w:t>
      </w:r>
      <w:bookmarkEnd w:id="13"/>
    </w:p>
    <w:tbl>
      <w:tblPr>
        <w:tblW w:w="9644" w:type="dxa"/>
        <w:tblInd w:w="-15" w:type="dxa"/>
        <w:tblLayout w:type="fixed"/>
        <w:tblCellMar>
          <w:left w:w="0" w:type="dxa"/>
          <w:right w:w="0" w:type="dxa"/>
        </w:tblCellMar>
        <w:tblLook w:val="00A0"/>
      </w:tblPr>
      <w:tblGrid>
        <w:gridCol w:w="1976"/>
        <w:gridCol w:w="277"/>
        <w:gridCol w:w="7391"/>
      </w:tblGrid>
      <w:tr w:rsidR="00BE6186" w:rsidRPr="00360DE3" w:rsidTr="002B213A">
        <w:trPr>
          <w:trHeight w:val="145"/>
        </w:trPr>
        <w:tc>
          <w:tcPr>
            <w:tcW w:w="1976" w:type="dxa"/>
          </w:tcPr>
          <w:p w:rsidR="00BE6186" w:rsidRPr="00360DE3" w:rsidRDefault="00BE6186" w:rsidP="002B213A">
            <w:pPr>
              <w:pStyle w:val="Marginlie"/>
              <w:rPr>
                <w:spacing w:val="0"/>
              </w:rPr>
            </w:pPr>
            <w:r w:rsidRPr="00360DE3">
              <w:rPr>
                <w:spacing w:val="0"/>
              </w:rPr>
              <w:t xml:space="preserve">Investiční pozice se díky rostoucím rezervním aktivům mírně zlepšila. </w:t>
            </w:r>
            <w:r w:rsidRPr="00360DE3">
              <w:rPr>
                <w:spacing w:val="0"/>
              </w:rPr>
              <w:lastRenderedPageBreak/>
              <w:t>Tradiční deficit přímých investic se však prohloubil.</w:t>
            </w:r>
          </w:p>
        </w:tc>
        <w:tc>
          <w:tcPr>
            <w:tcW w:w="277" w:type="dxa"/>
          </w:tcPr>
          <w:p w:rsidR="00BE6186" w:rsidRPr="00360DE3" w:rsidRDefault="00BE6186" w:rsidP="002B213A">
            <w:pPr>
              <w:pStyle w:val="Textpoznpodarou"/>
              <w:jc w:val="both"/>
            </w:pPr>
          </w:p>
        </w:tc>
        <w:tc>
          <w:tcPr>
            <w:tcW w:w="7391" w:type="dxa"/>
          </w:tcPr>
          <w:p w:rsidR="00BE6186" w:rsidRPr="00360DE3" w:rsidRDefault="00BE6186" w:rsidP="002B213A">
            <w:r w:rsidRPr="00360DE3">
              <w:t xml:space="preserve">Investiční pozice vůči zahraničí skončila loni podle údajů ČNB schodkem ve výši 1 337,0 mld. korun, který se meziročně prohloubil o 53,9 mld. (poprvé od roku 2012). Vývoj investiční pozice v posledních letech ovlivňovaly kurzové intervence. </w:t>
            </w:r>
            <w:r w:rsidRPr="00360DE3">
              <w:lastRenderedPageBreak/>
              <w:t xml:space="preserve">Kvůli těm postupně od roku 2013 narůstal objem rezervních aktiv a tím se snižoval schodek investiční pozice. Ačkoli intervenční režim skončil již v dubnu loňského roku, objem rezervních aktiv stačil meziročně narůst o 952,6. mld. korun, čímž zabránil většímu prohloubení schodku, v jehož směru působily ostatní investice, především výrazné zvýšení přílivu oběživa a vkladů ze zahraničí. Záporné saldo přímých investic, které </w:t>
            </w:r>
            <w:proofErr w:type="gramStart"/>
            <w:r w:rsidRPr="00360DE3">
              <w:t>je</w:t>
            </w:r>
            <w:proofErr w:type="gramEnd"/>
            <w:r w:rsidRPr="00360DE3">
              <w:t xml:space="preserve"> hlavním důvodem záporné investiční pozice Česka </w:t>
            </w:r>
            <w:proofErr w:type="gramStart"/>
            <w:r w:rsidRPr="00360DE3">
              <w:t>se</w:t>
            </w:r>
            <w:proofErr w:type="gramEnd"/>
            <w:r w:rsidRPr="00360DE3">
              <w:t xml:space="preserve"> loni opět prohloubilo a dosáhlo 2 793,4 mld. korun.   </w:t>
            </w:r>
          </w:p>
        </w:tc>
      </w:tr>
      <w:tr w:rsidR="00BE6186" w:rsidRPr="00360DE3" w:rsidTr="002B213A">
        <w:trPr>
          <w:trHeight w:val="170"/>
        </w:trPr>
        <w:tc>
          <w:tcPr>
            <w:tcW w:w="1976" w:type="dxa"/>
            <w:vMerge w:val="restart"/>
          </w:tcPr>
          <w:p w:rsidR="00BE6186" w:rsidRPr="00360DE3" w:rsidRDefault="00BE6186" w:rsidP="002B213A">
            <w:pPr>
              <w:pStyle w:val="Marginlie"/>
              <w:rPr>
                <w:spacing w:val="0"/>
              </w:rPr>
            </w:pPr>
          </w:p>
        </w:tc>
        <w:tc>
          <w:tcPr>
            <w:tcW w:w="277" w:type="dxa"/>
            <w:vMerge w:val="restart"/>
          </w:tcPr>
          <w:p w:rsidR="00BE6186" w:rsidRPr="00360DE3" w:rsidRDefault="00BE6186" w:rsidP="002B213A">
            <w:pPr>
              <w:pStyle w:val="Textpoznpodarou"/>
              <w:jc w:val="both"/>
            </w:pPr>
          </w:p>
        </w:tc>
        <w:tc>
          <w:tcPr>
            <w:tcW w:w="7391" w:type="dxa"/>
          </w:tcPr>
          <w:p w:rsidR="00BE6186" w:rsidRPr="00360DE3" w:rsidRDefault="00BE6186" w:rsidP="001D198A">
            <w:pPr>
              <w:spacing w:after="0"/>
              <w:rPr>
                <w:b/>
                <w:szCs w:val="20"/>
              </w:rPr>
            </w:pPr>
            <w:r w:rsidRPr="00360DE3">
              <w:rPr>
                <w:b/>
                <w:szCs w:val="20"/>
              </w:rPr>
              <w:t xml:space="preserve">Graf č. </w:t>
            </w:r>
            <w:proofErr w:type="gramStart"/>
            <w:r w:rsidR="001D198A" w:rsidRPr="00360DE3">
              <w:rPr>
                <w:b/>
                <w:szCs w:val="20"/>
              </w:rPr>
              <w:t>3.3.1</w:t>
            </w:r>
            <w:r w:rsidRPr="00360DE3">
              <w:rPr>
                <w:b/>
                <w:szCs w:val="20"/>
              </w:rPr>
              <w:t xml:space="preserve">  Investiční</w:t>
            </w:r>
            <w:proofErr w:type="gramEnd"/>
            <w:r w:rsidRPr="00360DE3">
              <w:rPr>
                <w:b/>
                <w:szCs w:val="20"/>
              </w:rPr>
              <w:t xml:space="preserve"> pozice vůči zahraničí </w:t>
            </w:r>
            <w:r w:rsidRPr="000D514E">
              <w:rPr>
                <w:szCs w:val="20"/>
              </w:rPr>
              <w:t>(v mld. korun, stav ke konci roku)</w:t>
            </w:r>
          </w:p>
        </w:tc>
      </w:tr>
      <w:tr w:rsidR="00BE6186" w:rsidRPr="00360DE3" w:rsidTr="002B213A">
        <w:trPr>
          <w:trHeight w:val="170"/>
        </w:trPr>
        <w:tc>
          <w:tcPr>
            <w:tcW w:w="1976" w:type="dxa"/>
            <w:vMerge/>
          </w:tcPr>
          <w:p w:rsidR="00BE6186" w:rsidRPr="00360DE3" w:rsidRDefault="00BE6186" w:rsidP="002B213A">
            <w:pPr>
              <w:pStyle w:val="Marginlie"/>
              <w:rPr>
                <w:spacing w:val="0"/>
              </w:rPr>
            </w:pPr>
          </w:p>
        </w:tc>
        <w:tc>
          <w:tcPr>
            <w:tcW w:w="277" w:type="dxa"/>
            <w:vMerge/>
          </w:tcPr>
          <w:p w:rsidR="00BE6186" w:rsidRPr="00360DE3" w:rsidRDefault="00BE6186" w:rsidP="002B213A">
            <w:pPr>
              <w:pStyle w:val="Textpoznpodarou"/>
              <w:jc w:val="both"/>
            </w:pPr>
          </w:p>
        </w:tc>
        <w:tc>
          <w:tcPr>
            <w:tcW w:w="7391" w:type="dxa"/>
          </w:tcPr>
          <w:p w:rsidR="00BE6186" w:rsidRPr="00360DE3" w:rsidRDefault="00BE6186" w:rsidP="002B213A">
            <w:pPr>
              <w:spacing w:after="0"/>
            </w:pPr>
            <w:r w:rsidRPr="00360DE3">
              <w:rPr>
                <w:noProof/>
              </w:rPr>
              <w:drawing>
                <wp:inline distT="0" distB="0" distL="0" distR="0">
                  <wp:extent cx="4737600" cy="3553200"/>
                  <wp:effectExtent l="0" t="0" r="0" b="0"/>
                  <wp:docPr id="1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BE6186" w:rsidRPr="00360DE3" w:rsidTr="002B213A">
        <w:trPr>
          <w:trHeight w:val="170"/>
        </w:trPr>
        <w:tc>
          <w:tcPr>
            <w:tcW w:w="1976" w:type="dxa"/>
            <w:vMerge/>
          </w:tcPr>
          <w:p w:rsidR="00BE6186" w:rsidRPr="00360DE3" w:rsidRDefault="00BE6186" w:rsidP="002B213A">
            <w:pPr>
              <w:pStyle w:val="Marginlie"/>
              <w:rPr>
                <w:spacing w:val="0"/>
              </w:rPr>
            </w:pPr>
          </w:p>
        </w:tc>
        <w:tc>
          <w:tcPr>
            <w:tcW w:w="277" w:type="dxa"/>
            <w:vMerge/>
          </w:tcPr>
          <w:p w:rsidR="00BE6186" w:rsidRPr="00360DE3" w:rsidRDefault="00BE6186" w:rsidP="002B213A">
            <w:pPr>
              <w:pStyle w:val="Textpoznpodarou"/>
              <w:jc w:val="both"/>
            </w:pPr>
          </w:p>
        </w:tc>
        <w:tc>
          <w:tcPr>
            <w:tcW w:w="7391" w:type="dxa"/>
          </w:tcPr>
          <w:p w:rsidR="00BE6186" w:rsidRPr="00360DE3" w:rsidRDefault="00BE6186" w:rsidP="002B213A">
            <w:pPr>
              <w:rPr>
                <w:sz w:val="14"/>
                <w:szCs w:val="14"/>
              </w:rPr>
            </w:pPr>
            <w:r w:rsidRPr="00360DE3">
              <w:rPr>
                <w:sz w:val="14"/>
                <w:szCs w:val="14"/>
              </w:rPr>
              <w:t>Zdroj: ČNB</w:t>
            </w:r>
          </w:p>
        </w:tc>
      </w:tr>
      <w:tr w:rsidR="00BE6186" w:rsidRPr="00360DE3" w:rsidTr="002B213A">
        <w:trPr>
          <w:trHeight w:val="145"/>
        </w:trPr>
        <w:tc>
          <w:tcPr>
            <w:tcW w:w="1976" w:type="dxa"/>
          </w:tcPr>
          <w:p w:rsidR="00BE6186" w:rsidRPr="00360DE3" w:rsidRDefault="00BE6186" w:rsidP="002B213A">
            <w:pPr>
              <w:pStyle w:val="Marginlie"/>
              <w:rPr>
                <w:spacing w:val="0"/>
              </w:rPr>
            </w:pPr>
            <w:r w:rsidRPr="00360DE3">
              <w:rPr>
                <w:spacing w:val="0"/>
              </w:rPr>
              <w:t>Zahraniční dluh se loni zvyšoval.</w:t>
            </w:r>
          </w:p>
        </w:tc>
        <w:tc>
          <w:tcPr>
            <w:tcW w:w="277" w:type="dxa"/>
          </w:tcPr>
          <w:p w:rsidR="00BE6186" w:rsidRPr="00360DE3" w:rsidRDefault="00BE6186" w:rsidP="002B213A">
            <w:pPr>
              <w:pStyle w:val="Textpoznpodarou"/>
              <w:jc w:val="both"/>
            </w:pPr>
          </w:p>
        </w:tc>
        <w:tc>
          <w:tcPr>
            <w:tcW w:w="7391" w:type="dxa"/>
          </w:tcPr>
          <w:p w:rsidR="00BE6186" w:rsidRPr="00360DE3" w:rsidRDefault="00BE6186" w:rsidP="002B213A">
            <w:r w:rsidRPr="00360DE3">
              <w:t xml:space="preserve">Výše zahraničního dluhu dosáhla ke konci roku 4 372,4 mld. korun a meziročně vzrostla o 874,7 mld. korun. Nahoru ji tlačil především nárůst krátkodobého zadlužení. Ten bral hlavně formu oběživa a vkladů, jejichž objem v krátkodobém zahraničním dluhu se loni zvýšil o 542,8 mld. korun (dosáhl 1,7násobek stavu z konce roku 2016). Silně patrný byl i přírůstek dluhových cenných papírů, které se do struktury krátkodobého dluhu promítaly v posledních třech letech. Loni se jejich objem zvýšil o 165,0 mld. korun a tím se téměř zdvojnásobil. Dlouhodobý dluh se v posledních letech nemění až tak výrazně. Jeho nárůst o 50,0 mld. loni způsobilo výhradně zvýšení objemu oběživa a vkladů o 86,2 mld. korun. Zadlužení ve formě ostatních nástrojů mírně pokleslo.     </w:t>
            </w:r>
          </w:p>
        </w:tc>
      </w:tr>
      <w:tr w:rsidR="00BE6186" w:rsidRPr="00360DE3" w:rsidTr="002B213A">
        <w:trPr>
          <w:trHeight w:val="412"/>
        </w:trPr>
        <w:tc>
          <w:tcPr>
            <w:tcW w:w="1976" w:type="dxa"/>
          </w:tcPr>
          <w:p w:rsidR="00BE6186" w:rsidRPr="00360DE3" w:rsidRDefault="00BE6186" w:rsidP="002B213A">
            <w:pPr>
              <w:pStyle w:val="Marginlie"/>
              <w:rPr>
                <w:spacing w:val="0"/>
              </w:rPr>
            </w:pPr>
            <w:r w:rsidRPr="00360DE3">
              <w:rPr>
                <w:spacing w:val="0"/>
              </w:rPr>
              <w:t>Krátkodobý dluh u bank byl hlavním tahounem zvyšování zahraničního zadlužení.</w:t>
            </w:r>
          </w:p>
        </w:tc>
        <w:tc>
          <w:tcPr>
            <w:tcW w:w="277" w:type="dxa"/>
          </w:tcPr>
          <w:p w:rsidR="00BE6186" w:rsidRPr="00360DE3" w:rsidRDefault="00BE6186" w:rsidP="002B213A">
            <w:pPr>
              <w:pStyle w:val="Textpoznpodarou"/>
              <w:jc w:val="both"/>
            </w:pPr>
          </w:p>
        </w:tc>
        <w:tc>
          <w:tcPr>
            <w:tcW w:w="7391" w:type="dxa"/>
          </w:tcPr>
          <w:p w:rsidR="00BE6186" w:rsidRPr="00360DE3" w:rsidRDefault="00AB5421" w:rsidP="00C466D2">
            <w:r w:rsidRPr="00360DE3">
              <w:t>N</w:t>
            </w:r>
            <w:r w:rsidR="00BE6186" w:rsidRPr="00360DE3">
              <w:t>ejvýrazněji rostl zahraniční dluh institucí přijímajících vklady (banky). Zvýšil se o</w:t>
            </w:r>
            <w:r w:rsidR="00C466D2" w:rsidRPr="00360DE3">
              <w:t> </w:t>
            </w:r>
            <w:r w:rsidR="00BE6186" w:rsidRPr="00360DE3">
              <w:t xml:space="preserve">680,1 mld. korun. Právě bankovní instituce stály za prudkým nárůstem krátkodobého dluhu (zadlužení se zvýšilo o 600,6 mld.). Navyšoval se </w:t>
            </w:r>
            <w:r w:rsidRPr="00360DE3">
              <w:t>zde</w:t>
            </w:r>
            <w:r w:rsidR="00BE6186" w:rsidRPr="00360DE3">
              <w:t xml:space="preserve"> dluh ve formě oběživa a vkladů a rovněž dluhových cenných papírů, které jinak nehrají významnou roli (ke konci roku 2017 jich bylo 317,3</w:t>
            </w:r>
            <w:r w:rsidR="00DF7AD4">
              <w:t xml:space="preserve"> mld., v roce 2014 3,4 mld.). U</w:t>
            </w:r>
            <w:r w:rsidR="00DF7AD4" w:rsidRPr="00360DE3">
              <w:t> </w:t>
            </w:r>
            <w:r w:rsidR="00BE6186" w:rsidRPr="00360DE3">
              <w:t xml:space="preserve">centrální banky je objem zahraničního dluhu poměrně nízký v porovnání s ostatními aktéry v ekonomice, od roku 2014 však roste a loni se zvýšil o 68,3 mld. korun na 171,1 mld. Jeho pohyb rovněž zajišťovalo krátkodobé zadlužení ve formě oběživa a vkladů. Zahraniční dluh vládních institucí a ostatních sektorů mírně rostl, k významnějším posunům v jeho struktuře však nedocházelo.  </w:t>
            </w:r>
          </w:p>
        </w:tc>
      </w:tr>
    </w:tbl>
    <w:p w:rsidR="00BE6186" w:rsidRPr="00360DE3" w:rsidRDefault="00BE6186" w:rsidP="00BE6186">
      <w:pPr>
        <w:pStyle w:val="Nadpis110"/>
      </w:pPr>
      <w:bookmarkStart w:id="14" w:name="_Toc527639469"/>
      <w:r w:rsidRPr="00360DE3">
        <w:lastRenderedPageBreak/>
        <w:t>4. Investice</w:t>
      </w:r>
      <w:bookmarkEnd w:id="14"/>
    </w:p>
    <w:tbl>
      <w:tblPr>
        <w:tblW w:w="9644" w:type="dxa"/>
        <w:tblInd w:w="-15" w:type="dxa"/>
        <w:tblCellMar>
          <w:left w:w="0" w:type="dxa"/>
          <w:right w:w="0" w:type="dxa"/>
        </w:tblCellMar>
        <w:tblLook w:val="00A0"/>
      </w:tblPr>
      <w:tblGrid>
        <w:gridCol w:w="1909"/>
        <w:gridCol w:w="264"/>
        <w:gridCol w:w="7471"/>
      </w:tblGrid>
      <w:tr w:rsidR="00BE6186" w:rsidRPr="00360DE3" w:rsidTr="00F160CE">
        <w:trPr>
          <w:trHeight w:val="145"/>
        </w:trPr>
        <w:tc>
          <w:tcPr>
            <w:tcW w:w="1909" w:type="dxa"/>
            <w:shd w:val="clear" w:color="auto" w:fill="auto"/>
          </w:tcPr>
          <w:p w:rsidR="00BE6186" w:rsidRPr="00360DE3" w:rsidRDefault="00BE6186" w:rsidP="002B213A">
            <w:pPr>
              <w:pStyle w:val="Marginlie"/>
              <w:rPr>
                <w:spacing w:val="0"/>
              </w:rPr>
            </w:pPr>
            <w:r w:rsidRPr="00360DE3">
              <w:rPr>
                <w:spacing w:val="0"/>
              </w:rPr>
              <w:t>Investiční aktivita v loňském roce zaznamenala oživení po slabším roce 2016.</w:t>
            </w:r>
          </w:p>
        </w:tc>
        <w:tc>
          <w:tcPr>
            <w:tcW w:w="264" w:type="dxa"/>
            <w:shd w:val="clear" w:color="auto" w:fill="auto"/>
          </w:tcPr>
          <w:p w:rsidR="00BE6186" w:rsidRPr="00360DE3" w:rsidRDefault="00BE6186" w:rsidP="002B213A">
            <w:pPr>
              <w:pStyle w:val="Textpoznpodarou10"/>
              <w:jc w:val="both"/>
            </w:pPr>
          </w:p>
        </w:tc>
        <w:tc>
          <w:tcPr>
            <w:tcW w:w="7471" w:type="dxa"/>
            <w:shd w:val="clear" w:color="auto" w:fill="auto"/>
          </w:tcPr>
          <w:p w:rsidR="00BE6186" w:rsidRPr="00360DE3" w:rsidRDefault="00BE6186" w:rsidP="002B213A">
            <w:r w:rsidRPr="00360DE3">
              <w:t xml:space="preserve">Celková výše výdajů na tvorbu hrubého fixního kapitálu v roce 2017 v běžných cenách dosáhla 1 246,1 mld. korun. Meziročně se tak investiční výdaje zvýšily o 57,4 mld. korun a jejich reálný růst dosáhl 3,3 %. Dynamika investiční aktivity v posledních letech byla ovlivněna evropskými dotacemi, jejichž dočerpávání v roce 2015 výdaje výrazně stimulovalo. Náběh nového programového období v roce 2016 bylo spojeno i s meziročním poklesem investic. Loňské oživení pak hodnotu investic v běžných cenách posunulo mírně nad úroveň roku 2015, účelová i sektorová struktura však byla odlišná. </w:t>
            </w:r>
          </w:p>
        </w:tc>
      </w:tr>
      <w:tr w:rsidR="00BE6186" w:rsidRPr="00360DE3" w:rsidTr="00F160CE">
        <w:tc>
          <w:tcPr>
            <w:tcW w:w="1909" w:type="dxa"/>
            <w:vMerge w:val="restart"/>
            <w:shd w:val="clear" w:color="auto" w:fill="auto"/>
          </w:tcPr>
          <w:p w:rsidR="00BE6186" w:rsidRPr="00360DE3" w:rsidRDefault="00BE6186" w:rsidP="002B213A">
            <w:pPr>
              <w:pStyle w:val="Marginlie"/>
              <w:rPr>
                <w:spacing w:val="0"/>
              </w:rPr>
            </w:pPr>
          </w:p>
        </w:tc>
        <w:tc>
          <w:tcPr>
            <w:tcW w:w="264" w:type="dxa"/>
            <w:vMerge w:val="restart"/>
            <w:shd w:val="clear" w:color="auto" w:fill="auto"/>
          </w:tcPr>
          <w:p w:rsidR="00BE6186" w:rsidRPr="00360DE3" w:rsidRDefault="00BE6186" w:rsidP="002B213A">
            <w:pPr>
              <w:pStyle w:val="Textpoznpodarou10"/>
              <w:jc w:val="both"/>
            </w:pPr>
          </w:p>
        </w:tc>
        <w:tc>
          <w:tcPr>
            <w:tcW w:w="7471" w:type="dxa"/>
            <w:shd w:val="clear" w:color="auto" w:fill="auto"/>
          </w:tcPr>
          <w:p w:rsidR="006836CB" w:rsidRDefault="00BE6186" w:rsidP="001D198A">
            <w:pPr>
              <w:spacing w:after="0"/>
              <w:rPr>
                <w:b/>
              </w:rPr>
            </w:pPr>
            <w:r w:rsidRPr="00360DE3">
              <w:rPr>
                <w:b/>
              </w:rPr>
              <w:t xml:space="preserve">Graf č. </w:t>
            </w:r>
            <w:proofErr w:type="gramStart"/>
            <w:r w:rsidR="001D198A" w:rsidRPr="00360DE3">
              <w:rPr>
                <w:b/>
              </w:rPr>
              <w:t>4.1</w:t>
            </w:r>
            <w:r w:rsidRPr="00360DE3">
              <w:rPr>
                <w:b/>
              </w:rPr>
              <w:t xml:space="preserve">  Tvorba</w:t>
            </w:r>
            <w:proofErr w:type="gramEnd"/>
            <w:r w:rsidRPr="00360DE3">
              <w:rPr>
                <w:b/>
              </w:rPr>
              <w:t xml:space="preserve"> hrubého fixního kapitálu, sektorové členění</w:t>
            </w:r>
          </w:p>
          <w:p w:rsidR="00BE6186" w:rsidRPr="00360DE3" w:rsidRDefault="00BE6186" w:rsidP="001D198A">
            <w:pPr>
              <w:spacing w:after="0"/>
              <w:rPr>
                <w:b/>
              </w:rPr>
            </w:pPr>
            <w:r w:rsidRPr="00360DE3">
              <w:t>(běžné ceny, meziroční změna v mld. korun)</w:t>
            </w:r>
          </w:p>
        </w:tc>
      </w:tr>
      <w:tr w:rsidR="00BE6186" w:rsidRPr="00360DE3" w:rsidTr="00F160CE">
        <w:trPr>
          <w:trHeight w:val="170"/>
        </w:trPr>
        <w:tc>
          <w:tcPr>
            <w:tcW w:w="1909" w:type="dxa"/>
            <w:vMerge/>
            <w:shd w:val="clear" w:color="auto" w:fill="auto"/>
          </w:tcPr>
          <w:p w:rsidR="00BE6186" w:rsidRPr="00360DE3" w:rsidRDefault="00BE6186" w:rsidP="002B213A">
            <w:pPr>
              <w:pStyle w:val="Marginlie"/>
              <w:rPr>
                <w:spacing w:val="0"/>
              </w:rPr>
            </w:pPr>
          </w:p>
        </w:tc>
        <w:tc>
          <w:tcPr>
            <w:tcW w:w="264" w:type="dxa"/>
            <w:vMerge/>
            <w:shd w:val="clear" w:color="auto" w:fill="auto"/>
          </w:tcPr>
          <w:p w:rsidR="00BE6186" w:rsidRPr="00360DE3" w:rsidRDefault="00BE6186" w:rsidP="002B213A">
            <w:pPr>
              <w:pStyle w:val="Textpoznpodarou10"/>
              <w:jc w:val="both"/>
            </w:pPr>
          </w:p>
        </w:tc>
        <w:tc>
          <w:tcPr>
            <w:tcW w:w="7471" w:type="dxa"/>
            <w:shd w:val="clear" w:color="auto" w:fill="auto"/>
          </w:tcPr>
          <w:p w:rsidR="00BE6186" w:rsidRPr="00360DE3" w:rsidRDefault="00BE6186" w:rsidP="002B213A">
            <w:pPr>
              <w:spacing w:after="0"/>
            </w:pPr>
            <w:r w:rsidRPr="00360DE3">
              <w:rPr>
                <w:noProof/>
              </w:rPr>
              <w:drawing>
                <wp:inline distT="0" distB="0" distL="0" distR="0">
                  <wp:extent cx="4737600" cy="3553200"/>
                  <wp:effectExtent l="0" t="0" r="0" b="0"/>
                  <wp:docPr id="1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E6186" w:rsidRPr="00360DE3" w:rsidTr="00F160CE">
        <w:trPr>
          <w:trHeight w:val="170"/>
        </w:trPr>
        <w:tc>
          <w:tcPr>
            <w:tcW w:w="1909" w:type="dxa"/>
            <w:vMerge/>
            <w:shd w:val="clear" w:color="auto" w:fill="auto"/>
          </w:tcPr>
          <w:p w:rsidR="00BE6186" w:rsidRPr="00360DE3" w:rsidRDefault="00BE6186" w:rsidP="002B213A">
            <w:pPr>
              <w:pStyle w:val="Marginlie"/>
              <w:rPr>
                <w:spacing w:val="0"/>
              </w:rPr>
            </w:pPr>
          </w:p>
        </w:tc>
        <w:tc>
          <w:tcPr>
            <w:tcW w:w="264" w:type="dxa"/>
            <w:vMerge/>
            <w:shd w:val="clear" w:color="auto" w:fill="auto"/>
          </w:tcPr>
          <w:p w:rsidR="00BE6186" w:rsidRPr="00360DE3" w:rsidRDefault="00BE6186" w:rsidP="002B213A">
            <w:pPr>
              <w:pStyle w:val="Textpoznpodarou10"/>
              <w:jc w:val="both"/>
            </w:pPr>
          </w:p>
        </w:tc>
        <w:tc>
          <w:tcPr>
            <w:tcW w:w="7471" w:type="dxa"/>
            <w:shd w:val="clear" w:color="auto" w:fill="auto"/>
          </w:tcPr>
          <w:p w:rsidR="00BE6186" w:rsidRPr="00360DE3" w:rsidRDefault="00BE6186" w:rsidP="002B213A">
            <w:pPr>
              <w:rPr>
                <w:sz w:val="14"/>
                <w:szCs w:val="14"/>
              </w:rPr>
            </w:pPr>
            <w:r w:rsidRPr="00360DE3">
              <w:rPr>
                <w:sz w:val="14"/>
                <w:szCs w:val="14"/>
              </w:rPr>
              <w:t>Zdroj:ČSÚ</w:t>
            </w:r>
          </w:p>
        </w:tc>
      </w:tr>
      <w:tr w:rsidR="00F160CE" w:rsidRPr="00360DE3" w:rsidTr="00F160CE">
        <w:trPr>
          <w:trHeight w:val="145"/>
        </w:trPr>
        <w:tc>
          <w:tcPr>
            <w:tcW w:w="1909" w:type="dxa"/>
            <w:shd w:val="clear" w:color="auto" w:fill="auto"/>
          </w:tcPr>
          <w:p w:rsidR="00F160CE" w:rsidRPr="00360DE3" w:rsidRDefault="00F160CE" w:rsidP="00DC37E3">
            <w:pPr>
              <w:pStyle w:val="Marginlie"/>
              <w:rPr>
                <w:spacing w:val="0"/>
              </w:rPr>
            </w:pPr>
            <w:r w:rsidRPr="00360DE3">
              <w:rPr>
                <w:spacing w:val="0"/>
              </w:rPr>
              <w:t>Růst investičních výdajů podpořily hlavně nefinanční podniky. Růst však zažívaly všechny sektory.</w:t>
            </w:r>
          </w:p>
        </w:tc>
        <w:tc>
          <w:tcPr>
            <w:tcW w:w="264" w:type="dxa"/>
            <w:shd w:val="clear" w:color="auto" w:fill="auto"/>
          </w:tcPr>
          <w:p w:rsidR="00F160CE" w:rsidRPr="00360DE3" w:rsidRDefault="00F160CE" w:rsidP="00DC37E3">
            <w:pPr>
              <w:pStyle w:val="Textpoznpodarou10"/>
              <w:jc w:val="both"/>
            </w:pPr>
          </w:p>
        </w:tc>
        <w:tc>
          <w:tcPr>
            <w:tcW w:w="7471" w:type="dxa"/>
            <w:shd w:val="clear" w:color="auto" w:fill="auto"/>
          </w:tcPr>
          <w:p w:rsidR="00F160CE" w:rsidRPr="00360DE3" w:rsidRDefault="00F160CE" w:rsidP="00DC37E3">
            <w:r w:rsidRPr="00360DE3">
              <w:t>Z pohledu jednotlivých sektorů byly tahounem investiční aktivity nefinanční podniky, které k nominálnímu nárůstu celkových výdajů na tvorbu hrubého fixního kapitálu přispěly téměř polovinou (26,5 mld. korun). Výše jejich výdajů celkem dosáhla 797,5 mld. korun (64,0 % investic v ekonomice). Druhým nejvýznamnějším investorem z pohledu objemu celkových výdajů byly domácnosti a neziskové instituce sloužící domácnostem (v dalším textu označeno jako domácnosti). Jejich kapitálové výdaje činily 238,5 mld. korun a meziročně se zvýšily o 12,2 mld. Podíl na celkových investicích u nich loni dosáhl 19,1 %, což je nejvíce od roku 2010. Rok 2010 byl lokálním vrcholem investiční aktivity domácností, který se nominálně podařilo překonat až loni (domácnosti reagovaly na tehdejší prudký pokles cen nemovitostí). Investice sektoru vládních institucí se v roce 2017 zvýšily o 13,3 mld. korun a dosáhly 168,5 mld. Tato korekce však ne</w:t>
            </w:r>
            <w:r w:rsidR="006836CB">
              <w:t>stačila na kompenzaci propadu z</w:t>
            </w:r>
            <w:r w:rsidR="006836CB" w:rsidRPr="005A2C7B">
              <w:rPr>
                <w:spacing w:val="-4"/>
              </w:rPr>
              <w:t> </w:t>
            </w:r>
            <w:r w:rsidRPr="00360DE3">
              <w:t xml:space="preserve">roku 2016 (-81,1 mld. korun). Vládní investiční výdaje mají přitom specifickou věcnou strukturu a možnost jejich substituce ostatními sektory je omezena. </w:t>
            </w:r>
          </w:p>
        </w:tc>
      </w:tr>
      <w:tr w:rsidR="00F160CE" w:rsidRPr="00360DE3" w:rsidTr="00F160CE">
        <w:trPr>
          <w:trHeight w:val="145"/>
        </w:trPr>
        <w:tc>
          <w:tcPr>
            <w:tcW w:w="1909" w:type="dxa"/>
            <w:shd w:val="clear" w:color="auto" w:fill="auto"/>
          </w:tcPr>
          <w:p w:rsidR="00F160CE" w:rsidRPr="00360DE3" w:rsidRDefault="006836CB" w:rsidP="002B213A">
            <w:pPr>
              <w:pStyle w:val="Marginlie"/>
              <w:rPr>
                <w:spacing w:val="0"/>
              </w:rPr>
            </w:pPr>
            <w:r>
              <w:rPr>
                <w:spacing w:val="0"/>
              </w:rPr>
              <w:t xml:space="preserve">Stroje a zařízení </w:t>
            </w:r>
            <w:r w:rsidR="00F160CE" w:rsidRPr="00360DE3">
              <w:rPr>
                <w:spacing w:val="0"/>
              </w:rPr>
              <w:t xml:space="preserve">pohltily největší porci investičních výdajů. </w:t>
            </w:r>
          </w:p>
        </w:tc>
        <w:tc>
          <w:tcPr>
            <w:tcW w:w="264" w:type="dxa"/>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2B213A">
            <w:r w:rsidRPr="00360DE3">
              <w:t xml:space="preserve">Objemově nejvýznamnější položkou investiční aktivity jsou tradičně stroje a zařízení. Výdaje na ně loni dosáhly 551,6 mld. korun (více než dvě pětiny celkových investic v ekonomice). Jejich meziroční nárůst činil 11,8 mld. korun </w:t>
            </w:r>
            <w:r w:rsidRPr="00360DE3">
              <w:lastRenderedPageBreak/>
              <w:t xml:space="preserve">(reálně 3,0 %). Křivka vývoje této položky má </w:t>
            </w:r>
            <w:r w:rsidR="00DF7AD4">
              <w:t>rovněž tvar písmene U se dnem v</w:t>
            </w:r>
            <w:r w:rsidR="00DF7AD4" w:rsidRPr="00360DE3">
              <w:t> </w:t>
            </w:r>
            <w:r w:rsidRPr="00360DE3">
              <w:t>roce 2016. Hlavním aktérem jsou zde totiž nefinanční podniky, které ovlivňoval cyklus evropských dotací, které podniky do jisté míry využívaly. Podrobnější vhled do této položky ukazuje, že propad dynamiky v roce 2016 a následné oživení vykazují prostředky informačních a komunikačních t</w:t>
            </w:r>
            <w:r w:rsidR="00DF7AD4">
              <w:t>echnologií (reálný nárůst o</w:t>
            </w:r>
            <w:r w:rsidR="00DF7AD4" w:rsidRPr="00360DE3">
              <w:t> </w:t>
            </w:r>
            <w:r w:rsidR="00DF7AD4">
              <w:t>4,5</w:t>
            </w:r>
            <w:r w:rsidR="00DF7AD4" w:rsidRPr="00360DE3">
              <w:t> </w:t>
            </w:r>
            <w:r w:rsidRPr="00360DE3">
              <w:t xml:space="preserve">%) i ostatní stroje a zařízení (2,4 %). Naopak po silných přírůstcích v letech 2015 a 2016 (více než 9 %) zpomalil reálný růst investic do dopravních prostředků a zařízení (3,5 %).   </w:t>
            </w:r>
          </w:p>
        </w:tc>
      </w:tr>
      <w:tr w:rsidR="00F160CE" w:rsidRPr="00360DE3" w:rsidTr="00F160CE">
        <w:trPr>
          <w:trHeight w:val="145"/>
        </w:trPr>
        <w:tc>
          <w:tcPr>
            <w:tcW w:w="1909" w:type="dxa"/>
            <w:shd w:val="clear" w:color="auto" w:fill="auto"/>
          </w:tcPr>
          <w:p w:rsidR="00F160CE" w:rsidRPr="00360DE3" w:rsidRDefault="00F160CE" w:rsidP="002B213A">
            <w:pPr>
              <w:pStyle w:val="Marginlie"/>
              <w:rPr>
                <w:spacing w:val="0"/>
              </w:rPr>
            </w:pPr>
            <w:r w:rsidRPr="00360DE3">
              <w:rPr>
                <w:spacing w:val="0"/>
              </w:rPr>
              <w:lastRenderedPageBreak/>
              <w:t>Již čtvrtým rokem rostly investice do produktů duševního vlastnictví.</w:t>
            </w:r>
          </w:p>
        </w:tc>
        <w:tc>
          <w:tcPr>
            <w:tcW w:w="264" w:type="dxa"/>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2B213A">
            <w:r w:rsidRPr="00360DE3">
              <w:t xml:space="preserve">Objem investic do produktů duševního vlastnictví loni dosáhl 200,9 mld. korun a zvětšil se o 11,7 mld. (reálný nárůst o 4,4 %). Ačkoli je patrný stimul roku 2015 (reálný nárůst o 14,2 %), tato investiční položka si udržela poměrně stabilní dynamiku v celém čtyřletém období 2014-2017. Produkty duševního vlastnictví zahrnují na jedné straně investice do výzkumu a vývoje a na straně druhé výdaje na počítačové a programové vybavení a databáze. Právě druhá jmenovaná položka skokově nabyla na významu v roce 2015 a poměrně silný růst si udržela (6,9 % v roce 2016, loňský reálný přírůstek 4,5 %). Výdaje na výzkum a vývoj se loni reálně zvýšily o 4,5 %, a v porovnání s rokem 2016 zrychlily. Největší porci investic do produktů duševního vlastnictví vydávají díky své váze nefinanční podniky. V porovnání s ostatními investičními položkami mají produkty duševního vlastnictví největší roli u finančních institucí (hlavně počítačové a softwarové vybavení). U vládních institucí jde nejvíce prostředků v této </w:t>
            </w:r>
            <w:r w:rsidR="00DF7AD4">
              <w:t xml:space="preserve">oblasti na výzkum a vývoj. </w:t>
            </w:r>
          </w:p>
        </w:tc>
      </w:tr>
      <w:tr w:rsidR="00F160CE" w:rsidRPr="00360DE3" w:rsidTr="00F160CE">
        <w:trPr>
          <w:trHeight w:val="170"/>
        </w:trPr>
        <w:tc>
          <w:tcPr>
            <w:tcW w:w="1909" w:type="dxa"/>
            <w:vMerge w:val="restart"/>
            <w:shd w:val="clear" w:color="auto" w:fill="auto"/>
          </w:tcPr>
          <w:p w:rsidR="00F160CE" w:rsidRPr="00360DE3" w:rsidRDefault="00F160CE" w:rsidP="002B213A">
            <w:pPr>
              <w:pStyle w:val="Marginlie"/>
              <w:rPr>
                <w:spacing w:val="0"/>
              </w:rPr>
            </w:pPr>
          </w:p>
        </w:tc>
        <w:tc>
          <w:tcPr>
            <w:tcW w:w="264" w:type="dxa"/>
            <w:vMerge w:val="restart"/>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1D198A">
            <w:pPr>
              <w:spacing w:after="0"/>
            </w:pPr>
            <w:r w:rsidRPr="00360DE3">
              <w:rPr>
                <w:b/>
              </w:rPr>
              <w:t xml:space="preserve">Graf č. </w:t>
            </w:r>
            <w:proofErr w:type="gramStart"/>
            <w:r w:rsidRPr="00360DE3">
              <w:rPr>
                <w:b/>
              </w:rPr>
              <w:t>4.2  Tvorba</w:t>
            </w:r>
            <w:proofErr w:type="gramEnd"/>
            <w:r w:rsidRPr="00360DE3">
              <w:rPr>
                <w:b/>
              </w:rPr>
              <w:t xml:space="preserve"> hrubého fixního kapitálu a její věcná struktura </w:t>
            </w:r>
            <w:r w:rsidRPr="00360DE3">
              <w:t>(běžné ceny, meziroční změna v mld. korun)</w:t>
            </w:r>
          </w:p>
        </w:tc>
      </w:tr>
      <w:tr w:rsidR="00F160CE" w:rsidRPr="00360DE3" w:rsidTr="00F160CE">
        <w:trPr>
          <w:trHeight w:val="170"/>
        </w:trPr>
        <w:tc>
          <w:tcPr>
            <w:tcW w:w="1909" w:type="dxa"/>
            <w:vMerge/>
            <w:shd w:val="clear" w:color="auto" w:fill="auto"/>
          </w:tcPr>
          <w:p w:rsidR="00F160CE" w:rsidRPr="00360DE3" w:rsidRDefault="00F160CE" w:rsidP="002B213A">
            <w:pPr>
              <w:pStyle w:val="Marginlie"/>
              <w:rPr>
                <w:spacing w:val="0"/>
              </w:rPr>
            </w:pPr>
          </w:p>
        </w:tc>
        <w:tc>
          <w:tcPr>
            <w:tcW w:w="264" w:type="dxa"/>
            <w:vMerge/>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2B213A">
            <w:pPr>
              <w:spacing w:after="0"/>
            </w:pPr>
            <w:r w:rsidRPr="00360DE3">
              <w:rPr>
                <w:noProof/>
              </w:rPr>
              <w:drawing>
                <wp:inline distT="0" distB="0" distL="0" distR="0">
                  <wp:extent cx="4737600" cy="3553200"/>
                  <wp:effectExtent l="0" t="0" r="0" b="0"/>
                  <wp:docPr id="8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F160CE" w:rsidRPr="00360DE3" w:rsidTr="00F160CE">
        <w:trPr>
          <w:trHeight w:val="170"/>
        </w:trPr>
        <w:tc>
          <w:tcPr>
            <w:tcW w:w="1909" w:type="dxa"/>
            <w:vMerge/>
            <w:shd w:val="clear" w:color="auto" w:fill="auto"/>
          </w:tcPr>
          <w:p w:rsidR="00F160CE" w:rsidRPr="00360DE3" w:rsidRDefault="00F160CE" w:rsidP="002B213A">
            <w:pPr>
              <w:pStyle w:val="Marginlie"/>
              <w:rPr>
                <w:spacing w:val="0"/>
              </w:rPr>
            </w:pPr>
          </w:p>
        </w:tc>
        <w:tc>
          <w:tcPr>
            <w:tcW w:w="264" w:type="dxa"/>
            <w:vMerge/>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2B213A">
            <w:pPr>
              <w:rPr>
                <w:sz w:val="14"/>
                <w:szCs w:val="14"/>
              </w:rPr>
            </w:pPr>
            <w:r w:rsidRPr="00360DE3">
              <w:rPr>
                <w:sz w:val="14"/>
                <w:szCs w:val="14"/>
              </w:rPr>
              <w:t>Zdroj: ČSÚ</w:t>
            </w:r>
          </w:p>
        </w:tc>
      </w:tr>
      <w:tr w:rsidR="00F160CE" w:rsidRPr="00360DE3" w:rsidTr="00F160CE">
        <w:trPr>
          <w:trHeight w:val="145"/>
        </w:trPr>
        <w:tc>
          <w:tcPr>
            <w:tcW w:w="1909" w:type="dxa"/>
            <w:shd w:val="clear" w:color="auto" w:fill="auto"/>
          </w:tcPr>
          <w:p w:rsidR="00F160CE" w:rsidRPr="00360DE3" w:rsidRDefault="00F160CE" w:rsidP="002B213A">
            <w:pPr>
              <w:pStyle w:val="Marginlie"/>
              <w:rPr>
                <w:spacing w:val="0"/>
              </w:rPr>
            </w:pPr>
            <w:r w:rsidRPr="00360DE3">
              <w:rPr>
                <w:spacing w:val="0"/>
              </w:rPr>
              <w:t xml:space="preserve">Nominální nárůst investic do obydlí byl loni nejvyšší ze všech investičních kategorií.  </w:t>
            </w: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p w:rsidR="00F160CE" w:rsidRPr="00360DE3" w:rsidRDefault="00F160CE" w:rsidP="002B213A">
            <w:pPr>
              <w:pStyle w:val="Marginlie"/>
              <w:rPr>
                <w:spacing w:val="0"/>
              </w:rPr>
            </w:pPr>
          </w:p>
        </w:tc>
        <w:tc>
          <w:tcPr>
            <w:tcW w:w="264" w:type="dxa"/>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360DE3">
            <w:r w:rsidRPr="00360DE3">
              <w:t xml:space="preserve">Investiční výdaje na obydlí loni dosáhly 195,5 mld. korun a meziročně se zvýšily o 19,9 mld. (reálný nárůst 4,7 %). Reálná dynamika tak mírně zpomalila oproti roku 2016 (5,0 %), stále však pokračuje růstový trend započatý v roce 2014 (nárůst o 10,2 % následovaný 22,5 % v roce 2015). Investice do obydlí jsou téměř výhradně financovány domácnostmi. V jejich rozhodování hrají roli očekávání dalšího ekonomického vývoje i vývoj cen nemovitostí. Ceny bytů začaly výrazněji růst </w:t>
            </w:r>
            <w:r w:rsidRPr="00360DE3">
              <w:lastRenderedPageBreak/>
              <w:t xml:space="preserve">během roku 2013. Zrychlení cenové dynamiky společně s příznivým ekonomickým výhledem pohánělo investiční aktivitu v dalších dvou letech (nemovitostní trh byl stimulován i nízkými úrokovými sazbami). Poměrně rychle se však začal projevovat nesoulad mezi poptávkou a volnými kapacitami bytů (zejména v žádaných lokalitách jako je Praha nebo Brno), což dále pohánělo cenový růst. V loňském roce dosáhla dynamika cen nemovitostí svého vrcholu, což je patrné i na rozdílu mezi nominálním (11,3 %) a reálným (4,7 %) růstem investic. </w:t>
            </w:r>
          </w:p>
        </w:tc>
      </w:tr>
      <w:tr w:rsidR="00360DE3" w:rsidRPr="00360DE3" w:rsidTr="00F160CE">
        <w:trPr>
          <w:trHeight w:val="145"/>
        </w:trPr>
        <w:tc>
          <w:tcPr>
            <w:tcW w:w="1909" w:type="dxa"/>
            <w:shd w:val="clear" w:color="auto" w:fill="auto"/>
          </w:tcPr>
          <w:p w:rsidR="00360DE3" w:rsidRPr="00360DE3" w:rsidRDefault="00360DE3" w:rsidP="002B213A">
            <w:pPr>
              <w:pStyle w:val="Marginlie"/>
              <w:rPr>
                <w:spacing w:val="0"/>
              </w:rPr>
            </w:pPr>
            <w:r w:rsidRPr="00360DE3">
              <w:rPr>
                <w:spacing w:val="0"/>
              </w:rPr>
              <w:lastRenderedPageBreak/>
              <w:t>Oživení investic do ostatních staveb a budov nevykompenzovalo propad z roku 2016.</w:t>
            </w:r>
          </w:p>
        </w:tc>
        <w:tc>
          <w:tcPr>
            <w:tcW w:w="264" w:type="dxa"/>
            <w:shd w:val="clear" w:color="auto" w:fill="auto"/>
          </w:tcPr>
          <w:p w:rsidR="00360DE3" w:rsidRPr="00360DE3" w:rsidRDefault="00360DE3" w:rsidP="002B213A">
            <w:pPr>
              <w:pStyle w:val="Textpoznpodarou10"/>
              <w:jc w:val="both"/>
            </w:pPr>
          </w:p>
        </w:tc>
        <w:tc>
          <w:tcPr>
            <w:tcW w:w="7471" w:type="dxa"/>
            <w:shd w:val="clear" w:color="auto" w:fill="auto"/>
          </w:tcPr>
          <w:p w:rsidR="00360DE3" w:rsidRPr="00360DE3" w:rsidRDefault="00360DE3" w:rsidP="002B213A">
            <w:r w:rsidRPr="00360DE3">
              <w:t>Ostatní budovy a stavby jsou druhou největší investiční oblastí. Loni na ni směřovalo 23,6 % z celkového objemu prostředků (294,0 mld. korun). Investice zde loni narostly o 13,9 mld. korun (reálně 2,4 %). Tento přírůstek však nevykompenzoval 13,1% propad z roku 2016. Ostatní stavby byly totiž nejvýrazněji poznamenány nerovnoměrným čerpáním evropských dotací. Součástí této kategorie jsou nebytové prostory pořizované podniky (např. výrobní haly) a rovněž infrastrukturní projekty, které financují zejména vládní instituce. Právě v oblasti infrastruktury je zatím role vlády nezastupitelná</w:t>
            </w:r>
            <w:r w:rsidR="006836CB">
              <w:t xml:space="preserve"> ostatními sektory.</w:t>
            </w:r>
          </w:p>
        </w:tc>
      </w:tr>
      <w:tr w:rsidR="00F160CE" w:rsidRPr="00360DE3" w:rsidTr="00F160CE">
        <w:trPr>
          <w:trHeight w:val="170"/>
        </w:trPr>
        <w:tc>
          <w:tcPr>
            <w:tcW w:w="1909" w:type="dxa"/>
            <w:vMerge w:val="restart"/>
            <w:shd w:val="clear" w:color="auto" w:fill="auto"/>
          </w:tcPr>
          <w:p w:rsidR="00F160CE" w:rsidRPr="00360DE3" w:rsidRDefault="00F160CE" w:rsidP="002B213A">
            <w:pPr>
              <w:pStyle w:val="Marginlie"/>
              <w:rPr>
                <w:spacing w:val="0"/>
              </w:rPr>
            </w:pPr>
          </w:p>
        </w:tc>
        <w:tc>
          <w:tcPr>
            <w:tcW w:w="264" w:type="dxa"/>
            <w:vMerge w:val="restart"/>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1D198A">
            <w:pPr>
              <w:spacing w:after="0"/>
              <w:rPr>
                <w:b/>
              </w:rPr>
            </w:pPr>
            <w:r w:rsidRPr="00360DE3">
              <w:rPr>
                <w:b/>
              </w:rPr>
              <w:t xml:space="preserve">Graf č. </w:t>
            </w:r>
            <w:proofErr w:type="gramStart"/>
            <w:r w:rsidRPr="00360DE3">
              <w:rPr>
                <w:b/>
              </w:rPr>
              <w:t>4.3  Výdaje</w:t>
            </w:r>
            <w:proofErr w:type="gramEnd"/>
            <w:r w:rsidRPr="00360DE3">
              <w:rPr>
                <w:b/>
              </w:rPr>
              <w:t xml:space="preserve"> na tvorbu hrubého fixního kapitálu </w:t>
            </w:r>
            <w:r w:rsidRPr="00360DE3">
              <w:t>(objemové indexy, meziroční změna v %)</w:t>
            </w:r>
          </w:p>
        </w:tc>
      </w:tr>
      <w:tr w:rsidR="00F160CE" w:rsidRPr="00360DE3" w:rsidTr="00F160CE">
        <w:trPr>
          <w:trHeight w:val="170"/>
        </w:trPr>
        <w:tc>
          <w:tcPr>
            <w:tcW w:w="1909" w:type="dxa"/>
            <w:vMerge/>
            <w:shd w:val="clear" w:color="auto" w:fill="auto"/>
          </w:tcPr>
          <w:p w:rsidR="00F160CE" w:rsidRPr="00360DE3" w:rsidRDefault="00F160CE" w:rsidP="002B213A">
            <w:pPr>
              <w:pStyle w:val="Marginlie"/>
              <w:rPr>
                <w:spacing w:val="0"/>
              </w:rPr>
            </w:pPr>
          </w:p>
        </w:tc>
        <w:tc>
          <w:tcPr>
            <w:tcW w:w="264" w:type="dxa"/>
            <w:vMerge/>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2B213A">
            <w:pPr>
              <w:spacing w:after="0"/>
            </w:pPr>
            <w:r w:rsidRPr="00360DE3">
              <w:rPr>
                <w:noProof/>
              </w:rPr>
              <w:drawing>
                <wp:inline distT="0" distB="0" distL="0" distR="0">
                  <wp:extent cx="4737600" cy="3553200"/>
                  <wp:effectExtent l="0" t="0" r="0" b="0"/>
                  <wp:docPr id="8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F160CE" w:rsidRPr="00360DE3" w:rsidTr="00F160CE">
        <w:trPr>
          <w:trHeight w:val="170"/>
        </w:trPr>
        <w:tc>
          <w:tcPr>
            <w:tcW w:w="1909" w:type="dxa"/>
            <w:vMerge/>
            <w:shd w:val="clear" w:color="auto" w:fill="auto"/>
          </w:tcPr>
          <w:p w:rsidR="00F160CE" w:rsidRPr="00360DE3" w:rsidRDefault="00F160CE" w:rsidP="002B213A">
            <w:pPr>
              <w:pStyle w:val="Marginlie"/>
              <w:rPr>
                <w:spacing w:val="0"/>
              </w:rPr>
            </w:pPr>
          </w:p>
        </w:tc>
        <w:tc>
          <w:tcPr>
            <w:tcW w:w="264" w:type="dxa"/>
            <w:vMerge/>
            <w:shd w:val="clear" w:color="auto" w:fill="auto"/>
          </w:tcPr>
          <w:p w:rsidR="00F160CE" w:rsidRPr="00360DE3" w:rsidRDefault="00F160CE" w:rsidP="002B213A">
            <w:pPr>
              <w:pStyle w:val="Textpoznpodarou10"/>
              <w:jc w:val="both"/>
            </w:pPr>
          </w:p>
        </w:tc>
        <w:tc>
          <w:tcPr>
            <w:tcW w:w="7471" w:type="dxa"/>
            <w:shd w:val="clear" w:color="auto" w:fill="auto"/>
          </w:tcPr>
          <w:p w:rsidR="00F160CE" w:rsidRPr="00360DE3" w:rsidRDefault="00F160CE" w:rsidP="002B213A">
            <w:pPr>
              <w:rPr>
                <w:sz w:val="14"/>
                <w:szCs w:val="14"/>
              </w:rPr>
            </w:pPr>
            <w:r w:rsidRPr="00360DE3">
              <w:rPr>
                <w:sz w:val="14"/>
                <w:szCs w:val="14"/>
              </w:rPr>
              <w:t xml:space="preserve">Zdroj: </w:t>
            </w:r>
            <w:proofErr w:type="spellStart"/>
            <w:r w:rsidRPr="00360DE3">
              <w:rPr>
                <w:sz w:val="14"/>
                <w:szCs w:val="14"/>
              </w:rPr>
              <w:t>Eurostat</w:t>
            </w:r>
            <w:proofErr w:type="spellEnd"/>
          </w:p>
        </w:tc>
      </w:tr>
      <w:tr w:rsidR="00F160CE" w:rsidRPr="00360DE3" w:rsidTr="00F160CE">
        <w:trPr>
          <w:trHeight w:val="170"/>
        </w:trPr>
        <w:tc>
          <w:tcPr>
            <w:tcW w:w="1909" w:type="dxa"/>
            <w:shd w:val="clear" w:color="auto" w:fill="auto"/>
          </w:tcPr>
          <w:p w:rsidR="00F160CE" w:rsidRPr="00360DE3" w:rsidRDefault="00F160CE" w:rsidP="00DC37E3">
            <w:pPr>
              <w:pStyle w:val="Marginlie"/>
              <w:rPr>
                <w:spacing w:val="0"/>
              </w:rPr>
            </w:pPr>
            <w:r w:rsidRPr="00360DE3">
              <w:rPr>
                <w:spacing w:val="0"/>
              </w:rPr>
              <w:t>Dynamiku investic v EU ovlivnily nerovnoměrnosti v čerpání evropských fondů.</w:t>
            </w:r>
          </w:p>
        </w:tc>
        <w:tc>
          <w:tcPr>
            <w:tcW w:w="264" w:type="dxa"/>
            <w:shd w:val="clear" w:color="auto" w:fill="auto"/>
          </w:tcPr>
          <w:p w:rsidR="00F160CE" w:rsidRPr="00360DE3" w:rsidRDefault="00F160CE" w:rsidP="00DC37E3">
            <w:pPr>
              <w:pStyle w:val="Textpoznpodarou10"/>
              <w:jc w:val="both"/>
            </w:pPr>
          </w:p>
        </w:tc>
        <w:tc>
          <w:tcPr>
            <w:tcW w:w="7471" w:type="dxa"/>
            <w:shd w:val="clear" w:color="auto" w:fill="auto"/>
          </w:tcPr>
          <w:p w:rsidR="00F160CE" w:rsidRPr="00360DE3" w:rsidRDefault="00F160CE" w:rsidP="00DC37E3">
            <w:r w:rsidRPr="00360DE3">
              <w:t xml:space="preserve">Růst investiční aktivity v Evropské unii v loňském roce mírně zrychlil na 3,1 %. V dynamice kapitálových výdajů bylo patrné dočerpávání evropských fondů (silný růst v roce 2015, oslabení v roce 2016 a loni mírné zrychlení). Pokud se totiž podíváme na jednotlivé státy unie, propad dynamiky v roce 2016 a nový růst v následujícím roce je společný členským státům ze střední a východní Evropy. Nejsilněji rostly výdaje na hrubý fixní kapitál na Kypru (27,8 %), v Maďarsku (16,8 %), Lotyšsku (16,0 %), Estonsku (13,1 %) a Slovinsku (10,3 %). Společně se spotřebními výdaji byly investice klíčovým stimulem pro nejrychleji rostoucí státy unie. Nejmarkantnější meziroční propad kapitálových výdajů zažilo Irsko (- 31,0 %). U něj se však projevoval příchod technologických firem, které využívají příznivé daňové podmínky (v roce 2015 a 2016 zde investice vzrostly o více než 50 %).  </w:t>
            </w:r>
          </w:p>
        </w:tc>
      </w:tr>
    </w:tbl>
    <w:p w:rsidR="00C466D2" w:rsidRPr="00360DE3" w:rsidRDefault="00141782" w:rsidP="005D3386">
      <w:pPr>
        <w:pStyle w:val="Nadpis110"/>
      </w:pPr>
      <w:bookmarkStart w:id="15" w:name="_Toc527639470"/>
      <w:r w:rsidRPr="00360DE3">
        <w:lastRenderedPageBreak/>
        <w:t>5. Trh práce</w:t>
      </w:r>
      <w:bookmarkEnd w:id="15"/>
    </w:p>
    <w:tbl>
      <w:tblPr>
        <w:tblW w:w="9644" w:type="dxa"/>
        <w:tblInd w:w="-15" w:type="dxa"/>
        <w:tblLayout w:type="fixed"/>
        <w:tblCellMar>
          <w:left w:w="0" w:type="dxa"/>
          <w:right w:w="0" w:type="dxa"/>
        </w:tblCellMar>
        <w:tblLook w:val="00A0"/>
      </w:tblPr>
      <w:tblGrid>
        <w:gridCol w:w="1976"/>
        <w:gridCol w:w="277"/>
        <w:gridCol w:w="7391"/>
      </w:tblGrid>
      <w:tr w:rsidR="005D3386" w:rsidRPr="00360DE3" w:rsidTr="005D3386">
        <w:trPr>
          <w:trHeight w:val="145"/>
        </w:trPr>
        <w:tc>
          <w:tcPr>
            <w:tcW w:w="1966" w:type="dxa"/>
          </w:tcPr>
          <w:p w:rsidR="005D3386" w:rsidRPr="00360DE3" w:rsidRDefault="005D3386" w:rsidP="005D3386">
            <w:pPr>
              <w:pStyle w:val="Marginlie"/>
              <w:rPr>
                <w:spacing w:val="0"/>
              </w:rPr>
            </w:pPr>
            <w:r w:rsidRPr="00360DE3">
              <w:rPr>
                <w:spacing w:val="0"/>
              </w:rPr>
              <w:t>Situace na pracovním trhu v Česku loni výrazně nahrávala zaměstnancům i osobám hledajících práci.</w:t>
            </w:r>
          </w:p>
        </w:tc>
        <w:tc>
          <w:tcPr>
            <w:tcW w:w="276" w:type="dxa"/>
          </w:tcPr>
          <w:p w:rsidR="005D3386" w:rsidRPr="00360DE3" w:rsidRDefault="005D3386" w:rsidP="005D3386">
            <w:pPr>
              <w:pStyle w:val="Textpoznpodarou"/>
              <w:jc w:val="both"/>
            </w:pPr>
          </w:p>
        </w:tc>
        <w:tc>
          <w:tcPr>
            <w:tcW w:w="7355" w:type="dxa"/>
          </w:tcPr>
          <w:p w:rsidR="005D3386" w:rsidRPr="00360DE3" w:rsidRDefault="005D3386" w:rsidP="005D3386">
            <w:pPr>
              <w:spacing w:after="200"/>
            </w:pPr>
            <w:r w:rsidRPr="00360DE3">
              <w:t>Tuzemský trh práce zažil v roce 2017 výjimečný rok. Pokračující svižný růst ekonomiky se pozitivně odrazil v tvorbě nových pracovních míst. Nezaměstnanost se nadále snižovala, práci nacházeli z velké části dlouhodobě nezaměstnaní. Při stále omezenějším rezervoáru potenciálních pracovních sil z tuzemska využívaly podniky intenzivněji náboru lidí ze zahraničí, který však i kvůli své administrativní náročnosti nestačil jejich potřeby plně pokrýt. Z rostoucího napětí na pracovním trhu profitovaly osoby v zaměstnaneckém postavení, jejichž výdělky akcelerovaly k tempům z vrcholu konjunktury minulé dekády. V kontextu zemí EU se trh práce v Česku v mnohých ohledech těšil zcela výsadnímu postavení (</w:t>
            </w:r>
            <w:r w:rsidR="005B08EB">
              <w:t xml:space="preserve">pohledem ukazatelů: </w:t>
            </w:r>
            <w:r w:rsidRPr="00360DE3">
              <w:t xml:space="preserve">míra nezaměstnanosti, míra zaměstnanosti mužů, míra volných pracovních míst). </w:t>
            </w:r>
          </w:p>
        </w:tc>
      </w:tr>
    </w:tbl>
    <w:p w:rsidR="005D3386" w:rsidRPr="00360DE3" w:rsidRDefault="005D3386" w:rsidP="005D3386">
      <w:pPr>
        <w:pStyle w:val="Nadpis2"/>
      </w:pPr>
      <w:bookmarkStart w:id="16" w:name="_Toc527639471"/>
      <w:r w:rsidRPr="00360DE3">
        <w:t>5.1 Zaměstnanost</w:t>
      </w:r>
      <w:bookmarkEnd w:id="16"/>
    </w:p>
    <w:tbl>
      <w:tblPr>
        <w:tblW w:w="9644" w:type="dxa"/>
        <w:tblInd w:w="-15" w:type="dxa"/>
        <w:tblLayout w:type="fixed"/>
        <w:tblCellMar>
          <w:left w:w="0" w:type="dxa"/>
          <w:right w:w="0" w:type="dxa"/>
        </w:tblCellMar>
        <w:tblLook w:val="00A0"/>
      </w:tblPr>
      <w:tblGrid>
        <w:gridCol w:w="1966"/>
        <w:gridCol w:w="10"/>
        <w:gridCol w:w="266"/>
        <w:gridCol w:w="11"/>
        <w:gridCol w:w="7344"/>
        <w:gridCol w:w="47"/>
      </w:tblGrid>
      <w:tr w:rsidR="005D3386" w:rsidRPr="00360DE3" w:rsidTr="005D3386">
        <w:trPr>
          <w:gridAfter w:val="1"/>
          <w:wAfter w:w="47" w:type="dxa"/>
          <w:trHeight w:val="145"/>
        </w:trPr>
        <w:tc>
          <w:tcPr>
            <w:tcW w:w="1966" w:type="dxa"/>
            <w:shd w:val="clear" w:color="auto" w:fill="auto"/>
          </w:tcPr>
          <w:p w:rsidR="005D3386" w:rsidRPr="00360DE3" w:rsidRDefault="005D3386" w:rsidP="005D3386">
            <w:pPr>
              <w:pStyle w:val="Marginlie"/>
              <w:rPr>
                <w:spacing w:val="0"/>
              </w:rPr>
            </w:pPr>
            <w:r w:rsidRPr="00360DE3">
              <w:rPr>
                <w:spacing w:val="0"/>
              </w:rPr>
              <w:t xml:space="preserve">Současný hospodářský růst společně s dlouhodobě působícími demografickými vlivy vyústily v rekordním </w:t>
            </w:r>
            <w:proofErr w:type="gramStart"/>
            <w:r w:rsidRPr="00360DE3">
              <w:rPr>
                <w:spacing w:val="0"/>
              </w:rPr>
              <w:t>počet</w:t>
            </w:r>
            <w:proofErr w:type="gramEnd"/>
            <w:r w:rsidRPr="00360DE3">
              <w:rPr>
                <w:spacing w:val="0"/>
              </w:rPr>
              <w:t xml:space="preserve"> pracovníků.</w:t>
            </w:r>
          </w:p>
        </w:tc>
        <w:tc>
          <w:tcPr>
            <w:tcW w:w="276" w:type="dxa"/>
            <w:gridSpan w:val="2"/>
          </w:tcPr>
          <w:p w:rsidR="005D3386" w:rsidRPr="00360DE3" w:rsidRDefault="005D3386" w:rsidP="005D3386">
            <w:pPr>
              <w:pStyle w:val="Textpoznpodarou"/>
              <w:jc w:val="both"/>
            </w:pPr>
          </w:p>
        </w:tc>
        <w:tc>
          <w:tcPr>
            <w:tcW w:w="7355" w:type="dxa"/>
            <w:gridSpan w:val="2"/>
          </w:tcPr>
          <w:p w:rsidR="005D3386" w:rsidRPr="00EA0840" w:rsidRDefault="005D3386" w:rsidP="005D3386">
            <w:pPr>
              <w:spacing w:after="200"/>
            </w:pPr>
            <w:r w:rsidRPr="00EA0840">
              <w:t xml:space="preserve">Celková zaměstnanost </w:t>
            </w:r>
            <w:r w:rsidR="005B08EB">
              <w:t xml:space="preserve">v národním hospodářství </w:t>
            </w:r>
            <w:r w:rsidRPr="00EA0840">
              <w:t>(ve fyzických osobách)</w:t>
            </w:r>
            <w:r w:rsidRPr="00EA0840">
              <w:rPr>
                <w:rStyle w:val="Znakapoznpodarou"/>
              </w:rPr>
              <w:footnoteReference w:id="9"/>
            </w:r>
            <w:r w:rsidRPr="00EA0840">
              <w:t xml:space="preserve"> vzrostla v roce 2017 o 1,6 % meziroč</w:t>
            </w:r>
            <w:r w:rsidR="005B08EB">
              <w:t>ně. Jednalo se</w:t>
            </w:r>
            <w:r w:rsidRPr="00EA0840">
              <w:t xml:space="preserve"> společně s předešlým rokem, kdy zaměstnanost posilovala shodným tempem jako loni, o nejlepší výsledek po roce 2008. Loňský růst zaměstnanosti byl v Česku obdobný jako v celé </w:t>
            </w:r>
            <w:r w:rsidR="005B08EB">
              <w:t>EU či např. sousedním Německu a</w:t>
            </w:r>
            <w:r w:rsidR="005B08EB" w:rsidRPr="00360DE3">
              <w:t> </w:t>
            </w:r>
            <w:r w:rsidRPr="00EA0840">
              <w:t>Rakousku, za většinou novějších členských států Unie však zaostal</w:t>
            </w:r>
            <w:r w:rsidRPr="00EA0840">
              <w:rPr>
                <w:rStyle w:val="Znakapoznpodarou"/>
              </w:rPr>
              <w:footnoteReference w:id="10"/>
            </w:r>
            <w:r w:rsidRPr="00EA0840">
              <w:t xml:space="preserve">. Na rozdíl od roku 2016 již loni k vyšší zaměstnanosti nepřispívali </w:t>
            </w:r>
            <w:proofErr w:type="spellStart"/>
            <w:r w:rsidRPr="00EA0840">
              <w:t>sebezaměstnaní</w:t>
            </w:r>
            <w:proofErr w:type="spellEnd"/>
            <w:r w:rsidRPr="00EA0840">
              <w:t>. Na jeho konci mělo v ČR práci již 5,37 mil. lidí</w:t>
            </w:r>
            <w:r w:rsidRPr="00EA0840">
              <w:rPr>
                <w:rStyle w:val="Znakapoznpodarou"/>
              </w:rPr>
              <w:footnoteReference w:id="11"/>
            </w:r>
            <w:r w:rsidRPr="00EA0840">
              <w:t>. Rekordní výše zaměstnanosti byla vedle efektu hospodářského cyklu ovlivněna také dlouhodobě působícími demografickými vlivy. Četnost toků mezi neaktivitou a zaměstnaností odrážela i dopad navyšujícího se věku odchodu d</w:t>
            </w:r>
            <w:r w:rsidR="005B08EB">
              <w:t>o důchodu (s větší intenzitou u</w:t>
            </w:r>
            <w:r w:rsidR="005B08EB" w:rsidRPr="00EA0840">
              <w:t> </w:t>
            </w:r>
            <w:r w:rsidRPr="00EA0840">
              <w:t>žen).</w:t>
            </w:r>
          </w:p>
        </w:tc>
      </w:tr>
      <w:tr w:rsidR="005D3386" w:rsidRPr="00360DE3" w:rsidTr="005D3386">
        <w:trPr>
          <w:gridAfter w:val="1"/>
          <w:wAfter w:w="47" w:type="dxa"/>
          <w:trHeight w:val="145"/>
        </w:trPr>
        <w:tc>
          <w:tcPr>
            <w:tcW w:w="1966" w:type="dxa"/>
            <w:shd w:val="clear" w:color="auto" w:fill="auto"/>
          </w:tcPr>
          <w:p w:rsidR="005D3386" w:rsidRPr="00360DE3" w:rsidRDefault="005D3386" w:rsidP="005D3386">
            <w:pPr>
              <w:pStyle w:val="Marginlie"/>
              <w:rPr>
                <w:spacing w:val="0"/>
              </w:rPr>
            </w:pPr>
            <w:r w:rsidRPr="00360DE3">
              <w:rPr>
                <w:spacing w:val="0"/>
              </w:rPr>
              <w:t>Role zpracovatelského průmyslu jako hlavního tvůrce pracovních míst loni oslabila ve prospěch služeb, kde sílila zejména odvětví s dominancí státu.</w:t>
            </w: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5D3386">
            <w:pPr>
              <w:pStyle w:val="Marginlie"/>
              <w:rPr>
                <w:spacing w:val="0"/>
              </w:rPr>
            </w:pPr>
          </w:p>
          <w:p w:rsidR="005D3386" w:rsidRPr="00360DE3" w:rsidRDefault="005D3386" w:rsidP="00360DE3">
            <w:pPr>
              <w:pStyle w:val="Marginlie"/>
              <w:rPr>
                <w:spacing w:val="0"/>
              </w:rPr>
            </w:pPr>
          </w:p>
        </w:tc>
        <w:tc>
          <w:tcPr>
            <w:tcW w:w="276" w:type="dxa"/>
            <w:gridSpan w:val="2"/>
          </w:tcPr>
          <w:p w:rsidR="005D3386" w:rsidRPr="00360DE3" w:rsidRDefault="005D3386" w:rsidP="005D3386">
            <w:pPr>
              <w:pStyle w:val="Textpoznpodarou"/>
              <w:jc w:val="both"/>
            </w:pPr>
          </w:p>
        </w:tc>
        <w:tc>
          <w:tcPr>
            <w:tcW w:w="7355" w:type="dxa"/>
            <w:gridSpan w:val="2"/>
          </w:tcPr>
          <w:p w:rsidR="00360DE3" w:rsidRPr="00EA0840" w:rsidRDefault="005D3386" w:rsidP="00360DE3">
            <w:pPr>
              <w:spacing w:after="0"/>
            </w:pPr>
            <w:r w:rsidRPr="00EA0840">
              <w:t xml:space="preserve">Počet pracovníků (po přepočtu na celé úvazky) v ekonomice se v roce 2017 </w:t>
            </w:r>
            <w:proofErr w:type="gramStart"/>
            <w:r w:rsidRPr="00EA0840">
              <w:t>zvýšil</w:t>
            </w:r>
            <w:proofErr w:type="gramEnd"/>
            <w:r w:rsidRPr="00EA0840">
              <w:t xml:space="preserve"> o 62 tis. osob  Stavy zaměstnaných nadále </w:t>
            </w:r>
            <w:proofErr w:type="gramStart"/>
            <w:r w:rsidRPr="00EA0840">
              <w:t>rozšiřoval</w:t>
            </w:r>
            <w:proofErr w:type="gramEnd"/>
            <w:r w:rsidRPr="00EA0840">
              <w:t xml:space="preserve"> zpracovatelský průmysl (+13 tis.), jeho role však oproti rokům 2015 i 2016 (kdy zajistil více než polovinu meziročního přírůstku zaměstnanosti v celé ekonomice) citelně oslabila. Stály za tím jak sílící potíže při náboru nových pracovníků, tak i tlak na růst produktivity klíčových exportérů v prostředí posilující české koruny. Naopak již druhým rokem v řadě sílila role odvětví majících charakter veřejných služeb. Na jejich loňském růstu (+29 tis.) se podílelo primárně vzdělávání (+4,2 %, nejsilnější tempo po roce 2003). Pracovníci přibývali i ve zdravotnictví, sociálních službách i v oblastech souvisejících s bezpečností státu. Z ostatních služeb se dařilo odvětví ubytování, stravování a pohostinství (+3,2 %, nejvyšší tempo za posledních osm let). Na silný rok 2016 loni plně nenavázaly profesní, vědeck</w:t>
            </w:r>
            <w:r w:rsidR="00DF7AD4">
              <w:t>é a technické činnosti, jakož i</w:t>
            </w:r>
            <w:r w:rsidR="00DF7AD4" w:rsidRPr="00360DE3">
              <w:t> </w:t>
            </w:r>
            <w:r w:rsidRPr="00EA0840">
              <w:t>dlouhodobě nejdynamičtější odvětví služeb – informačních a komunikační činnosti. V dopravě nadále kontrastoval dynamický růst ve skladování (+5,0 %) s umírněným vývojem ve váhově dominantní p</w:t>
            </w:r>
            <w:r w:rsidR="00EA0840">
              <w:t>ozemní a potrubní dopravě (+0,8</w:t>
            </w:r>
            <w:r w:rsidR="00EA0840" w:rsidRPr="00EA0840">
              <w:t> </w:t>
            </w:r>
            <w:r w:rsidRPr="00EA0840">
              <w:t>%).</w:t>
            </w:r>
          </w:p>
          <w:p w:rsidR="00360DE3" w:rsidRDefault="00360DE3" w:rsidP="00360DE3">
            <w:pPr>
              <w:spacing w:after="0"/>
            </w:pPr>
          </w:p>
          <w:p w:rsidR="00DF7AD4" w:rsidRDefault="00DF7AD4" w:rsidP="00360DE3">
            <w:pPr>
              <w:spacing w:after="0"/>
            </w:pPr>
          </w:p>
          <w:p w:rsidR="00DF7AD4" w:rsidRDefault="00DF7AD4" w:rsidP="00360DE3">
            <w:pPr>
              <w:spacing w:after="0"/>
            </w:pPr>
          </w:p>
          <w:p w:rsidR="00DF7AD4" w:rsidRDefault="00DF7AD4" w:rsidP="00360DE3">
            <w:pPr>
              <w:spacing w:after="0"/>
            </w:pPr>
          </w:p>
          <w:p w:rsidR="00DF7AD4" w:rsidRPr="00EA0840" w:rsidRDefault="00DF7AD4" w:rsidP="00360DE3">
            <w:pPr>
              <w:spacing w:after="0"/>
            </w:pPr>
          </w:p>
          <w:p w:rsidR="00360DE3" w:rsidRPr="00EA0840" w:rsidRDefault="00360DE3" w:rsidP="00360DE3">
            <w:pPr>
              <w:spacing w:after="0"/>
            </w:pPr>
          </w:p>
        </w:tc>
      </w:tr>
      <w:tr w:rsidR="005D3386" w:rsidRPr="00360DE3" w:rsidTr="005D3386">
        <w:trPr>
          <w:gridAfter w:val="1"/>
          <w:wAfter w:w="47" w:type="dxa"/>
          <w:trHeight w:val="90"/>
        </w:trPr>
        <w:tc>
          <w:tcPr>
            <w:tcW w:w="1966" w:type="dxa"/>
            <w:vMerge w:val="restart"/>
            <w:shd w:val="clear" w:color="auto" w:fill="auto"/>
          </w:tcPr>
          <w:p w:rsidR="005D3386" w:rsidRPr="00360DE3" w:rsidRDefault="005D3386" w:rsidP="005D3386">
            <w:pPr>
              <w:pStyle w:val="Marginlie"/>
              <w:rPr>
                <w:spacing w:val="0"/>
              </w:rPr>
            </w:pPr>
          </w:p>
        </w:tc>
        <w:tc>
          <w:tcPr>
            <w:tcW w:w="276" w:type="dxa"/>
            <w:gridSpan w:val="2"/>
            <w:vMerge w:val="restart"/>
          </w:tcPr>
          <w:p w:rsidR="005D3386" w:rsidRPr="00360DE3" w:rsidRDefault="005D3386" w:rsidP="005D3386">
            <w:pPr>
              <w:pStyle w:val="Textpoznpodarou"/>
              <w:jc w:val="both"/>
            </w:pPr>
          </w:p>
        </w:tc>
        <w:tc>
          <w:tcPr>
            <w:tcW w:w="7355" w:type="dxa"/>
            <w:gridSpan w:val="2"/>
          </w:tcPr>
          <w:p w:rsidR="005D3386" w:rsidRPr="00360DE3" w:rsidRDefault="005D3386" w:rsidP="005D3386">
            <w:pPr>
              <w:spacing w:after="0"/>
              <w:rPr>
                <w:b/>
              </w:rPr>
            </w:pPr>
            <w:r w:rsidRPr="00360DE3">
              <w:rPr>
                <w:b/>
              </w:rPr>
              <w:t xml:space="preserve">Graf 5.1.1 Meziroční změny zaměstnanosti a nezaměstnanosti a sezónně očištěná míra volných pracovních míst </w:t>
            </w:r>
            <w:r w:rsidRPr="00360DE3">
              <w:t>(v %, po čtvrtletích)</w:t>
            </w:r>
          </w:p>
        </w:tc>
      </w:tr>
      <w:tr w:rsidR="005D3386" w:rsidRPr="00360DE3" w:rsidTr="005D3386">
        <w:trPr>
          <w:gridAfter w:val="1"/>
          <w:wAfter w:w="47" w:type="dxa"/>
          <w:trHeight w:val="90"/>
        </w:trPr>
        <w:tc>
          <w:tcPr>
            <w:tcW w:w="1966" w:type="dxa"/>
            <w:vMerge/>
            <w:shd w:val="clear" w:color="auto" w:fill="auto"/>
          </w:tcPr>
          <w:p w:rsidR="005D3386" w:rsidRPr="00360DE3" w:rsidRDefault="005D3386" w:rsidP="005D3386">
            <w:pPr>
              <w:pStyle w:val="Marginlie"/>
              <w:rPr>
                <w:spacing w:val="0"/>
              </w:rPr>
            </w:pPr>
          </w:p>
        </w:tc>
        <w:tc>
          <w:tcPr>
            <w:tcW w:w="276" w:type="dxa"/>
            <w:gridSpan w:val="2"/>
            <w:vMerge/>
          </w:tcPr>
          <w:p w:rsidR="005D3386" w:rsidRPr="00360DE3" w:rsidRDefault="005D3386" w:rsidP="005D3386">
            <w:pPr>
              <w:pStyle w:val="Textpoznpodarou"/>
              <w:jc w:val="both"/>
            </w:pPr>
          </w:p>
        </w:tc>
        <w:tc>
          <w:tcPr>
            <w:tcW w:w="7355" w:type="dxa"/>
            <w:gridSpan w:val="2"/>
          </w:tcPr>
          <w:p w:rsidR="005D3386" w:rsidRPr="00360DE3" w:rsidRDefault="005D3386" w:rsidP="005D3386">
            <w:pPr>
              <w:spacing w:after="0"/>
              <w:rPr>
                <w:b/>
              </w:rPr>
            </w:pPr>
            <w:r w:rsidRPr="00360DE3">
              <w:rPr>
                <w:b/>
                <w:noProof/>
              </w:rPr>
              <w:drawing>
                <wp:inline distT="0" distB="0" distL="0" distR="0">
                  <wp:extent cx="4705350" cy="3438525"/>
                  <wp:effectExtent l="19050" t="0" r="0" b="0"/>
                  <wp:docPr id="3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D3386" w:rsidRPr="00360DE3" w:rsidTr="005D3386">
        <w:trPr>
          <w:gridAfter w:val="1"/>
          <w:wAfter w:w="47" w:type="dxa"/>
          <w:trHeight w:val="90"/>
        </w:trPr>
        <w:tc>
          <w:tcPr>
            <w:tcW w:w="1966" w:type="dxa"/>
            <w:vMerge/>
            <w:shd w:val="clear" w:color="auto" w:fill="auto"/>
          </w:tcPr>
          <w:p w:rsidR="005D3386" w:rsidRPr="00360DE3" w:rsidRDefault="005D3386" w:rsidP="005D3386">
            <w:pPr>
              <w:pStyle w:val="Marginlie"/>
              <w:rPr>
                <w:spacing w:val="0"/>
              </w:rPr>
            </w:pPr>
          </w:p>
        </w:tc>
        <w:tc>
          <w:tcPr>
            <w:tcW w:w="276" w:type="dxa"/>
            <w:gridSpan w:val="2"/>
            <w:vMerge/>
          </w:tcPr>
          <w:p w:rsidR="005D3386" w:rsidRPr="00360DE3" w:rsidRDefault="005D3386" w:rsidP="005D3386">
            <w:pPr>
              <w:pStyle w:val="Textpoznpodarou"/>
              <w:jc w:val="both"/>
            </w:pPr>
          </w:p>
        </w:tc>
        <w:tc>
          <w:tcPr>
            <w:tcW w:w="7355" w:type="dxa"/>
            <w:gridSpan w:val="2"/>
          </w:tcPr>
          <w:p w:rsidR="005D3386" w:rsidRPr="00360DE3" w:rsidRDefault="005D3386" w:rsidP="005D3386">
            <w:pPr>
              <w:pStyle w:val="Textpoznpodarou"/>
              <w:jc w:val="both"/>
              <w:rPr>
                <w:rFonts w:cs="Arial"/>
                <w:sz w:val="14"/>
                <w:szCs w:val="14"/>
              </w:rPr>
            </w:pPr>
            <w:r w:rsidRPr="00360DE3">
              <w:rPr>
                <w:rFonts w:cs="Arial"/>
                <w:sz w:val="14"/>
                <w:szCs w:val="14"/>
              </w:rPr>
              <w:t xml:space="preserve">*Bez odvětví zemědělství, lesnictví a rybářství. </w:t>
            </w:r>
          </w:p>
          <w:p w:rsidR="005D3386" w:rsidRPr="00360DE3" w:rsidRDefault="005D3386" w:rsidP="005D3386">
            <w:pPr>
              <w:pStyle w:val="Textpoznpodarou"/>
              <w:jc w:val="both"/>
              <w:rPr>
                <w:rFonts w:cs="Arial"/>
                <w:sz w:val="14"/>
                <w:szCs w:val="14"/>
              </w:rPr>
            </w:pPr>
            <w:r w:rsidRPr="00360DE3">
              <w:rPr>
                <w:rFonts w:cs="Arial"/>
                <w:sz w:val="14"/>
                <w:szCs w:val="14"/>
              </w:rPr>
              <w:t>Pozn.:Míra volných pracovních míst vyjadřuje</w:t>
            </w:r>
            <w:r w:rsidRPr="00360DE3">
              <w:rPr>
                <w:rFonts w:cs="Arial"/>
                <w:b/>
                <w:sz w:val="14"/>
                <w:szCs w:val="14"/>
              </w:rPr>
              <w:t xml:space="preserve"> </w:t>
            </w:r>
            <w:r w:rsidRPr="00360DE3">
              <w:rPr>
                <w:rFonts w:cs="Arial"/>
                <w:sz w:val="14"/>
                <w:szCs w:val="14"/>
              </w:rPr>
              <w:t>podíl volných míst (z podkladů evidence úřadů práce) na celkovém počtu obsazených (součet počtu zam</w:t>
            </w:r>
            <w:r w:rsidRPr="00360DE3">
              <w:rPr>
                <w:rFonts w:eastAsia="SimSun" w:cs="Arial"/>
                <w:sz w:val="14"/>
                <w:szCs w:val="14"/>
              </w:rPr>
              <w:t xml:space="preserve">ěstnanců a členů produkčních družstev dle VŠPS) </w:t>
            </w:r>
            <w:r w:rsidRPr="00360DE3">
              <w:rPr>
                <w:rFonts w:cs="Arial"/>
                <w:sz w:val="14"/>
                <w:szCs w:val="14"/>
              </w:rPr>
              <w:t>a volných míst. Do</w:t>
            </w:r>
            <w:r w:rsidRPr="00360DE3">
              <w:rPr>
                <w:rFonts w:eastAsia="SimSun" w:cs="Arial"/>
                <w:sz w:val="14"/>
                <w:szCs w:val="14"/>
              </w:rPr>
              <w:t xml:space="preserve"> celkového počtu volných míst nejsou zahrnuta místa vznikající u firem či soukromníků, do té doby bez zaměstnanců.</w:t>
            </w:r>
            <w:r w:rsidRPr="00360DE3">
              <w:rPr>
                <w:rFonts w:cs="Arial"/>
                <w:sz w:val="14"/>
                <w:szCs w:val="14"/>
              </w:rPr>
              <w:t xml:space="preserve"> </w:t>
            </w:r>
          </w:p>
          <w:p w:rsidR="005D3386" w:rsidRPr="00360DE3" w:rsidRDefault="005D3386" w:rsidP="00360DE3">
            <w:pPr>
              <w:pStyle w:val="Textpoznpodarou"/>
              <w:spacing w:after="240"/>
              <w:jc w:val="both"/>
              <w:rPr>
                <w:b/>
              </w:rPr>
            </w:pPr>
            <w:r w:rsidRPr="00360DE3">
              <w:rPr>
                <w:rFonts w:cs="Arial"/>
                <w:sz w:val="14"/>
                <w:szCs w:val="14"/>
              </w:rPr>
              <w:t>Zdroj: ČSÚ (národní účty, VŠPS), MPSV</w:t>
            </w:r>
          </w:p>
        </w:tc>
      </w:tr>
      <w:tr w:rsidR="005D3386" w:rsidRPr="00360DE3" w:rsidTr="005D3386">
        <w:tc>
          <w:tcPr>
            <w:tcW w:w="1976" w:type="dxa"/>
            <w:gridSpan w:val="2"/>
            <w:vMerge w:val="restart"/>
          </w:tcPr>
          <w:p w:rsidR="005D3386" w:rsidRPr="00360DE3" w:rsidRDefault="005D3386" w:rsidP="005D3386">
            <w:pPr>
              <w:pStyle w:val="Marginlie"/>
              <w:rPr>
                <w:spacing w:val="0"/>
              </w:rPr>
            </w:pPr>
          </w:p>
        </w:tc>
        <w:tc>
          <w:tcPr>
            <w:tcW w:w="277" w:type="dxa"/>
            <w:gridSpan w:val="2"/>
            <w:vMerge w:val="restart"/>
          </w:tcPr>
          <w:p w:rsidR="005D3386" w:rsidRPr="00360DE3" w:rsidRDefault="005D3386" w:rsidP="005D3386">
            <w:pPr>
              <w:pStyle w:val="Textpoznpodarou"/>
              <w:jc w:val="both"/>
            </w:pPr>
          </w:p>
        </w:tc>
        <w:tc>
          <w:tcPr>
            <w:tcW w:w="7391" w:type="dxa"/>
            <w:gridSpan w:val="2"/>
          </w:tcPr>
          <w:p w:rsidR="005D3386" w:rsidRPr="00360DE3" w:rsidRDefault="005D3386" w:rsidP="005D3386">
            <w:pPr>
              <w:spacing w:after="0"/>
            </w:pPr>
            <w:r w:rsidRPr="00360DE3">
              <w:rPr>
                <w:b/>
              </w:rPr>
              <w:t xml:space="preserve">Graf </w:t>
            </w:r>
            <w:proofErr w:type="gramStart"/>
            <w:r w:rsidRPr="00360DE3">
              <w:rPr>
                <w:b/>
              </w:rPr>
              <w:t>5.1.2  Zaměstnanost</w:t>
            </w:r>
            <w:proofErr w:type="gramEnd"/>
            <w:r w:rsidRPr="00360DE3">
              <w:rPr>
                <w:b/>
              </w:rPr>
              <w:t xml:space="preserve"> v hlavních odvětvích ekonomiky</w:t>
            </w:r>
            <w:r w:rsidRPr="00360DE3">
              <w:t xml:space="preserve"> </w:t>
            </w:r>
          </w:p>
          <w:p w:rsidR="005D3386" w:rsidRPr="00360DE3" w:rsidRDefault="005D3386" w:rsidP="005D3386">
            <w:pPr>
              <w:spacing w:after="0"/>
              <w:rPr>
                <w:b/>
              </w:rPr>
            </w:pPr>
            <w:r w:rsidRPr="00360DE3">
              <w:t>(úvazky na plnou pracovní dobu, úroveň roku 2007 =100)</w:t>
            </w:r>
          </w:p>
        </w:tc>
      </w:tr>
      <w:tr w:rsidR="005D3386" w:rsidRPr="00360DE3" w:rsidTr="005D3386">
        <w:trPr>
          <w:trHeight w:val="170"/>
        </w:trPr>
        <w:tc>
          <w:tcPr>
            <w:tcW w:w="1976" w:type="dxa"/>
            <w:gridSpan w:val="2"/>
            <w:vMerge/>
          </w:tcPr>
          <w:p w:rsidR="005D3386" w:rsidRPr="00360DE3" w:rsidRDefault="005D3386" w:rsidP="005D3386">
            <w:pPr>
              <w:pStyle w:val="Marginlie"/>
              <w:rPr>
                <w:spacing w:val="0"/>
              </w:rPr>
            </w:pPr>
          </w:p>
        </w:tc>
        <w:tc>
          <w:tcPr>
            <w:tcW w:w="277" w:type="dxa"/>
            <w:gridSpan w:val="2"/>
            <w:vMerge/>
          </w:tcPr>
          <w:p w:rsidR="005D3386" w:rsidRPr="00360DE3" w:rsidRDefault="005D3386" w:rsidP="005D3386">
            <w:pPr>
              <w:pStyle w:val="Textpoznpodarou"/>
              <w:jc w:val="both"/>
            </w:pPr>
          </w:p>
        </w:tc>
        <w:tc>
          <w:tcPr>
            <w:tcW w:w="7391" w:type="dxa"/>
            <w:gridSpan w:val="2"/>
          </w:tcPr>
          <w:p w:rsidR="005D3386" w:rsidRPr="00360DE3" w:rsidRDefault="005D3386" w:rsidP="005D3386">
            <w:pPr>
              <w:spacing w:after="0"/>
            </w:pPr>
            <w:r w:rsidRPr="00360DE3">
              <w:rPr>
                <w:noProof/>
              </w:rPr>
              <w:drawing>
                <wp:inline distT="0" distB="0" distL="0" distR="0">
                  <wp:extent cx="4714875" cy="3705225"/>
                  <wp:effectExtent l="19050" t="0" r="0" b="0"/>
                  <wp:docPr id="3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5D3386" w:rsidRPr="00360DE3" w:rsidTr="005D3386">
        <w:trPr>
          <w:trHeight w:val="170"/>
        </w:trPr>
        <w:tc>
          <w:tcPr>
            <w:tcW w:w="1976" w:type="dxa"/>
            <w:gridSpan w:val="2"/>
            <w:vMerge/>
          </w:tcPr>
          <w:p w:rsidR="005D3386" w:rsidRPr="00360DE3" w:rsidRDefault="005D3386" w:rsidP="005D3386">
            <w:pPr>
              <w:pStyle w:val="Marginlie"/>
              <w:rPr>
                <w:spacing w:val="0"/>
              </w:rPr>
            </w:pPr>
          </w:p>
        </w:tc>
        <w:tc>
          <w:tcPr>
            <w:tcW w:w="277" w:type="dxa"/>
            <w:gridSpan w:val="2"/>
            <w:vMerge/>
          </w:tcPr>
          <w:p w:rsidR="005D3386" w:rsidRPr="00360DE3" w:rsidRDefault="005D3386" w:rsidP="005D3386">
            <w:pPr>
              <w:pStyle w:val="Textpoznpodarou"/>
              <w:jc w:val="both"/>
            </w:pPr>
          </w:p>
        </w:tc>
        <w:tc>
          <w:tcPr>
            <w:tcW w:w="7391" w:type="dxa"/>
            <w:gridSpan w:val="2"/>
          </w:tcPr>
          <w:p w:rsidR="005D3386" w:rsidRPr="006836CB" w:rsidRDefault="0000437D" w:rsidP="005D3386">
            <w:pPr>
              <w:spacing w:after="0" w:line="240" w:lineRule="auto"/>
              <w:rPr>
                <w:spacing w:val="-2"/>
                <w:sz w:val="14"/>
                <w:szCs w:val="14"/>
              </w:rPr>
            </w:pPr>
            <w:r w:rsidRPr="006836CB">
              <w:rPr>
                <w:spacing w:val="-2"/>
                <w:sz w:val="14"/>
                <w:szCs w:val="14"/>
              </w:rPr>
              <w:t>*Zahrnuté</w:t>
            </w:r>
            <w:r w:rsidR="005D3386" w:rsidRPr="006836CB">
              <w:rPr>
                <w:spacing w:val="-2"/>
                <w:sz w:val="14"/>
                <w:szCs w:val="14"/>
              </w:rPr>
              <w:t xml:space="preserve"> odvětvové oddíly CZ-NACE 84 až 91 (Veřejná správa a obrana, vzdělávání, zdravotnictví, </w:t>
            </w:r>
            <w:proofErr w:type="spellStart"/>
            <w:r w:rsidR="005D3386" w:rsidRPr="006836CB">
              <w:rPr>
                <w:spacing w:val="-2"/>
                <w:sz w:val="14"/>
                <w:szCs w:val="14"/>
              </w:rPr>
              <w:t>soc</w:t>
            </w:r>
            <w:proofErr w:type="spellEnd"/>
            <w:r w:rsidR="005D3386" w:rsidRPr="006836CB">
              <w:rPr>
                <w:spacing w:val="-2"/>
                <w:sz w:val="14"/>
                <w:szCs w:val="14"/>
              </w:rPr>
              <w:t>, péče a služby, tvůrčí, umělecké a zábavní činnosti, knihovny, archivy, muzea a jiná kulturní zařízení.</w:t>
            </w:r>
          </w:p>
          <w:p w:rsidR="005D3386" w:rsidRPr="00360DE3" w:rsidRDefault="005D3386" w:rsidP="005D3386">
            <w:pPr>
              <w:rPr>
                <w:sz w:val="14"/>
                <w:szCs w:val="14"/>
              </w:rPr>
            </w:pPr>
            <w:r w:rsidRPr="00360DE3">
              <w:rPr>
                <w:sz w:val="14"/>
                <w:szCs w:val="14"/>
              </w:rPr>
              <w:t>Zdroj: ČSÚ (národní účty)</w:t>
            </w:r>
          </w:p>
        </w:tc>
      </w:tr>
      <w:tr w:rsidR="005D3386" w:rsidRPr="00360DE3" w:rsidTr="005D3386">
        <w:trPr>
          <w:trHeight w:val="145"/>
        </w:trPr>
        <w:tc>
          <w:tcPr>
            <w:tcW w:w="1976" w:type="dxa"/>
            <w:gridSpan w:val="2"/>
          </w:tcPr>
          <w:p w:rsidR="00360DE3" w:rsidRPr="00360DE3" w:rsidRDefault="00360DE3" w:rsidP="00360DE3">
            <w:pPr>
              <w:pStyle w:val="Marginlie"/>
              <w:rPr>
                <w:spacing w:val="0"/>
              </w:rPr>
            </w:pPr>
            <w:r w:rsidRPr="00360DE3">
              <w:rPr>
                <w:spacing w:val="0"/>
              </w:rPr>
              <w:lastRenderedPageBreak/>
              <w:t>Pokračoval dlouhodobý útlum zaměstnanosti v těžebních aktivitách, v menší míře stále i ve stavebnictví.</w:t>
            </w:r>
          </w:p>
          <w:p w:rsidR="005D3386" w:rsidRPr="00360DE3" w:rsidRDefault="005D3386" w:rsidP="005D3386">
            <w:pPr>
              <w:pStyle w:val="Marginlie"/>
              <w:rPr>
                <w:spacing w:val="0"/>
              </w:rPr>
            </w:pPr>
          </w:p>
        </w:tc>
        <w:tc>
          <w:tcPr>
            <w:tcW w:w="277" w:type="dxa"/>
            <w:gridSpan w:val="2"/>
          </w:tcPr>
          <w:p w:rsidR="005D3386" w:rsidRPr="00360DE3" w:rsidRDefault="005D3386" w:rsidP="005D3386">
            <w:pPr>
              <w:pStyle w:val="Textpoznpodarou"/>
              <w:jc w:val="both"/>
            </w:pPr>
          </w:p>
        </w:tc>
        <w:tc>
          <w:tcPr>
            <w:tcW w:w="7391" w:type="dxa"/>
            <w:gridSpan w:val="2"/>
          </w:tcPr>
          <w:p w:rsidR="005D3386" w:rsidRPr="00360DE3" w:rsidRDefault="00360DE3" w:rsidP="005D3386">
            <w:pPr>
              <w:rPr>
                <w:sz w:val="16"/>
                <w:szCs w:val="16"/>
              </w:rPr>
            </w:pPr>
            <w:r w:rsidRPr="00360DE3">
              <w:t>Navzdory celkově příznivému vývoji stále existovala odvětví, jež pracovní pozice ztrácela. Dlouhodobě strukturálně postižený obor těžby a dobývání ztratil jen v posledních dvou letech skoro sedminu pracovních míst. Ve stavebnictví přetrvával mírnější úbytek (zejména vlivem větších podniků) již sedmý rok v řadě</w:t>
            </w:r>
            <w:r w:rsidRPr="00360DE3">
              <w:rPr>
                <w:rStyle w:val="Znakapoznpodarou"/>
              </w:rPr>
              <w:footnoteReference w:id="12"/>
            </w:r>
            <w:r w:rsidRPr="00360DE3">
              <w:t>. Ve službách ztrácelo loni místa nejvíce peněžnictví a pojišťovnictví (-3,8 %), kde šlo ale o teprve třetí meziroční pokles za posledních čtrnáct let.</w:t>
            </w:r>
          </w:p>
        </w:tc>
      </w:tr>
      <w:tr w:rsidR="005D3386" w:rsidRPr="00360DE3" w:rsidTr="005D3386">
        <w:trPr>
          <w:trHeight w:val="145"/>
        </w:trPr>
        <w:tc>
          <w:tcPr>
            <w:tcW w:w="1976" w:type="dxa"/>
            <w:gridSpan w:val="2"/>
          </w:tcPr>
          <w:p w:rsidR="005D3386" w:rsidRPr="00360DE3" w:rsidRDefault="005D3386" w:rsidP="005D3386">
            <w:pPr>
              <w:pStyle w:val="Marginlie"/>
              <w:rPr>
                <w:spacing w:val="0"/>
              </w:rPr>
            </w:pPr>
            <w:r w:rsidRPr="00360DE3">
              <w:rPr>
                <w:spacing w:val="0"/>
              </w:rPr>
              <w:t>Rostoucí počet pracovníků byl po roce 2008 zajištěn vyšší mírou participace, neboť samotný počet obyvatel v produktivním věku setrvale klesal.</w:t>
            </w:r>
          </w:p>
          <w:p w:rsidR="005D3386" w:rsidRPr="00360DE3" w:rsidRDefault="005D3386" w:rsidP="005D3386">
            <w:pPr>
              <w:pStyle w:val="Marginlie"/>
              <w:rPr>
                <w:spacing w:val="0"/>
              </w:rPr>
            </w:pPr>
            <w:r w:rsidRPr="00360DE3">
              <w:rPr>
                <w:spacing w:val="0"/>
              </w:rPr>
              <w:t>Míra zaměstnanosti meziročně rostla napříč všemi pohlavně-věkovými skupinami, výjimkou byly žen ve věku 35-39 let.</w:t>
            </w:r>
          </w:p>
          <w:p w:rsidR="005D3386" w:rsidRPr="00360DE3" w:rsidRDefault="005D3386" w:rsidP="005D3386">
            <w:pPr>
              <w:pStyle w:val="Marginlie"/>
              <w:rPr>
                <w:spacing w:val="0"/>
              </w:rPr>
            </w:pPr>
          </w:p>
        </w:tc>
        <w:tc>
          <w:tcPr>
            <w:tcW w:w="277" w:type="dxa"/>
            <w:gridSpan w:val="2"/>
          </w:tcPr>
          <w:p w:rsidR="005D3386" w:rsidRPr="00360DE3" w:rsidRDefault="005D3386" w:rsidP="005D3386">
            <w:pPr>
              <w:pStyle w:val="Textpoznpodarou"/>
              <w:jc w:val="both"/>
            </w:pPr>
          </w:p>
        </w:tc>
        <w:tc>
          <w:tcPr>
            <w:tcW w:w="7391" w:type="dxa"/>
            <w:gridSpan w:val="2"/>
          </w:tcPr>
          <w:p w:rsidR="005D3386" w:rsidRPr="00360DE3" w:rsidRDefault="005D3386" w:rsidP="005D3386">
            <w:r w:rsidRPr="00360DE3">
              <w:t>Počet obyvatel v produktivním věku (15–64 let) se v Česku po roce 2008 neustále snižuje. Vyšší zaměstnanost v ekonomice tak byla výsledkem nárůstu míry participace částečně podpořené plynule rostoucím důchodovým věkem</w:t>
            </w:r>
            <w:r w:rsidR="006836CB">
              <w:t>. Míra zaměstnanosti ve věku 15</w:t>
            </w:r>
            <w:r w:rsidR="006836CB" w:rsidRPr="00360DE3">
              <w:t>–</w:t>
            </w:r>
            <w:r w:rsidRPr="00360DE3">
              <w:t xml:space="preserve">64 let loni dosáhla 73,6 %, meziročně posílila o 1,7 p. </w:t>
            </w:r>
            <w:proofErr w:type="spellStart"/>
            <w:r w:rsidRPr="00360DE3">
              <w:t>b</w:t>
            </w:r>
            <w:proofErr w:type="spellEnd"/>
            <w:r w:rsidRPr="00360DE3">
              <w:t xml:space="preserve">. Relativně vysoká míra zapojení obyvatel souvisí s nízkou nezaměstnaností, ekonomickým růstem i specifickou odvětvovou skladbou ekonomiky s typicky vysokým podílem pracovních míst ve zpracovatelském průmyslu. K nárůstu míry zaměstnanosti došlo napříč všemi věkovými </w:t>
            </w:r>
            <w:r w:rsidR="006836CB">
              <w:t>skupinami vyjma osob ve věku 35</w:t>
            </w:r>
            <w:r w:rsidR="006836CB" w:rsidRPr="00360DE3">
              <w:t>–</w:t>
            </w:r>
            <w:r w:rsidRPr="00360DE3">
              <w:t>39 let, kde negativně působila slabší participace žen (</w:t>
            </w:r>
            <w:r w:rsidR="005B08EB">
              <w:t>-1,3 </w:t>
            </w:r>
            <w:proofErr w:type="spellStart"/>
            <w:proofErr w:type="gramStart"/>
            <w:r w:rsidR="005B08EB">
              <w:t>p.b</w:t>
            </w:r>
            <w:proofErr w:type="spellEnd"/>
            <w:r w:rsidR="005B08EB">
              <w:t>.) související</w:t>
            </w:r>
            <w:proofErr w:type="gramEnd"/>
            <w:r w:rsidR="005B08EB">
              <w:t xml:space="preserve"> zřejmě s</w:t>
            </w:r>
            <w:r w:rsidR="005B08EB" w:rsidRPr="00360DE3">
              <w:t> </w:t>
            </w:r>
            <w:r w:rsidRPr="00360DE3">
              <w:t>posunem průměrného věku matek při narození dítěte. Míra zaměstnanosti 20 až 64letých roste v ČR v posledních letech pravidelně vyšším tempem než v EU. Jen tři státy dosáhly loni v této věkové kategorii vyšší zaměstnanosti (Německo, Estonsko a zejména Švédsko – 81,8 %). Zatímco mezi muži dominovalo Česko (86,3 %) unijním zemím již čtvrtým rokem v řadě</w:t>
            </w:r>
            <w:r w:rsidRPr="00360DE3">
              <w:rPr>
                <w:rStyle w:val="Znakapoznpodarou"/>
              </w:rPr>
              <w:footnoteReference w:id="13"/>
            </w:r>
            <w:r w:rsidRPr="00360DE3">
              <w:t>, u žen stále patřilo až na začátek druhé desítky, když např. z novějších členských zemí dosahovaly vyšších intenzit všechny pobaltské státy.</w:t>
            </w:r>
          </w:p>
        </w:tc>
      </w:tr>
      <w:tr w:rsidR="005D3386" w:rsidRPr="00360DE3" w:rsidTr="005D3386">
        <w:trPr>
          <w:trHeight w:val="145"/>
        </w:trPr>
        <w:tc>
          <w:tcPr>
            <w:tcW w:w="1976" w:type="dxa"/>
            <w:gridSpan w:val="2"/>
          </w:tcPr>
          <w:p w:rsidR="005D3386" w:rsidRPr="00360DE3" w:rsidRDefault="005D3386" w:rsidP="005D3386">
            <w:pPr>
              <w:pStyle w:val="Marginlie"/>
              <w:rPr>
                <w:spacing w:val="0"/>
              </w:rPr>
            </w:pPr>
            <w:r w:rsidRPr="00360DE3">
              <w:rPr>
                <w:spacing w:val="0"/>
              </w:rPr>
              <w:t>Míra zaměstnanosti mladých v ČR zůstává v evropském kontextu výrazně podprůměrná, u lidí na sklonku produktivního věku ale úroveň EU mírně převyšovala.</w:t>
            </w:r>
          </w:p>
        </w:tc>
        <w:tc>
          <w:tcPr>
            <w:tcW w:w="277" w:type="dxa"/>
            <w:gridSpan w:val="2"/>
          </w:tcPr>
          <w:p w:rsidR="005D3386" w:rsidRPr="00360DE3" w:rsidRDefault="005D3386" w:rsidP="005D3386">
            <w:pPr>
              <w:pStyle w:val="Textpoznpodarou"/>
              <w:jc w:val="both"/>
            </w:pPr>
          </w:p>
        </w:tc>
        <w:tc>
          <w:tcPr>
            <w:tcW w:w="7391" w:type="dxa"/>
            <w:gridSpan w:val="2"/>
          </w:tcPr>
          <w:p w:rsidR="005D3386" w:rsidRPr="00360DE3" w:rsidRDefault="005D3386" w:rsidP="005D3386">
            <w:r w:rsidRPr="00360DE3">
              <w:t xml:space="preserve">V prostředí sílícího nedostatku nových disponibilních pracovníků se pro tuzemské firmy stává stále větší výzvou intenzivnější zapojení obyvatel v „krajních“ věkových skupinách (studentů, osob na sklonku produktivního věku a aktivních seniorů), jakož i dalších lidí se specifickými potřebami (zdravotně postižených, žen na rodičovské dovolené aj). Míra zaměstnanosti nejmladších (15-24 let) zůstává v ČR i přes svůj mírný růst v posledních šesti letech v evropském kontextu stále podprůměrná (29 %, v sousedním Rakousku či Německu se pohybuje kolem 50 %, v Nizozemsku až 62 %). Naopak ve věku 55–64 let unijní úroveň loni převyšovala, a to jak u žen (53 % ku 51 %), tak u mužů (72 %, pátá nejvyšší hodnota v EU). Mezi 65-69letými byla v ČR zaměstnána jen osmina (mírně nižší podíl než v EU), participace v tomto věku navíc vykazuje výraznější selektivnost z hlediska vzdělání, profesí či regionu. </w:t>
            </w:r>
          </w:p>
        </w:tc>
      </w:tr>
      <w:tr w:rsidR="00360DE3" w:rsidRPr="00360DE3" w:rsidTr="005D3386">
        <w:trPr>
          <w:trHeight w:val="145"/>
        </w:trPr>
        <w:tc>
          <w:tcPr>
            <w:tcW w:w="1976" w:type="dxa"/>
            <w:gridSpan w:val="2"/>
          </w:tcPr>
          <w:p w:rsidR="00360DE3" w:rsidRPr="00360DE3" w:rsidRDefault="00360DE3" w:rsidP="00F162B3">
            <w:pPr>
              <w:pStyle w:val="Marginlie"/>
              <w:rPr>
                <w:spacing w:val="0"/>
              </w:rPr>
            </w:pPr>
            <w:r w:rsidRPr="00360DE3">
              <w:rPr>
                <w:spacing w:val="0"/>
              </w:rPr>
              <w:t xml:space="preserve">Česko patří mezi státy s nejvyšším rozdílem míry zaměstnanosti žen v závislosti na věku nejmladšího dítěte. </w:t>
            </w:r>
          </w:p>
          <w:p w:rsidR="00360DE3" w:rsidRPr="00360DE3" w:rsidRDefault="00360DE3" w:rsidP="00F162B3">
            <w:pPr>
              <w:pStyle w:val="Marginlie"/>
              <w:rPr>
                <w:spacing w:val="0"/>
              </w:rPr>
            </w:pPr>
            <w:r w:rsidRPr="00360DE3">
              <w:rPr>
                <w:spacing w:val="0"/>
              </w:rPr>
              <w:t xml:space="preserve">Míra zaměstnanosti žen s nejmladším dítětem v předškolním věku se v Česku vyvíjela odlišně podle počtu dětí. U žen s dvěma a více dětmi mírně rostla, u žen s pouze jedním dítětem spíše stagnovala. </w:t>
            </w:r>
          </w:p>
          <w:p w:rsidR="00360DE3" w:rsidRPr="00360DE3" w:rsidRDefault="00360DE3" w:rsidP="00F162B3">
            <w:pPr>
              <w:pStyle w:val="Marginlie"/>
              <w:rPr>
                <w:spacing w:val="0"/>
              </w:rPr>
            </w:pPr>
          </w:p>
        </w:tc>
        <w:tc>
          <w:tcPr>
            <w:tcW w:w="277" w:type="dxa"/>
            <w:gridSpan w:val="2"/>
          </w:tcPr>
          <w:p w:rsidR="00360DE3" w:rsidRPr="00360DE3" w:rsidRDefault="00360DE3" w:rsidP="00F162B3">
            <w:pPr>
              <w:pStyle w:val="Textpoznpodarou"/>
              <w:jc w:val="both"/>
            </w:pPr>
          </w:p>
        </w:tc>
        <w:tc>
          <w:tcPr>
            <w:tcW w:w="7391" w:type="dxa"/>
            <w:gridSpan w:val="2"/>
          </w:tcPr>
          <w:p w:rsidR="00360DE3" w:rsidRPr="00360DE3" w:rsidRDefault="00360DE3" w:rsidP="00F162B3">
            <w:r w:rsidRPr="00360DE3">
              <w:t>Pro zaměstnanost žen s dětmi před povinnou školní docházkou představuje klíčový determinant nabídka flexibilních forem pracovních úvazků podpořená komplexně pojatou rodinnou politikou státu. Česko podobně jako některé státy střední a východní Evropy (Slovensko, Maďarsko, Estonsko) charakterizuje to, že míra zaměstnanosti žen s alespoň jedním dítětem předškolního věku dosahuje v EU nejnižších hodnot</w:t>
            </w:r>
            <w:r w:rsidRPr="00360DE3">
              <w:rPr>
                <w:rStyle w:val="Znakapoznpodarou"/>
              </w:rPr>
              <w:footnoteReference w:id="14"/>
            </w:r>
            <w:r w:rsidRPr="00360DE3">
              <w:t xml:space="preserve">, pak však prudce stoupá s věkem dítěte. </w:t>
            </w:r>
            <w:r w:rsidR="005B08EB">
              <w:t>Míra z</w:t>
            </w:r>
            <w:r w:rsidRPr="00360DE3">
              <w:t>aměstnanost</w:t>
            </w:r>
            <w:r w:rsidR="005B08EB">
              <w:t>i</w:t>
            </w:r>
            <w:r w:rsidRPr="00360DE3">
              <w:t xml:space="preserve"> 20–49letých žen s věkem nejmladšího dítěte 6-11 let, resp. nad 12 let byla v ČR nejvyšší ze zemí EU (v obou případech těsně přesahovala 90 %). Podobně výsadní postavení mělo Če</w:t>
            </w:r>
            <w:r w:rsidR="006836CB">
              <w:t>sko v participaci bezdětných 20</w:t>
            </w:r>
            <w:r w:rsidR="006836CB" w:rsidRPr="00360DE3">
              <w:t>–</w:t>
            </w:r>
            <w:r w:rsidRPr="00360DE3">
              <w:t xml:space="preserve">49letých žen (88,5 %, o 10 p. </w:t>
            </w:r>
            <w:proofErr w:type="spellStart"/>
            <w:r w:rsidRPr="00360DE3">
              <w:t>b</w:t>
            </w:r>
            <w:proofErr w:type="spellEnd"/>
            <w:r w:rsidRPr="00360DE3">
              <w:t xml:space="preserve">. </w:t>
            </w:r>
            <w:proofErr w:type="gramStart"/>
            <w:r w:rsidRPr="00360DE3">
              <w:t>nad</w:t>
            </w:r>
            <w:proofErr w:type="gramEnd"/>
            <w:r w:rsidRPr="00360DE3">
              <w:t xml:space="preserve"> úrovní EU). </w:t>
            </w:r>
            <w:proofErr w:type="gramStart"/>
            <w:r w:rsidRPr="00360DE3">
              <w:t>U žen</w:t>
            </w:r>
            <w:proofErr w:type="gramEnd"/>
            <w:r w:rsidRPr="00360DE3">
              <w:t xml:space="preserve"> s nejmladším dítětem do 6 let věku zaměstnanost prudce klesala v případě jednoho dítěte (na 38 %, v EU na 68 %), u žen s dvěma </w:t>
            </w:r>
            <w:r w:rsidRPr="00360DE3">
              <w:lastRenderedPageBreak/>
              <w:t xml:space="preserve">dětmi byl </w:t>
            </w:r>
            <w:proofErr w:type="gramStart"/>
            <w:r w:rsidRPr="00360DE3">
              <w:t>jíž</w:t>
            </w:r>
            <w:proofErr w:type="gramEnd"/>
            <w:r w:rsidRPr="00360DE3">
              <w:t xml:space="preserve"> rozdíl mezi ČR a EU výrazně nižší (50 % vs. 66 %). Míra zaměstnanosti žen s dítětem/dětmi předškolního věku v ČR za poslední dekádu mírně vzrostla, avšak převážně zásluhou žen s vyšším počtem dětí. Naopak u žen pouze s jedním dítětem byl posun minimální. To se týká i nabízených flexibilních forem úvazků. Přestože v posledních třech letech lze pozorovat nárůst podílu žen s dítětem/dětmi v předškolním věku využívajících tyto úvazky</w:t>
            </w:r>
            <w:r w:rsidRPr="00360DE3">
              <w:rPr>
                <w:rStyle w:val="Znakapoznpodarou"/>
              </w:rPr>
              <w:footnoteReference w:id="15"/>
            </w:r>
            <w:r w:rsidRPr="00360DE3">
              <w:t>, z dlouhodobějšího pohledu je růstový trend méně průkazný.</w:t>
            </w:r>
          </w:p>
        </w:tc>
      </w:tr>
      <w:tr w:rsidR="00360DE3" w:rsidRPr="00360DE3" w:rsidTr="005D3386">
        <w:trPr>
          <w:trHeight w:val="170"/>
        </w:trPr>
        <w:tc>
          <w:tcPr>
            <w:tcW w:w="1976" w:type="dxa"/>
            <w:gridSpan w:val="2"/>
            <w:vMerge w:val="restart"/>
          </w:tcPr>
          <w:p w:rsidR="00360DE3" w:rsidRPr="00360DE3" w:rsidRDefault="00360DE3" w:rsidP="005D3386">
            <w:pPr>
              <w:pStyle w:val="Marginlie"/>
              <w:rPr>
                <w:spacing w:val="0"/>
              </w:rPr>
            </w:pPr>
          </w:p>
        </w:tc>
        <w:tc>
          <w:tcPr>
            <w:tcW w:w="277" w:type="dxa"/>
            <w:gridSpan w:val="2"/>
            <w:vMerge w:val="restart"/>
          </w:tcPr>
          <w:p w:rsidR="00360DE3" w:rsidRPr="00360DE3" w:rsidRDefault="00360DE3" w:rsidP="005D3386">
            <w:pPr>
              <w:pStyle w:val="Textpoznpodarou"/>
              <w:jc w:val="both"/>
            </w:pPr>
          </w:p>
        </w:tc>
        <w:tc>
          <w:tcPr>
            <w:tcW w:w="7391" w:type="dxa"/>
            <w:gridSpan w:val="2"/>
          </w:tcPr>
          <w:p w:rsidR="00360DE3" w:rsidRPr="00360DE3" w:rsidRDefault="00360DE3" w:rsidP="005D3386">
            <w:pPr>
              <w:spacing w:after="0"/>
              <w:rPr>
                <w:b/>
              </w:rPr>
            </w:pPr>
            <w:r w:rsidRPr="00360DE3">
              <w:rPr>
                <w:b/>
              </w:rPr>
              <w:t xml:space="preserve">Graf </w:t>
            </w:r>
            <w:proofErr w:type="gramStart"/>
            <w:r w:rsidRPr="00360DE3">
              <w:rPr>
                <w:b/>
              </w:rPr>
              <w:t>5.1.3  Mí</w:t>
            </w:r>
            <w:r w:rsidR="006836CB">
              <w:rPr>
                <w:b/>
              </w:rPr>
              <w:t>ra</w:t>
            </w:r>
            <w:proofErr w:type="gramEnd"/>
            <w:r w:rsidR="006836CB">
              <w:rPr>
                <w:b/>
              </w:rPr>
              <w:t xml:space="preserve"> zaměstnanosti žen ve věku 20</w:t>
            </w:r>
            <w:r w:rsidR="006836CB" w:rsidRPr="00360DE3">
              <w:t>–</w:t>
            </w:r>
            <w:r w:rsidRPr="00360DE3">
              <w:rPr>
                <w:b/>
              </w:rPr>
              <w:t xml:space="preserve">49 let dle počtu dětí a podíl pracujících žen* ve flexibilních formách zaměstnání </w:t>
            </w:r>
            <w:r w:rsidRPr="00360DE3">
              <w:t>(v %)</w:t>
            </w:r>
          </w:p>
        </w:tc>
      </w:tr>
      <w:tr w:rsidR="00360DE3" w:rsidRPr="00360DE3" w:rsidTr="005D3386">
        <w:trPr>
          <w:trHeight w:val="170"/>
        </w:trPr>
        <w:tc>
          <w:tcPr>
            <w:tcW w:w="1976" w:type="dxa"/>
            <w:gridSpan w:val="2"/>
            <w:vMerge/>
          </w:tcPr>
          <w:p w:rsidR="00360DE3" w:rsidRPr="00360DE3" w:rsidRDefault="00360DE3" w:rsidP="005D3386">
            <w:pPr>
              <w:pStyle w:val="Marginlie"/>
              <w:rPr>
                <w:spacing w:val="0"/>
              </w:rPr>
            </w:pPr>
          </w:p>
        </w:tc>
        <w:tc>
          <w:tcPr>
            <w:tcW w:w="277" w:type="dxa"/>
            <w:gridSpan w:val="2"/>
            <w:vMerge/>
          </w:tcPr>
          <w:p w:rsidR="00360DE3" w:rsidRPr="00360DE3" w:rsidRDefault="00360DE3" w:rsidP="005D3386">
            <w:pPr>
              <w:pStyle w:val="Textpoznpodarou"/>
              <w:jc w:val="both"/>
            </w:pPr>
          </w:p>
        </w:tc>
        <w:tc>
          <w:tcPr>
            <w:tcW w:w="7391" w:type="dxa"/>
            <w:gridSpan w:val="2"/>
          </w:tcPr>
          <w:p w:rsidR="00360DE3" w:rsidRPr="00360DE3" w:rsidRDefault="00360DE3" w:rsidP="005D3386">
            <w:pPr>
              <w:spacing w:after="0"/>
            </w:pPr>
            <w:r w:rsidRPr="00360DE3">
              <w:rPr>
                <w:noProof/>
              </w:rPr>
              <w:drawing>
                <wp:inline distT="0" distB="0" distL="0" distR="0">
                  <wp:extent cx="4714875" cy="3676650"/>
                  <wp:effectExtent l="0" t="0" r="0" b="0"/>
                  <wp:docPr id="3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60DE3" w:rsidRPr="00360DE3" w:rsidTr="005D3386">
        <w:trPr>
          <w:trHeight w:val="170"/>
        </w:trPr>
        <w:tc>
          <w:tcPr>
            <w:tcW w:w="1976" w:type="dxa"/>
            <w:gridSpan w:val="2"/>
            <w:vMerge/>
          </w:tcPr>
          <w:p w:rsidR="00360DE3" w:rsidRPr="00360DE3" w:rsidRDefault="00360DE3" w:rsidP="005D3386">
            <w:pPr>
              <w:pStyle w:val="Marginlie"/>
              <w:rPr>
                <w:spacing w:val="0"/>
              </w:rPr>
            </w:pPr>
          </w:p>
        </w:tc>
        <w:tc>
          <w:tcPr>
            <w:tcW w:w="277" w:type="dxa"/>
            <w:gridSpan w:val="2"/>
            <w:vMerge/>
          </w:tcPr>
          <w:p w:rsidR="00360DE3" w:rsidRPr="00360DE3" w:rsidRDefault="00360DE3" w:rsidP="005D3386">
            <w:pPr>
              <w:pStyle w:val="Textpoznpodarou"/>
              <w:jc w:val="both"/>
            </w:pPr>
          </w:p>
        </w:tc>
        <w:tc>
          <w:tcPr>
            <w:tcW w:w="7391" w:type="dxa"/>
            <w:gridSpan w:val="2"/>
          </w:tcPr>
          <w:p w:rsidR="00EA0840" w:rsidRDefault="00360DE3" w:rsidP="00EA0840">
            <w:pPr>
              <w:spacing w:after="0" w:line="240" w:lineRule="auto"/>
              <w:rPr>
                <w:sz w:val="14"/>
                <w:szCs w:val="14"/>
              </w:rPr>
            </w:pPr>
            <w:r w:rsidRPr="00360DE3">
              <w:rPr>
                <w:sz w:val="14"/>
                <w:szCs w:val="14"/>
              </w:rPr>
              <w:t xml:space="preserve">* s nejmladším dítětem ve věku do 6 let                                                                                                       </w:t>
            </w:r>
          </w:p>
          <w:p w:rsidR="00360DE3" w:rsidRPr="00360DE3" w:rsidRDefault="00360DE3" w:rsidP="005D3386">
            <w:pPr>
              <w:spacing w:after="200" w:line="240" w:lineRule="auto"/>
              <w:rPr>
                <w:sz w:val="14"/>
                <w:szCs w:val="14"/>
              </w:rPr>
            </w:pPr>
            <w:r w:rsidRPr="00360DE3">
              <w:rPr>
                <w:sz w:val="14"/>
                <w:szCs w:val="14"/>
              </w:rPr>
              <w:t xml:space="preserve">Zdroj: </w:t>
            </w:r>
            <w:proofErr w:type="spellStart"/>
            <w:r w:rsidRPr="00360DE3">
              <w:rPr>
                <w:sz w:val="14"/>
                <w:szCs w:val="14"/>
              </w:rPr>
              <w:t>Eurostat</w:t>
            </w:r>
            <w:proofErr w:type="spellEnd"/>
          </w:p>
        </w:tc>
      </w:tr>
    </w:tbl>
    <w:p w:rsidR="005D3386" w:rsidRPr="00360DE3" w:rsidRDefault="005D3386" w:rsidP="005D3386">
      <w:pPr>
        <w:pStyle w:val="Nadpis2"/>
      </w:pPr>
      <w:bookmarkStart w:id="17" w:name="_Toc527639472"/>
      <w:r w:rsidRPr="00360DE3">
        <w:t>5.2 Nezaměstnanost</w:t>
      </w:r>
      <w:bookmarkEnd w:id="17"/>
    </w:p>
    <w:tbl>
      <w:tblPr>
        <w:tblW w:w="9644" w:type="dxa"/>
        <w:tblInd w:w="-15" w:type="dxa"/>
        <w:tblLayout w:type="fixed"/>
        <w:tblCellMar>
          <w:left w:w="0" w:type="dxa"/>
          <w:right w:w="0" w:type="dxa"/>
        </w:tblCellMar>
        <w:tblLook w:val="00A0"/>
      </w:tblPr>
      <w:tblGrid>
        <w:gridCol w:w="1976"/>
        <w:gridCol w:w="277"/>
        <w:gridCol w:w="7391"/>
      </w:tblGrid>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t>Počet ekonomicky neaktivních deklarujících ochotu pracovat se snížil pod 130 tis. Tvořil jádro potenciální pracovní síly z tuzemska.</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t>Výše uvedené skupiny (senioři, studenti, matky s malými dětmi, zdravotně postižení) tvoří zároveň jádro skupiny ekonomicky neaktivních chtějících pracovat, ale práci nehledajících (příp. hledajících, ale neschopných do ní do 14 dnů nastoupit). Jejich četnost klesla na konci roku 2017 pod 130 tis. osob, v poměru k celkovému počtu zaměstnaných činila 2,4 %. Tito lidé již v současnosti tvoří jádro potenciální pracovní síly z tuzemska, neboť při významném poklesu nezaměstnanosti vystupovala stále více do popředí její frikční (tedy obtížně redukovatelná) složka</w:t>
            </w:r>
            <w:r w:rsidRPr="00360DE3">
              <w:rPr>
                <w:rStyle w:val="Znakapoznpodarou"/>
              </w:rPr>
              <w:footnoteReference w:id="16"/>
            </w:r>
            <w:r w:rsidRPr="00360DE3">
              <w:t xml:space="preserve">. </w:t>
            </w:r>
          </w:p>
        </w:tc>
      </w:tr>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t>Tempo redukce míry nezaměstnanosti po většinu loňského roku nepolevovalo. Nezaměstnanost klesla na nové historické minimum.</w:t>
            </w:r>
          </w:p>
          <w:p w:rsidR="005D3386" w:rsidRPr="00360DE3" w:rsidRDefault="005D3386" w:rsidP="005D3386">
            <w:pPr>
              <w:pStyle w:val="Marginlie"/>
              <w:rPr>
                <w:spacing w:val="0"/>
              </w:rPr>
            </w:pPr>
            <w:r w:rsidRPr="00360DE3">
              <w:rPr>
                <w:spacing w:val="0"/>
              </w:rPr>
              <w:lastRenderedPageBreak/>
              <w:t>Výrazně klesala nezaměstnanost lidí se základním vzděláním. Citelně prořídly i stavy dlouhodobě nezaměstnaných.</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t xml:space="preserve">Sezónně očištěná míra obecné nezaměstnanosti se v průběhu roku 2017 plynule snižovala a na jeho konci dosahovala u žen 2,9 %, u mužů těsně prolomila 2% hranici. V obou případech šlo o minima v historii ČR. Tempo redukce nezaměstnanosti během loňska ve srovnání s rokem 2016 nepolevovalo, přestože zejména u mužů se již její úroveň blížila svým přirozeným limitům. K redukci </w:t>
            </w:r>
            <w:r w:rsidRPr="00360DE3">
              <w:lastRenderedPageBreak/>
              <w:t>nezaměstnanosti mezi roky 2016 a 2017 (o 56 tis. osob) p</w:t>
            </w:r>
            <w:r w:rsidR="006836CB">
              <w:t>řispěli nejvíce lidé ve věku 20</w:t>
            </w:r>
            <w:r w:rsidR="006836CB" w:rsidRPr="00360DE3">
              <w:t>–</w:t>
            </w:r>
            <w:r w:rsidRPr="00360DE3">
              <w:t>29 let (-21 tis.), z regionálního pohledu obyvatelé Moravskoslezského kraje (-14 tis.). Nezaměstnanost však klesala napříč všemi kraji, stejně tak i mezi všemi pětiletými věkovými skupinami (v produktivním věku). Tento příznivý vývoj se odrazil na snížení rozdílů nejen mezi regiony, ale i různými vzdělanostními skupinami obyvatel. Míra nezaměstnanosti osob s maximálně základním vzděláním loni sestoupila na 13,3 % (z vysokých 20,9 % v roce 2016), šlo o ne</w:t>
            </w:r>
            <w:r w:rsidR="0026207F">
              <w:t>j</w:t>
            </w:r>
            <w:r w:rsidRPr="00360DE3">
              <w:t>hlubší meziroční pokles v historii ČR. Ten souvisel s citelnou redukcí dlouhodobé nezaměstnanosti (bezmála o dvě pětiny). Velmi dobré postavení měli i vlivem odvětvové skladby ekonomiky lidé se středoškolským vzděláním. Rozdíl mezi nezaměstnanosti v této kategorii (2,7 %) a osob s terciárním vzděláváním (1,5 %) patřil loni k nejnižším v EU (společně s Dánskem a Švédskem).</w:t>
            </w:r>
          </w:p>
        </w:tc>
      </w:tr>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lastRenderedPageBreak/>
              <w:t>Česko obhájilo loňský primát státu s nejnižší nezaměstnaností v rámci celé EU.</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t>Míra nezaměstnanosti dosáhla za celý loňský rok 2,9 % a Česko se podruhé v řadě pyšnilo postavením státu s nejnižší nezaměstnaností v rámci EU. Velmi příznivé postavení si drželo i ve všech věkových skupinách</w:t>
            </w:r>
            <w:r w:rsidRPr="00360DE3">
              <w:rPr>
                <w:rStyle w:val="Znakapoznpodarou"/>
              </w:rPr>
              <w:footnoteReference w:id="17"/>
            </w:r>
            <w:r w:rsidRPr="00360DE3">
              <w:t>, v</w:t>
            </w:r>
            <w:r w:rsidR="006836CB">
              <w:t>yjma váhově okrajové skupiny 15</w:t>
            </w:r>
            <w:r w:rsidR="006836CB" w:rsidRPr="00360DE3">
              <w:t>–</w:t>
            </w:r>
            <w:r w:rsidRPr="00360DE3">
              <w:t xml:space="preserve">19 let (jež v ČR čítala méně než 5 % všech nezaměstnaných). Podíl dlouhodobě nezaměstnaných klesl na 35 % (z 42 % v roce 2016) a nacházel se o 10 p. </w:t>
            </w:r>
            <w:proofErr w:type="spellStart"/>
            <w:r w:rsidRPr="00360DE3">
              <w:t>b</w:t>
            </w:r>
            <w:proofErr w:type="spellEnd"/>
            <w:r w:rsidRPr="00360DE3">
              <w:t xml:space="preserve">. </w:t>
            </w:r>
            <w:proofErr w:type="gramStart"/>
            <w:r w:rsidRPr="00360DE3">
              <w:t>pod</w:t>
            </w:r>
            <w:proofErr w:type="gramEnd"/>
            <w:r w:rsidRPr="00360DE3">
              <w:t xml:space="preserve"> úrovní EU</w:t>
            </w:r>
            <w:r w:rsidRPr="00360DE3">
              <w:rPr>
                <w:rStyle w:val="Znakapoznpodarou"/>
              </w:rPr>
              <w:footnoteReference w:id="18"/>
            </w:r>
            <w:r w:rsidRPr="00360DE3">
              <w:rPr>
                <w:vertAlign w:val="superscript"/>
              </w:rPr>
              <w:t>.</w:t>
            </w:r>
            <w:r w:rsidRPr="00360DE3">
              <w:t xml:space="preserve"> </w:t>
            </w:r>
          </w:p>
        </w:tc>
      </w:tr>
      <w:tr w:rsidR="005D3386" w:rsidRPr="00360DE3" w:rsidTr="005D3386">
        <w:trPr>
          <w:trHeight w:val="170"/>
        </w:trPr>
        <w:tc>
          <w:tcPr>
            <w:tcW w:w="1976" w:type="dxa"/>
            <w:vMerge w:val="restart"/>
          </w:tcPr>
          <w:p w:rsidR="005D3386" w:rsidRPr="00360DE3" w:rsidRDefault="005D3386" w:rsidP="005D3386">
            <w:pPr>
              <w:pStyle w:val="Marginlie"/>
              <w:rPr>
                <w:spacing w:val="0"/>
              </w:rPr>
            </w:pPr>
          </w:p>
        </w:tc>
        <w:tc>
          <w:tcPr>
            <w:tcW w:w="277" w:type="dxa"/>
            <w:vMerge w:val="restart"/>
          </w:tcPr>
          <w:p w:rsidR="005D3386" w:rsidRPr="00360DE3" w:rsidRDefault="005D3386" w:rsidP="005D3386">
            <w:pPr>
              <w:pStyle w:val="Textpoznpodarou"/>
              <w:jc w:val="both"/>
            </w:pPr>
          </w:p>
        </w:tc>
        <w:tc>
          <w:tcPr>
            <w:tcW w:w="7391" w:type="dxa"/>
          </w:tcPr>
          <w:p w:rsidR="005D3386" w:rsidRPr="00360DE3" w:rsidRDefault="005D3386" w:rsidP="005D3386">
            <w:pPr>
              <w:spacing w:after="0"/>
              <w:rPr>
                <w:b/>
              </w:rPr>
            </w:pPr>
            <w:r w:rsidRPr="00360DE3">
              <w:rPr>
                <w:b/>
              </w:rPr>
              <w:t xml:space="preserve">Graf </w:t>
            </w:r>
            <w:proofErr w:type="gramStart"/>
            <w:r w:rsidRPr="00360DE3">
              <w:rPr>
                <w:b/>
              </w:rPr>
              <w:t>5.2.1  Počet</w:t>
            </w:r>
            <w:proofErr w:type="gramEnd"/>
            <w:r w:rsidRPr="00360DE3">
              <w:rPr>
                <w:b/>
              </w:rPr>
              <w:t xml:space="preserve"> nezaměstnaných uchazečů na volné pracovní místo </w:t>
            </w:r>
          </w:p>
          <w:p w:rsidR="005D3386" w:rsidRPr="00360DE3" w:rsidRDefault="005D3386" w:rsidP="005D3386">
            <w:pPr>
              <w:spacing w:after="0"/>
              <w:rPr>
                <w:b/>
                <w:szCs w:val="20"/>
              </w:rPr>
            </w:pPr>
            <w:r w:rsidRPr="00360DE3">
              <w:t>(dle vybraných kvalifikačních tříd)</w:t>
            </w:r>
          </w:p>
        </w:tc>
      </w:tr>
      <w:tr w:rsidR="005D3386" w:rsidRPr="00360DE3" w:rsidTr="005D3386">
        <w:trPr>
          <w:trHeight w:val="170"/>
        </w:trPr>
        <w:tc>
          <w:tcPr>
            <w:tcW w:w="1976" w:type="dxa"/>
            <w:vMerge/>
          </w:tcPr>
          <w:p w:rsidR="005D3386" w:rsidRPr="00360DE3" w:rsidRDefault="005D3386" w:rsidP="005D3386">
            <w:pPr>
              <w:pStyle w:val="Marginlie"/>
              <w:rPr>
                <w:spacing w:val="0"/>
              </w:rPr>
            </w:pPr>
          </w:p>
        </w:tc>
        <w:tc>
          <w:tcPr>
            <w:tcW w:w="277" w:type="dxa"/>
            <w:vMerge/>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noProof/>
              </w:rPr>
              <w:drawing>
                <wp:inline distT="0" distB="0" distL="0" distR="0">
                  <wp:extent cx="4629150" cy="3743325"/>
                  <wp:effectExtent l="19050" t="0" r="0" b="0"/>
                  <wp:docPr id="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5D3386" w:rsidRPr="00360DE3" w:rsidTr="005D3386">
        <w:trPr>
          <w:trHeight w:val="170"/>
        </w:trPr>
        <w:tc>
          <w:tcPr>
            <w:tcW w:w="1976" w:type="dxa"/>
            <w:vMerge/>
          </w:tcPr>
          <w:p w:rsidR="005D3386" w:rsidRPr="00360DE3" w:rsidRDefault="005D3386" w:rsidP="005D3386">
            <w:pPr>
              <w:pStyle w:val="Marginlie"/>
              <w:rPr>
                <w:spacing w:val="0"/>
              </w:rPr>
            </w:pPr>
          </w:p>
        </w:tc>
        <w:tc>
          <w:tcPr>
            <w:tcW w:w="277" w:type="dxa"/>
            <w:vMerge/>
          </w:tcPr>
          <w:p w:rsidR="005D3386" w:rsidRPr="00360DE3" w:rsidRDefault="005D3386" w:rsidP="005D3386">
            <w:pPr>
              <w:pStyle w:val="Textpoznpodarou"/>
              <w:jc w:val="both"/>
            </w:pPr>
          </w:p>
        </w:tc>
        <w:tc>
          <w:tcPr>
            <w:tcW w:w="7391" w:type="dxa"/>
          </w:tcPr>
          <w:p w:rsidR="00EA0840" w:rsidRDefault="005D3386" w:rsidP="00EA0840">
            <w:pPr>
              <w:spacing w:after="0" w:line="240" w:lineRule="auto"/>
              <w:rPr>
                <w:rFonts w:cs="Arial"/>
                <w:sz w:val="14"/>
                <w:szCs w:val="14"/>
              </w:rPr>
            </w:pPr>
            <w:r w:rsidRPr="00360DE3">
              <w:rPr>
                <w:rFonts w:cs="Arial"/>
                <w:sz w:val="14"/>
                <w:szCs w:val="14"/>
              </w:rPr>
              <w:t xml:space="preserve">Pozn.:Kvalifikační třídy jsou do konce roku 2010 uvedeny dle klasifikace KZAM, od roku 2011 v klasifikaci CZ-ISCO. Všechny údaje vyjadřují skutečnost ke konci příslušných čtvrtletí.                                                                 </w:t>
            </w:r>
          </w:p>
          <w:p w:rsidR="005D3386" w:rsidRPr="00360DE3" w:rsidRDefault="005D3386" w:rsidP="005D3386">
            <w:pPr>
              <w:spacing w:line="240" w:lineRule="auto"/>
              <w:rPr>
                <w:rFonts w:cs="Arial"/>
                <w:sz w:val="14"/>
                <w:szCs w:val="14"/>
              </w:rPr>
            </w:pPr>
            <w:r w:rsidRPr="00360DE3">
              <w:rPr>
                <w:rFonts w:cs="Arial"/>
                <w:sz w:val="14"/>
                <w:szCs w:val="14"/>
              </w:rPr>
              <w:t>Zdroj: MPSV</w:t>
            </w:r>
          </w:p>
        </w:tc>
      </w:tr>
      <w:tr w:rsidR="005D3386" w:rsidRPr="00360DE3" w:rsidTr="005D3386">
        <w:trPr>
          <w:trHeight w:val="145"/>
        </w:trPr>
        <w:tc>
          <w:tcPr>
            <w:tcW w:w="1976" w:type="dxa"/>
          </w:tcPr>
          <w:p w:rsidR="005D3386" w:rsidRPr="00360DE3" w:rsidRDefault="005D3386" w:rsidP="005D3386">
            <w:pPr>
              <w:pStyle w:val="Marginlie"/>
              <w:rPr>
                <w:spacing w:val="0"/>
              </w:rPr>
            </w:pPr>
            <w:r w:rsidRPr="00360DE3">
              <w:rPr>
                <w:spacing w:val="0"/>
              </w:rPr>
              <w:lastRenderedPageBreak/>
              <w:t>Růst volných míst v nabídce úřadů práce akceleroval. Z výrazné většiny byl však tažen nabídkou pozic s nízkými nároky na kvalifikaci.</w:t>
            </w:r>
          </w:p>
          <w:p w:rsidR="005D3386" w:rsidRPr="00360DE3" w:rsidRDefault="005D3386" w:rsidP="005D3386">
            <w:pPr>
              <w:pStyle w:val="Marginlie"/>
              <w:rPr>
                <w:spacing w:val="0"/>
              </w:rPr>
            </w:pPr>
          </w:p>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EA0840">
            <w:pPr>
              <w:rPr>
                <w:rFonts w:cs="Arial"/>
                <w:color w:val="0D0D0D" w:themeColor="text1" w:themeTint="F2"/>
              </w:rPr>
            </w:pPr>
            <w:r w:rsidRPr="00360DE3">
              <w:t xml:space="preserve">Pokles nezaměstnanosti byl doprovázen strmým růstem nabídky volných pracovních míst. </w:t>
            </w:r>
            <w:r w:rsidRPr="00360DE3">
              <w:rPr>
                <w:rFonts w:cs="Arial"/>
                <w:color w:val="0D0D0D" w:themeColor="text1" w:themeTint="F2"/>
              </w:rPr>
              <w:t>Na konci loňského září jejich počet (v evidenci úřadů práce) poprvé v historii překonal 200tis. hranici, na sklonku roku jich bylo již 217 tis. (meziročně o 84 tis. více). Rok 2017 byl prvním v historii ČR, kdy počet volných míst meziměsíčně rostl (navzdory sezónním vlivům) nepřetržitě po celý rok. O meziroční přírůstek se ze tří čtvrtin zasloužila místa s minimální deklarovanými kvalifikačními nároky (na něž postačovalo základní vzdělání, šlo hlavně o pozice ve zpracovatelském průmyslu a stavebnictví). Tato skutečnost spolu s citelnou redukcí dlouhodobé nezaměstnanosti naznačuje, že zaměstnavatelé měli s obsazením těchto míst pracovníky z tuzemska značné problémy. Téměř 48 % všech volných míst klasifikovalo na konci roku 2017 MPSV jako vhodné pro cizince</w:t>
            </w:r>
            <w:r w:rsidRPr="00360DE3">
              <w:rPr>
                <w:rStyle w:val="Znakapoznpodarou"/>
                <w:rFonts w:cs="Arial"/>
                <w:color w:val="0D0D0D" w:themeColor="text1" w:themeTint="F2"/>
              </w:rPr>
              <w:footnoteReference w:id="19"/>
            </w:r>
            <w:r w:rsidRPr="00360DE3">
              <w:rPr>
                <w:rFonts w:cs="Arial"/>
                <w:color w:val="0D0D0D" w:themeColor="text1" w:themeTint="F2"/>
              </w:rPr>
              <w:t>. Role zahraničních pracovníků na tuzemském trhu práce sílila</w:t>
            </w:r>
            <w:r w:rsidRPr="00360DE3">
              <w:rPr>
                <w:rStyle w:val="Znakapoznpodarou"/>
                <w:rFonts w:cs="Arial"/>
                <w:color w:val="0D0D0D" w:themeColor="text1" w:themeTint="F2"/>
              </w:rPr>
              <w:footnoteReference w:id="20"/>
            </w:r>
            <w:r w:rsidRPr="00360DE3">
              <w:rPr>
                <w:rFonts w:cs="Arial"/>
                <w:color w:val="0D0D0D" w:themeColor="text1" w:themeTint="F2"/>
              </w:rPr>
              <w:t>. Na jedno volné místo celkem připadalo na konci roku 2017 jen 1,3 uchazeče, nejméně od poloviny 90. let.</w:t>
            </w:r>
          </w:p>
        </w:tc>
      </w:tr>
      <w:tr w:rsidR="00EA0840" w:rsidRPr="00360DE3" w:rsidTr="00EA0840">
        <w:trPr>
          <w:trHeight w:val="145"/>
        </w:trPr>
        <w:tc>
          <w:tcPr>
            <w:tcW w:w="1976" w:type="dxa"/>
          </w:tcPr>
          <w:p w:rsidR="00EA0840" w:rsidRPr="00360DE3" w:rsidRDefault="00EA0840" w:rsidP="00DF7AD4">
            <w:pPr>
              <w:pStyle w:val="Marginlie"/>
              <w:rPr>
                <w:spacing w:val="0"/>
              </w:rPr>
            </w:pPr>
            <w:r w:rsidRPr="00360DE3">
              <w:rPr>
                <w:spacing w:val="0"/>
              </w:rPr>
              <w:t>Vyhlídky na nalezení práce výrazně vzrostly hlavně kvalifikovaným i nekvalifikovaným manuálním pracovníkům.</w:t>
            </w:r>
          </w:p>
        </w:tc>
        <w:tc>
          <w:tcPr>
            <w:tcW w:w="277" w:type="dxa"/>
          </w:tcPr>
          <w:p w:rsidR="00EA0840" w:rsidRPr="00360DE3" w:rsidRDefault="00EA0840" w:rsidP="00DF7AD4">
            <w:pPr>
              <w:pStyle w:val="Textpoznpodarou"/>
              <w:jc w:val="both"/>
            </w:pPr>
          </w:p>
        </w:tc>
        <w:tc>
          <w:tcPr>
            <w:tcW w:w="7391" w:type="dxa"/>
          </w:tcPr>
          <w:p w:rsidR="00EA0840" w:rsidRPr="00360DE3" w:rsidRDefault="00EA0840" w:rsidP="00EA0840">
            <w:r w:rsidRPr="00EA0840">
              <w:t xml:space="preserve">Šance nezaměstnaných na uplatnění se meziročně zlepšila ve všech krajích, z pohledu kvalifikací pak hlavně pro řemeslníky, opraváře či montéry i obsluhu strojů a zařízení. Ve srovnání s koncem konjunkturního roku 2007 se nejvíce </w:t>
            </w:r>
            <w:proofErr w:type="gramStart"/>
            <w:r w:rsidRPr="00EA0840">
              <w:t>zlepšily</w:t>
            </w:r>
            <w:proofErr w:type="gramEnd"/>
            <w:r w:rsidRPr="00EA0840">
              <w:t xml:space="preserve"> vyhlídky uchazečům o práci v kategorii pomocní a nekvalifikovaní pracovníci a dále lidem ve službách a prodeji či kvalifikovaným pracovníkům v zemědělství, lesnictví a rybářství. Z regionálního pohledu to platilo hlavně pro Ústecký a Karlovarský kraj.</w:t>
            </w:r>
          </w:p>
        </w:tc>
      </w:tr>
      <w:tr w:rsidR="00EA0840" w:rsidRPr="00360DE3" w:rsidTr="00EA0840">
        <w:trPr>
          <w:trHeight w:val="145"/>
        </w:trPr>
        <w:tc>
          <w:tcPr>
            <w:tcW w:w="1976" w:type="dxa"/>
          </w:tcPr>
          <w:p w:rsidR="00EA0840" w:rsidRPr="00360DE3" w:rsidRDefault="00EA0840" w:rsidP="00DF7AD4">
            <w:pPr>
              <w:pStyle w:val="Marginlie"/>
              <w:rPr>
                <w:spacing w:val="0"/>
              </w:rPr>
            </w:pPr>
            <w:r w:rsidRPr="00360DE3">
              <w:rPr>
                <w:spacing w:val="0"/>
              </w:rPr>
              <w:t>Pokles nezaměstnanosti z pohledu regionů měl během roku 2017 plošný charakter.</w:t>
            </w: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p>
          <w:p w:rsidR="00EA0840" w:rsidRPr="00360DE3" w:rsidRDefault="00EA0840" w:rsidP="00DF7AD4">
            <w:pPr>
              <w:pStyle w:val="Marginlie"/>
              <w:rPr>
                <w:spacing w:val="0"/>
              </w:rPr>
            </w:pPr>
            <w:r w:rsidRPr="00360DE3">
              <w:rPr>
                <w:spacing w:val="0"/>
              </w:rPr>
              <w:t xml:space="preserve">Vyšší nezaměstnanost přetrvává v některých </w:t>
            </w:r>
            <w:proofErr w:type="spellStart"/>
            <w:r w:rsidRPr="00360DE3">
              <w:rPr>
                <w:spacing w:val="0"/>
              </w:rPr>
              <w:t>mikro</w:t>
            </w:r>
            <w:proofErr w:type="spellEnd"/>
            <w:r w:rsidRPr="00360DE3">
              <w:rPr>
                <w:spacing w:val="0"/>
              </w:rPr>
              <w:t>-regionech znevýhodněným polohou, dopravní obslužností či vzdělanostní skladbou populace v produktivním věku.</w:t>
            </w:r>
          </w:p>
        </w:tc>
        <w:tc>
          <w:tcPr>
            <w:tcW w:w="277" w:type="dxa"/>
          </w:tcPr>
          <w:p w:rsidR="00EA0840" w:rsidRPr="00360DE3" w:rsidRDefault="00EA0840" w:rsidP="00DF7AD4">
            <w:pPr>
              <w:pStyle w:val="Textpoznpodarou"/>
              <w:jc w:val="both"/>
            </w:pPr>
          </w:p>
        </w:tc>
        <w:tc>
          <w:tcPr>
            <w:tcW w:w="7391" w:type="dxa"/>
          </w:tcPr>
          <w:p w:rsidR="00EA0840" w:rsidRPr="00360DE3" w:rsidRDefault="00EA0840" w:rsidP="00EA0840">
            <w:pPr>
              <w:spacing w:after="0"/>
            </w:pPr>
            <w:r w:rsidRPr="00360DE3">
              <w:t>Údaje z evidence úřadů práce dokumentují na příkladu malých území (téměř 400 obvodů pověřených obecních úřadů), že pokles nezaměstnanosti měl během roku 2017 plošný charakter</w:t>
            </w:r>
            <w:r w:rsidRPr="0000437D">
              <w:rPr>
                <w:rStyle w:val="Znakapoznpodarou"/>
              </w:rPr>
              <w:footnoteReference w:id="21"/>
            </w:r>
            <w:r w:rsidRPr="00360DE3">
              <w:t xml:space="preserve">. Relativně vysoká nezaměstnanost přetrvávala na konci roku hlavně ve strukturálně postižených </w:t>
            </w:r>
            <w:proofErr w:type="spellStart"/>
            <w:r w:rsidRPr="00360DE3">
              <w:t>mikroregionech</w:t>
            </w:r>
            <w:proofErr w:type="spellEnd"/>
            <w:r w:rsidRPr="00360DE3">
              <w:t xml:space="preserve"> Ústeckého a Moravskoslezského kraje a dále v periferních územích se zhoršenou dopravní obslužností (často při hranicích krajů), kde je mnohdy navíc nezaměstnanost na sklonku roku výrazněji ovlivněna omezením sezónních prací. Sílu současné konjunktury dokládá i fakt, že ve třech čtvrtinách hodnocených </w:t>
            </w:r>
            <w:proofErr w:type="spellStart"/>
            <w:r w:rsidRPr="00360DE3">
              <w:t>mikroregionů</w:t>
            </w:r>
            <w:proofErr w:type="spellEnd"/>
            <w:r w:rsidRPr="00360DE3">
              <w:t xml:space="preserve"> představovala loňská nezaměstnanosti zároveň i celoroční minimum v období 2000 až 2017. Ve více než čtvrtině všech území pak na konci roku 2017 převažovala nabídka volných pracovních míst nad poptávkou ze strany uchazečů o práci. Zatímco ve středních a jihozápadních Čechách nejsou oblasti s vysokým tlakem na pracovní místa rozsáhlé a umožňují případné dojíždění do sousedních území s výrazně lepšími vyhlídkami na uplatnění, v severních Čechách či v moravských krajích je situace pro nezaměstnané obtížnější (dále umocněná i jejich horší vzdělanostní skladbou). </w:t>
            </w:r>
          </w:p>
        </w:tc>
      </w:tr>
    </w:tbl>
    <w:p w:rsidR="005D3386" w:rsidRPr="00360DE3" w:rsidRDefault="005D3386" w:rsidP="005D3386">
      <w:pPr>
        <w:spacing w:after="0"/>
      </w:pPr>
    </w:p>
    <w:p w:rsidR="005D3386" w:rsidRDefault="005D3386" w:rsidP="005D3386">
      <w:pPr>
        <w:spacing w:after="0"/>
      </w:pPr>
    </w:p>
    <w:p w:rsidR="00EA0840" w:rsidRDefault="00EA0840" w:rsidP="005D3386">
      <w:pPr>
        <w:spacing w:after="0"/>
      </w:pPr>
    </w:p>
    <w:p w:rsidR="00EA0840" w:rsidRPr="00360DE3" w:rsidRDefault="00EA0840" w:rsidP="005D3386">
      <w:pPr>
        <w:spacing w:after="0"/>
      </w:pPr>
    </w:p>
    <w:p w:rsidR="005D3386" w:rsidRPr="00360DE3" w:rsidRDefault="005D3386" w:rsidP="005D3386">
      <w:pPr>
        <w:spacing w:after="0"/>
        <w:rPr>
          <w:b/>
          <w:szCs w:val="20"/>
        </w:rPr>
      </w:pPr>
      <w:r w:rsidRPr="00360DE3">
        <w:rPr>
          <w:b/>
          <w:szCs w:val="20"/>
        </w:rPr>
        <w:lastRenderedPageBreak/>
        <w:t>Kartogramy 5.1 a 5.2</w:t>
      </w:r>
    </w:p>
    <w:p w:rsidR="005D3386" w:rsidRPr="00360DE3" w:rsidRDefault="005D3386" w:rsidP="005D3386">
      <w:pPr>
        <w:spacing w:after="0"/>
      </w:pPr>
      <w:r w:rsidRPr="00360DE3">
        <w:rPr>
          <w:noProof/>
        </w:rPr>
        <w:drawing>
          <wp:inline distT="0" distB="0" distL="0" distR="0">
            <wp:extent cx="6120130" cy="4330700"/>
            <wp:effectExtent l="19050" t="0" r="0" b="0"/>
            <wp:docPr id="8" name="Obrázek 1" descr="Nezaměstnanost-mí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zaměstnanost-míry.emf"/>
                    <pic:cNvPicPr/>
                  </pic:nvPicPr>
                  <pic:blipFill>
                    <a:blip r:embed="rId24" cstate="print"/>
                    <a:stretch>
                      <a:fillRect/>
                    </a:stretch>
                  </pic:blipFill>
                  <pic:spPr>
                    <a:xfrm>
                      <a:off x="0" y="0"/>
                      <a:ext cx="6120130" cy="4330700"/>
                    </a:xfrm>
                    <a:prstGeom prst="rect">
                      <a:avLst/>
                    </a:prstGeom>
                  </pic:spPr>
                </pic:pic>
              </a:graphicData>
            </a:graphic>
          </wp:inline>
        </w:drawing>
      </w:r>
    </w:p>
    <w:p w:rsidR="005D3386" w:rsidRPr="00360DE3" w:rsidRDefault="005D3386" w:rsidP="005D3386">
      <w:pPr>
        <w:spacing w:after="0"/>
      </w:pPr>
    </w:p>
    <w:p w:rsidR="005D3386" w:rsidRPr="00360DE3" w:rsidRDefault="005D3386" w:rsidP="005D3386">
      <w:pPr>
        <w:spacing w:after="0"/>
      </w:pPr>
      <w:r w:rsidRPr="00360DE3">
        <w:rPr>
          <w:noProof/>
        </w:rPr>
        <w:drawing>
          <wp:inline distT="0" distB="0" distL="0" distR="0">
            <wp:extent cx="6120130" cy="4330700"/>
            <wp:effectExtent l="19050" t="0" r="0" b="0"/>
            <wp:docPr id="19" name="Obrázek 7" descr="UV-podíl-se sraf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podíl-se srafy.emf"/>
                    <pic:cNvPicPr/>
                  </pic:nvPicPr>
                  <pic:blipFill>
                    <a:blip r:embed="rId25" cstate="print"/>
                    <a:stretch>
                      <a:fillRect/>
                    </a:stretch>
                  </pic:blipFill>
                  <pic:spPr>
                    <a:xfrm>
                      <a:off x="0" y="0"/>
                      <a:ext cx="6120130" cy="4330700"/>
                    </a:xfrm>
                    <a:prstGeom prst="rect">
                      <a:avLst/>
                    </a:prstGeom>
                  </pic:spPr>
                </pic:pic>
              </a:graphicData>
            </a:graphic>
          </wp:inline>
        </w:drawing>
      </w:r>
    </w:p>
    <w:p w:rsidR="005D3386" w:rsidRPr="00360DE3" w:rsidRDefault="005D3386" w:rsidP="005D3386">
      <w:pPr>
        <w:pStyle w:val="Nadpis2"/>
      </w:pPr>
      <w:bookmarkStart w:id="18" w:name="_Toc527639473"/>
      <w:r w:rsidRPr="00360DE3">
        <w:lastRenderedPageBreak/>
        <w:t>5.3 Mzdy a jejich diferenciace</w:t>
      </w:r>
      <w:bookmarkEnd w:id="18"/>
    </w:p>
    <w:tbl>
      <w:tblPr>
        <w:tblW w:w="9644" w:type="dxa"/>
        <w:tblInd w:w="-15" w:type="dxa"/>
        <w:tblLayout w:type="fixed"/>
        <w:tblCellMar>
          <w:left w:w="0" w:type="dxa"/>
          <w:right w:w="0" w:type="dxa"/>
        </w:tblCellMar>
        <w:tblLook w:val="00A0"/>
      </w:tblPr>
      <w:tblGrid>
        <w:gridCol w:w="1976"/>
        <w:gridCol w:w="277"/>
        <w:gridCol w:w="7391"/>
      </w:tblGrid>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Tempo růstu mezd v roce 2017 akcelerovalo. Výše průměrné měsíční mzdy poprvé v historii překonala 30 tis. hranici.</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r w:rsidRPr="00360DE3">
              <w:rPr>
                <w:rFonts w:cs="Arial"/>
                <w:color w:val="0D0D0D" w:themeColor="text1" w:themeTint="F2"/>
              </w:rPr>
              <w:t>Dobré hospodářské výsledky podniků, pokračující pozitivní očekávání v klíčových odvětvích i stupňující se obtíže při náboru nových pracovníků vedly v průběhu roku 2017 k akceleraci růstu mezd. K uvedeným vlivům přistupovala ještě zvýšená aktivita státu – jak v podobě navýšení mzdových prostředků (skrze státní rozpočet i nepřímo prostřednictvím územních rozpočtů), tak i v pokračování navyšování minimální mzdy. Objem vyplacených prostředků byl loni o 8,2 % vyšší, v roce 2016 činilo meziroční tempo 5,7 %</w:t>
            </w:r>
            <w:r w:rsidRPr="00360DE3">
              <w:rPr>
                <w:rStyle w:val="Znakapoznpodarou"/>
                <w:rFonts w:cs="Arial"/>
                <w:color w:val="0D0D0D" w:themeColor="text1" w:themeTint="F2"/>
              </w:rPr>
              <w:footnoteReference w:id="22"/>
            </w:r>
            <w:r w:rsidRPr="00360DE3">
              <w:rPr>
                <w:rFonts w:cs="Arial"/>
                <w:color w:val="0D0D0D" w:themeColor="text1" w:themeTint="F2"/>
              </w:rPr>
              <w:t xml:space="preserve">. V relaci na jednoho zaměstnance (po přepočtu na celé úvazky) dosáhl loni růst výdělků 6,8 %, v samotném 4. čtvrtletí dokonce 7,7 %, když průměrná hrubá měsíční mzda poprvé v historii přesáhla 30tis. hranici. </w:t>
            </w:r>
          </w:p>
        </w:tc>
      </w:tr>
      <w:tr w:rsidR="005D3386" w:rsidRPr="00360DE3" w:rsidTr="00360DE3">
        <w:trPr>
          <w:trHeight w:val="429"/>
        </w:trPr>
        <w:tc>
          <w:tcPr>
            <w:tcW w:w="1976" w:type="dxa"/>
          </w:tcPr>
          <w:p w:rsidR="005D3386" w:rsidRPr="00360DE3" w:rsidRDefault="005D3386" w:rsidP="00360DE3">
            <w:pPr>
              <w:spacing w:after="0"/>
              <w:jc w:val="left"/>
            </w:pPr>
            <w:r w:rsidRPr="00360DE3">
              <w:rPr>
                <w:sz w:val="16"/>
                <w:szCs w:val="16"/>
              </w:rPr>
              <w:t>Nejrychleji rostly loni průměrné výdělky v odvětvích s nízkou úrovní mezd.</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360DE3">
            <w:pPr>
              <w:rPr>
                <w:rFonts w:cs="Arial"/>
                <w:color w:val="0D0D0D" w:themeColor="text1" w:themeTint="F2"/>
              </w:rPr>
            </w:pPr>
            <w:r w:rsidRPr="00360DE3">
              <w:rPr>
                <w:rFonts w:cs="Arial"/>
                <w:color w:val="0D0D0D" w:themeColor="text1" w:themeTint="F2"/>
              </w:rPr>
              <w:t>V úhrnu za celý rok 2017 průměrné výdělky (v pojetí národních účtů) vzrostly ve všech hlavních odvětvích (19 odvětvových sekcích). Nejvyššího tempa dosáhly v ubytování, stravování a pohostinství (+10,1 %) a také zábavních, kulturních a rekreačních činnostech (+7,8 %). V obou případech šlo odvětví s nízkou úrovní mezd, kde k jejich vysoké dynamice zásadně přispělo navýšení hranici minimální mzdy (z 9,9 na 11,0 tis, korun na počátku roku).</w:t>
            </w:r>
          </w:p>
        </w:tc>
      </w:tr>
      <w:tr w:rsidR="00360DE3" w:rsidRPr="00360DE3" w:rsidTr="00360DE3">
        <w:trPr>
          <w:trHeight w:val="429"/>
        </w:trPr>
        <w:tc>
          <w:tcPr>
            <w:tcW w:w="1976" w:type="dxa"/>
          </w:tcPr>
          <w:p w:rsidR="00360DE3" w:rsidRPr="00360DE3" w:rsidRDefault="00360DE3" w:rsidP="00360DE3">
            <w:pPr>
              <w:spacing w:after="0"/>
              <w:jc w:val="left"/>
              <w:rPr>
                <w:sz w:val="16"/>
                <w:szCs w:val="16"/>
              </w:rPr>
            </w:pPr>
            <w:r w:rsidRPr="00360DE3">
              <w:rPr>
                <w:sz w:val="16"/>
                <w:szCs w:val="16"/>
              </w:rPr>
              <w:t>V odvětvích s domina</w:t>
            </w:r>
            <w:r w:rsidR="0026207F">
              <w:rPr>
                <w:sz w:val="16"/>
                <w:szCs w:val="16"/>
              </w:rPr>
              <w:t>n</w:t>
            </w:r>
            <w:r w:rsidRPr="00360DE3">
              <w:rPr>
                <w:sz w:val="16"/>
                <w:szCs w:val="16"/>
              </w:rPr>
              <w:t>cí státu se projevila preference aktivit souvisejících s bezpečností a také v oblasti vzdělávání.</w:t>
            </w:r>
          </w:p>
          <w:p w:rsidR="00360DE3" w:rsidRPr="00360DE3" w:rsidRDefault="00360DE3" w:rsidP="005D3386">
            <w:pPr>
              <w:spacing w:after="0"/>
              <w:jc w:val="left"/>
              <w:rPr>
                <w:sz w:val="16"/>
                <w:szCs w:val="16"/>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360DE3">
            <w:pPr>
              <w:rPr>
                <w:rFonts w:cs="Arial"/>
                <w:color w:val="0D0D0D" w:themeColor="text1" w:themeTint="F2"/>
              </w:rPr>
            </w:pPr>
            <w:r w:rsidRPr="00360DE3">
              <w:rPr>
                <w:rFonts w:cs="Arial"/>
                <w:color w:val="0D0D0D" w:themeColor="text1" w:themeTint="F2"/>
              </w:rPr>
              <w:t>Jen nepatrně slabším tempem vzrostly platy v odvětvích s domina</w:t>
            </w:r>
            <w:r w:rsidR="0026207F">
              <w:rPr>
                <w:rFonts w:cs="Arial"/>
                <w:color w:val="0D0D0D" w:themeColor="text1" w:themeTint="F2"/>
              </w:rPr>
              <w:t>n</w:t>
            </w:r>
            <w:r w:rsidRPr="00360DE3">
              <w:rPr>
                <w:rFonts w:cs="Arial"/>
                <w:color w:val="0D0D0D" w:themeColor="text1" w:themeTint="F2"/>
              </w:rPr>
              <w:t>cí státu, kde se projevila preference aktivit souvisejících s bezpečností státu (policejní a hasičské sbory, armáda) i podstatné zrychlení růstu ve vzdělávání (+6,2 %, dvakrát více než v roce 2016),</w:t>
            </w:r>
            <w:r w:rsidR="0026207F">
              <w:rPr>
                <w:rFonts w:cs="Arial"/>
                <w:color w:val="0D0D0D" w:themeColor="text1" w:themeTint="F2"/>
              </w:rPr>
              <w:t xml:space="preserve"> kde patřila dynamika výdělků </w:t>
            </w:r>
            <w:r w:rsidRPr="00360DE3">
              <w:rPr>
                <w:rFonts w:cs="Arial"/>
                <w:color w:val="0D0D0D" w:themeColor="text1" w:themeTint="F2"/>
              </w:rPr>
              <w:t>po roce 2009 vůbec k nejnižším. I</w:t>
            </w:r>
            <w:r w:rsidR="00DF7AD4" w:rsidRPr="00360DE3">
              <w:t> </w:t>
            </w:r>
            <w:r w:rsidRPr="00360DE3">
              <w:rPr>
                <w:rFonts w:cs="Arial"/>
                <w:color w:val="0D0D0D" w:themeColor="text1" w:themeTint="F2"/>
              </w:rPr>
              <w:t>přes dílčí zlepšení v loňském roce tak zůstaly průměrné výdělky zaměstnanců ve vzdělávání těsně pod úrovní národního hospodářství. Nepatrně nad touto úrovní se naopak nacházely průměrné měsíční výdělky v průmyslu (29,9 tis. korun), jejichž loňský růst (+7,3 %) patřil rovněž k nadprůměrným.</w:t>
            </w:r>
          </w:p>
        </w:tc>
      </w:tr>
      <w:tr w:rsidR="00360DE3" w:rsidRPr="00360DE3" w:rsidTr="00360DE3">
        <w:trPr>
          <w:trHeight w:val="429"/>
        </w:trPr>
        <w:tc>
          <w:tcPr>
            <w:tcW w:w="1976" w:type="dxa"/>
          </w:tcPr>
          <w:p w:rsidR="00360DE3" w:rsidRPr="00360DE3" w:rsidRDefault="00360DE3" w:rsidP="005D3386">
            <w:pPr>
              <w:spacing w:after="0"/>
              <w:jc w:val="left"/>
              <w:rPr>
                <w:sz w:val="16"/>
                <w:szCs w:val="16"/>
              </w:rPr>
            </w:pPr>
            <w:r w:rsidRPr="00360DE3">
              <w:rPr>
                <w:sz w:val="16"/>
                <w:szCs w:val="16"/>
              </w:rPr>
              <w:t xml:space="preserve">V peněžnictví a poštovnictví se průměrné výdělky navyšovaly relativně pomaleji než v celé ekonomice. Přesto zůstávaly nejvyšší ze všech odvětví, mj. i vlivem zaměstnaneckých </w:t>
            </w:r>
            <w:proofErr w:type="spellStart"/>
            <w:r w:rsidRPr="00360DE3">
              <w:rPr>
                <w:sz w:val="16"/>
                <w:szCs w:val="16"/>
              </w:rPr>
              <w:t>benefitů</w:t>
            </w:r>
            <w:proofErr w:type="spellEnd"/>
            <w:r>
              <w:rPr>
                <w:sz w:val="16"/>
                <w:szCs w:val="16"/>
              </w:rPr>
              <w:t>.</w:t>
            </w:r>
          </w:p>
        </w:tc>
        <w:tc>
          <w:tcPr>
            <w:tcW w:w="277" w:type="dxa"/>
          </w:tcPr>
          <w:p w:rsidR="00360DE3" w:rsidRPr="00360DE3" w:rsidRDefault="00360DE3" w:rsidP="005D3386">
            <w:pPr>
              <w:pStyle w:val="Textpoznpodarou"/>
              <w:jc w:val="both"/>
            </w:pPr>
          </w:p>
        </w:tc>
        <w:tc>
          <w:tcPr>
            <w:tcW w:w="7391" w:type="dxa"/>
          </w:tcPr>
          <w:p w:rsidR="00EA0840" w:rsidRDefault="00360DE3" w:rsidP="005D3386">
            <w:pPr>
              <w:rPr>
                <w:rFonts w:cs="Arial"/>
                <w:color w:val="0D0D0D" w:themeColor="text1" w:themeTint="F2"/>
              </w:rPr>
            </w:pPr>
            <w:r w:rsidRPr="00360DE3">
              <w:rPr>
                <w:rFonts w:cs="Arial"/>
                <w:color w:val="0D0D0D" w:themeColor="text1" w:themeTint="F2"/>
              </w:rPr>
              <w:t xml:space="preserve">V peněžnictví a pojišťovnictví se v posledních třech výdělky navyšovaly relativně slabším tempem než v celé ekonomice. I přesto si tento obor i v roce 2017 stále držel pozici odvětví s nejvyšším průměrným měsíčním výdělkem (53,8 tis. korun), mj. i vlivem tradičně vyššího zastoupení zaměstnaneckých </w:t>
            </w:r>
            <w:proofErr w:type="spellStart"/>
            <w:r w:rsidRPr="00360DE3">
              <w:rPr>
                <w:rFonts w:cs="Arial"/>
                <w:color w:val="0D0D0D" w:themeColor="text1" w:themeTint="F2"/>
              </w:rPr>
              <w:t>benefitů</w:t>
            </w:r>
            <w:proofErr w:type="spellEnd"/>
            <w:r w:rsidRPr="00360DE3">
              <w:rPr>
                <w:rStyle w:val="Znakapoznpodarou"/>
                <w:rFonts w:cs="Arial"/>
                <w:color w:val="0D0D0D" w:themeColor="text1" w:themeTint="F2"/>
              </w:rPr>
              <w:footnoteReference w:id="23"/>
            </w:r>
            <w:r w:rsidRPr="00360DE3">
              <w:rPr>
                <w:rFonts w:cs="Arial"/>
                <w:color w:val="0D0D0D" w:themeColor="text1" w:themeTint="F2"/>
              </w:rPr>
              <w:t>. Ty se projevily i ve výdělcích zaměstnanců v odvětví výroby a rozvodu elektřiny, plynu, tepla a klimatizovaného vzduchu (48,4 tis. korun). V absolutním vyjádření si loni nejvíce polepšili zaměstnanci v informačních a komunikačních činnostech (o</w:t>
            </w:r>
            <w:r w:rsidR="00DF7AD4" w:rsidRPr="00360DE3">
              <w:t> </w:t>
            </w:r>
            <w:r w:rsidRPr="00360DE3">
              <w:rPr>
                <w:rFonts w:cs="Arial"/>
                <w:color w:val="0D0D0D" w:themeColor="text1" w:themeTint="F2"/>
              </w:rPr>
              <w:t>2,8</w:t>
            </w:r>
            <w:r w:rsidR="00DF7AD4" w:rsidRPr="00360DE3">
              <w:t> </w:t>
            </w:r>
            <w:r w:rsidRPr="00360DE3">
              <w:rPr>
                <w:rFonts w:cs="Arial"/>
                <w:color w:val="0D0D0D" w:themeColor="text1" w:themeTint="F2"/>
              </w:rPr>
              <w:t xml:space="preserve">tis., na 51,1 tis. korun). Po čtyřech letech se loni zastavila redukce průměrných výdělků v těžbě a dobývání (+6,6 %), současně se ale prohloubilo tempo meziročního poklesu počtu zaměstnanců (na osmileté maximum). Objem vyplacených mezd tak zde jako v jediném z hlavních odvětví ekonomiky loni poklesl (o 1,7 %). Jen slabý </w:t>
            </w:r>
            <w:r w:rsidR="00336E03">
              <w:rPr>
                <w:rFonts w:cs="Arial"/>
                <w:color w:val="0D0D0D" w:themeColor="text1" w:themeTint="F2"/>
              </w:rPr>
              <w:t xml:space="preserve">meziroční </w:t>
            </w:r>
            <w:r w:rsidRPr="00360DE3">
              <w:rPr>
                <w:rFonts w:cs="Arial"/>
                <w:color w:val="0D0D0D" w:themeColor="text1" w:themeTint="F2"/>
              </w:rPr>
              <w:t xml:space="preserve">růst </w:t>
            </w:r>
            <w:r w:rsidR="00336E03">
              <w:rPr>
                <w:rFonts w:cs="Arial"/>
                <w:color w:val="0D0D0D" w:themeColor="text1" w:themeTint="F2"/>
              </w:rPr>
              <w:t xml:space="preserve">objemu vyplacených mezd a platů </w:t>
            </w:r>
            <w:r w:rsidRPr="00360DE3">
              <w:rPr>
                <w:rFonts w:cs="Arial"/>
                <w:color w:val="0D0D0D" w:themeColor="text1" w:themeTint="F2"/>
              </w:rPr>
              <w:t>si pak připsalo stavebnictví a také finanční sektor, v obou případech stál v pozadí klesající počet zaměstnanců.</w:t>
            </w:r>
          </w:p>
          <w:p w:rsidR="00EA0840" w:rsidRPr="00360DE3" w:rsidRDefault="00EA0840" w:rsidP="005D3386">
            <w:pPr>
              <w:rPr>
                <w:rFonts w:cs="Arial"/>
                <w:color w:val="0D0D0D" w:themeColor="text1" w:themeTint="F2"/>
              </w:rPr>
            </w:pP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b/>
              </w:rPr>
              <w:t xml:space="preserve">Graf </w:t>
            </w:r>
            <w:proofErr w:type="gramStart"/>
            <w:r w:rsidRPr="00360DE3">
              <w:rPr>
                <w:b/>
              </w:rPr>
              <w:t>5.3.1  Objem</w:t>
            </w:r>
            <w:proofErr w:type="gramEnd"/>
            <w:r w:rsidRPr="00360DE3">
              <w:rPr>
                <w:b/>
              </w:rPr>
              <w:t xml:space="preserve"> vyplacených mezd a platů a národohospodářská produktivita práce </w:t>
            </w:r>
            <w:r w:rsidRPr="00360DE3">
              <w:t>(meziročně, v %)*</w:t>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noProof/>
              </w:rPr>
              <w:drawing>
                <wp:inline distT="0" distB="0" distL="0" distR="0">
                  <wp:extent cx="4709899" cy="3705367"/>
                  <wp:effectExtent l="19050" t="0" r="0" b="0"/>
                  <wp:docPr id="2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rPr>
                <w:rFonts w:cs="Arial"/>
                <w:color w:val="0D0D0D" w:themeColor="text1" w:themeTint="F2"/>
                <w:sz w:val="14"/>
                <w:szCs w:val="14"/>
              </w:rPr>
            </w:pPr>
            <w:r w:rsidRPr="00360DE3">
              <w:rPr>
                <w:rFonts w:cs="Arial"/>
                <w:color w:val="0D0D0D" w:themeColor="text1" w:themeTint="F2"/>
                <w:sz w:val="14"/>
                <w:szCs w:val="14"/>
              </w:rPr>
              <w:t>*Produktivita práce vyjadřuje podíl sezónně neočištěného HDP a celkového (fyzického počtu) zaměstnaných.</w:t>
            </w:r>
          </w:p>
          <w:p w:rsidR="005D3386" w:rsidRPr="00360DE3" w:rsidRDefault="005D3386" w:rsidP="005D3386">
            <w:pPr>
              <w:spacing w:after="0"/>
              <w:rPr>
                <w:rFonts w:cs="Arial"/>
                <w:color w:val="0D0D0D" w:themeColor="text1" w:themeTint="F2"/>
                <w:sz w:val="14"/>
                <w:szCs w:val="14"/>
              </w:rPr>
            </w:pPr>
            <w:r w:rsidRPr="00360DE3">
              <w:rPr>
                <w:rFonts w:cs="Arial"/>
                <w:color w:val="0D0D0D" w:themeColor="text1" w:themeTint="F2"/>
                <w:sz w:val="14"/>
                <w:szCs w:val="14"/>
              </w:rPr>
              <w:t xml:space="preserve">Pozn.: </w:t>
            </w:r>
            <w:r w:rsidRPr="00360DE3">
              <w:rPr>
                <w:iCs/>
                <w:color w:val="0D0D0D" w:themeColor="text1" w:themeTint="F2"/>
                <w:sz w:val="14"/>
                <w:szCs w:val="14"/>
              </w:rPr>
              <w:t xml:space="preserve">Objem mezd a platů zahrnuje veškeré příjmy ze zaměstnání, a to v peněžní i naturální podobě (zaměstnanecké </w:t>
            </w:r>
            <w:proofErr w:type="spellStart"/>
            <w:r w:rsidRPr="00360DE3">
              <w:rPr>
                <w:iCs/>
                <w:color w:val="0D0D0D" w:themeColor="text1" w:themeTint="F2"/>
                <w:sz w:val="14"/>
                <w:szCs w:val="14"/>
              </w:rPr>
              <w:t>benefity</w:t>
            </w:r>
            <w:proofErr w:type="spellEnd"/>
            <w:r w:rsidRPr="00360DE3">
              <w:rPr>
                <w:iCs/>
                <w:color w:val="0D0D0D" w:themeColor="text1" w:themeTint="F2"/>
                <w:sz w:val="14"/>
                <w:szCs w:val="14"/>
              </w:rPr>
              <w:t>) bez ohledu na to, jestli byly oficiálně přiznány nebo ne. Ukazatel počtu zaměstnanců (ve fyzických osobách) zahrnuje veškeré formy zaměstnání, formální i neformální. Jsou zde zahrnuty i různé formy dohod.</w:t>
            </w:r>
          </w:p>
          <w:p w:rsidR="005D3386" w:rsidRPr="00360DE3" w:rsidRDefault="005D3386" w:rsidP="005D3386">
            <w:r w:rsidRPr="00360DE3">
              <w:rPr>
                <w:rFonts w:cs="Arial"/>
                <w:color w:val="0D0D0D" w:themeColor="text1" w:themeTint="F2"/>
                <w:sz w:val="14"/>
                <w:szCs w:val="14"/>
              </w:rPr>
              <w:t>Zdroj: ČSÚ (národní účty)</w:t>
            </w:r>
          </w:p>
        </w:tc>
      </w:tr>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Reálný růst průměrných výdělků byl loni nejvyšší za posledních jedenáct let.</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rPr>
                <w:rFonts w:cs="Arial"/>
                <w:color w:val="0D0D0D" w:themeColor="text1" w:themeTint="F2"/>
              </w:rPr>
            </w:pPr>
            <w:r w:rsidRPr="00360DE3">
              <w:rPr>
                <w:rFonts w:cs="Arial"/>
                <w:color w:val="0D0D0D" w:themeColor="text1" w:themeTint="F2"/>
              </w:rPr>
              <w:t>Z pohledu vývoje koupěschopnosti bylo pozitivní, že reálný růst průměrných výdělků zaměstnanců loni vystoupal na 3,9 %, nejvíce za posledních jedenáct let. Nominální růst průměrných výdělků zaměstnanců již druhý rok v řadě převyšoval růstové tempo produktivity práce. Lze to chápat i jako určitou kompenzaci za období let 2014 až 2015, kdy byla vazba mezi mzdovým růstem a produktivitou opačná.</w:t>
            </w:r>
          </w:p>
        </w:tc>
      </w:tr>
      <w:tr w:rsidR="005D3386" w:rsidRPr="00360DE3" w:rsidTr="00360DE3">
        <w:trPr>
          <w:trHeight w:val="429"/>
        </w:trPr>
        <w:tc>
          <w:tcPr>
            <w:tcW w:w="1976" w:type="dxa"/>
          </w:tcPr>
          <w:p w:rsidR="005D3386" w:rsidRPr="00360DE3" w:rsidRDefault="005D3386" w:rsidP="005D3386">
            <w:pPr>
              <w:pStyle w:val="Marginlie"/>
              <w:rPr>
                <w:spacing w:val="0"/>
              </w:rPr>
            </w:pPr>
            <w:r w:rsidRPr="00360DE3">
              <w:rPr>
                <w:spacing w:val="0"/>
              </w:rPr>
              <w:t>Prohlubování mzdové diferenciace se zastavilo. Přispělo k tomu především opakované navyšování hranice minimální mzdy a také silná poptávka po manuálních pracovních ve výrobních odvětvích.</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rPr>
                <w:rFonts w:cs="Arial"/>
                <w:color w:val="0D0D0D" w:themeColor="text1" w:themeTint="F2"/>
              </w:rPr>
            </w:pPr>
            <w:r w:rsidRPr="00360DE3">
              <w:rPr>
                <w:rFonts w:cs="Arial"/>
                <w:color w:val="000000" w:themeColor="text1"/>
              </w:rPr>
              <w:t xml:space="preserve">Podrobnější pohled na diferenciaci mezd </w:t>
            </w:r>
            <w:proofErr w:type="gramStart"/>
            <w:r w:rsidRPr="00360DE3">
              <w:rPr>
                <w:rFonts w:cs="Arial"/>
                <w:color w:val="000000" w:themeColor="text1"/>
              </w:rPr>
              <w:t>umožňuje</w:t>
            </w:r>
            <w:proofErr w:type="gramEnd"/>
            <w:r w:rsidRPr="00360DE3">
              <w:rPr>
                <w:rFonts w:cs="Arial"/>
                <w:color w:val="000000" w:themeColor="text1"/>
              </w:rPr>
              <w:t xml:space="preserve"> </w:t>
            </w:r>
            <w:r w:rsidRPr="00360DE3">
              <w:rPr>
                <w:rFonts w:cs="Arial"/>
                <w:color w:val="0D0D0D" w:themeColor="text1" w:themeTint="F2"/>
              </w:rPr>
              <w:t>strukturální mzdová statistika</w:t>
            </w:r>
            <w:r w:rsidRPr="00360DE3">
              <w:rPr>
                <w:rStyle w:val="Znakapoznpodarou"/>
                <w:color w:val="0D0D0D" w:themeColor="text1" w:themeTint="F2"/>
              </w:rPr>
              <w:footnoteReference w:id="24"/>
            </w:r>
            <w:r w:rsidRPr="00360DE3">
              <w:rPr>
                <w:rFonts w:cs="Arial"/>
                <w:color w:val="0D0D0D" w:themeColor="text1" w:themeTint="F2"/>
              </w:rPr>
              <w:t xml:space="preserve"> Údaje z posledních let </w:t>
            </w:r>
            <w:proofErr w:type="gramStart"/>
            <w:r w:rsidRPr="00360DE3">
              <w:rPr>
                <w:rFonts w:cs="Arial"/>
                <w:color w:val="0D0D0D" w:themeColor="text1" w:themeTint="F2"/>
              </w:rPr>
              <w:t>naznačují</w:t>
            </w:r>
            <w:proofErr w:type="gramEnd"/>
            <w:r w:rsidRPr="00360DE3">
              <w:rPr>
                <w:rFonts w:cs="Arial"/>
                <w:color w:val="0D0D0D" w:themeColor="text1" w:themeTint="F2"/>
              </w:rPr>
              <w:t>, že prohlubování mzdové diferenciace, jež bylo typické pro dvě předchozí deká</w:t>
            </w:r>
            <w:r w:rsidR="0026207F">
              <w:rPr>
                <w:rFonts w:cs="Arial"/>
                <w:color w:val="0D0D0D" w:themeColor="text1" w:themeTint="F2"/>
              </w:rPr>
              <w:t>dy, se zastavilo. Předstih tempa</w:t>
            </w:r>
            <w:r w:rsidRPr="00360DE3">
              <w:rPr>
                <w:rFonts w:cs="Arial"/>
                <w:color w:val="0D0D0D" w:themeColor="text1" w:themeTint="F2"/>
              </w:rPr>
              <w:t xml:space="preserve"> růstu mediánové mzdy nad tempem průměrné mzdy se v letech 2016 i 2017 zvýraznil. Loni vzrostla hodnota mzdové</w:t>
            </w:r>
            <w:r w:rsidR="0026207F">
              <w:rPr>
                <w:rFonts w:cs="Arial"/>
                <w:color w:val="0D0D0D" w:themeColor="text1" w:themeTint="F2"/>
              </w:rPr>
              <w:t>ho</w:t>
            </w:r>
            <w:r w:rsidRPr="00360DE3">
              <w:rPr>
                <w:rFonts w:cs="Arial"/>
                <w:color w:val="0D0D0D" w:themeColor="text1" w:themeTint="F2"/>
              </w:rPr>
              <w:t xml:space="preserve"> mediánu meziročně o 7,4 % (o rok dříve o 5,3 %). Průměrná hrubá měsíční mediánová mzda činila 26 843 korun. Snížila se také hodnota variačního koeficientu vyjadřující celkovou úroveň rozrůzněnosti (z 0,80 v roce 2014 na loňských 0,74). Diference klesly v tomto období svižněji u mužů nežli u</w:t>
            </w:r>
            <w:r w:rsidR="00DF7AD4" w:rsidRPr="00360DE3">
              <w:t> </w:t>
            </w:r>
            <w:r w:rsidRPr="00360DE3">
              <w:rPr>
                <w:rFonts w:cs="Arial"/>
                <w:color w:val="0D0D0D" w:themeColor="text1" w:themeTint="F2"/>
              </w:rPr>
              <w:t xml:space="preserve">žen, přesto zůstávají mužské výdělky stále znatelně rozrůzněnější (0,80) než ženské (0,59). Tyto rozdíly jsou odrazem především výraznějšího předstihu mužských výdělků v profesích s vysokými kvalifikačními nároky (manažeři, specialisté). Za snížením mzdové diferenciace stálo primárně opakované </w:t>
            </w:r>
            <w:r w:rsidRPr="00360DE3">
              <w:rPr>
                <w:rFonts w:cs="Arial"/>
                <w:color w:val="0D0D0D" w:themeColor="text1" w:themeTint="F2"/>
              </w:rPr>
              <w:lastRenderedPageBreak/>
              <w:t>navyšování hranice minimální mzdy (s výraznějším sekundárním dopadem na pásma zaručené mzdy).</w:t>
            </w:r>
          </w:p>
          <w:p w:rsidR="005D3386" w:rsidRPr="00360DE3" w:rsidRDefault="005D3386" w:rsidP="005D3386">
            <w:pPr>
              <w:spacing w:after="0"/>
              <w:rPr>
                <w:b/>
              </w:rPr>
            </w:pP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6836CB" w:rsidRDefault="005D3386" w:rsidP="005D3386">
            <w:pPr>
              <w:spacing w:after="0"/>
              <w:rPr>
                <w:b/>
              </w:rPr>
            </w:pPr>
            <w:r w:rsidRPr="00360DE3">
              <w:rPr>
                <w:b/>
              </w:rPr>
              <w:t xml:space="preserve">Graf </w:t>
            </w:r>
            <w:proofErr w:type="gramStart"/>
            <w:r w:rsidRPr="00360DE3">
              <w:rPr>
                <w:b/>
              </w:rPr>
              <w:t>5.3.2  Průměrná</w:t>
            </w:r>
            <w:proofErr w:type="gramEnd"/>
            <w:r w:rsidRPr="00360DE3">
              <w:rPr>
                <w:b/>
              </w:rPr>
              <w:t xml:space="preserve"> hrubá měsíční mzda dle věku a pohlaví v roce 2017</w:t>
            </w:r>
          </w:p>
          <w:p w:rsidR="005D3386" w:rsidRPr="00360DE3" w:rsidRDefault="005D3386" w:rsidP="005D3386">
            <w:pPr>
              <w:spacing w:after="0"/>
            </w:pPr>
            <w:r w:rsidRPr="00360DE3">
              <w:t xml:space="preserve">(v korunách) </w:t>
            </w:r>
            <w:r w:rsidRPr="00360DE3">
              <w:rPr>
                <w:b/>
              </w:rPr>
              <w:t>a její růst mezi roky 2012 a 2017</w:t>
            </w:r>
            <w:r w:rsidRPr="00360DE3">
              <w:t xml:space="preserve"> (úroveň 2012 = 1)</w:t>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noProof/>
              </w:rPr>
              <w:drawing>
                <wp:inline distT="0" distB="0" distL="0" distR="0">
                  <wp:extent cx="4701170" cy="3616657"/>
                  <wp:effectExtent l="19050" t="0" r="4180" b="0"/>
                  <wp:docPr id="2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5D3386" w:rsidRPr="00360DE3" w:rsidTr="00360DE3">
        <w:trPr>
          <w:trHeight w:val="429"/>
        </w:trPr>
        <w:tc>
          <w:tcPr>
            <w:tcW w:w="1976" w:type="dxa"/>
          </w:tcPr>
          <w:p w:rsidR="005D3386" w:rsidRPr="00360DE3" w:rsidRDefault="005D3386" w:rsidP="005D3386">
            <w:pPr>
              <w:pStyle w:val="Marginlie"/>
              <w:rPr>
                <w:spacing w:val="0"/>
              </w:rPr>
            </w:pP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0"/>
            </w:pPr>
            <w:r w:rsidRPr="00360DE3">
              <w:rPr>
                <w:rFonts w:cs="Arial"/>
                <w:sz w:val="14"/>
                <w:szCs w:val="14"/>
              </w:rPr>
              <w:t>Zdroj: MPSV a ČSÚ (Strukturální mzdová statistika)</w:t>
            </w:r>
          </w:p>
        </w:tc>
      </w:tr>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Relativně vysoké rozdíly mužských a ženských výdělků přetrvaly. Větších diferencí dosahovaly v rámci EU již jen v Estonsku.</w:t>
            </w:r>
          </w:p>
        </w:tc>
        <w:tc>
          <w:tcPr>
            <w:tcW w:w="277" w:type="dxa"/>
          </w:tcPr>
          <w:p w:rsidR="005D3386" w:rsidRPr="00360DE3" w:rsidRDefault="005D3386" w:rsidP="005D3386">
            <w:pPr>
              <w:pStyle w:val="Textpoznpodarou"/>
              <w:jc w:val="both"/>
            </w:pPr>
          </w:p>
        </w:tc>
        <w:tc>
          <w:tcPr>
            <w:tcW w:w="7391" w:type="dxa"/>
          </w:tcPr>
          <w:p w:rsidR="005D3386" w:rsidRPr="0026207F" w:rsidRDefault="005D3386" w:rsidP="005D3386">
            <w:pPr>
              <w:rPr>
                <w:spacing w:val="-2"/>
              </w:rPr>
            </w:pPr>
            <w:r w:rsidRPr="0026207F">
              <w:rPr>
                <w:spacing w:val="-2"/>
              </w:rPr>
              <w:t xml:space="preserve">Ženy dosahovaly v roce 2017 jen 79,3 % průměrné mzdy mužů, o pět let dříve 77,9 %. Obdobné proporce v případě mzdového mediánu, jenž rozděluje zaměstnance dle výše příjmů na dvě stejně početné skupiny, činily 84,4 % a 84,7 %. Na postavení Česka jako země ve skupině evropských států s nejvyššími rozdíly mezd mezi muži a ženami se ani v období silného ekonomického růstu prakticky nic nezměnilo. V roce 2016 činila hodnota </w:t>
            </w:r>
            <w:proofErr w:type="spellStart"/>
            <w:r w:rsidRPr="0026207F">
              <w:rPr>
                <w:spacing w:val="-2"/>
              </w:rPr>
              <w:t>tzv</w:t>
            </w:r>
            <w:proofErr w:type="spellEnd"/>
            <w:r w:rsidRPr="0026207F">
              <w:rPr>
                <w:spacing w:val="-2"/>
              </w:rPr>
              <w:t xml:space="preserve"> </w:t>
            </w:r>
            <w:proofErr w:type="spellStart"/>
            <w:r w:rsidRPr="0026207F">
              <w:rPr>
                <w:spacing w:val="-2"/>
              </w:rPr>
              <w:t>gender</w:t>
            </w:r>
            <w:proofErr w:type="spellEnd"/>
            <w:r w:rsidRPr="0026207F">
              <w:rPr>
                <w:spacing w:val="-2"/>
              </w:rPr>
              <w:t xml:space="preserve"> </w:t>
            </w:r>
            <w:proofErr w:type="spellStart"/>
            <w:r w:rsidRPr="0026207F">
              <w:rPr>
                <w:spacing w:val="-2"/>
              </w:rPr>
              <w:t>pay</w:t>
            </w:r>
            <w:proofErr w:type="spellEnd"/>
            <w:r w:rsidRPr="0026207F">
              <w:rPr>
                <w:spacing w:val="-2"/>
              </w:rPr>
              <w:t xml:space="preserve"> gap</w:t>
            </w:r>
            <w:r w:rsidRPr="0026207F">
              <w:rPr>
                <w:rStyle w:val="Znakapoznpodarou"/>
                <w:spacing w:val="-2"/>
              </w:rPr>
              <w:footnoteReference w:id="25"/>
            </w:r>
            <w:r w:rsidRPr="0026207F">
              <w:rPr>
                <w:spacing w:val="-2"/>
              </w:rPr>
              <w:t xml:space="preserve"> v Česku 21, 8 %</w:t>
            </w:r>
            <w:r w:rsidR="0026207F" w:rsidRPr="0026207F">
              <w:rPr>
                <w:spacing w:val="-2"/>
              </w:rPr>
              <w:t xml:space="preserve">. </w:t>
            </w:r>
            <w:r w:rsidRPr="0026207F">
              <w:rPr>
                <w:spacing w:val="-2"/>
              </w:rPr>
              <w:t xml:space="preserve">V letech 2013 až 2016 docílilo </w:t>
            </w:r>
            <w:r w:rsidR="0026207F" w:rsidRPr="0026207F">
              <w:rPr>
                <w:spacing w:val="-2"/>
              </w:rPr>
              <w:t xml:space="preserve">ze </w:t>
            </w:r>
            <w:r w:rsidRPr="0026207F">
              <w:rPr>
                <w:spacing w:val="-2"/>
              </w:rPr>
              <w:t>zemí států EU vyšších rozdílů jen Estonsko.</w:t>
            </w:r>
          </w:p>
        </w:tc>
      </w:tr>
      <w:tr w:rsidR="005D3386" w:rsidRPr="00360DE3" w:rsidTr="00360DE3">
        <w:trPr>
          <w:trHeight w:val="145"/>
        </w:trPr>
        <w:tc>
          <w:tcPr>
            <w:tcW w:w="1976" w:type="dxa"/>
          </w:tcPr>
          <w:p w:rsidR="005D3386" w:rsidRPr="00360DE3" w:rsidRDefault="005D3386" w:rsidP="005D3386">
            <w:pPr>
              <w:pStyle w:val="Marginlie"/>
              <w:rPr>
                <w:spacing w:val="0"/>
              </w:rPr>
            </w:pPr>
            <w:r w:rsidRPr="00360DE3">
              <w:rPr>
                <w:spacing w:val="0"/>
              </w:rPr>
              <w:t>Největší rozdíly mužských a žen ženských výdělků v ČR z pohledu věku stále přetrvávají ve skupině 35 až 49 let.</w:t>
            </w:r>
          </w:p>
        </w:tc>
        <w:tc>
          <w:tcPr>
            <w:tcW w:w="277" w:type="dxa"/>
          </w:tcPr>
          <w:p w:rsidR="005D3386" w:rsidRPr="00360DE3" w:rsidRDefault="005D3386" w:rsidP="005D3386">
            <w:pPr>
              <w:pStyle w:val="Textpoznpodarou"/>
              <w:jc w:val="both"/>
            </w:pPr>
          </w:p>
        </w:tc>
        <w:tc>
          <w:tcPr>
            <w:tcW w:w="7391" w:type="dxa"/>
          </w:tcPr>
          <w:p w:rsidR="005D3386" w:rsidRPr="00360DE3" w:rsidRDefault="005D3386" w:rsidP="005D3386">
            <w:pPr>
              <w:spacing w:after="200"/>
            </w:pPr>
            <w:r w:rsidRPr="00360DE3">
              <w:t>Nicméně značné rozdíly ve výdělcích dle pohlaví panovaly v roce 2016 i v nejvyspělejších ekonomikách Unie (Německo, Rakousko, Velká Británie). K nepříznivému postavení ČR přispívají značné výdělkové diference mezi pohlavími v kvartérním sektoru služeb (finančnictví, informační a komunikační činnosti) a rovně ž ve veřejných službách (zejména ve školství a zdravotnictví). Z pohledu věku působí obdobně skupina 35-49 let (kde značné rozdíly ve výdělcích dle pohlaví souvisí s obtížnější situací žen s malými dětmi na pracovním trhu). V letech 2016 i 2017 se vlivem celkové ekonomické situace a sílícího nedostatku potenciálních pracovníků postavení této věkové kategorie mírně zlepšilo, což bylo více patrné na růstu průměrné mzdy (méně pak na mzdě mediánové).</w:t>
            </w:r>
          </w:p>
        </w:tc>
      </w:tr>
      <w:tr w:rsidR="00360DE3" w:rsidRPr="00360DE3" w:rsidTr="00360DE3">
        <w:trPr>
          <w:trHeight w:val="145"/>
        </w:trPr>
        <w:tc>
          <w:tcPr>
            <w:tcW w:w="1976" w:type="dxa"/>
          </w:tcPr>
          <w:p w:rsidR="00360DE3" w:rsidRPr="00360DE3" w:rsidRDefault="00360DE3" w:rsidP="00360DE3">
            <w:pPr>
              <w:pStyle w:val="Marginlie"/>
              <w:rPr>
                <w:spacing w:val="0"/>
              </w:rPr>
            </w:pPr>
            <w:r w:rsidRPr="00360DE3">
              <w:rPr>
                <w:spacing w:val="0"/>
              </w:rPr>
              <w:t xml:space="preserve">Nejvyšším tepem rostly mzdy pracovníkům </w:t>
            </w:r>
            <w:r w:rsidRPr="00360DE3">
              <w:rPr>
                <w:spacing w:val="0"/>
              </w:rPr>
              <w:lastRenderedPageBreak/>
              <w:t xml:space="preserve">s nejnižším vzděláním. </w:t>
            </w:r>
          </w:p>
        </w:tc>
        <w:tc>
          <w:tcPr>
            <w:tcW w:w="277" w:type="dxa"/>
          </w:tcPr>
          <w:p w:rsidR="00360DE3" w:rsidRPr="00360DE3" w:rsidRDefault="00360DE3" w:rsidP="00F162B3">
            <w:pPr>
              <w:pStyle w:val="Textpoznpodarou"/>
              <w:jc w:val="both"/>
            </w:pPr>
          </w:p>
        </w:tc>
        <w:tc>
          <w:tcPr>
            <w:tcW w:w="7391" w:type="dxa"/>
          </w:tcPr>
          <w:p w:rsidR="00360DE3" w:rsidRPr="00360DE3" w:rsidRDefault="00360DE3" w:rsidP="00360DE3">
            <w:r w:rsidRPr="00360DE3">
              <w:t xml:space="preserve">S rostoucím vzděláním zaměstnanců se zvyšuje nejen úroveň jejich výdělků, ale i mzdová variabilita. Přestože v letech 2016 i 2017 rostly meziročně relativně </w:t>
            </w:r>
            <w:r w:rsidRPr="00360DE3">
              <w:lastRenderedPageBreak/>
              <w:t>nejvíce (průměrné i mediánové) výdělky osob se základním vzděláním, citelné rozdíly mezi hlavními vzdělanostními skupinami přetrvaly. Loni převyšovaly průměrné výdělky vysokoškoláků výdělky osob se základním (či neukončeným) vzděláním 2,39krát (u mužů), resp. 2,07 (u žen).</w:t>
            </w:r>
          </w:p>
        </w:tc>
      </w:tr>
      <w:tr w:rsidR="00360DE3" w:rsidRPr="00360DE3" w:rsidTr="00360DE3">
        <w:trPr>
          <w:trHeight w:val="429"/>
        </w:trPr>
        <w:tc>
          <w:tcPr>
            <w:tcW w:w="1976" w:type="dxa"/>
          </w:tcPr>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pPr>
              <w:spacing w:after="0"/>
            </w:pPr>
            <w:r w:rsidRPr="00360DE3">
              <w:rPr>
                <w:b/>
              </w:rPr>
              <w:t xml:space="preserve">Graf </w:t>
            </w:r>
            <w:proofErr w:type="gramStart"/>
            <w:r w:rsidRPr="00360DE3">
              <w:rPr>
                <w:b/>
              </w:rPr>
              <w:t>5.3.3  Průměrné</w:t>
            </w:r>
            <w:proofErr w:type="gramEnd"/>
            <w:r w:rsidRPr="00360DE3">
              <w:rPr>
                <w:b/>
              </w:rPr>
              <w:t xml:space="preserve"> hrubé měsíční mzdy v odvětvích dle vzdělání </w:t>
            </w:r>
            <w:r w:rsidRPr="00360DE3">
              <w:t>(v tis. korun)</w:t>
            </w:r>
            <w:r w:rsidRPr="00360DE3">
              <w:rPr>
                <w:b/>
              </w:rPr>
              <w:t xml:space="preserve"> a poměr mezd zaměstnanců s vysokoškolským a základním vzděláním</w:t>
            </w:r>
          </w:p>
        </w:tc>
      </w:tr>
      <w:tr w:rsidR="00360DE3" w:rsidRPr="00360DE3" w:rsidTr="00360DE3">
        <w:trPr>
          <w:trHeight w:val="429"/>
        </w:trPr>
        <w:tc>
          <w:tcPr>
            <w:tcW w:w="1976" w:type="dxa"/>
          </w:tcPr>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pPr>
              <w:spacing w:after="0"/>
            </w:pPr>
            <w:r w:rsidRPr="00360DE3">
              <w:rPr>
                <w:noProof/>
              </w:rPr>
              <w:drawing>
                <wp:inline distT="0" distB="0" distL="0" distR="0">
                  <wp:extent cx="4714875" cy="3724275"/>
                  <wp:effectExtent l="38100" t="0" r="0" b="0"/>
                  <wp:docPr id="3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360DE3" w:rsidRPr="00360DE3" w:rsidTr="00360DE3">
        <w:trPr>
          <w:trHeight w:val="429"/>
        </w:trPr>
        <w:tc>
          <w:tcPr>
            <w:tcW w:w="1976" w:type="dxa"/>
          </w:tcPr>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pPr>
              <w:spacing w:after="0"/>
              <w:rPr>
                <w:rFonts w:cs="Arial"/>
                <w:sz w:val="14"/>
                <w:szCs w:val="14"/>
              </w:rPr>
            </w:pPr>
            <w:r w:rsidRPr="00360DE3">
              <w:rPr>
                <w:rFonts w:cs="Arial"/>
                <w:sz w:val="14"/>
                <w:szCs w:val="14"/>
              </w:rPr>
              <w:t xml:space="preserve">Pozn.. </w:t>
            </w:r>
            <w:proofErr w:type="gramStart"/>
            <w:r w:rsidRPr="00360DE3">
              <w:rPr>
                <w:rFonts w:cs="Arial"/>
                <w:sz w:val="14"/>
                <w:szCs w:val="14"/>
              </w:rPr>
              <w:t>za</w:t>
            </w:r>
            <w:proofErr w:type="gramEnd"/>
            <w:r w:rsidRPr="00360DE3">
              <w:rPr>
                <w:rFonts w:cs="Arial"/>
                <w:sz w:val="14"/>
                <w:szCs w:val="14"/>
              </w:rPr>
              <w:t xml:space="preserve"> odvětvové sekce I,J a M není z důvodu snížené vypovídací schopnosti uvedena mzda za zaměstnance se základním (popř. neukončeným) vzděláním. Ze stejného důvodu absentují údaje za osoby s vyšším odborným a bakalářským vzděláním u sekcí A i L. </w:t>
            </w:r>
          </w:p>
          <w:p w:rsidR="00360DE3" w:rsidRPr="00360DE3" w:rsidRDefault="00360DE3" w:rsidP="005D3386">
            <w:pPr>
              <w:spacing w:after="200"/>
            </w:pPr>
            <w:r w:rsidRPr="00360DE3">
              <w:rPr>
                <w:rFonts w:cs="Arial"/>
                <w:sz w:val="14"/>
                <w:szCs w:val="14"/>
              </w:rPr>
              <w:t>Zdroj: MPSV a ČSÚ (Strukturální mzdová statistika)</w:t>
            </w:r>
          </w:p>
        </w:tc>
      </w:tr>
      <w:tr w:rsidR="00360DE3" w:rsidRPr="00360DE3" w:rsidTr="00360DE3">
        <w:trPr>
          <w:trHeight w:val="145"/>
        </w:trPr>
        <w:tc>
          <w:tcPr>
            <w:tcW w:w="1976" w:type="dxa"/>
          </w:tcPr>
          <w:p w:rsidR="00360DE3" w:rsidRPr="00360DE3" w:rsidRDefault="00360DE3" w:rsidP="00360DE3">
            <w:pPr>
              <w:pStyle w:val="Marginlie"/>
              <w:rPr>
                <w:spacing w:val="0"/>
              </w:rPr>
            </w:pPr>
            <w:r w:rsidRPr="00360DE3">
              <w:rPr>
                <w:spacing w:val="0"/>
              </w:rPr>
              <w:t xml:space="preserve">Energetika a veřejné služby se vyznačovaly největšími </w:t>
            </w:r>
            <w:r w:rsidR="00336E03">
              <w:rPr>
                <w:spacing w:val="0"/>
              </w:rPr>
              <w:t>relativními mzdovými rozdíly po</w:t>
            </w:r>
            <w:r w:rsidRPr="00360DE3">
              <w:rPr>
                <w:spacing w:val="0"/>
              </w:rPr>
              <w:t xml:space="preserve">dle vzdělání. </w:t>
            </w:r>
          </w:p>
          <w:p w:rsidR="00360DE3" w:rsidRPr="00360DE3" w:rsidRDefault="00360DE3" w:rsidP="005D3386">
            <w:pPr>
              <w:pStyle w:val="Marginlie"/>
              <w:rPr>
                <w:spacing w:val="0"/>
              </w:rPr>
            </w:pPr>
          </w:p>
        </w:tc>
        <w:tc>
          <w:tcPr>
            <w:tcW w:w="277" w:type="dxa"/>
          </w:tcPr>
          <w:p w:rsidR="00360DE3" w:rsidRPr="00360DE3" w:rsidRDefault="00360DE3" w:rsidP="005D3386">
            <w:pPr>
              <w:pStyle w:val="Textpoznpodarou"/>
              <w:jc w:val="both"/>
            </w:pPr>
          </w:p>
        </w:tc>
        <w:tc>
          <w:tcPr>
            <w:tcW w:w="7391" w:type="dxa"/>
          </w:tcPr>
          <w:p w:rsidR="00360DE3" w:rsidRPr="00360DE3" w:rsidRDefault="00360DE3" w:rsidP="005D3386">
            <w:r w:rsidRPr="00360DE3">
              <w:t>Na úrovni hlavních odvětví lze registroval největší „převis“ v energetice a veřejných službách (především v odvětví veřejné správy, ob</w:t>
            </w:r>
            <w:r w:rsidR="00DF7AD4">
              <w:t>rany a sociálního zabezpečení a</w:t>
            </w:r>
            <w:r w:rsidR="00DF7AD4" w:rsidRPr="00360DE3">
              <w:t> </w:t>
            </w:r>
            <w:r w:rsidRPr="00360DE3">
              <w:t>také ve zdravotnictví). Poměrně značnou rozrůzněnost mezd dle vzdělání lze nalézt i v odvětvích s nižší hladinou celkových průměrných výdělků (obchod, doprava a skladování). Zatímco v těžbě a dobývání je výraznější mzdová diferenciace z velké části odrazem excentrického postavení vysokoškoláků, v energetice či informačních a komunikačních činnostech k ní rovnoměrněji přispívají i další vzdělanostní skupiny. Nejméně kvalifikovaní pracovníci v těžebním průmyslu pobírali loni v průměru podobnou mzdu jako vysokoškoláci pracující v činnostech v oblasti nemovitostí, administrativních a podpůrných činnostech či v ubytování, stravování a pohostinství.</w:t>
            </w:r>
          </w:p>
        </w:tc>
      </w:tr>
      <w:tr w:rsidR="00A51F19" w:rsidRPr="00360DE3" w:rsidTr="00360DE3">
        <w:trPr>
          <w:trHeight w:val="145"/>
        </w:trPr>
        <w:tc>
          <w:tcPr>
            <w:tcW w:w="1976" w:type="dxa"/>
          </w:tcPr>
          <w:p w:rsidR="00A51F19" w:rsidRPr="00360DE3" w:rsidRDefault="00A51F19" w:rsidP="00A51F19">
            <w:pPr>
              <w:pStyle w:val="Marginlie"/>
              <w:rPr>
                <w:spacing w:val="0"/>
              </w:rPr>
            </w:pPr>
            <w:r w:rsidRPr="00360DE3">
              <w:rPr>
                <w:spacing w:val="0"/>
              </w:rPr>
              <w:t xml:space="preserve">Z pohledu hlavních kvalifikačních tříd rostla loni mediánová mzda nejvyšším tempem pracovníkům ve službách a prodeji. Pokračoval i svižný růst výdělků zaměstnanců </w:t>
            </w:r>
            <w:r w:rsidRPr="00360DE3">
              <w:rPr>
                <w:spacing w:val="0"/>
              </w:rPr>
              <w:lastRenderedPageBreak/>
              <w:t>v ozbrojených silách.</w:t>
            </w:r>
          </w:p>
        </w:tc>
        <w:tc>
          <w:tcPr>
            <w:tcW w:w="277" w:type="dxa"/>
          </w:tcPr>
          <w:p w:rsidR="00A51F19" w:rsidRPr="00360DE3" w:rsidRDefault="00A51F19" w:rsidP="00F162B3">
            <w:pPr>
              <w:pStyle w:val="Textpoznpodarou"/>
              <w:jc w:val="both"/>
            </w:pPr>
          </w:p>
        </w:tc>
        <w:tc>
          <w:tcPr>
            <w:tcW w:w="7391" w:type="dxa"/>
          </w:tcPr>
          <w:p w:rsidR="00A51F19" w:rsidRPr="00360DE3" w:rsidRDefault="00A51F19" w:rsidP="0061249B">
            <w:pPr>
              <w:spacing w:after="220"/>
            </w:pPr>
            <w:r w:rsidRPr="00360DE3">
              <w:t xml:space="preserve">Jestliže v letech 2014 až 2016 docílily nejvyššího tempa růstu výdělků (v rámci hlavních kvalifikačních tříd) zaměstnanci v ozbrojených silách, vloni převzala tuto štafetu váhově mnohem významnější kategorie pracovníků ve službách a prodeji (mzdový medián zde meziročně posílil o více než desetinu). Svižný (zhruba 8%) nárůst si připsali i početné kategorie řemeslníků a opravářů, resp. obsluhy strojů a zařízení (obě skupiny soustřeďují více než 30 % všech zaměstnanců v celé </w:t>
            </w:r>
            <w:r w:rsidRPr="00360DE3">
              <w:lastRenderedPageBreak/>
              <w:t>ekonomice, u mužů dokonce 44 %)</w:t>
            </w:r>
            <w:r w:rsidRPr="00360DE3">
              <w:rPr>
                <w:rStyle w:val="Znakapoznpodarou"/>
              </w:rPr>
              <w:footnoteReference w:id="26"/>
            </w:r>
            <w:r w:rsidRPr="00360DE3">
              <w:t>. Dynamický růst poptávky po manuálních pracovnících spolu s efektem navýšením minimální mzdy se promítl také ve výdělcích pomocných a nekvalifikovaných pracovníků (+8,1 %)</w:t>
            </w:r>
            <w:r w:rsidRPr="00360DE3">
              <w:rPr>
                <w:rStyle w:val="Znakapoznpodarou"/>
              </w:rPr>
              <w:footnoteReference w:id="27"/>
            </w:r>
            <w:r w:rsidRPr="00360DE3">
              <w:t>. Ve skupinách zaměstnání s nejvyššími kvalifikačními nároky</w:t>
            </w:r>
            <w:r w:rsidRPr="00360DE3">
              <w:rPr>
                <w:rStyle w:val="Znakapoznpodarou"/>
              </w:rPr>
              <w:footnoteReference w:id="28"/>
            </w:r>
            <w:r w:rsidRPr="00360DE3">
              <w:t xml:space="preserve"> (zákonodárci a řídící pracovníci, specialisté, techničtí a odborní pracovníci) osciloval růst mzdového mediánu kolem 7,5 % (relativně nejvíce si polepšili specialisté a odborní pracovníci ve zdravotnictví a dále odborní pracovníci v oblasti práva, kultury a sportu).</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b/>
              </w:rPr>
              <w:t xml:space="preserve">Graf 5.3.4.  Mediány hrubých měsíčních mezd dle hlavních tříd CZ-ISCO </w:t>
            </w:r>
            <w:r w:rsidRPr="00360DE3">
              <w:t>(meziročně, v %)</w:t>
            </w:r>
            <w:r w:rsidRPr="00360DE3">
              <w:rPr>
                <w:b/>
              </w:rPr>
              <w:t xml:space="preserve"> a poměr mediánových mezd mužů a žen</w:t>
            </w:r>
            <w:r w:rsidRPr="00360DE3">
              <w:t xml:space="preserve"> (mzda mužů = 1)</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noProof/>
              </w:rPr>
              <w:drawing>
                <wp:inline distT="0" distB="0" distL="0" distR="0">
                  <wp:extent cx="4672149" cy="3699164"/>
                  <wp:effectExtent l="19050" t="0" r="14151" b="0"/>
                  <wp:docPr id="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51F19" w:rsidRPr="00360DE3" w:rsidTr="00360DE3">
        <w:trPr>
          <w:trHeight w:val="429"/>
        </w:trPr>
        <w:tc>
          <w:tcPr>
            <w:tcW w:w="1976" w:type="dxa"/>
          </w:tcPr>
          <w:p w:rsidR="00A51F19" w:rsidRPr="00360DE3" w:rsidRDefault="00A51F19" w:rsidP="0061249B">
            <w:pPr>
              <w:pStyle w:val="Marginlie"/>
              <w:spacing w:after="200"/>
              <w:rPr>
                <w:spacing w:val="0"/>
              </w:rPr>
            </w:pPr>
          </w:p>
        </w:tc>
        <w:tc>
          <w:tcPr>
            <w:tcW w:w="277" w:type="dxa"/>
          </w:tcPr>
          <w:p w:rsidR="00A51F19" w:rsidRPr="00360DE3" w:rsidRDefault="00A51F19" w:rsidP="0061249B">
            <w:pPr>
              <w:pStyle w:val="Textpoznpodarou"/>
              <w:spacing w:after="200"/>
              <w:jc w:val="both"/>
            </w:pPr>
          </w:p>
        </w:tc>
        <w:tc>
          <w:tcPr>
            <w:tcW w:w="7391" w:type="dxa"/>
          </w:tcPr>
          <w:p w:rsidR="00A51F19" w:rsidRPr="00360DE3" w:rsidRDefault="00A51F19" w:rsidP="0061249B">
            <w:pPr>
              <w:spacing w:after="200"/>
            </w:pPr>
            <w:r w:rsidRPr="00360DE3">
              <w:rPr>
                <w:rFonts w:cs="Arial"/>
                <w:sz w:val="14"/>
                <w:szCs w:val="14"/>
              </w:rPr>
              <w:t>Zdroj: MPSV a ČSÚ (Strukturální mzdová statistika)</w:t>
            </w:r>
          </w:p>
        </w:tc>
      </w:tr>
      <w:tr w:rsidR="00A51F19" w:rsidRPr="00360DE3" w:rsidTr="00360DE3">
        <w:trPr>
          <w:trHeight w:val="429"/>
        </w:trPr>
        <w:tc>
          <w:tcPr>
            <w:tcW w:w="1976" w:type="dxa"/>
          </w:tcPr>
          <w:p w:rsidR="0026743D" w:rsidRPr="00360DE3" w:rsidRDefault="00A51F19" w:rsidP="005D3386">
            <w:pPr>
              <w:pStyle w:val="Marginlie"/>
              <w:rPr>
                <w:spacing w:val="0"/>
              </w:rPr>
            </w:pPr>
            <w:r w:rsidRPr="00360DE3">
              <w:rPr>
                <w:spacing w:val="0"/>
              </w:rPr>
              <w:t>Poměr výdělků vedoucích a řídících pracovníků a pomocných či nekvalifikovaných zaměstnanců se postupně snižoval.</w:t>
            </w:r>
          </w:p>
        </w:tc>
        <w:tc>
          <w:tcPr>
            <w:tcW w:w="277" w:type="dxa"/>
          </w:tcPr>
          <w:p w:rsidR="00A51F19" w:rsidRPr="00360DE3" w:rsidRDefault="00A51F19" w:rsidP="005D3386">
            <w:pPr>
              <w:pStyle w:val="Textpoznpodarou"/>
              <w:jc w:val="both"/>
            </w:pPr>
          </w:p>
        </w:tc>
        <w:tc>
          <w:tcPr>
            <w:tcW w:w="7391" w:type="dxa"/>
          </w:tcPr>
          <w:p w:rsidR="00A51F19" w:rsidRPr="00360DE3" w:rsidRDefault="00A51F19" w:rsidP="0061249B">
            <w:pPr>
              <w:spacing w:after="0"/>
            </w:pPr>
            <w:r w:rsidRPr="00360DE3">
              <w:t xml:space="preserve">Navzdory relativně slabší dynamice v posledních letech (patrné spíše než na tempech mediánové mzdy na tempech průměrné mzdy) si stále s výrazným odstupem udržují nejvyšší úroveň mezd v ekonomice zákonodárci a řídící pracovníci. Loni pobírali 2,89krát více než pomocní a nekvalifikovaní pracovníci (při vyjádření ve formě mediánové mzdy), resp. 3,56krát více (na průměrné mzdě). V roce 2015 činily obdobné relace 3,03, resp. 3,98. Variabilita mezd uvnitř jednotlivých kvalifikačních tříd klesla úměrně s náročností zaměstnání, resp. výši mzdy. Určitou anomálii </w:t>
            </w:r>
            <w:proofErr w:type="gramStart"/>
            <w:r w:rsidRPr="00360DE3">
              <w:t>představovaly</w:t>
            </w:r>
            <w:proofErr w:type="gramEnd"/>
            <w:r w:rsidRPr="00360DE3">
              <w:t xml:space="preserve"> jen výdělky v kategorii pracovníci ve službách a prodeji (zvýšená variabilita doprovázená výrazně podprůměrnou mzdovou úrovní) a také u zaměstnanců v ozbrojených silách (nízká variabilita při výrazněji nadprůměrné mzdové úrovni). Dlouhodobým specifikem posledně zmíněné kategorii je také vyšší mzdová úroveň žen než mužů (jež patrně odráží odlišnou vzdělanostní i věkovou skladbu a též velmi nízkou absolutní četnost žen). </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b/>
              </w:rPr>
              <w:t xml:space="preserve">Graf </w:t>
            </w:r>
            <w:proofErr w:type="gramStart"/>
            <w:r w:rsidRPr="00360DE3">
              <w:rPr>
                <w:b/>
              </w:rPr>
              <w:t>5.3.5  Průměrné</w:t>
            </w:r>
            <w:proofErr w:type="gramEnd"/>
            <w:r w:rsidRPr="00360DE3">
              <w:rPr>
                <w:b/>
              </w:rPr>
              <w:t xml:space="preserve"> mzdy v krajích dle hlavních tříd zaměstnání</w:t>
            </w:r>
            <w:r w:rsidRPr="00360DE3">
              <w:t xml:space="preserve"> </w:t>
            </w:r>
          </w:p>
          <w:p w:rsidR="00A51F19" w:rsidRPr="00360DE3" w:rsidRDefault="00A51F19" w:rsidP="005D3386">
            <w:pPr>
              <w:spacing w:after="0"/>
            </w:pPr>
            <w:r w:rsidRPr="00360DE3">
              <w:t xml:space="preserve">(mzda v dané třídě zaměstnání v ČR = 100, srovnání let 2012 a 2017 </w:t>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pPr>
            <w:r w:rsidRPr="00360DE3">
              <w:rPr>
                <w:noProof/>
              </w:rPr>
              <w:drawing>
                <wp:inline distT="0" distB="0" distL="0" distR="0">
                  <wp:extent cx="4633912" cy="3661480"/>
                  <wp:effectExtent l="19050" t="0" r="0" b="0"/>
                  <wp:docPr id="4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51F19" w:rsidRPr="00360DE3" w:rsidTr="00360DE3">
        <w:trPr>
          <w:trHeight w:val="429"/>
        </w:trPr>
        <w:tc>
          <w:tcPr>
            <w:tcW w:w="1976" w:type="dxa"/>
          </w:tcPr>
          <w:p w:rsidR="00A51F19" w:rsidRPr="00360DE3" w:rsidRDefault="00A51F19" w:rsidP="005D3386">
            <w:pPr>
              <w:pStyle w:val="Marginlie"/>
              <w:rPr>
                <w:spacing w:val="0"/>
              </w:rPr>
            </w:pP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rPr>
                <w:rFonts w:cs="Arial"/>
                <w:sz w:val="14"/>
                <w:szCs w:val="14"/>
              </w:rPr>
            </w:pPr>
            <w:r w:rsidRPr="00360DE3">
              <w:rPr>
                <w:rFonts w:cs="Arial"/>
                <w:sz w:val="14"/>
                <w:szCs w:val="14"/>
              </w:rPr>
              <w:t>Pozn.:Vzhledem k nízké spolehlivosti údajů v regionálním členění nejsou uvedeny třídy: Kvalifikovaní pracovníci v zemědělství, lesnictví a rybářství a dále také Zaměstnanci v ozbrojených složkách.</w:t>
            </w:r>
          </w:p>
          <w:p w:rsidR="00A51F19" w:rsidRPr="00360DE3" w:rsidRDefault="00A51F19" w:rsidP="005D3386">
            <w:r w:rsidRPr="00360DE3">
              <w:rPr>
                <w:rFonts w:cs="Arial"/>
                <w:sz w:val="14"/>
                <w:szCs w:val="14"/>
              </w:rPr>
              <w:t>Zdroj: MPSV a ČSÚ (Strukturální mzdová statistika)</w:t>
            </w:r>
          </w:p>
        </w:tc>
      </w:tr>
      <w:tr w:rsidR="00A51F19" w:rsidRPr="00360DE3" w:rsidTr="00360DE3">
        <w:trPr>
          <w:trHeight w:val="145"/>
        </w:trPr>
        <w:tc>
          <w:tcPr>
            <w:tcW w:w="1976" w:type="dxa"/>
          </w:tcPr>
          <w:p w:rsidR="00A51F19" w:rsidRPr="00360DE3" w:rsidRDefault="00A51F19" w:rsidP="005D3386">
            <w:pPr>
              <w:pStyle w:val="Marginlie"/>
              <w:rPr>
                <w:spacing w:val="0"/>
              </w:rPr>
            </w:pPr>
            <w:r w:rsidRPr="00360DE3">
              <w:rPr>
                <w:spacing w:val="0"/>
              </w:rPr>
              <w:t>Převis Prahy nad ostatními regiony z pohledu výše mezd se zmenšoval. Rozdíly mezi ostatními kraji se výrazněji neměnily.</w:t>
            </w: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rPr>
                <w:rFonts w:cs="Arial"/>
                <w:color w:val="0D0D0D" w:themeColor="text1" w:themeTint="F2"/>
              </w:rPr>
            </w:pPr>
            <w:r w:rsidRPr="00360DE3">
              <w:rPr>
                <w:rFonts w:cs="Arial"/>
                <w:color w:val="0D0D0D" w:themeColor="text1" w:themeTint="F2"/>
              </w:rPr>
              <w:t>V roce 2017 převyšovala mzda v Praze průměrno</w:t>
            </w:r>
            <w:r w:rsidR="006836CB">
              <w:rPr>
                <w:rFonts w:cs="Arial"/>
                <w:color w:val="0D0D0D" w:themeColor="text1" w:themeTint="F2"/>
              </w:rPr>
              <w:t>u mzdu na v celé ekonomice o</w:t>
            </w:r>
            <w:r w:rsidR="006836CB" w:rsidRPr="00360DE3">
              <w:rPr>
                <w:rFonts w:cs="Arial"/>
                <w:color w:val="0D0D0D" w:themeColor="text1" w:themeTint="F2"/>
              </w:rPr>
              <w:t> </w:t>
            </w:r>
            <w:r w:rsidR="006836CB">
              <w:rPr>
                <w:rFonts w:cs="Arial"/>
                <w:color w:val="0D0D0D" w:themeColor="text1" w:themeTint="F2"/>
              </w:rPr>
              <w:t>28</w:t>
            </w:r>
            <w:r w:rsidR="006836CB" w:rsidRPr="00360DE3">
              <w:rPr>
                <w:rFonts w:cs="Arial"/>
                <w:color w:val="0D0D0D" w:themeColor="text1" w:themeTint="F2"/>
              </w:rPr>
              <w:t> </w:t>
            </w:r>
            <w:r w:rsidRPr="00360DE3">
              <w:rPr>
                <w:rFonts w:cs="Arial"/>
                <w:color w:val="0D0D0D" w:themeColor="text1" w:themeTint="F2"/>
              </w:rPr>
              <w:t>%, v případě mediánu o 19 %. Z ostatních regionů platilo totéž jen pro Středočeský kraj (u průměrné mzdy), popř. ještě doplněný krajem Plzeňským (u mediánové mzdy).  Převis Prahy nad národní úrovní se v posledních letech snížil – v roce 2012 dosahoval u průměrné mzdy 36 % (resp. 24 % u mediánové mzdy). Rozdíly mezi mimopražským i kraji se za posledních pět let výrazněji nezměnily. Nejnižší mzdová úroveň přetrvává na Karlovarsku (87 % národní úrovně v roce 2017, resp. 83 % před pěti lety). V pořadí regionů si mírně polepšil Plzeňský kraj, slabší mzdovou dynamiku naopak vedle Prahy vykázal také kraj Moravskoslezský.</w:t>
            </w:r>
          </w:p>
        </w:tc>
      </w:tr>
      <w:tr w:rsidR="00A51F19" w:rsidRPr="00360DE3" w:rsidTr="00360DE3">
        <w:trPr>
          <w:trHeight w:val="145"/>
        </w:trPr>
        <w:tc>
          <w:tcPr>
            <w:tcW w:w="1976" w:type="dxa"/>
          </w:tcPr>
          <w:p w:rsidR="00A51F19" w:rsidRPr="00360DE3" w:rsidRDefault="00A51F19" w:rsidP="005D3386">
            <w:pPr>
              <w:pStyle w:val="Marginlie"/>
              <w:rPr>
                <w:spacing w:val="0"/>
              </w:rPr>
            </w:pPr>
            <w:r w:rsidRPr="00360DE3">
              <w:rPr>
                <w:spacing w:val="0"/>
              </w:rPr>
              <w:t xml:space="preserve">Mzdová dominace Prahy nad ostatními regiony se snižovala úměrně s kvalifikačními nároky v zaměstnání. Vedoucí postavení ztrácela </w:t>
            </w:r>
            <w:r w:rsidR="0026743D">
              <w:rPr>
                <w:spacing w:val="0"/>
              </w:rPr>
              <w:t>u</w:t>
            </w:r>
            <w:r w:rsidR="0026743D" w:rsidRPr="00360DE3">
              <w:rPr>
                <w:spacing w:val="0"/>
              </w:rPr>
              <w:t> </w:t>
            </w:r>
            <w:r w:rsidRPr="00360DE3">
              <w:rPr>
                <w:spacing w:val="0"/>
              </w:rPr>
              <w:t>manuálních činností.</w:t>
            </w:r>
          </w:p>
        </w:tc>
        <w:tc>
          <w:tcPr>
            <w:tcW w:w="277" w:type="dxa"/>
          </w:tcPr>
          <w:p w:rsidR="00A51F19" w:rsidRPr="00360DE3" w:rsidRDefault="00A51F19" w:rsidP="005D3386">
            <w:pPr>
              <w:pStyle w:val="Textpoznpodarou"/>
              <w:jc w:val="both"/>
            </w:pPr>
          </w:p>
        </w:tc>
        <w:tc>
          <w:tcPr>
            <w:tcW w:w="7391" w:type="dxa"/>
          </w:tcPr>
          <w:p w:rsidR="00A51F19" w:rsidRPr="00360DE3" w:rsidRDefault="00A51F19" w:rsidP="005D3386">
            <w:pPr>
              <w:spacing w:after="0"/>
              <w:rPr>
                <w:rFonts w:cs="Arial"/>
                <w:color w:val="0D0D0D" w:themeColor="text1" w:themeTint="F2"/>
              </w:rPr>
            </w:pPr>
            <w:r w:rsidRPr="00360DE3">
              <w:rPr>
                <w:rFonts w:cs="Arial"/>
                <w:color w:val="0D0D0D" w:themeColor="text1" w:themeTint="F2"/>
              </w:rPr>
              <w:t xml:space="preserve">V rámci hlavních tříd zaměstnání dosahovala </w:t>
            </w:r>
            <w:r w:rsidR="006836CB">
              <w:rPr>
                <w:rFonts w:cs="Arial"/>
                <w:color w:val="0D0D0D" w:themeColor="text1" w:themeTint="F2"/>
              </w:rPr>
              <w:t>loni Praha největší dominance u</w:t>
            </w:r>
            <w:r w:rsidR="006836CB" w:rsidRPr="00360DE3">
              <w:rPr>
                <w:rFonts w:cs="Arial"/>
                <w:color w:val="0D0D0D" w:themeColor="text1" w:themeTint="F2"/>
              </w:rPr>
              <w:t> </w:t>
            </w:r>
            <w:r w:rsidRPr="00360DE3">
              <w:rPr>
                <w:rFonts w:cs="Arial"/>
                <w:color w:val="0D0D0D" w:themeColor="text1" w:themeTint="F2"/>
              </w:rPr>
              <w:t xml:space="preserve">řídících pracovníků, u nichž průměrná hrubá měsíční mzda v metropoli (85 tis. korun) byla oproti Karlovarskému kraji vyšší o 78 %. Výsostné postavení Prahy panovalo také u specialistů, naopak v kvalifikovaných manuálních profesích ji pokořil Středočeský kraj (kde lze předpokládat dobré uplatnění těchto pracovníků v automobilovém průmyslu a na něj navázaných oborech). Průměrné mzdy pomocných a nekvalifikovaných pracovníků v Praze se dokonce nacházely pod celorepublikovým průměrem této třídy. Nejméně kvalifikovaní pracovníci na Plzeňsku si tak vydělali o osminu více než v Praze (absolutně šlo ale jen o 2,3 tis. korun měsíčně). Nejnižší </w:t>
            </w:r>
            <w:proofErr w:type="spellStart"/>
            <w:r w:rsidRPr="00360DE3">
              <w:rPr>
                <w:rFonts w:cs="Arial"/>
                <w:color w:val="0D0D0D" w:themeColor="text1" w:themeTint="F2"/>
              </w:rPr>
              <w:t>mezikrajské</w:t>
            </w:r>
            <w:proofErr w:type="spellEnd"/>
            <w:r w:rsidRPr="00360DE3">
              <w:rPr>
                <w:rFonts w:cs="Arial"/>
                <w:color w:val="0D0D0D" w:themeColor="text1" w:themeTint="F2"/>
              </w:rPr>
              <w:t xml:space="preserve"> disparity dlouhodobě přetrvávají </w:t>
            </w:r>
            <w:r w:rsidR="0026207F">
              <w:rPr>
                <w:rFonts w:cs="Arial"/>
                <w:color w:val="0D0D0D" w:themeColor="text1" w:themeTint="F2"/>
              </w:rPr>
              <w:t xml:space="preserve">v </w:t>
            </w:r>
            <w:r w:rsidRPr="00360DE3">
              <w:rPr>
                <w:rFonts w:cs="Arial"/>
                <w:color w:val="0D0D0D" w:themeColor="text1" w:themeTint="F2"/>
              </w:rPr>
              <w:t>kategorii obsluha strojů a zařízení (od 24,0 tis. na Pardubicku po 27,6 tis. ve Středočeském kraji).</w:t>
            </w:r>
          </w:p>
        </w:tc>
      </w:tr>
    </w:tbl>
    <w:p w:rsidR="005D3386" w:rsidRPr="00360DE3" w:rsidRDefault="005D3386" w:rsidP="005D3386">
      <w:pPr>
        <w:rPr>
          <w:sz w:val="2"/>
          <w:szCs w:val="2"/>
        </w:rPr>
      </w:pPr>
    </w:p>
    <w:p w:rsidR="00C466D2" w:rsidRPr="00360DE3" w:rsidRDefault="00C466D2" w:rsidP="00C466D2">
      <w:pPr>
        <w:rPr>
          <w:rFonts w:eastAsia="MS Gothic"/>
          <w:color w:val="71818C"/>
          <w:sz w:val="32"/>
          <w:szCs w:val="28"/>
        </w:rPr>
      </w:pPr>
      <w:r w:rsidRPr="00360DE3">
        <w:br w:type="page"/>
      </w:r>
    </w:p>
    <w:p w:rsidR="00141782" w:rsidRPr="00360DE3" w:rsidRDefault="00141782" w:rsidP="00141782">
      <w:pPr>
        <w:pStyle w:val="Nadpis1"/>
        <w:rPr>
          <w:lang w:eastAsia="en-US"/>
        </w:rPr>
      </w:pPr>
      <w:bookmarkStart w:id="19" w:name="_Toc527639474"/>
      <w:r w:rsidRPr="00360DE3">
        <w:rPr>
          <w:lang w:eastAsia="en-US"/>
        </w:rPr>
        <w:lastRenderedPageBreak/>
        <w:t>Hlavní institucionální sektory ekonomiky</w:t>
      </w:r>
      <w:bookmarkEnd w:id="19"/>
    </w:p>
    <w:p w:rsidR="00141782" w:rsidRPr="00360DE3" w:rsidRDefault="00E212C9" w:rsidP="00141782">
      <w:pPr>
        <w:pStyle w:val="Nadpis1"/>
        <w:rPr>
          <w:lang w:eastAsia="en-US"/>
        </w:rPr>
      </w:pPr>
      <w:bookmarkStart w:id="20" w:name="_Toc527639475"/>
      <w:r w:rsidRPr="00360DE3">
        <w:rPr>
          <w:lang w:eastAsia="en-US"/>
        </w:rPr>
        <w:t>6</w:t>
      </w:r>
      <w:r w:rsidR="00141782" w:rsidRPr="00360DE3">
        <w:rPr>
          <w:lang w:eastAsia="en-US"/>
        </w:rPr>
        <w:t>. Nefinanční podniky</w:t>
      </w:r>
      <w:bookmarkEnd w:id="20"/>
    </w:p>
    <w:tbl>
      <w:tblPr>
        <w:tblW w:w="9644" w:type="dxa"/>
        <w:tblInd w:w="-15" w:type="dxa"/>
        <w:tblLayout w:type="fixed"/>
        <w:tblCellMar>
          <w:left w:w="0" w:type="dxa"/>
          <w:right w:w="0" w:type="dxa"/>
        </w:tblCellMar>
        <w:tblLook w:val="00A0"/>
      </w:tblPr>
      <w:tblGrid>
        <w:gridCol w:w="1976"/>
        <w:gridCol w:w="277"/>
        <w:gridCol w:w="7391"/>
      </w:tblGrid>
      <w:tr w:rsidR="009C03C8" w:rsidRPr="00157A87" w:rsidTr="00DF7AD4">
        <w:trPr>
          <w:trHeight w:val="145"/>
        </w:trPr>
        <w:tc>
          <w:tcPr>
            <w:tcW w:w="1976" w:type="dxa"/>
          </w:tcPr>
          <w:p w:rsidR="009C03C8" w:rsidRPr="00157A87" w:rsidRDefault="009C03C8" w:rsidP="00DF7AD4">
            <w:pPr>
              <w:pStyle w:val="Marginlie"/>
            </w:pPr>
            <w:r>
              <w:t>Váha sektoru nefinančních podniků na hrubé přidané hodnotě v celé ekonomice po roce 2010 plynule narůstala.</w:t>
            </w:r>
          </w:p>
        </w:tc>
        <w:tc>
          <w:tcPr>
            <w:tcW w:w="277" w:type="dxa"/>
          </w:tcPr>
          <w:p w:rsidR="009C03C8" w:rsidRPr="00157A87" w:rsidRDefault="009C03C8" w:rsidP="00DF7AD4">
            <w:pPr>
              <w:pStyle w:val="Textpoznpodarou"/>
              <w:jc w:val="both"/>
              <w:rPr>
                <w:spacing w:val="-4"/>
              </w:rPr>
            </w:pPr>
          </w:p>
        </w:tc>
        <w:tc>
          <w:tcPr>
            <w:tcW w:w="7391" w:type="dxa"/>
          </w:tcPr>
          <w:p w:rsidR="009C03C8" w:rsidRPr="00E972A9" w:rsidRDefault="009C03C8" w:rsidP="00DF7AD4">
            <w:pPr>
              <w:rPr>
                <w:rFonts w:cs="Arial"/>
                <w:spacing w:val="-4"/>
                <w:szCs w:val="20"/>
              </w:rPr>
            </w:pPr>
            <w:r w:rsidRPr="00E972A9">
              <w:rPr>
                <w:rFonts w:cs="Arial"/>
                <w:spacing w:val="-4"/>
                <w:szCs w:val="20"/>
              </w:rPr>
              <w:t>Nefinanční podniky tvoří v Česku podobně jako v ostatních vyspělých státech páteř celé ekonomiky, neboť prostupují drtivou většinou odvětví</w:t>
            </w:r>
            <w:r w:rsidRPr="00E04F27">
              <w:rPr>
                <w:rStyle w:val="Znakapoznpodarou"/>
                <w:rFonts w:cs="Arial"/>
                <w:spacing w:val="-4"/>
                <w:szCs w:val="20"/>
              </w:rPr>
              <w:footnoteReference w:id="29"/>
            </w:r>
            <w:r w:rsidRPr="00E04F27">
              <w:rPr>
                <w:rFonts w:cs="Arial"/>
                <w:spacing w:val="-4"/>
                <w:szCs w:val="20"/>
                <w:vertAlign w:val="superscript"/>
              </w:rPr>
              <w:t>.</w:t>
            </w:r>
            <w:r w:rsidRPr="00E972A9">
              <w:rPr>
                <w:rFonts w:cs="Arial"/>
                <w:spacing w:val="-4"/>
                <w:szCs w:val="20"/>
              </w:rPr>
              <w:t xml:space="preserve"> Sehrávají klíčovou roli v oblasti produkce, investic či zaměstnanosti. V roce 2017 se tento sektor podílel na hrubé přidané hodnotě (HPH) v národním hospodářství rekordními 62,7 %. Po </w:t>
            </w:r>
            <w:proofErr w:type="gramStart"/>
            <w:r w:rsidRPr="00E972A9">
              <w:rPr>
                <w:rFonts w:cs="Arial"/>
                <w:spacing w:val="-4"/>
                <w:szCs w:val="20"/>
              </w:rPr>
              <w:t>roce  2010</w:t>
            </w:r>
            <w:proofErr w:type="gramEnd"/>
            <w:r w:rsidRPr="00E972A9">
              <w:rPr>
                <w:rFonts w:cs="Arial"/>
                <w:spacing w:val="-4"/>
                <w:szCs w:val="20"/>
              </w:rPr>
              <w:t xml:space="preserve"> jeho váha plynule narůstá </w:t>
            </w:r>
            <w:r w:rsidR="0026743D">
              <w:rPr>
                <w:rFonts w:cs="Arial"/>
                <w:spacing w:val="-4"/>
                <w:szCs w:val="20"/>
              </w:rPr>
              <w:t>(na úkor všech ostatních sektorů</w:t>
            </w:r>
            <w:r w:rsidRPr="00E972A9">
              <w:rPr>
                <w:rFonts w:cs="Arial"/>
                <w:spacing w:val="-4"/>
                <w:szCs w:val="20"/>
              </w:rPr>
              <w:t xml:space="preserve">, především domácností). Působení nefinančních podniků má </w:t>
            </w:r>
            <w:proofErr w:type="spellStart"/>
            <w:r w:rsidRPr="00E972A9">
              <w:rPr>
                <w:rFonts w:cs="Arial"/>
                <w:spacing w:val="-4"/>
                <w:szCs w:val="20"/>
              </w:rPr>
              <w:t>procyklický</w:t>
            </w:r>
            <w:proofErr w:type="spellEnd"/>
            <w:r w:rsidRPr="00E972A9">
              <w:rPr>
                <w:rFonts w:cs="Arial"/>
                <w:spacing w:val="-4"/>
                <w:szCs w:val="20"/>
              </w:rPr>
              <w:t xml:space="preserve"> charakter, což souvisí se skutečností, že téměř polovina jeho HPH pochází z průmyslu (výrazně exportně orientovaného) a další osminu z oborů na něj těsněji navázaných (doprava a skladování, stavebnictví). Citlivost nefinančních podniků na vývoj zahraniční poptávky nepřímo dokládá i vysoký podíl HPH vytvořené v tomto sektoru v subjektech pod zahraniční kontrolou (v roce 2016 již 48 %, v samotném průmyslu 60 %).</w:t>
            </w:r>
          </w:p>
        </w:tc>
      </w:tr>
      <w:tr w:rsidR="009C03C8" w:rsidRPr="00894C66" w:rsidTr="00DF7AD4">
        <w:tc>
          <w:tcPr>
            <w:tcW w:w="1976" w:type="dxa"/>
            <w:vMerge w:val="restart"/>
          </w:tcPr>
          <w:p w:rsidR="009C03C8" w:rsidRDefault="009C03C8" w:rsidP="00DF7AD4">
            <w:pPr>
              <w:pStyle w:val="Marginlie"/>
            </w:pPr>
          </w:p>
        </w:tc>
        <w:tc>
          <w:tcPr>
            <w:tcW w:w="277" w:type="dxa"/>
            <w:vMerge w:val="restart"/>
          </w:tcPr>
          <w:p w:rsidR="009C03C8" w:rsidRPr="005E4483" w:rsidRDefault="009C03C8" w:rsidP="00DF7AD4">
            <w:pPr>
              <w:pStyle w:val="Textpoznpodarou"/>
              <w:jc w:val="both"/>
              <w:rPr>
                <w:spacing w:val="-4"/>
              </w:rPr>
            </w:pPr>
          </w:p>
        </w:tc>
        <w:tc>
          <w:tcPr>
            <w:tcW w:w="7391" w:type="dxa"/>
          </w:tcPr>
          <w:p w:rsidR="009C03C8" w:rsidRPr="006C7614" w:rsidRDefault="009C03C8" w:rsidP="00DF7AD4">
            <w:pPr>
              <w:spacing w:after="0"/>
              <w:rPr>
                <w:b/>
              </w:rPr>
            </w:pPr>
            <w:r>
              <w:rPr>
                <w:b/>
              </w:rPr>
              <w:t xml:space="preserve">Graf </w:t>
            </w:r>
            <w:proofErr w:type="gramStart"/>
            <w:r>
              <w:rPr>
                <w:b/>
              </w:rPr>
              <w:t xml:space="preserve">6.1  </w:t>
            </w:r>
            <w:r w:rsidRPr="006C7614">
              <w:rPr>
                <w:b/>
                <w:bCs/>
              </w:rPr>
              <w:t>Základní</w:t>
            </w:r>
            <w:proofErr w:type="gramEnd"/>
            <w:r w:rsidRPr="006C7614">
              <w:rPr>
                <w:b/>
                <w:bCs/>
              </w:rPr>
              <w:t xml:space="preserve"> ukazatele </w:t>
            </w:r>
            <w:r>
              <w:rPr>
                <w:b/>
                <w:bCs/>
              </w:rPr>
              <w:t xml:space="preserve">sektoru nefinančních podniků </w:t>
            </w:r>
          </w:p>
          <w:p w:rsidR="009C03C8" w:rsidRPr="004454DC" w:rsidRDefault="009C03C8" w:rsidP="00DF7AD4">
            <w:pPr>
              <w:spacing w:after="0"/>
              <w:rPr>
                <w:b/>
              </w:rPr>
            </w:pPr>
            <w:r w:rsidRPr="00CE22E1">
              <w:rPr>
                <w:b/>
                <w:noProof/>
              </w:rPr>
              <w:drawing>
                <wp:inline distT="0" distB="0" distL="0" distR="0">
                  <wp:extent cx="4641850" cy="3657600"/>
                  <wp:effectExtent l="19050" t="0" r="6350" b="0"/>
                  <wp:docPr id="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9C03C8" w:rsidRPr="00894C66" w:rsidTr="00DF7AD4">
        <w:trPr>
          <w:trHeight w:val="284"/>
        </w:trPr>
        <w:tc>
          <w:tcPr>
            <w:tcW w:w="1976" w:type="dxa"/>
            <w:vMerge/>
          </w:tcPr>
          <w:p w:rsidR="009C03C8" w:rsidRDefault="009C03C8" w:rsidP="00DF7AD4">
            <w:pPr>
              <w:pStyle w:val="Marginlie"/>
            </w:pPr>
          </w:p>
        </w:tc>
        <w:tc>
          <w:tcPr>
            <w:tcW w:w="277" w:type="dxa"/>
            <w:vMerge/>
          </w:tcPr>
          <w:p w:rsidR="009C03C8" w:rsidRPr="005E4483" w:rsidRDefault="009C03C8" w:rsidP="00DF7AD4">
            <w:pPr>
              <w:pStyle w:val="Textpoznpodarou"/>
              <w:jc w:val="both"/>
              <w:rPr>
                <w:spacing w:val="-4"/>
              </w:rPr>
            </w:pPr>
          </w:p>
        </w:tc>
        <w:tc>
          <w:tcPr>
            <w:tcW w:w="7391" w:type="dxa"/>
          </w:tcPr>
          <w:p w:rsidR="009C03C8" w:rsidRPr="00B75F8F" w:rsidRDefault="009C03C8" w:rsidP="00DF7AD4">
            <w:pPr>
              <w:spacing w:after="0" w:line="240" w:lineRule="auto"/>
              <w:rPr>
                <w:sz w:val="14"/>
                <w:szCs w:val="14"/>
              </w:rPr>
            </w:pPr>
            <w:r w:rsidRPr="00B75F8F">
              <w:rPr>
                <w:sz w:val="14"/>
                <w:szCs w:val="14"/>
              </w:rPr>
              <w:t xml:space="preserve">Poznámky k výpočtu relativních ukazatelů: </w:t>
            </w:r>
          </w:p>
          <w:p w:rsidR="009C03C8" w:rsidRPr="00B75F8F" w:rsidRDefault="009C03C8" w:rsidP="00DF7AD4">
            <w:pPr>
              <w:spacing w:after="0" w:line="240" w:lineRule="auto"/>
              <w:rPr>
                <w:sz w:val="14"/>
                <w:szCs w:val="14"/>
              </w:rPr>
            </w:pPr>
            <w:r w:rsidRPr="00B75F8F">
              <w:rPr>
                <w:sz w:val="14"/>
                <w:szCs w:val="14"/>
              </w:rPr>
              <w:t>Míra zisku = hrubý provozní přebytek / hrubá přidaná hodnota * 100</w:t>
            </w:r>
          </w:p>
          <w:p w:rsidR="009C03C8" w:rsidRPr="00B75F8F" w:rsidRDefault="009C03C8" w:rsidP="00DF7AD4">
            <w:pPr>
              <w:spacing w:after="0" w:line="240" w:lineRule="auto"/>
              <w:rPr>
                <w:sz w:val="14"/>
                <w:szCs w:val="14"/>
              </w:rPr>
            </w:pPr>
            <w:r w:rsidRPr="00B75F8F">
              <w:rPr>
                <w:sz w:val="14"/>
                <w:szCs w:val="14"/>
              </w:rPr>
              <w:t>Míra investic = hrubá tvorba fixního kapitálu / hrubá přidaná hodnota * 100</w:t>
            </w:r>
          </w:p>
          <w:p w:rsidR="009C03C8" w:rsidRPr="00B75F8F" w:rsidRDefault="009C03C8" w:rsidP="00DF7AD4">
            <w:pPr>
              <w:spacing w:after="0" w:line="240" w:lineRule="auto"/>
              <w:rPr>
                <w:sz w:val="14"/>
                <w:szCs w:val="14"/>
              </w:rPr>
            </w:pPr>
            <w:r w:rsidRPr="00B75F8F">
              <w:rPr>
                <w:sz w:val="14"/>
                <w:szCs w:val="14"/>
              </w:rPr>
              <w:t>Míra samofinancování (užší pojetí) = hrubé úspory / hrubá tvorba fixního kapitálu *100</w:t>
            </w:r>
          </w:p>
          <w:p w:rsidR="009C03C8" w:rsidRPr="00D209A6" w:rsidRDefault="009C03C8" w:rsidP="00DF7AD4">
            <w:pPr>
              <w:spacing w:after="0" w:line="240" w:lineRule="auto"/>
              <w:rPr>
                <w:sz w:val="14"/>
                <w:szCs w:val="14"/>
              </w:rPr>
            </w:pPr>
            <w:r w:rsidRPr="00B75F8F">
              <w:rPr>
                <w:sz w:val="14"/>
                <w:szCs w:val="14"/>
              </w:rPr>
              <w:t>Míra samofinancování (širší pojetí) = (hrubé úspory + saldo kapitálových transferů) / (hrubá tvorba kapitálu+čisté přírůstky půdy a nehmotných aktiv) * 100</w:t>
            </w:r>
          </w:p>
          <w:p w:rsidR="009C03C8" w:rsidRPr="00444E6D" w:rsidRDefault="009C03C8" w:rsidP="009C03C8">
            <w:pPr>
              <w:pStyle w:val="Zhlav"/>
              <w:spacing w:after="240" w:line="276" w:lineRule="auto"/>
              <w:jc w:val="both"/>
              <w:rPr>
                <w:rFonts w:cs="Arial"/>
                <w:sz w:val="14"/>
                <w:szCs w:val="14"/>
                <w:lang w:eastAsia="cs-CZ"/>
              </w:rPr>
            </w:pPr>
            <w:r w:rsidRPr="00B75F8F">
              <w:rPr>
                <w:rFonts w:cs="Arial"/>
                <w:sz w:val="14"/>
                <w:szCs w:val="14"/>
                <w:lang w:eastAsia="cs-CZ"/>
              </w:rPr>
              <w:t>Zdroj: ČSÚ (národní účty)</w:t>
            </w:r>
            <w:r w:rsidRPr="00B75F8F">
              <w:rPr>
                <w:rFonts w:cs="Arial"/>
                <w:szCs w:val="16"/>
                <w:lang w:eastAsia="cs-CZ"/>
              </w:rPr>
              <w:t xml:space="preserve"> </w:t>
            </w:r>
          </w:p>
        </w:tc>
      </w:tr>
      <w:tr w:rsidR="009C03C8" w:rsidRPr="00894C66" w:rsidTr="00DF7AD4">
        <w:trPr>
          <w:trHeight w:val="145"/>
        </w:trPr>
        <w:tc>
          <w:tcPr>
            <w:tcW w:w="1976" w:type="dxa"/>
          </w:tcPr>
          <w:p w:rsidR="009C03C8" w:rsidRDefault="009C03C8" w:rsidP="00DF7AD4">
            <w:pPr>
              <w:pStyle w:val="Marginlie"/>
            </w:pPr>
            <w:r>
              <w:t>Růstové tempo zaměstnanosti v nefinančních podnicích sláblo, přesto bylo vyšší než v celé ekonomice.</w:t>
            </w:r>
          </w:p>
          <w:p w:rsidR="009C03C8" w:rsidRDefault="009C03C8" w:rsidP="00DF7AD4">
            <w:pPr>
              <w:pStyle w:val="Marginlie"/>
            </w:pPr>
          </w:p>
          <w:p w:rsidR="009C03C8" w:rsidRDefault="009C03C8" w:rsidP="00DF7AD4">
            <w:pPr>
              <w:pStyle w:val="Marginlie"/>
            </w:pPr>
          </w:p>
          <w:p w:rsidR="009C03C8" w:rsidRDefault="009C03C8" w:rsidP="00DF7AD4">
            <w:pPr>
              <w:pStyle w:val="Marginlie"/>
            </w:pPr>
          </w:p>
          <w:p w:rsidR="009C03C8" w:rsidRDefault="009C03C8" w:rsidP="00DF7AD4">
            <w:pPr>
              <w:pStyle w:val="Marginlie"/>
            </w:pPr>
          </w:p>
          <w:p w:rsidR="009C03C8" w:rsidRDefault="009C03C8" w:rsidP="00DF7AD4">
            <w:pPr>
              <w:pStyle w:val="Marginlie"/>
            </w:pPr>
            <w:r>
              <w:t>Náklady práce jsou relativně nejvíce zatíženy soukromé podniky s převahou národního kapitálu, nejméně veřejné nefinanční podniky.</w:t>
            </w:r>
          </w:p>
        </w:tc>
        <w:tc>
          <w:tcPr>
            <w:tcW w:w="277" w:type="dxa"/>
          </w:tcPr>
          <w:p w:rsidR="009C03C8" w:rsidRPr="005E4483" w:rsidRDefault="009C03C8" w:rsidP="00DF7AD4">
            <w:pPr>
              <w:pStyle w:val="Textpoznpodarou"/>
              <w:jc w:val="both"/>
              <w:rPr>
                <w:spacing w:val="-4"/>
              </w:rPr>
            </w:pPr>
          </w:p>
        </w:tc>
        <w:tc>
          <w:tcPr>
            <w:tcW w:w="7391" w:type="dxa"/>
          </w:tcPr>
          <w:p w:rsidR="009C03C8" w:rsidRPr="00E972A9" w:rsidRDefault="009C03C8" w:rsidP="009C03C8">
            <w:pPr>
              <w:rPr>
                <w:rFonts w:cs="Arial"/>
                <w:spacing w:val="-4"/>
                <w:szCs w:val="20"/>
              </w:rPr>
            </w:pPr>
            <w:r w:rsidRPr="00E972A9">
              <w:rPr>
                <w:rFonts w:cs="Arial"/>
                <w:spacing w:val="-4"/>
                <w:szCs w:val="20"/>
              </w:rPr>
              <w:t>V sektoru nefinančních podniků loni pracovalo 3,183 mil. lidí (po přepočtu na plné úvazky)</w:t>
            </w:r>
            <w:r w:rsidRPr="00E04F27">
              <w:rPr>
                <w:rStyle w:val="Znakapoznpodarou"/>
                <w:rFonts w:cs="Arial"/>
                <w:spacing w:val="-4"/>
                <w:szCs w:val="20"/>
              </w:rPr>
              <w:footnoteReference w:id="30"/>
            </w:r>
            <w:r w:rsidRPr="00E972A9">
              <w:rPr>
                <w:rFonts w:cs="Arial"/>
                <w:spacing w:val="-4"/>
                <w:szCs w:val="20"/>
              </w:rPr>
              <w:t xml:space="preserve">. Na zaměstnanosti v celé ekonomice se podílel 60,6 % (v případě zaměstnanců byl tento podíl ještě o zhruba 10 p. </w:t>
            </w:r>
            <w:proofErr w:type="spellStart"/>
            <w:r w:rsidRPr="00E972A9">
              <w:rPr>
                <w:rFonts w:cs="Arial"/>
                <w:spacing w:val="-4"/>
                <w:szCs w:val="20"/>
              </w:rPr>
              <w:t>b</w:t>
            </w:r>
            <w:proofErr w:type="spellEnd"/>
            <w:r w:rsidRPr="00E972A9">
              <w:rPr>
                <w:rFonts w:cs="Arial"/>
                <w:spacing w:val="-4"/>
                <w:szCs w:val="20"/>
              </w:rPr>
              <w:t xml:space="preserve">. </w:t>
            </w:r>
            <w:proofErr w:type="gramStart"/>
            <w:r w:rsidRPr="00E972A9">
              <w:rPr>
                <w:rFonts w:cs="Arial"/>
                <w:spacing w:val="-4"/>
                <w:szCs w:val="20"/>
              </w:rPr>
              <w:t>vyšší</w:t>
            </w:r>
            <w:proofErr w:type="gramEnd"/>
            <w:r w:rsidRPr="00E972A9">
              <w:rPr>
                <w:rFonts w:cs="Arial"/>
                <w:spacing w:val="-4"/>
                <w:szCs w:val="20"/>
              </w:rPr>
              <w:t>). Přestože meziroční přírůstek pracovníků byl loni v podnicích nejslabší</w:t>
            </w:r>
            <w:r w:rsidR="00DF7AD4" w:rsidRPr="00E972A9">
              <w:rPr>
                <w:rFonts w:cs="Arial"/>
                <w:spacing w:val="-4"/>
                <w:szCs w:val="20"/>
              </w:rPr>
              <w:t xml:space="preserve"> za posledních čtyři roky (+1,7 </w:t>
            </w:r>
            <w:r w:rsidRPr="00E972A9">
              <w:rPr>
                <w:rFonts w:cs="Arial"/>
                <w:spacing w:val="-4"/>
                <w:szCs w:val="20"/>
              </w:rPr>
              <w:t xml:space="preserve">%), </w:t>
            </w:r>
            <w:r w:rsidRPr="00E972A9">
              <w:rPr>
                <w:rFonts w:cs="Arial"/>
                <w:spacing w:val="-4"/>
                <w:szCs w:val="20"/>
              </w:rPr>
              <w:lastRenderedPageBreak/>
              <w:t xml:space="preserve">stále šlo o silnější tempo než v národním hospodářství (+1,2 %). Zvolnění růstového tempa nevypovídá ani tak o snížení vysoké důvěry podnikové sféry v ekonomiku, jako spíše o vyčerpání velké části rezerv potenciální pracovní síly na tuzemském trhu. Sílící napětí na pracovním trhu vedlo v letech 2016 a 2017 k akceleraci růstu průměrných mezd.  Nominální růst výdajů na mzdy a platy se loni rovnal 8,4 % (v roce 2016 dosáhl 6,0 %). Výdělky v nefinančních podnicích tak rostly nejvyšším tempem za posledních devět let. Pro podniky ale takový vývoj znamenal zátěž. Z vytvořené hrubé přidané hodnoty putovalo loni na náhrady zaměstnancům (vyjadřující celkové náklady práce) 51,6 %. Tento podíl rostl již druhým rokem v řadě. Z podrobnějšího pohledu plyne, že dlouhodobě jsou v Česku náklady práce nejvíce zatíženy soukromé podniky s převahou národního kapitálu, nejméně pak veřejné nefinanční podniky. I přes celkově vyšší hladinu průměrných mezd v podnicích pod zahraniční kontrolou směřuje na náhrady zaměstnancům jen menší část HPH (ve prospěch provozního přebytku). Tyto podniky si tak udržují vysokou míru zisku (ta v roce 2016 činila ve všech nefinančních podnicích 50,5 %, v podnicích pod zahraniční kontrolou 53,1 %). </w:t>
            </w:r>
          </w:p>
        </w:tc>
      </w:tr>
      <w:tr w:rsidR="009C03C8" w:rsidRPr="004454DC"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5673A4" w:rsidRDefault="009C03C8" w:rsidP="00DF7AD4">
            <w:pPr>
              <w:spacing w:after="0"/>
              <w:rPr>
                <w:rFonts w:cs="Arial"/>
                <w:spacing w:val="-2"/>
                <w:szCs w:val="20"/>
              </w:rPr>
            </w:pPr>
            <w:r>
              <w:rPr>
                <w:rFonts w:cs="Arial"/>
                <w:b/>
                <w:spacing w:val="-2"/>
                <w:szCs w:val="20"/>
              </w:rPr>
              <w:t xml:space="preserve">Graf </w:t>
            </w:r>
            <w:proofErr w:type="gramStart"/>
            <w:r>
              <w:rPr>
                <w:rFonts w:cs="Arial"/>
                <w:b/>
                <w:spacing w:val="-2"/>
                <w:szCs w:val="20"/>
              </w:rPr>
              <w:t>6.2</w:t>
            </w:r>
            <w:r w:rsidRPr="005673A4">
              <w:rPr>
                <w:rFonts w:cs="Arial"/>
                <w:b/>
                <w:spacing w:val="-2"/>
                <w:szCs w:val="20"/>
              </w:rPr>
              <w:t xml:space="preserve">  </w:t>
            </w:r>
            <w:r>
              <w:rPr>
                <w:rFonts w:cs="Arial"/>
                <w:b/>
                <w:spacing w:val="-2"/>
                <w:szCs w:val="20"/>
              </w:rPr>
              <w:t>Náklady</w:t>
            </w:r>
            <w:proofErr w:type="gramEnd"/>
            <w:r>
              <w:rPr>
                <w:rFonts w:cs="Arial"/>
                <w:b/>
                <w:spacing w:val="-2"/>
                <w:szCs w:val="20"/>
              </w:rPr>
              <w:t xml:space="preserve"> práce nefinančních podniků a jejich </w:t>
            </w:r>
            <w:proofErr w:type="spellStart"/>
            <w:r>
              <w:rPr>
                <w:rFonts w:cs="Arial"/>
                <w:b/>
                <w:spacing w:val="-2"/>
                <w:szCs w:val="20"/>
              </w:rPr>
              <w:t>subsektorů</w:t>
            </w:r>
            <w:proofErr w:type="spellEnd"/>
          </w:p>
          <w:p w:rsidR="009C03C8" w:rsidRPr="00D6151E" w:rsidRDefault="009C03C8" w:rsidP="00DF7AD4">
            <w:pPr>
              <w:spacing w:after="0"/>
            </w:pPr>
            <w:r w:rsidRPr="002A4D16">
              <w:rPr>
                <w:noProof/>
              </w:rPr>
              <w:drawing>
                <wp:inline distT="0" distB="0" distL="0" distR="0">
                  <wp:extent cx="4641850" cy="3676650"/>
                  <wp:effectExtent l="19050" t="0" r="6350" b="0"/>
                  <wp:docPr id="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C03C8" w:rsidRPr="00444E6D"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D6151E" w:rsidRDefault="009C03C8" w:rsidP="009C03C8">
            <w:r>
              <w:rPr>
                <w:rFonts w:cs="Arial"/>
                <w:sz w:val="14"/>
                <w:szCs w:val="14"/>
              </w:rPr>
              <w:t>Zdroj: ČSÚ (národní účty)</w:t>
            </w:r>
          </w:p>
        </w:tc>
      </w:tr>
      <w:tr w:rsidR="009C03C8" w:rsidRPr="00C07CE0" w:rsidTr="00DF7AD4">
        <w:trPr>
          <w:trHeight w:val="170"/>
        </w:trPr>
        <w:tc>
          <w:tcPr>
            <w:tcW w:w="1976" w:type="dxa"/>
          </w:tcPr>
          <w:p w:rsidR="009C03C8" w:rsidRDefault="009C03C8" w:rsidP="00DF7AD4">
            <w:pPr>
              <w:pStyle w:val="Marginlie"/>
            </w:pPr>
            <w:r>
              <w:t>Míra zisku podniků se poprvé po třech letech snížila pod 50 %, Výrazně se lišila mezi odvětvími.</w:t>
            </w:r>
          </w:p>
        </w:tc>
        <w:tc>
          <w:tcPr>
            <w:tcW w:w="277" w:type="dxa"/>
          </w:tcPr>
          <w:p w:rsidR="009C03C8" w:rsidRPr="00891CBB" w:rsidRDefault="009C03C8" w:rsidP="00DF7AD4">
            <w:pPr>
              <w:pStyle w:val="Textpoznpodarou"/>
              <w:jc w:val="both"/>
              <w:rPr>
                <w:spacing w:val="-4"/>
              </w:rPr>
            </w:pPr>
          </w:p>
        </w:tc>
        <w:tc>
          <w:tcPr>
            <w:tcW w:w="7391" w:type="dxa"/>
          </w:tcPr>
          <w:p w:rsidR="009C03C8" w:rsidRPr="00E972A9" w:rsidRDefault="009C03C8" w:rsidP="00DF7AD4">
            <w:pPr>
              <w:rPr>
                <w:rFonts w:cs="Arial"/>
                <w:spacing w:val="-4"/>
                <w:szCs w:val="20"/>
              </w:rPr>
            </w:pPr>
            <w:r w:rsidRPr="00E972A9">
              <w:rPr>
                <w:rFonts w:cs="Arial"/>
                <w:spacing w:val="-4"/>
                <w:szCs w:val="20"/>
              </w:rPr>
              <w:t>Míra zisku nefinančních podniků klesla loni poprvé po třech letech pod 50 % Neudržitelnost vysokých hodnot z období 2014 až 2015 (kdy se blížila 52 % a atakovala úroveň z vrcholu konjunktury minulé dekády) byla patrná nejen ve světle sílících nákladů na pracovní sílu, ale i z časově omezeného působení režimu řízeného oslabení české koruny (jež měla krátkodobě pozitivní vliv na zisky exportérů). Míra zisku se lišila podle odvětví. Vysokou úroveň si dlouhodobě udržují podniky v zemědělství, lesnictví a rybářství, energetice, činnostech v oblasti nemovitostí, informačních a komunikačních činnostech a také v kulturních, zábavních a rekreačních činnostech. Na opačném konci spektra se nacházely podniky v ubytování, stravování a pohostinství a také nepočetně zastoupené podniky ve veřejných službách.</w:t>
            </w:r>
          </w:p>
        </w:tc>
      </w:tr>
      <w:tr w:rsidR="009C03C8" w:rsidRPr="00BB5E91" w:rsidTr="00DF7AD4">
        <w:trPr>
          <w:trHeight w:val="170"/>
        </w:trPr>
        <w:tc>
          <w:tcPr>
            <w:tcW w:w="1976" w:type="dxa"/>
          </w:tcPr>
          <w:p w:rsidR="009C03C8" w:rsidRDefault="009C03C8" w:rsidP="00DF7AD4">
            <w:pPr>
              <w:pStyle w:val="Marginlie"/>
            </w:pPr>
            <w:r>
              <w:t xml:space="preserve">Míra zisku nefinančních podniků v Irsku byla více než dvojnásobná oproti těm </w:t>
            </w:r>
            <w:r>
              <w:lastRenderedPageBreak/>
              <w:t>ve Francii, Velké Británii či Slovinsku.</w:t>
            </w:r>
          </w:p>
        </w:tc>
        <w:tc>
          <w:tcPr>
            <w:tcW w:w="277" w:type="dxa"/>
          </w:tcPr>
          <w:p w:rsidR="009C03C8" w:rsidRPr="005E4483" w:rsidRDefault="009C03C8" w:rsidP="00DF7AD4">
            <w:pPr>
              <w:pStyle w:val="Textpoznpodarou"/>
              <w:jc w:val="both"/>
              <w:rPr>
                <w:spacing w:val="-4"/>
              </w:rPr>
            </w:pPr>
          </w:p>
        </w:tc>
        <w:tc>
          <w:tcPr>
            <w:tcW w:w="7391" w:type="dxa"/>
          </w:tcPr>
          <w:p w:rsidR="009C03C8" w:rsidRPr="00E972A9" w:rsidRDefault="009C03C8" w:rsidP="009C03C8">
            <w:pPr>
              <w:rPr>
                <w:rFonts w:cs="Arial"/>
                <w:spacing w:val="-4"/>
                <w:szCs w:val="20"/>
              </w:rPr>
            </w:pPr>
            <w:r w:rsidRPr="00E972A9">
              <w:rPr>
                <w:rFonts w:cs="Arial"/>
                <w:spacing w:val="-4"/>
                <w:szCs w:val="20"/>
              </w:rPr>
              <w:t xml:space="preserve">Rozdílná odvětvová skladba společně s celkovou kondicí ekonomiky představují významné faktory stojící v pozadí rozdílů v míře zisku nefinančních podniků napříč </w:t>
            </w:r>
            <w:r w:rsidRPr="00E972A9">
              <w:rPr>
                <w:rFonts w:cs="Arial"/>
                <w:spacing w:val="-4"/>
                <w:szCs w:val="20"/>
              </w:rPr>
              <w:lastRenderedPageBreak/>
              <w:t xml:space="preserve">státy EU. Největší ziskovosti dosáhly podniky v Irsku, kde podíl hrubého provozního přebytku na přidané hodnotě v roce 2016 činil 72 %. S větším odstupem následovaly Malta, Rumunsko a Řecko. Česko se řadilo na pátou pozici a dosáhlo nejvyššího umístění po roce 2008.  Jen v těsném závěsu za ČR (o 1 až 2 p. </w:t>
            </w:r>
            <w:proofErr w:type="spellStart"/>
            <w:r w:rsidRPr="00E972A9">
              <w:rPr>
                <w:rFonts w:cs="Arial"/>
                <w:spacing w:val="-4"/>
                <w:szCs w:val="20"/>
              </w:rPr>
              <w:t>b</w:t>
            </w:r>
            <w:proofErr w:type="spellEnd"/>
            <w:r w:rsidRPr="00E972A9">
              <w:rPr>
                <w:rFonts w:cs="Arial"/>
                <w:spacing w:val="-4"/>
                <w:szCs w:val="20"/>
              </w:rPr>
              <w:t xml:space="preserve">.) figurovaly ostatní státy </w:t>
            </w:r>
            <w:proofErr w:type="spellStart"/>
            <w:r w:rsidRPr="00E972A9">
              <w:rPr>
                <w:rFonts w:cs="Arial"/>
                <w:spacing w:val="-4"/>
                <w:szCs w:val="20"/>
              </w:rPr>
              <w:t>Visegradského</w:t>
            </w:r>
            <w:proofErr w:type="spellEnd"/>
            <w:r w:rsidRPr="00E972A9">
              <w:rPr>
                <w:rFonts w:cs="Arial"/>
                <w:spacing w:val="-4"/>
                <w:szCs w:val="20"/>
              </w:rPr>
              <w:t xml:space="preserve"> uskupení. Z novějších členských států měly nejhorší postavení Kypr (38 %) a Slovinsko (35 %), z největších ekonomik Unie pak Velká Británie (35 %) a Francie (32 %).</w:t>
            </w:r>
          </w:p>
        </w:tc>
      </w:tr>
      <w:tr w:rsidR="009C03C8" w:rsidRPr="00D6151E"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Default="009C03C8" w:rsidP="00DF7AD4">
            <w:pPr>
              <w:spacing w:after="0"/>
              <w:jc w:val="left"/>
            </w:pPr>
            <w:r>
              <w:rPr>
                <w:b/>
              </w:rPr>
              <w:t xml:space="preserve">Graf </w:t>
            </w:r>
            <w:proofErr w:type="gramStart"/>
            <w:r>
              <w:rPr>
                <w:b/>
              </w:rPr>
              <w:t xml:space="preserve">6.3 </w:t>
            </w:r>
            <w:r w:rsidRPr="00D3312A">
              <w:rPr>
                <w:b/>
              </w:rPr>
              <w:t xml:space="preserve"> </w:t>
            </w:r>
            <w:r>
              <w:rPr>
                <w:b/>
              </w:rPr>
              <w:t>Přijaté</w:t>
            </w:r>
            <w:proofErr w:type="gramEnd"/>
            <w:r>
              <w:rPr>
                <w:b/>
              </w:rPr>
              <w:t xml:space="preserve"> (+) a vyplacené (-)</w:t>
            </w:r>
            <w:r>
              <w:t xml:space="preserve"> </w:t>
            </w:r>
            <w:r w:rsidRPr="0021330F">
              <w:rPr>
                <w:b/>
              </w:rPr>
              <w:t>druhy vlas</w:t>
            </w:r>
            <w:r>
              <w:rPr>
                <w:b/>
              </w:rPr>
              <w:t xml:space="preserve">tnických důchodů </w:t>
            </w:r>
            <w:proofErr w:type="spellStart"/>
            <w:r>
              <w:rPr>
                <w:b/>
              </w:rPr>
              <w:t>nef</w:t>
            </w:r>
            <w:proofErr w:type="spellEnd"/>
            <w:r>
              <w:rPr>
                <w:b/>
              </w:rPr>
              <w:t>.</w:t>
            </w:r>
            <w:r w:rsidRPr="0021330F">
              <w:rPr>
                <w:b/>
              </w:rPr>
              <w:t xml:space="preserve"> podniky celkem a saldo vlastnických důchodů</w:t>
            </w:r>
            <w:r>
              <w:t xml:space="preserve"> </w:t>
            </w:r>
            <w:r w:rsidRPr="0021330F">
              <w:rPr>
                <w:b/>
              </w:rPr>
              <w:t xml:space="preserve">celkem a dle </w:t>
            </w:r>
            <w:proofErr w:type="spellStart"/>
            <w:r w:rsidRPr="0021330F">
              <w:rPr>
                <w:b/>
              </w:rPr>
              <w:t>subsektorů</w:t>
            </w:r>
            <w:proofErr w:type="spellEnd"/>
            <w:r w:rsidRPr="0021330F">
              <w:rPr>
                <w:b/>
              </w:rPr>
              <w:t xml:space="preserve"> </w:t>
            </w:r>
            <w:r w:rsidRPr="0021330F">
              <w:t>(v mld. korun)</w:t>
            </w:r>
          </w:p>
          <w:p w:rsidR="009C03C8" w:rsidRPr="00B62688" w:rsidRDefault="009C03C8" w:rsidP="00DF7AD4">
            <w:pPr>
              <w:spacing w:after="0"/>
              <w:rPr>
                <w:rFonts w:cs="Arial"/>
                <w:spacing w:val="-2"/>
                <w:szCs w:val="20"/>
              </w:rPr>
            </w:pPr>
            <w:r w:rsidRPr="0021330F">
              <w:rPr>
                <w:rFonts w:cs="Arial"/>
                <w:noProof/>
                <w:spacing w:val="-2"/>
                <w:szCs w:val="20"/>
              </w:rPr>
              <w:drawing>
                <wp:inline distT="0" distB="0" distL="0" distR="0">
                  <wp:extent cx="4695825" cy="3752850"/>
                  <wp:effectExtent l="0" t="0" r="0" b="0"/>
                  <wp:docPr id="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9C03C8" w:rsidRPr="00D6151E" w:rsidTr="00DF7AD4">
        <w:trPr>
          <w:trHeight w:val="170"/>
        </w:trPr>
        <w:tc>
          <w:tcPr>
            <w:tcW w:w="1976" w:type="dxa"/>
          </w:tcPr>
          <w:p w:rsidR="009C03C8" w:rsidRDefault="009C03C8" w:rsidP="00DF7AD4">
            <w:pPr>
              <w:pStyle w:val="Marginlie"/>
              <w:spacing w:line="240" w:lineRule="auto"/>
            </w:pPr>
          </w:p>
        </w:tc>
        <w:tc>
          <w:tcPr>
            <w:tcW w:w="277" w:type="dxa"/>
          </w:tcPr>
          <w:p w:rsidR="009C03C8" w:rsidRPr="005E4483" w:rsidRDefault="009C03C8" w:rsidP="00DF7AD4">
            <w:pPr>
              <w:pStyle w:val="Textpoznpodarou"/>
              <w:jc w:val="both"/>
              <w:rPr>
                <w:spacing w:val="-4"/>
              </w:rPr>
            </w:pPr>
          </w:p>
        </w:tc>
        <w:tc>
          <w:tcPr>
            <w:tcW w:w="7391" w:type="dxa"/>
          </w:tcPr>
          <w:p w:rsidR="009C03C8" w:rsidRPr="00A7195D" w:rsidRDefault="009C03C8" w:rsidP="00DF7AD4">
            <w:pPr>
              <w:spacing w:after="0" w:line="240" w:lineRule="auto"/>
              <w:rPr>
                <w:rFonts w:cs="Arial"/>
                <w:spacing w:val="-4"/>
                <w:sz w:val="14"/>
                <w:szCs w:val="14"/>
              </w:rPr>
            </w:pPr>
            <w:r w:rsidRPr="00A7195D">
              <w:rPr>
                <w:rFonts w:cs="Arial"/>
                <w:spacing w:val="-4"/>
                <w:sz w:val="14"/>
                <w:szCs w:val="14"/>
              </w:rPr>
              <w:t>Poznámka. U jednotlivých druhů vlastnických důchodů jsou uvedeny kódy v souladu s mezinárodním standardem ESA 2010.</w:t>
            </w:r>
          </w:p>
          <w:p w:rsidR="009C03C8" w:rsidRPr="00A7195D" w:rsidRDefault="009C03C8" w:rsidP="009C03C8">
            <w:pPr>
              <w:rPr>
                <w:rFonts w:cs="Arial"/>
                <w:spacing w:val="-2"/>
                <w:sz w:val="14"/>
                <w:szCs w:val="14"/>
              </w:rPr>
            </w:pPr>
            <w:r w:rsidRPr="00A7195D">
              <w:rPr>
                <w:rFonts w:cs="Arial"/>
                <w:spacing w:val="-2"/>
                <w:sz w:val="14"/>
                <w:szCs w:val="14"/>
              </w:rPr>
              <w:t>Zdroj: ČSÚ (národní účty)</w:t>
            </w:r>
          </w:p>
        </w:tc>
      </w:tr>
      <w:tr w:rsidR="009C03C8" w:rsidRPr="00D6151E" w:rsidTr="00DF7AD4">
        <w:trPr>
          <w:trHeight w:val="170"/>
        </w:trPr>
        <w:tc>
          <w:tcPr>
            <w:tcW w:w="1976" w:type="dxa"/>
          </w:tcPr>
          <w:p w:rsidR="009C03C8" w:rsidRDefault="009C03C8" w:rsidP="00DF7AD4">
            <w:pPr>
              <w:pStyle w:val="Marginlie"/>
            </w:pPr>
            <w:r>
              <w:t>Výše odlivu vlastnických důchodů ze sektoru nefinančních podniků se meziročně v úhrnu nezměnila. Jeho struktura ano:…</w:t>
            </w:r>
          </w:p>
          <w:p w:rsidR="009C03C8" w:rsidRDefault="009C03C8" w:rsidP="00DF7AD4">
            <w:pPr>
              <w:pStyle w:val="Marginlie"/>
            </w:pPr>
          </w:p>
          <w:p w:rsidR="009C03C8" w:rsidRDefault="009C03C8" w:rsidP="00DF7AD4">
            <w:pPr>
              <w:pStyle w:val="Marginlie"/>
            </w:pPr>
          </w:p>
          <w:p w:rsidR="009C03C8" w:rsidRDefault="009C03C8" w:rsidP="00DF7AD4">
            <w:pPr>
              <w:pStyle w:val="Marginlie"/>
            </w:pPr>
          </w:p>
          <w:p w:rsidR="009C03C8" w:rsidRDefault="009C03C8" w:rsidP="00DF7AD4">
            <w:pPr>
              <w:pStyle w:val="Marginlie"/>
            </w:pPr>
            <w:r>
              <w:t>…úrokové saldo bylo vyrovnané, odliv dividend se snížil ve prospěch reinvestovaných zisků.</w:t>
            </w:r>
          </w:p>
          <w:p w:rsidR="009C03C8" w:rsidRDefault="009C03C8" w:rsidP="00DF7AD4">
            <w:pPr>
              <w:pStyle w:val="Marginlie"/>
            </w:pPr>
          </w:p>
          <w:p w:rsidR="009C03C8" w:rsidRDefault="009C03C8" w:rsidP="00DF7AD4">
            <w:pPr>
              <w:pStyle w:val="Marginlie"/>
            </w:pPr>
          </w:p>
          <w:p w:rsidR="009C03C8" w:rsidRPr="00FE39A1"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9C03C8" w:rsidRDefault="009C03C8" w:rsidP="00DF7AD4">
            <w:pPr>
              <w:keepNext/>
              <w:keepLines/>
              <w:contextualSpacing/>
              <w:outlineLvl w:val="0"/>
              <w:rPr>
                <w:rFonts w:cs="Arial"/>
                <w:szCs w:val="20"/>
              </w:rPr>
            </w:pPr>
            <w:r w:rsidRPr="009C03C8">
              <w:rPr>
                <w:rFonts w:cs="Arial"/>
                <w:szCs w:val="20"/>
              </w:rPr>
              <w:t>Vytvořený zisk sektoru nefinančních podniků se dále rozpouští v prvotních důchodech. Souhrnné saldo všech druhů vlastnických důchodů v tomto sektoru dosáhlo loni -508,6 mld. korun a ve srovnání s rokem 2016 se prakticky nezměnilo. Na úrovni hlavních druhů vlastnických důchodů lze vidět pozitivní tendence. Úrokové saldo (jako rozdíl mezi přijatými a zaplacenými úroky) bylo loni poprvé v historii ČR prakticky vyrovnané. Ještě v roce 2014 přitom činil deficit 40 mld. korun. Pro nefinanční podniky v ČR tak jejich zadluženost nepředstavovala vážnější problém. Čistý odliv rozdělovaných důchodů společností (v drtivě většině formou dividend) ze sektoru nefinančních podniků činil 368 mld. korun a meziročně se snížil o desetinu</w:t>
            </w:r>
            <w:r w:rsidRPr="009C03C8">
              <w:rPr>
                <w:rStyle w:val="Znakapoznpodarou"/>
                <w:rFonts w:cs="Arial"/>
                <w:szCs w:val="20"/>
              </w:rPr>
              <w:footnoteReference w:id="31"/>
            </w:r>
            <w:r w:rsidRPr="009C03C8">
              <w:rPr>
                <w:rFonts w:cs="Arial"/>
                <w:szCs w:val="20"/>
              </w:rPr>
              <w:t>. Objem přijatých dividend mírně vzrostl (ze 73 na 80 mld. korun), opačný tok přestavoval pokles ze 478 mld. (rok 2016) na 446 mld. (rok 2017). Oproti tomu negativní saldo z reinvestovaných zisků z přímých zahraničních investic vzrostlo ve stejném období z 89 mld. korun na 132 mld. Tyto navýšené prostředky mohou sloužit pro další rozvoj podniků v tuzemsku.</w:t>
            </w:r>
          </w:p>
          <w:p w:rsidR="009C03C8" w:rsidRPr="009C03C8" w:rsidRDefault="009C03C8" w:rsidP="00DF7AD4">
            <w:pPr>
              <w:keepNext/>
              <w:keepLines/>
              <w:contextualSpacing/>
              <w:outlineLvl w:val="0"/>
              <w:rPr>
                <w:rFonts w:cs="Arial"/>
                <w:szCs w:val="20"/>
              </w:rPr>
            </w:pPr>
          </w:p>
        </w:tc>
      </w:tr>
      <w:tr w:rsidR="009C03C8" w:rsidRPr="00D6151E" w:rsidTr="00DF7AD4">
        <w:trPr>
          <w:trHeight w:val="170"/>
        </w:trPr>
        <w:tc>
          <w:tcPr>
            <w:tcW w:w="1976" w:type="dxa"/>
          </w:tcPr>
          <w:p w:rsidR="009C03C8" w:rsidRDefault="009C03C8" w:rsidP="00DF7AD4">
            <w:pPr>
              <w:pStyle w:val="Marginlie"/>
            </w:pPr>
            <w:r>
              <w:lastRenderedPageBreak/>
              <w:t>Pokles míry úspor se zastavil, míra investic ale klesla na nové minimum.</w:t>
            </w:r>
          </w:p>
          <w:p w:rsidR="009C03C8" w:rsidRDefault="009C03C8" w:rsidP="00DF7AD4">
            <w:pPr>
              <w:pStyle w:val="Marginlie"/>
            </w:pPr>
          </w:p>
          <w:p w:rsidR="009C03C8" w:rsidRDefault="009C03C8" w:rsidP="00DF7AD4">
            <w:pPr>
              <w:pStyle w:val="Marginlie"/>
            </w:pPr>
          </w:p>
          <w:p w:rsidR="009C03C8" w:rsidRDefault="009C03C8" w:rsidP="00DF7AD4">
            <w:pPr>
              <w:pStyle w:val="Marginlie"/>
            </w:pPr>
          </w:p>
          <w:p w:rsidR="009C03C8" w:rsidRDefault="009C03C8" w:rsidP="00DF7AD4">
            <w:pPr>
              <w:pStyle w:val="Marginlie"/>
            </w:pPr>
            <w:r>
              <w:t>Tempo růstu objemu bankovních úvěrů nefinančním podnikům se po roce 2016 postupně snižovalo.</w:t>
            </w:r>
          </w:p>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E972A9" w:rsidRDefault="009C03C8" w:rsidP="00DF7AD4">
            <w:pPr>
              <w:spacing w:after="220"/>
              <w:rPr>
                <w:rFonts w:cs="Arial"/>
                <w:spacing w:val="-2"/>
                <w:szCs w:val="20"/>
              </w:rPr>
            </w:pPr>
            <w:r w:rsidRPr="00E972A9">
              <w:rPr>
                <w:rFonts w:cs="Arial"/>
                <w:spacing w:val="-2"/>
                <w:szCs w:val="20"/>
              </w:rPr>
              <w:t>Solidní hospodářské výsledky (meziroční růst hrubého provozní přebytku o necelá 4 %) i zastavení dalšího prohlubování čistého odlivu vlastnických důchodů vedly mj. k růstu hrubých úspor (+7,8 %). Míra úspor dosáhla 26,0 %</w:t>
            </w:r>
            <w:r w:rsidRPr="00E04F27">
              <w:rPr>
                <w:rStyle w:val="Znakapoznpodarou"/>
                <w:rFonts w:cs="Arial"/>
                <w:spacing w:val="-2"/>
                <w:szCs w:val="20"/>
              </w:rPr>
              <w:footnoteReference w:id="32"/>
            </w:r>
            <w:r w:rsidRPr="00E04F27">
              <w:rPr>
                <w:rFonts w:cs="Arial"/>
                <w:spacing w:val="-2"/>
                <w:szCs w:val="20"/>
                <w:vertAlign w:val="superscript"/>
              </w:rPr>
              <w:t>,</w:t>
            </w:r>
            <w:r w:rsidRPr="00E972A9">
              <w:rPr>
                <w:rFonts w:cs="Arial"/>
                <w:spacing w:val="-2"/>
                <w:szCs w:val="20"/>
              </w:rPr>
              <w:t xml:space="preserve"> její pokles z roku 2016 se tak loni již neopakoval. Nefinanční podniky si tak vytvořily větší prostor pro případnou investiční „expanzi“. Nicméně investice (prostřednictvím tvorby hrubého fixního kapitálu)</w:t>
            </w:r>
            <w:r w:rsidRPr="00E04F27">
              <w:rPr>
                <w:rStyle w:val="Znakapoznpodarou"/>
                <w:rFonts w:cs="Arial"/>
                <w:spacing w:val="-2"/>
                <w:szCs w:val="20"/>
              </w:rPr>
              <w:footnoteReference w:id="33"/>
            </w:r>
            <w:r w:rsidRPr="00E972A9">
              <w:rPr>
                <w:rFonts w:cs="Arial"/>
                <w:spacing w:val="-2"/>
                <w:szCs w:val="20"/>
              </w:rPr>
              <w:t xml:space="preserve"> loni vzrostly o mírných 3,4 %. Míra investic dosáhla 28,1 % a meziročně se snížila o 0,8 p. </w:t>
            </w:r>
            <w:proofErr w:type="spellStart"/>
            <w:r w:rsidRPr="00E972A9">
              <w:rPr>
                <w:rFonts w:cs="Arial"/>
                <w:spacing w:val="-2"/>
                <w:szCs w:val="20"/>
              </w:rPr>
              <w:t>b</w:t>
            </w:r>
            <w:proofErr w:type="spellEnd"/>
            <w:r w:rsidRPr="00E972A9">
              <w:rPr>
                <w:rFonts w:cs="Arial"/>
                <w:spacing w:val="-2"/>
                <w:szCs w:val="20"/>
              </w:rPr>
              <w:t xml:space="preserve">. Míra samofinancování vzrostla a blížila se 90 %. Tlak na krytí investiční potřeby formou např. bankovních půjček se tak snížil. To koresponduje i s údaji České národní banky. Zatímco v roce 2016 vzrostl objem klientských úvěrů nefinančním podnikům meziročně o 6,6 %, loni tempo oslabilo na 4,9 % a za prvních osm měsíců roku 2018 činilo 3,3 %. V souvislosti s pokračujícím hospodářským růstem </w:t>
            </w:r>
            <w:r w:rsidR="0026743D">
              <w:rPr>
                <w:rFonts w:cs="Arial"/>
                <w:spacing w:val="-2"/>
                <w:szCs w:val="20"/>
              </w:rPr>
              <w:t xml:space="preserve">se </w:t>
            </w:r>
            <w:r w:rsidRPr="00E972A9">
              <w:rPr>
                <w:rFonts w:cs="Arial"/>
                <w:spacing w:val="-2"/>
                <w:szCs w:val="20"/>
              </w:rPr>
              <w:t>také zlepšovala platební morálka podniků. Podíl tzv. nevýkonných úvěrů klesl na počátku roku 2018 p</w:t>
            </w:r>
            <w:r w:rsidR="0026743D">
              <w:rPr>
                <w:rFonts w:cs="Arial"/>
                <w:spacing w:val="-2"/>
                <w:szCs w:val="20"/>
              </w:rPr>
              <w:t>od 4 % (nejníže od září 2008).</w:t>
            </w:r>
          </w:p>
        </w:tc>
      </w:tr>
      <w:tr w:rsidR="009C03C8" w:rsidRPr="00D6151E"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Default="009C03C8" w:rsidP="00DF7AD4">
            <w:pPr>
              <w:spacing w:after="0"/>
              <w:rPr>
                <w:rFonts w:cs="Arial"/>
                <w:spacing w:val="-2"/>
                <w:szCs w:val="20"/>
              </w:rPr>
            </w:pPr>
            <w:r>
              <w:rPr>
                <w:rFonts w:cs="Arial"/>
                <w:b/>
                <w:spacing w:val="-2"/>
                <w:szCs w:val="20"/>
              </w:rPr>
              <w:t xml:space="preserve">Graf </w:t>
            </w:r>
            <w:proofErr w:type="gramStart"/>
            <w:r>
              <w:rPr>
                <w:rFonts w:cs="Arial"/>
                <w:b/>
                <w:spacing w:val="-2"/>
                <w:szCs w:val="20"/>
              </w:rPr>
              <w:t>6.4  Míra</w:t>
            </w:r>
            <w:proofErr w:type="gramEnd"/>
            <w:r>
              <w:rPr>
                <w:rFonts w:cs="Arial"/>
                <w:b/>
                <w:spacing w:val="-2"/>
                <w:szCs w:val="20"/>
              </w:rPr>
              <w:t xml:space="preserve"> investic nefinančních</w:t>
            </w:r>
            <w:r w:rsidRPr="00B43EB7">
              <w:rPr>
                <w:rFonts w:cs="Arial"/>
                <w:b/>
                <w:spacing w:val="-2"/>
                <w:szCs w:val="20"/>
              </w:rPr>
              <w:t xml:space="preserve"> podnik</w:t>
            </w:r>
            <w:r>
              <w:rPr>
                <w:rFonts w:cs="Arial"/>
                <w:b/>
                <w:spacing w:val="-2"/>
                <w:szCs w:val="20"/>
              </w:rPr>
              <w:t>ů</w:t>
            </w:r>
            <w:r w:rsidRPr="00B43EB7">
              <w:rPr>
                <w:rFonts w:cs="Arial"/>
                <w:spacing w:val="-2"/>
                <w:szCs w:val="20"/>
              </w:rPr>
              <w:t xml:space="preserve"> </w:t>
            </w:r>
            <w:r>
              <w:rPr>
                <w:rFonts w:cs="Arial"/>
                <w:b/>
                <w:spacing w:val="-2"/>
                <w:szCs w:val="20"/>
              </w:rPr>
              <w:t xml:space="preserve">celkem ve vybraných evropských státech </w:t>
            </w:r>
            <w:r w:rsidRPr="00B43EB7">
              <w:rPr>
                <w:rFonts w:cs="Arial"/>
                <w:spacing w:val="-2"/>
                <w:szCs w:val="20"/>
              </w:rPr>
              <w:t>(v %)</w:t>
            </w:r>
          </w:p>
          <w:p w:rsidR="009C03C8" w:rsidRPr="00B43EB7" w:rsidRDefault="009C03C8" w:rsidP="00DF7AD4">
            <w:pPr>
              <w:spacing w:after="0"/>
              <w:rPr>
                <w:rFonts w:cs="Arial"/>
                <w:spacing w:val="-2"/>
                <w:sz w:val="14"/>
                <w:szCs w:val="14"/>
              </w:rPr>
            </w:pPr>
            <w:r w:rsidRPr="009A34EC">
              <w:rPr>
                <w:rFonts w:cs="Arial"/>
                <w:noProof/>
                <w:spacing w:val="-2"/>
                <w:sz w:val="14"/>
                <w:szCs w:val="14"/>
              </w:rPr>
              <w:drawing>
                <wp:inline distT="0" distB="0" distL="0" distR="0">
                  <wp:extent cx="4632463" cy="3442915"/>
                  <wp:effectExtent l="19050" t="0" r="0" b="0"/>
                  <wp:docPr id="3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C03C8" w:rsidRPr="00D6151E"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D6151E" w:rsidRDefault="009C03C8" w:rsidP="00E972A9">
            <w:pPr>
              <w:spacing w:after="200"/>
              <w:rPr>
                <w:rFonts w:cs="Arial"/>
                <w:sz w:val="14"/>
                <w:szCs w:val="14"/>
              </w:rPr>
            </w:pPr>
            <w:r>
              <w:rPr>
                <w:rFonts w:cs="Arial"/>
                <w:sz w:val="14"/>
                <w:szCs w:val="14"/>
              </w:rPr>
              <w:t>*Míra zisku se vztahuje jen k nefinančním podnikům, nezahrnuje tedy všechny ekonomické subjekty působící v příslušném odvětví. U popisů jednotlivých průmyslových oddílů či sekcí je v závorce uveden příslušný kód dle klasifikace CZ-NACE.                                                                                                               Zdroj: ČSÚ (národní účty)</w:t>
            </w:r>
          </w:p>
        </w:tc>
      </w:tr>
      <w:tr w:rsidR="009C03C8" w:rsidRPr="00D6151E" w:rsidTr="00DF7AD4">
        <w:trPr>
          <w:trHeight w:val="170"/>
        </w:trPr>
        <w:tc>
          <w:tcPr>
            <w:tcW w:w="1976" w:type="dxa"/>
          </w:tcPr>
          <w:p w:rsidR="009C03C8" w:rsidRDefault="009C03C8" w:rsidP="00DF7AD4">
            <w:pPr>
              <w:pStyle w:val="Marginlie"/>
            </w:pPr>
            <w:r>
              <w:t>V míře investic nefinančních podniků okupovalo Česko v EU, na rozdíl od většiny novějších členských států, čelní místo.</w:t>
            </w:r>
          </w:p>
        </w:tc>
        <w:tc>
          <w:tcPr>
            <w:tcW w:w="277" w:type="dxa"/>
          </w:tcPr>
          <w:p w:rsidR="009C03C8" w:rsidRPr="005E4483" w:rsidRDefault="009C03C8" w:rsidP="00DF7AD4">
            <w:pPr>
              <w:pStyle w:val="Textpoznpodarou"/>
              <w:jc w:val="both"/>
              <w:rPr>
                <w:spacing w:val="-4"/>
              </w:rPr>
            </w:pPr>
          </w:p>
        </w:tc>
        <w:tc>
          <w:tcPr>
            <w:tcW w:w="7391" w:type="dxa"/>
          </w:tcPr>
          <w:p w:rsidR="009C03C8" w:rsidRPr="00E972A9" w:rsidRDefault="009C03C8" w:rsidP="00E972A9">
            <w:pPr>
              <w:spacing w:after="0"/>
              <w:rPr>
                <w:rFonts w:cs="Arial"/>
                <w:spacing w:val="-2"/>
                <w:szCs w:val="20"/>
              </w:rPr>
            </w:pPr>
            <w:r w:rsidRPr="00E972A9">
              <w:rPr>
                <w:rFonts w:cs="Arial"/>
                <w:spacing w:val="-2"/>
                <w:szCs w:val="20"/>
              </w:rPr>
              <w:t xml:space="preserve">Přestože míra investic nefinančních podniků klesla vloni na minimum v historii samostatné ČR, stále se nacházela o více než 6 p. </w:t>
            </w:r>
            <w:proofErr w:type="spellStart"/>
            <w:r w:rsidRPr="00E972A9">
              <w:rPr>
                <w:rFonts w:cs="Arial"/>
                <w:spacing w:val="-2"/>
                <w:szCs w:val="20"/>
              </w:rPr>
              <w:t>b</w:t>
            </w:r>
            <w:proofErr w:type="spellEnd"/>
            <w:r w:rsidRPr="00E972A9">
              <w:rPr>
                <w:rFonts w:cs="Arial"/>
                <w:spacing w:val="-2"/>
                <w:szCs w:val="20"/>
              </w:rPr>
              <w:t xml:space="preserve">. </w:t>
            </w:r>
            <w:proofErr w:type="gramStart"/>
            <w:r w:rsidRPr="00E972A9">
              <w:rPr>
                <w:rFonts w:cs="Arial"/>
                <w:spacing w:val="-2"/>
                <w:szCs w:val="20"/>
              </w:rPr>
              <w:t>výše</w:t>
            </w:r>
            <w:proofErr w:type="gramEnd"/>
            <w:r w:rsidRPr="00E972A9">
              <w:rPr>
                <w:rFonts w:cs="Arial"/>
                <w:spacing w:val="-2"/>
                <w:szCs w:val="20"/>
              </w:rPr>
              <w:t xml:space="preserve"> než v EU, resp. </w:t>
            </w:r>
            <w:proofErr w:type="spellStart"/>
            <w:r w:rsidRPr="00E972A9">
              <w:rPr>
                <w:rFonts w:cs="Arial"/>
                <w:spacing w:val="-2"/>
                <w:szCs w:val="20"/>
              </w:rPr>
              <w:t>Eurozóně</w:t>
            </w:r>
            <w:proofErr w:type="spellEnd"/>
            <w:r w:rsidRPr="00E972A9">
              <w:rPr>
                <w:rFonts w:cs="Arial"/>
                <w:spacing w:val="-2"/>
                <w:szCs w:val="20"/>
              </w:rPr>
              <w:t>. Z dosažitelných údajů za členské státy Unie</w:t>
            </w:r>
            <w:r w:rsidRPr="00E972A9">
              <w:rPr>
                <w:rStyle w:val="Znakapoznpodarou"/>
                <w:rFonts w:cs="Arial"/>
                <w:spacing w:val="-2"/>
                <w:szCs w:val="20"/>
              </w:rPr>
              <w:footnoteReference w:id="34"/>
            </w:r>
            <w:r w:rsidRPr="00E972A9">
              <w:rPr>
                <w:rFonts w:cs="Arial"/>
                <w:spacing w:val="-2"/>
                <w:szCs w:val="20"/>
              </w:rPr>
              <w:t xml:space="preserve"> za rok 2016 vyplynulo, že vyšší míru investic než Česko vykázalo jen Irsko (38,5 %). V těsném závěsu dále následovaly Slovensko, Švédsko a Španělsko (v rozmezí 27 až 28 %). Z novějších členských států Unie ze střední a východní Evropy, u nichž lze s ohledem k dlouhodobé </w:t>
            </w:r>
            <w:proofErr w:type="spellStart"/>
            <w:r w:rsidRPr="00E972A9">
              <w:rPr>
                <w:rFonts w:cs="Arial"/>
                <w:spacing w:val="-2"/>
                <w:szCs w:val="20"/>
              </w:rPr>
              <w:t>podkapitalizovanosti</w:t>
            </w:r>
            <w:proofErr w:type="spellEnd"/>
            <w:r w:rsidRPr="00E972A9">
              <w:rPr>
                <w:rFonts w:cs="Arial"/>
                <w:spacing w:val="-2"/>
                <w:szCs w:val="20"/>
              </w:rPr>
              <w:t xml:space="preserve"> ekonomiky i přílivu zahraničních investorů očekávat silnější investiční aktivitu v podnikové sféře, se tento předpoklad potvrdil jen v Rumunsku a Bulharsku. Naopak v Pobaltských státech, Polsku či Slovinsku míra investic nefinančních podniků průměrné úrovně EU nedosahovala.  </w:t>
            </w:r>
          </w:p>
        </w:tc>
      </w:tr>
      <w:tr w:rsidR="009C03C8" w:rsidRPr="00D6151E" w:rsidTr="00DF7AD4">
        <w:trPr>
          <w:trHeight w:val="170"/>
        </w:trPr>
        <w:tc>
          <w:tcPr>
            <w:tcW w:w="1976" w:type="dxa"/>
          </w:tcPr>
          <w:p w:rsidR="009C03C8" w:rsidRDefault="009C03C8" w:rsidP="00DF7AD4">
            <w:pPr>
              <w:pStyle w:val="Marginlie"/>
            </w:pPr>
            <w:r>
              <w:lastRenderedPageBreak/>
              <w:t>Nejsilnější investiční aktivitu v ČR mezi podniky mají podniky veřejné.</w:t>
            </w:r>
          </w:p>
        </w:tc>
        <w:tc>
          <w:tcPr>
            <w:tcW w:w="277" w:type="dxa"/>
          </w:tcPr>
          <w:p w:rsidR="009C03C8" w:rsidRPr="005E4483" w:rsidRDefault="009C03C8" w:rsidP="00DF7AD4">
            <w:pPr>
              <w:pStyle w:val="Textpoznpodarou"/>
              <w:jc w:val="both"/>
              <w:rPr>
                <w:spacing w:val="-4"/>
              </w:rPr>
            </w:pPr>
          </w:p>
        </w:tc>
        <w:tc>
          <w:tcPr>
            <w:tcW w:w="7391" w:type="dxa"/>
          </w:tcPr>
          <w:p w:rsidR="009C03C8" w:rsidRPr="009C03C8" w:rsidRDefault="009C03C8" w:rsidP="009C03C8">
            <w:pPr>
              <w:rPr>
                <w:rFonts w:cs="Arial"/>
                <w:szCs w:val="20"/>
              </w:rPr>
            </w:pPr>
            <w:r w:rsidRPr="009C03C8">
              <w:rPr>
                <w:rFonts w:cs="Arial"/>
                <w:szCs w:val="20"/>
              </w:rPr>
              <w:t>V rámci podnikové sféry v ČR dosahují dlouhodobě nejsilnější investiční aktivity veřejné nefinanční podniky</w:t>
            </w:r>
            <w:r w:rsidRPr="009C03C8">
              <w:rPr>
                <w:rStyle w:val="Znakapoznpodarou"/>
                <w:rFonts w:cs="Arial"/>
                <w:szCs w:val="20"/>
              </w:rPr>
              <w:footnoteReference w:id="35"/>
            </w:r>
            <w:r w:rsidRPr="009C03C8">
              <w:rPr>
                <w:rFonts w:cs="Arial"/>
                <w:szCs w:val="20"/>
              </w:rPr>
              <w:t xml:space="preserve">. Počínaje rokem 2010 klesla míra investic v podnicích pod zahraniční kontrolou pod úroveň soukromých národních podniků. </w:t>
            </w:r>
          </w:p>
        </w:tc>
      </w:tr>
      <w:tr w:rsidR="009C03C8" w:rsidRPr="00D6151E"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4E02EB" w:rsidRDefault="009C03C8" w:rsidP="00DF7AD4">
            <w:pPr>
              <w:spacing w:after="0"/>
              <w:jc w:val="left"/>
              <w:rPr>
                <w:rFonts w:cs="Arial"/>
                <w:b/>
                <w:szCs w:val="20"/>
              </w:rPr>
            </w:pPr>
            <w:r w:rsidRPr="00C43FCE">
              <w:rPr>
                <w:rFonts w:cs="Arial"/>
                <w:b/>
                <w:szCs w:val="20"/>
              </w:rPr>
              <w:t xml:space="preserve">Graf </w:t>
            </w:r>
            <w:proofErr w:type="gramStart"/>
            <w:r w:rsidRPr="00C43FCE">
              <w:rPr>
                <w:rFonts w:cs="Arial"/>
                <w:b/>
                <w:szCs w:val="20"/>
              </w:rPr>
              <w:t>6.5  Poskytnuté</w:t>
            </w:r>
            <w:proofErr w:type="gramEnd"/>
            <w:r w:rsidRPr="00C43FCE">
              <w:rPr>
                <w:rFonts w:cs="Arial"/>
                <w:b/>
                <w:szCs w:val="20"/>
              </w:rPr>
              <w:t xml:space="preserve"> bankovní úvěry nefinančním podnikům </w:t>
            </w:r>
          </w:p>
          <w:p w:rsidR="009C03C8" w:rsidRPr="00C43FCE" w:rsidRDefault="009C03C8" w:rsidP="00DF7AD4">
            <w:pPr>
              <w:spacing w:after="0"/>
              <w:jc w:val="left"/>
              <w:rPr>
                <w:rFonts w:cs="Arial"/>
                <w:szCs w:val="20"/>
              </w:rPr>
            </w:pPr>
            <w:r w:rsidRPr="00C43FCE">
              <w:rPr>
                <w:rFonts w:cs="Arial"/>
                <w:szCs w:val="20"/>
              </w:rPr>
              <w:t>(meziroční změna v %)</w:t>
            </w:r>
            <w:r w:rsidRPr="00C43FCE">
              <w:rPr>
                <w:rFonts w:cs="Arial"/>
                <w:b/>
                <w:szCs w:val="20"/>
              </w:rPr>
              <w:t xml:space="preserve"> a podíl nevýkonných úvěrů </w:t>
            </w:r>
            <w:r w:rsidRPr="00C43FCE">
              <w:rPr>
                <w:rFonts w:cs="Arial"/>
                <w:szCs w:val="20"/>
              </w:rPr>
              <w:t>(v %)</w:t>
            </w:r>
          </w:p>
          <w:p w:rsidR="009C03C8" w:rsidRPr="007424A8" w:rsidRDefault="009C03C8" w:rsidP="00DF7AD4">
            <w:pPr>
              <w:spacing w:after="0"/>
              <w:rPr>
                <w:rFonts w:cs="Arial"/>
                <w:szCs w:val="20"/>
              </w:rPr>
            </w:pPr>
            <w:r w:rsidRPr="00BC5AC5">
              <w:rPr>
                <w:rFonts w:cs="Arial"/>
                <w:noProof/>
                <w:szCs w:val="20"/>
              </w:rPr>
              <w:drawing>
                <wp:inline distT="0" distB="0" distL="0" distR="0">
                  <wp:extent cx="4707172" cy="3371353"/>
                  <wp:effectExtent l="0" t="0" r="0" b="0"/>
                  <wp:docPr id="3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C03C8" w:rsidRPr="00D6151E"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D6151E" w:rsidRDefault="009C03C8" w:rsidP="00E972A9">
            <w:pPr>
              <w:spacing w:after="100"/>
              <w:rPr>
                <w:rFonts w:cs="Arial"/>
                <w:sz w:val="14"/>
                <w:szCs w:val="14"/>
              </w:rPr>
            </w:pPr>
            <w:r>
              <w:rPr>
                <w:rFonts w:cs="Arial"/>
                <w:sz w:val="14"/>
                <w:szCs w:val="14"/>
              </w:rPr>
              <w:t xml:space="preserve"> Zdroj: Česká národní banka</w:t>
            </w:r>
          </w:p>
        </w:tc>
      </w:tr>
      <w:tr w:rsidR="009C03C8" w:rsidRPr="007424A8"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CD181A" w:rsidRDefault="009C03C8" w:rsidP="00DF7AD4">
            <w:pPr>
              <w:pStyle w:val="Textpoznpodarou"/>
              <w:rPr>
                <w:b/>
                <w:lang w:eastAsia="en-US"/>
              </w:rPr>
            </w:pPr>
            <w:r w:rsidRPr="00C43FCE">
              <w:rPr>
                <w:rFonts w:cs="Arial"/>
                <w:b/>
              </w:rPr>
              <w:t xml:space="preserve">Graf </w:t>
            </w:r>
            <w:proofErr w:type="gramStart"/>
            <w:r w:rsidRPr="00C43FCE">
              <w:rPr>
                <w:rFonts w:cs="Arial"/>
                <w:b/>
              </w:rPr>
              <w:t>6</w:t>
            </w:r>
            <w:r>
              <w:rPr>
                <w:rFonts w:cs="Arial"/>
                <w:b/>
              </w:rPr>
              <w:t>.6</w:t>
            </w:r>
            <w:r w:rsidRPr="00C43FCE">
              <w:rPr>
                <w:rFonts w:cs="Arial"/>
                <w:b/>
              </w:rPr>
              <w:t xml:space="preserve">  </w:t>
            </w:r>
            <w:r>
              <w:rPr>
                <w:b/>
                <w:lang w:eastAsia="en-US"/>
              </w:rPr>
              <w:t>Konsolidovaný</w:t>
            </w:r>
            <w:proofErr w:type="gramEnd"/>
            <w:r>
              <w:rPr>
                <w:b/>
                <w:lang w:eastAsia="en-US"/>
              </w:rPr>
              <w:t xml:space="preserve"> dluh nefinančních podniků* ve vybraných evropských zemích v roce 2017 </w:t>
            </w:r>
            <w:r>
              <w:rPr>
                <w:lang w:eastAsia="en-US"/>
              </w:rPr>
              <w:t>(v %</w:t>
            </w:r>
            <w:r w:rsidRPr="008A4447">
              <w:rPr>
                <w:lang w:eastAsia="en-US"/>
              </w:rPr>
              <w:t xml:space="preserve"> HDP)</w:t>
            </w:r>
          </w:p>
          <w:p w:rsidR="009C03C8" w:rsidRPr="007424A8" w:rsidRDefault="009C03C8" w:rsidP="00DF7AD4">
            <w:pPr>
              <w:spacing w:after="0"/>
              <w:rPr>
                <w:rFonts w:cs="Arial"/>
                <w:szCs w:val="20"/>
              </w:rPr>
            </w:pPr>
            <w:r w:rsidRPr="000A7A24">
              <w:rPr>
                <w:rFonts w:cs="Arial"/>
                <w:noProof/>
                <w:szCs w:val="20"/>
              </w:rPr>
              <w:drawing>
                <wp:inline distT="0" distB="0" distL="0" distR="0">
                  <wp:extent cx="4731026" cy="3387256"/>
                  <wp:effectExtent l="0" t="0" r="0" b="0"/>
                  <wp:docPr id="3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9C03C8" w:rsidRPr="00D6151E" w:rsidTr="00DF7AD4">
        <w:trPr>
          <w:trHeight w:val="170"/>
        </w:trPr>
        <w:tc>
          <w:tcPr>
            <w:tcW w:w="1976" w:type="dxa"/>
          </w:tcPr>
          <w:p w:rsidR="009C03C8" w:rsidRDefault="009C03C8" w:rsidP="00DF7AD4">
            <w:pPr>
              <w:pStyle w:val="Marginlie"/>
            </w:pPr>
          </w:p>
        </w:tc>
        <w:tc>
          <w:tcPr>
            <w:tcW w:w="277" w:type="dxa"/>
          </w:tcPr>
          <w:p w:rsidR="009C03C8" w:rsidRPr="005E4483" w:rsidRDefault="009C03C8" w:rsidP="00DF7AD4">
            <w:pPr>
              <w:pStyle w:val="Textpoznpodarou"/>
              <w:jc w:val="both"/>
              <w:rPr>
                <w:spacing w:val="-4"/>
              </w:rPr>
            </w:pPr>
          </w:p>
        </w:tc>
        <w:tc>
          <w:tcPr>
            <w:tcW w:w="7391" w:type="dxa"/>
          </w:tcPr>
          <w:p w:rsidR="009C03C8" w:rsidRPr="00E972A9" w:rsidRDefault="009C03C8" w:rsidP="00E972A9">
            <w:pPr>
              <w:pStyle w:val="Textpoznpodarou"/>
              <w:jc w:val="both"/>
              <w:rPr>
                <w:sz w:val="14"/>
                <w:szCs w:val="14"/>
                <w:lang w:eastAsia="en-US"/>
              </w:rPr>
            </w:pPr>
            <w:r w:rsidRPr="00CD181A">
              <w:rPr>
                <w:sz w:val="14"/>
                <w:szCs w:val="14"/>
                <w:lang w:eastAsia="en-US"/>
              </w:rPr>
              <w:t>*Pozn.: Součet vybraných finančních pasív v konečné rozvaze: Dluhové cenné papíry (</w:t>
            </w:r>
            <w:proofErr w:type="gramStart"/>
            <w:r w:rsidRPr="00CD181A">
              <w:rPr>
                <w:sz w:val="14"/>
                <w:szCs w:val="14"/>
                <w:lang w:eastAsia="en-US"/>
              </w:rPr>
              <w:t>AF.3), Půjčky</w:t>
            </w:r>
            <w:proofErr w:type="gramEnd"/>
            <w:r w:rsidRPr="00CD181A">
              <w:rPr>
                <w:sz w:val="14"/>
                <w:szCs w:val="14"/>
                <w:lang w:eastAsia="en-US"/>
              </w:rPr>
              <w:t xml:space="preserve"> (AF.4), Ostatní závazky (AF.8)</w:t>
            </w:r>
            <w:r>
              <w:rPr>
                <w:sz w:val="14"/>
                <w:szCs w:val="14"/>
                <w:lang w:eastAsia="en-US"/>
              </w:rPr>
              <w:t xml:space="preserve">. Za Lucembursko, EU28 a uskupení </w:t>
            </w:r>
            <w:proofErr w:type="spellStart"/>
            <w:r>
              <w:rPr>
                <w:sz w:val="14"/>
                <w:szCs w:val="14"/>
                <w:lang w:eastAsia="en-US"/>
              </w:rPr>
              <w:t>Eurozóny</w:t>
            </w:r>
            <w:proofErr w:type="spellEnd"/>
            <w:r>
              <w:rPr>
                <w:sz w:val="14"/>
                <w:szCs w:val="14"/>
                <w:lang w:eastAsia="en-US"/>
              </w:rPr>
              <w:t xml:space="preserve"> uveden rok 2016.</w:t>
            </w:r>
            <w:r w:rsidR="00E972A9">
              <w:rPr>
                <w:sz w:val="14"/>
                <w:szCs w:val="14"/>
                <w:lang w:eastAsia="en-US"/>
              </w:rPr>
              <w:t xml:space="preserve">                                    </w:t>
            </w:r>
            <w:r w:rsidRPr="00CD181A">
              <w:rPr>
                <w:rFonts w:cs="Arial"/>
                <w:sz w:val="14"/>
                <w:szCs w:val="14"/>
              </w:rPr>
              <w:t xml:space="preserve">Zdroj: </w:t>
            </w:r>
            <w:proofErr w:type="spellStart"/>
            <w:r w:rsidRPr="00CD181A">
              <w:rPr>
                <w:rFonts w:cs="Arial"/>
                <w:sz w:val="14"/>
                <w:szCs w:val="14"/>
              </w:rPr>
              <w:t>Eurostat</w:t>
            </w:r>
            <w:proofErr w:type="spellEnd"/>
          </w:p>
        </w:tc>
      </w:tr>
    </w:tbl>
    <w:p w:rsidR="00C96D08" w:rsidRPr="00360DE3" w:rsidRDefault="00E212C9" w:rsidP="00C96D08">
      <w:pPr>
        <w:pStyle w:val="Nadpis11"/>
      </w:pPr>
      <w:bookmarkStart w:id="21" w:name="_Toc527639476"/>
      <w:r w:rsidRPr="00360DE3">
        <w:rPr>
          <w:lang w:eastAsia="en-US"/>
        </w:rPr>
        <w:lastRenderedPageBreak/>
        <w:t>7</w:t>
      </w:r>
      <w:r w:rsidR="00141782" w:rsidRPr="00360DE3">
        <w:rPr>
          <w:lang w:eastAsia="en-US"/>
        </w:rPr>
        <w:t>. Finanční instituce</w:t>
      </w:r>
      <w:bookmarkEnd w:id="21"/>
      <w:r w:rsidR="00C96D08" w:rsidRPr="00360DE3">
        <w:t xml:space="preserve"> </w:t>
      </w:r>
    </w:p>
    <w:tbl>
      <w:tblPr>
        <w:tblW w:w="9644" w:type="dxa"/>
        <w:tblInd w:w="-15" w:type="dxa"/>
        <w:tblCellMar>
          <w:left w:w="0" w:type="dxa"/>
          <w:right w:w="0" w:type="dxa"/>
        </w:tblCellMar>
        <w:tblLook w:val="00A0"/>
      </w:tblPr>
      <w:tblGrid>
        <w:gridCol w:w="1909"/>
        <w:gridCol w:w="264"/>
        <w:gridCol w:w="7471"/>
      </w:tblGrid>
      <w:tr w:rsidR="00C96D08" w:rsidRPr="00360DE3" w:rsidTr="002B213A">
        <w:trPr>
          <w:trHeight w:val="145"/>
        </w:trPr>
        <w:tc>
          <w:tcPr>
            <w:tcW w:w="1909" w:type="dxa"/>
            <w:shd w:val="clear" w:color="auto" w:fill="auto"/>
          </w:tcPr>
          <w:p w:rsidR="00C96D08" w:rsidRPr="00360DE3" w:rsidRDefault="00C96D08" w:rsidP="002B213A">
            <w:pPr>
              <w:pStyle w:val="Marginlie"/>
              <w:rPr>
                <w:spacing w:val="0"/>
              </w:rPr>
            </w:pPr>
            <w:r w:rsidRPr="00360DE3">
              <w:rPr>
                <w:spacing w:val="0"/>
              </w:rPr>
              <w:t>Ziskovost v sektoru finančních institucí meziročně vzrostla.</w:t>
            </w:r>
          </w:p>
        </w:tc>
        <w:tc>
          <w:tcPr>
            <w:tcW w:w="264" w:type="dxa"/>
            <w:shd w:val="clear" w:color="auto" w:fill="auto"/>
          </w:tcPr>
          <w:p w:rsidR="00C96D08" w:rsidRPr="00360DE3" w:rsidRDefault="00C96D08" w:rsidP="002B213A">
            <w:pPr>
              <w:pStyle w:val="Textpoznpodarou1"/>
              <w:jc w:val="both"/>
            </w:pPr>
          </w:p>
        </w:tc>
        <w:tc>
          <w:tcPr>
            <w:tcW w:w="7471" w:type="dxa"/>
            <w:shd w:val="clear" w:color="auto" w:fill="auto"/>
          </w:tcPr>
          <w:p w:rsidR="00C96D08" w:rsidRPr="00360DE3" w:rsidRDefault="00C96D08" w:rsidP="002B213A">
            <w:r w:rsidRPr="00360DE3">
              <w:t>Hrubý provozní přebytek sektoru finančních institucí</w:t>
            </w:r>
            <w:r w:rsidRPr="00360DE3">
              <w:rPr>
                <w:rStyle w:val="Znakapoznpodarou"/>
              </w:rPr>
              <w:footnoteReference w:id="36"/>
            </w:r>
            <w:r w:rsidRPr="00360DE3">
              <w:t xml:space="preserve"> loni dosáhl 107,3 mld. korun (v běžných cenách). Jde o nejvyšší hodnotu v dostupné časové řadě a poprvé se podařilo překonat úroveň roku 2010. Meziročně se h</w:t>
            </w:r>
            <w:r w:rsidR="00DF7AD4">
              <w:t>rubý provozní přebytek zvýšil o</w:t>
            </w:r>
            <w:r w:rsidR="00DF7AD4" w:rsidRPr="00360DE3">
              <w:t> </w:t>
            </w:r>
            <w:r w:rsidRPr="00360DE3">
              <w:t>2,5 mld. korun. Na rozdíl od zbytku ekonomiky ve finančním sektoru neprobíhal nárůst zaměstnanosti, ani se výrazněji nezvyšovaly průměrné mzdy. Celkový objem vyplacených náhrad zaměstnancům tak meziročně stagnoval (dosáhl 62,3 mld. korun a meziročně se snížil o 73,0 milionů), což se projevilo zvýšením výsledné ziskovosti sektoru. Míra zisku</w:t>
            </w:r>
            <w:r w:rsidRPr="00360DE3">
              <w:rPr>
                <w:rStyle w:val="Znakapoznpodarou"/>
              </w:rPr>
              <w:footnoteReference w:id="37"/>
            </w:r>
            <w:r w:rsidRPr="00360DE3">
              <w:t xml:space="preserve"> loni dosáhla 61,3 %, což je o 0,5 p. </w:t>
            </w:r>
            <w:proofErr w:type="spellStart"/>
            <w:r w:rsidRPr="00360DE3">
              <w:t>b</w:t>
            </w:r>
            <w:proofErr w:type="spellEnd"/>
            <w:r w:rsidRPr="00360DE3">
              <w:t xml:space="preserve">. </w:t>
            </w:r>
            <w:proofErr w:type="gramStart"/>
            <w:r w:rsidRPr="00360DE3">
              <w:t>více</w:t>
            </w:r>
            <w:proofErr w:type="gramEnd"/>
            <w:r w:rsidRPr="00360DE3">
              <w:t xml:space="preserve"> než v roce 2016. </w:t>
            </w:r>
          </w:p>
        </w:tc>
      </w:tr>
      <w:tr w:rsidR="00C96D08" w:rsidRPr="00360DE3" w:rsidTr="002B213A">
        <w:tc>
          <w:tcPr>
            <w:tcW w:w="1909" w:type="dxa"/>
            <w:vMerge w:val="restart"/>
            <w:shd w:val="clear" w:color="auto" w:fill="auto"/>
          </w:tcPr>
          <w:p w:rsidR="00C96D08" w:rsidRPr="00360DE3" w:rsidRDefault="00C96D08" w:rsidP="002B213A">
            <w:pPr>
              <w:pStyle w:val="Marginlie"/>
              <w:rPr>
                <w:spacing w:val="0"/>
              </w:rPr>
            </w:pPr>
          </w:p>
        </w:tc>
        <w:tc>
          <w:tcPr>
            <w:tcW w:w="264" w:type="dxa"/>
            <w:vMerge w:val="restart"/>
            <w:shd w:val="clear" w:color="auto" w:fill="auto"/>
          </w:tcPr>
          <w:p w:rsidR="00C96D08" w:rsidRPr="00360DE3" w:rsidRDefault="00C96D08" w:rsidP="002B213A">
            <w:pPr>
              <w:pStyle w:val="Textpoznpodarou1"/>
              <w:jc w:val="both"/>
            </w:pPr>
          </w:p>
        </w:tc>
        <w:tc>
          <w:tcPr>
            <w:tcW w:w="7471" w:type="dxa"/>
            <w:shd w:val="clear" w:color="auto" w:fill="auto"/>
          </w:tcPr>
          <w:p w:rsidR="004E02EB" w:rsidRDefault="00C96D08" w:rsidP="001D198A">
            <w:pPr>
              <w:spacing w:after="0"/>
              <w:rPr>
                <w:b/>
              </w:rPr>
            </w:pPr>
            <w:r w:rsidRPr="00360DE3">
              <w:rPr>
                <w:b/>
              </w:rPr>
              <w:t xml:space="preserve">Graf č. </w:t>
            </w:r>
            <w:proofErr w:type="gramStart"/>
            <w:r w:rsidR="001D198A" w:rsidRPr="00360DE3">
              <w:rPr>
                <w:b/>
              </w:rPr>
              <w:t>7.1</w:t>
            </w:r>
            <w:r w:rsidRPr="00360DE3">
              <w:rPr>
                <w:b/>
              </w:rPr>
              <w:t xml:space="preserve">  Hrubá</w:t>
            </w:r>
            <w:proofErr w:type="gramEnd"/>
            <w:r w:rsidRPr="00360DE3">
              <w:rPr>
                <w:b/>
              </w:rPr>
              <w:t xml:space="preserve"> přidaná hodnota vybraných finančních institucí </w:t>
            </w:r>
          </w:p>
          <w:p w:rsidR="00C96D08" w:rsidRPr="00360DE3" w:rsidRDefault="00C96D08" w:rsidP="001D198A">
            <w:pPr>
              <w:spacing w:after="0"/>
              <w:rPr>
                <w:b/>
              </w:rPr>
            </w:pPr>
            <w:r w:rsidRPr="00360DE3">
              <w:t>(meziroční změna v mld. korun)</w:t>
            </w:r>
          </w:p>
        </w:tc>
      </w:tr>
      <w:tr w:rsidR="00C96D08" w:rsidRPr="00360DE3" w:rsidTr="002B213A">
        <w:trPr>
          <w:trHeight w:val="170"/>
        </w:trPr>
        <w:tc>
          <w:tcPr>
            <w:tcW w:w="1909" w:type="dxa"/>
            <w:vMerge/>
            <w:shd w:val="clear" w:color="auto" w:fill="auto"/>
          </w:tcPr>
          <w:p w:rsidR="00C96D08" w:rsidRPr="00360DE3" w:rsidRDefault="00C96D08" w:rsidP="002B213A">
            <w:pPr>
              <w:pStyle w:val="Marginlie"/>
              <w:rPr>
                <w:spacing w:val="0"/>
              </w:rPr>
            </w:pPr>
          </w:p>
        </w:tc>
        <w:tc>
          <w:tcPr>
            <w:tcW w:w="264" w:type="dxa"/>
            <w:vMerge/>
            <w:shd w:val="clear" w:color="auto" w:fill="auto"/>
          </w:tcPr>
          <w:p w:rsidR="00C96D08" w:rsidRPr="00360DE3" w:rsidRDefault="00C96D08" w:rsidP="002B213A">
            <w:pPr>
              <w:pStyle w:val="Textpoznpodarou1"/>
              <w:jc w:val="both"/>
            </w:pPr>
          </w:p>
        </w:tc>
        <w:tc>
          <w:tcPr>
            <w:tcW w:w="7471" w:type="dxa"/>
            <w:shd w:val="clear" w:color="auto" w:fill="auto"/>
          </w:tcPr>
          <w:p w:rsidR="00C96D08" w:rsidRPr="00360DE3" w:rsidRDefault="00C96D08" w:rsidP="002B213A">
            <w:pPr>
              <w:spacing w:after="0"/>
            </w:pPr>
            <w:r w:rsidRPr="00360DE3">
              <w:rPr>
                <w:noProof/>
              </w:rPr>
              <w:drawing>
                <wp:inline distT="0" distB="0" distL="0" distR="0">
                  <wp:extent cx="4737600" cy="3553200"/>
                  <wp:effectExtent l="0" t="0" r="0" b="0"/>
                  <wp:docPr id="2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C96D08" w:rsidRPr="00360DE3" w:rsidTr="002B213A">
        <w:trPr>
          <w:trHeight w:val="170"/>
        </w:trPr>
        <w:tc>
          <w:tcPr>
            <w:tcW w:w="1909" w:type="dxa"/>
            <w:vMerge/>
            <w:shd w:val="clear" w:color="auto" w:fill="auto"/>
          </w:tcPr>
          <w:p w:rsidR="00C96D08" w:rsidRPr="00360DE3" w:rsidRDefault="00C96D08" w:rsidP="002B213A">
            <w:pPr>
              <w:pStyle w:val="Marginlie"/>
              <w:rPr>
                <w:spacing w:val="0"/>
              </w:rPr>
            </w:pPr>
          </w:p>
        </w:tc>
        <w:tc>
          <w:tcPr>
            <w:tcW w:w="264" w:type="dxa"/>
            <w:vMerge/>
            <w:shd w:val="clear" w:color="auto" w:fill="auto"/>
          </w:tcPr>
          <w:p w:rsidR="00C96D08" w:rsidRPr="00360DE3" w:rsidRDefault="00C96D08" w:rsidP="002B213A">
            <w:pPr>
              <w:pStyle w:val="Textpoznpodarou1"/>
              <w:jc w:val="both"/>
            </w:pPr>
          </w:p>
        </w:tc>
        <w:tc>
          <w:tcPr>
            <w:tcW w:w="7471" w:type="dxa"/>
            <w:shd w:val="clear" w:color="auto" w:fill="auto"/>
          </w:tcPr>
          <w:p w:rsidR="00C96D08" w:rsidRPr="00360DE3" w:rsidRDefault="00C96D08" w:rsidP="002B213A">
            <w:pPr>
              <w:rPr>
                <w:sz w:val="14"/>
                <w:szCs w:val="14"/>
              </w:rPr>
            </w:pPr>
            <w:r w:rsidRPr="00360DE3">
              <w:rPr>
                <w:sz w:val="14"/>
                <w:szCs w:val="14"/>
              </w:rPr>
              <w:t>Zdroj: ČSÚ</w:t>
            </w:r>
          </w:p>
        </w:tc>
      </w:tr>
      <w:tr w:rsidR="00C96D08" w:rsidRPr="00360DE3" w:rsidTr="002B213A">
        <w:trPr>
          <w:trHeight w:val="145"/>
        </w:trPr>
        <w:tc>
          <w:tcPr>
            <w:tcW w:w="1909" w:type="dxa"/>
            <w:shd w:val="clear" w:color="auto" w:fill="auto"/>
          </w:tcPr>
          <w:p w:rsidR="00C96D08" w:rsidRPr="00360DE3" w:rsidRDefault="00C96D08" w:rsidP="002B213A">
            <w:pPr>
              <w:pStyle w:val="Marginlie"/>
              <w:rPr>
                <w:spacing w:val="0"/>
              </w:rPr>
            </w:pPr>
            <w:r w:rsidRPr="00360DE3">
              <w:rPr>
                <w:spacing w:val="0"/>
              </w:rPr>
              <w:t>Růst hrubé přidané hodnoty v sektoru finančních institucí zaostával za zbytkem ekonomiky a zejména nefinančními podniky.</w:t>
            </w:r>
          </w:p>
        </w:tc>
        <w:tc>
          <w:tcPr>
            <w:tcW w:w="264" w:type="dxa"/>
            <w:shd w:val="clear" w:color="auto" w:fill="auto"/>
          </w:tcPr>
          <w:p w:rsidR="00C96D08" w:rsidRPr="00360DE3" w:rsidRDefault="00C96D08" w:rsidP="002B213A">
            <w:pPr>
              <w:pStyle w:val="Textpoznpodarou1"/>
              <w:jc w:val="both"/>
            </w:pPr>
          </w:p>
        </w:tc>
        <w:tc>
          <w:tcPr>
            <w:tcW w:w="7471" w:type="dxa"/>
            <w:shd w:val="clear" w:color="auto" w:fill="auto"/>
          </w:tcPr>
          <w:p w:rsidR="00C96D08" w:rsidRPr="00360DE3" w:rsidRDefault="00C96D08" w:rsidP="002B213A">
            <w:r w:rsidRPr="00360DE3">
              <w:t xml:space="preserve">Samotná hrubá přidaná hodnota (HPH) finančních institucí loni dosáhla 174,9 mld. korun a meziročně se zvýšila o 2,6 mld. Celkově se sektor podílel na hrubé přidané hodnotě národního hospodářství 3,9 %, což je nejméně od roku 2007. Recese, která přišla po roce 2008, postihla zejména sektor nefinančních podniků a až do roku 2010 nepřerušila prudký růst HPH finančních institucí. Podíl finančního sektoru na HPH tak rostl (vrcholu dosáhl v roce 2010, v posledních čtyřech letech klesal s tím, jak nová konjunktura podpořila nefinanční podniky). Zároveň růstová dynamika HPH finančních institucí v posledních čtyřech letech zaostávala za zbytkem ekonomiky. Stagnující ziskovost by mohla stimulovat vyšší investiční aktivita v sektoru. Výdaje na tvorbu hrubého fixního kapitálu zde v loňském roce nominálně narostly o 5,4 mld. korun (14,9 %). Tento výsledek navazuje na </w:t>
            </w:r>
            <w:r w:rsidRPr="00360DE3">
              <w:lastRenderedPageBreak/>
              <w:t>předchozí dva roky, kdy meziroční přírůstky rovněž dosahovaly dvouciferného tempa. Přímým následkem bylo rychlé zvýšení míry investic</w:t>
            </w:r>
            <w:r w:rsidRPr="00360DE3">
              <w:rPr>
                <w:rStyle w:val="Znakapoznpodarou"/>
              </w:rPr>
              <w:footnoteReference w:id="38"/>
            </w:r>
            <w:r w:rsidRPr="00360DE3">
              <w:t xml:space="preserve"> v sektoru. Ta loni dosáhla 23,8 % (meziroční nárůst o 1,8 p. </w:t>
            </w:r>
            <w:proofErr w:type="spellStart"/>
            <w:r w:rsidRPr="00360DE3">
              <w:t>b</w:t>
            </w:r>
            <w:proofErr w:type="spellEnd"/>
            <w:r w:rsidRPr="00360DE3">
              <w:t xml:space="preserve">., nárůst od roku 2014 o 7,3 p. </w:t>
            </w:r>
            <w:proofErr w:type="spellStart"/>
            <w:r w:rsidRPr="00360DE3">
              <w:t>b</w:t>
            </w:r>
            <w:proofErr w:type="spellEnd"/>
            <w:r w:rsidRPr="00360DE3">
              <w:t>.). Investice finančních institucí jsou převážně zaměřeny na počítačové a softwarové vybavení. Elektronizace bankovnictví a finančnictví pak může mít přímý dopad ve formě poklesu počtu pracovníků v sektoru.</w:t>
            </w:r>
          </w:p>
        </w:tc>
      </w:tr>
      <w:tr w:rsidR="00C96D08" w:rsidRPr="00360DE3" w:rsidTr="002B213A">
        <w:trPr>
          <w:trHeight w:val="145"/>
        </w:trPr>
        <w:tc>
          <w:tcPr>
            <w:tcW w:w="1909" w:type="dxa"/>
            <w:shd w:val="clear" w:color="auto" w:fill="auto"/>
          </w:tcPr>
          <w:p w:rsidR="00C96D08" w:rsidRPr="00360DE3" w:rsidRDefault="00C96D08" w:rsidP="00C466D2">
            <w:pPr>
              <w:pStyle w:val="Marginlie"/>
              <w:rPr>
                <w:spacing w:val="0"/>
              </w:rPr>
            </w:pPr>
            <w:r w:rsidRPr="00360DE3">
              <w:rPr>
                <w:spacing w:val="0"/>
              </w:rPr>
              <w:lastRenderedPageBreak/>
              <w:t>Loni u finančních institucí klesala zaměstnanost,</w:t>
            </w:r>
            <w:r w:rsidR="00C466D2" w:rsidRPr="00360DE3">
              <w:rPr>
                <w:spacing w:val="0"/>
              </w:rPr>
              <w:t xml:space="preserve"> což společně s mírným růstem průměrné mzdy v sektoru vedlo ke stagnaci objemu vyplacených mzdových prostředků.</w:t>
            </w:r>
          </w:p>
        </w:tc>
        <w:tc>
          <w:tcPr>
            <w:tcW w:w="264" w:type="dxa"/>
            <w:shd w:val="clear" w:color="auto" w:fill="auto"/>
          </w:tcPr>
          <w:p w:rsidR="00C96D08" w:rsidRPr="00360DE3" w:rsidRDefault="00C96D08" w:rsidP="002B213A">
            <w:pPr>
              <w:pStyle w:val="Textpoznpodarou1"/>
              <w:jc w:val="both"/>
            </w:pPr>
          </w:p>
        </w:tc>
        <w:tc>
          <w:tcPr>
            <w:tcW w:w="7471" w:type="dxa"/>
            <w:shd w:val="clear" w:color="auto" w:fill="auto"/>
          </w:tcPr>
          <w:p w:rsidR="00C96D08" w:rsidRPr="00D52BE2" w:rsidRDefault="00C96D08" w:rsidP="00C466D2">
            <w:pPr>
              <w:rPr>
                <w:spacing w:val="-2"/>
              </w:rPr>
            </w:pPr>
            <w:r w:rsidRPr="00D52BE2">
              <w:rPr>
                <w:spacing w:val="-2"/>
              </w:rPr>
              <w:t>Celková zaměstnanost</w:t>
            </w:r>
            <w:r w:rsidRPr="00D52BE2">
              <w:rPr>
                <w:rStyle w:val="Znakapoznpodarou"/>
                <w:spacing w:val="-2"/>
              </w:rPr>
              <w:footnoteReference w:id="39"/>
            </w:r>
            <w:r w:rsidRPr="00D52BE2">
              <w:rPr>
                <w:spacing w:val="-2"/>
              </w:rPr>
              <w:t xml:space="preserve"> v sektoru finančních institucí v posledních šesti letech kolísala mezi 72 a 74 tis. osob. V loňském roce zde bylo zaměstnáno 71,5 tis. osob, což znamená meziroční pokles o 2,4 tis. (-3,2 %). Finanční sektor se podílel na celkové zaměstnanosti 1,4 %. To je stejn</w:t>
            </w:r>
            <w:r w:rsidR="00C466D2" w:rsidRPr="00D52BE2">
              <w:rPr>
                <w:spacing w:val="-2"/>
              </w:rPr>
              <w:t>ě</w:t>
            </w:r>
            <w:r w:rsidRPr="00D52BE2">
              <w:rPr>
                <w:spacing w:val="-2"/>
              </w:rPr>
              <w:t xml:space="preserve"> jako v roce 20</w:t>
            </w:r>
            <w:r w:rsidR="00DF7AD4" w:rsidRPr="00D52BE2">
              <w:rPr>
                <w:spacing w:val="-2"/>
              </w:rPr>
              <w:t>16. Vývoj zaměstnanosti u </w:t>
            </w:r>
            <w:r w:rsidRPr="00D52BE2">
              <w:rPr>
                <w:spacing w:val="-2"/>
              </w:rPr>
              <w:t>finančních institucí byl v protikladu jak s celou ekonomikou, kde se celková zaměstnanost zvyšovala o 1,2 %, tak se sektorem</w:t>
            </w:r>
            <w:r w:rsidR="00DF7AD4" w:rsidRPr="00D52BE2">
              <w:rPr>
                <w:spacing w:val="-2"/>
              </w:rPr>
              <w:t xml:space="preserve"> nefinančních podniků (nárůst o </w:t>
            </w:r>
            <w:r w:rsidRPr="00D52BE2">
              <w:rPr>
                <w:spacing w:val="-2"/>
              </w:rPr>
              <w:t>1,7</w:t>
            </w:r>
            <w:r w:rsidR="00D52BE2" w:rsidRPr="00360DE3">
              <w:t> </w:t>
            </w:r>
            <w:r w:rsidRPr="00D52BE2">
              <w:rPr>
                <w:spacing w:val="-2"/>
              </w:rPr>
              <w:t>%).</w:t>
            </w:r>
            <w:r w:rsidR="00C466D2" w:rsidRPr="00D52BE2">
              <w:rPr>
                <w:spacing w:val="-2"/>
              </w:rPr>
              <w:t xml:space="preserve"> Objem vyplacených mezd a platů ve finančních institucích loni dosá</w:t>
            </w:r>
            <w:r w:rsidR="00DF7AD4" w:rsidRPr="00D52BE2">
              <w:rPr>
                <w:spacing w:val="-2"/>
              </w:rPr>
              <w:t>hl 47,1 </w:t>
            </w:r>
            <w:r w:rsidR="00C466D2" w:rsidRPr="00D52BE2">
              <w:rPr>
                <w:spacing w:val="-2"/>
              </w:rPr>
              <w:t>mld. korun. Meziroční navýšení dosáhlo jen</w:t>
            </w:r>
            <w:r w:rsidR="00DF7AD4" w:rsidRPr="00D52BE2">
              <w:rPr>
                <w:spacing w:val="-2"/>
              </w:rPr>
              <w:t xml:space="preserve"> 0,2 mld. korun (0,5 %). Mzdy a </w:t>
            </w:r>
            <w:r w:rsidR="00C466D2" w:rsidRPr="00D52BE2">
              <w:rPr>
                <w:spacing w:val="-2"/>
              </w:rPr>
              <w:t xml:space="preserve">platy ve finančním sektoru tvořily 3,0 % z celkového vyplaceného objemu v ekonomice. Tento ukazatel meziročně poklesl o 0,2 p. </w:t>
            </w:r>
            <w:proofErr w:type="spellStart"/>
            <w:r w:rsidR="00C466D2" w:rsidRPr="00D52BE2">
              <w:rPr>
                <w:spacing w:val="-2"/>
              </w:rPr>
              <w:t>b</w:t>
            </w:r>
            <w:proofErr w:type="spellEnd"/>
            <w:r w:rsidR="00C466D2" w:rsidRPr="00D52BE2">
              <w:rPr>
                <w:spacing w:val="-2"/>
              </w:rPr>
              <w:t>. Průměrná mzda ve finančním sektoru je značně vyšší než u nefinančních podniků (1,4 % zaměstnanců v ekonomice plyne 3,0</w:t>
            </w:r>
            <w:r w:rsidR="00D52BE2" w:rsidRPr="00360DE3">
              <w:t> </w:t>
            </w:r>
            <w:r w:rsidR="00C466D2" w:rsidRPr="00D52BE2">
              <w:rPr>
                <w:spacing w:val="-2"/>
              </w:rPr>
              <w:t>% mzdových prostředků), její růst však loni zaostával za celkovým průměrem v ekonomice. To potvrzuje hodnota průměrné mzdy ve finančnictví a pojišťovnictví (CZ-NACE K), která loni činila 51 928 korun</w:t>
            </w:r>
            <w:r w:rsidR="00C466D2" w:rsidRPr="00D52BE2">
              <w:rPr>
                <w:rStyle w:val="Znakapoznpodarou"/>
                <w:rFonts w:eastAsia="MS Gothic"/>
                <w:spacing w:val="-2"/>
              </w:rPr>
              <w:footnoteReference w:id="40"/>
            </w:r>
            <w:r w:rsidR="00C466D2" w:rsidRPr="00D52BE2">
              <w:rPr>
                <w:spacing w:val="-2"/>
              </w:rPr>
              <w:t xml:space="preserve"> (druhá nejvyšší průměrná mzda v ekonomice), její meziroční navýšení však dosáhlo jen 3,6 %.</w:t>
            </w:r>
          </w:p>
        </w:tc>
      </w:tr>
      <w:tr w:rsidR="00C96D08" w:rsidRPr="00360DE3" w:rsidTr="002B213A">
        <w:trPr>
          <w:trHeight w:val="212"/>
        </w:trPr>
        <w:tc>
          <w:tcPr>
            <w:tcW w:w="1909" w:type="dxa"/>
            <w:shd w:val="clear" w:color="auto" w:fill="auto"/>
          </w:tcPr>
          <w:p w:rsidR="00C96D08" w:rsidRPr="00360DE3" w:rsidRDefault="00C96D08" w:rsidP="002B213A">
            <w:pPr>
              <w:pStyle w:val="Marginlie"/>
              <w:spacing w:after="240"/>
              <w:rPr>
                <w:spacing w:val="0"/>
              </w:rPr>
            </w:pPr>
            <w:r w:rsidRPr="00360DE3">
              <w:rPr>
                <w:spacing w:val="0"/>
              </w:rPr>
              <w:t>V měnové oblasti došlo k několika významným změnám.</w:t>
            </w:r>
          </w:p>
        </w:tc>
        <w:tc>
          <w:tcPr>
            <w:tcW w:w="264" w:type="dxa"/>
            <w:shd w:val="clear" w:color="auto" w:fill="auto"/>
          </w:tcPr>
          <w:p w:rsidR="00C96D08" w:rsidRPr="00360DE3" w:rsidRDefault="00C96D08" w:rsidP="002B213A">
            <w:pPr>
              <w:pStyle w:val="Textpoznpodarou1"/>
              <w:spacing w:after="240"/>
              <w:jc w:val="both"/>
            </w:pPr>
          </w:p>
        </w:tc>
        <w:tc>
          <w:tcPr>
            <w:tcW w:w="7471" w:type="dxa"/>
            <w:shd w:val="clear" w:color="auto" w:fill="auto"/>
          </w:tcPr>
          <w:p w:rsidR="00C96D08" w:rsidRPr="00360DE3" w:rsidRDefault="00C96D08" w:rsidP="002B213A">
            <w:r w:rsidRPr="00360DE3">
              <w:t>V loňském roce došlo k několika významným změnám měnových podmínek, které se následně promítaly do činností finančního sektoru. Tou nejvýznamnější bylo ukončení kurzových intervencí a následný přechod do standardního režimu měnové politiky</w:t>
            </w:r>
            <w:r w:rsidRPr="00360DE3">
              <w:rPr>
                <w:rStyle w:val="Znakapoznpodarou"/>
              </w:rPr>
              <w:footnoteReference w:id="41"/>
            </w:r>
            <w:r w:rsidRPr="00360DE3">
              <w:t xml:space="preserve">. Od listopadu 2012 až do srpna 2017 setrvávaly </w:t>
            </w:r>
            <w:proofErr w:type="spellStart"/>
            <w:r w:rsidRPr="00360DE3">
              <w:t>měnověpolitické</w:t>
            </w:r>
            <w:proofErr w:type="spellEnd"/>
            <w:r w:rsidRPr="00360DE3">
              <w:t xml:space="preserve"> sazby na technické nule. Na počátku srpna byla navýšena </w:t>
            </w:r>
            <w:proofErr w:type="spellStart"/>
            <w:r w:rsidR="00D52BE2">
              <w:t>repo</w:t>
            </w:r>
            <w:proofErr w:type="spellEnd"/>
            <w:r w:rsidR="00D52BE2">
              <w:t xml:space="preserve"> sazba z 0,05 % na 0,25 % a</w:t>
            </w:r>
            <w:r w:rsidR="00D52BE2" w:rsidRPr="00360DE3">
              <w:t> </w:t>
            </w:r>
            <w:r w:rsidRPr="00360DE3">
              <w:t xml:space="preserve">lombardní sazba z 0,25 % na 0,50 %. Další posun nastal v listopadu. Obě sazby byly zdvojnásobeny. Zvýšení sazeb proběhlo poprvé od roku 2008. V návaznosti na diskuze o stabilitě finančního systému se ČNB rozhodla k aplikaci několika nástrojů tzv. </w:t>
            </w:r>
            <w:proofErr w:type="spellStart"/>
            <w:r w:rsidRPr="00360DE3">
              <w:t>makroobezřetnostní</w:t>
            </w:r>
            <w:proofErr w:type="spellEnd"/>
            <w:r w:rsidRPr="00360DE3">
              <w:t xml:space="preserve"> politiky. Nejviditelnější změnou bylo zpřísnění doporučení týkajících se poskytování hypotečních úvěrů. Šlo především o omezení výše poměru půjčované částky vůči hodnotě nemovitosti. Méně viditelnou změnou bylo zvýšení sazby kapitálové rezervy pro některé banky. Vzhledem k vrcholícímu hospodářskému cyklu bylo na konci roku 2017 vyhlášeno i zvýšení sazby </w:t>
            </w:r>
            <w:proofErr w:type="spellStart"/>
            <w:r w:rsidRPr="00360DE3">
              <w:t>proticyklické</w:t>
            </w:r>
            <w:proofErr w:type="spellEnd"/>
            <w:r w:rsidRPr="00360DE3">
              <w:t xml:space="preserve"> kapitálové rezervy s platností od 1. 7. 2018 (z 0,5 % na 1,0 %, další zvýšení na 1,25 % od 1. 1. 2019).</w:t>
            </w:r>
          </w:p>
        </w:tc>
      </w:tr>
      <w:tr w:rsidR="00C96D08" w:rsidRPr="00360DE3" w:rsidTr="002B213A">
        <w:trPr>
          <w:trHeight w:val="145"/>
        </w:trPr>
        <w:tc>
          <w:tcPr>
            <w:tcW w:w="1909" w:type="dxa"/>
            <w:shd w:val="clear" w:color="auto" w:fill="auto"/>
          </w:tcPr>
          <w:p w:rsidR="00C96D08" w:rsidRPr="00360DE3" w:rsidRDefault="00C96D08" w:rsidP="002B213A">
            <w:pPr>
              <w:pStyle w:val="Marginlie"/>
              <w:spacing w:after="240"/>
              <w:rPr>
                <w:spacing w:val="0"/>
              </w:rPr>
            </w:pPr>
          </w:p>
        </w:tc>
        <w:tc>
          <w:tcPr>
            <w:tcW w:w="264" w:type="dxa"/>
            <w:shd w:val="clear" w:color="auto" w:fill="auto"/>
          </w:tcPr>
          <w:p w:rsidR="00C96D08" w:rsidRPr="00360DE3" w:rsidRDefault="00C96D08" w:rsidP="002B213A">
            <w:pPr>
              <w:pStyle w:val="Textpoznpodarou1"/>
              <w:jc w:val="both"/>
            </w:pPr>
          </w:p>
        </w:tc>
        <w:tc>
          <w:tcPr>
            <w:tcW w:w="7471" w:type="dxa"/>
            <w:shd w:val="clear" w:color="auto" w:fill="auto"/>
          </w:tcPr>
          <w:p w:rsidR="00C96D08" w:rsidRPr="00360DE3" w:rsidRDefault="00C96D08" w:rsidP="002B213A">
            <w:pPr>
              <w:spacing w:after="0"/>
            </w:pPr>
            <w:r w:rsidRPr="00360DE3">
              <w:t xml:space="preserve">Na zvýšení </w:t>
            </w:r>
            <w:proofErr w:type="spellStart"/>
            <w:r w:rsidRPr="00360DE3">
              <w:t>měnověpolitických</w:t>
            </w:r>
            <w:proofErr w:type="spellEnd"/>
            <w:r w:rsidRPr="00360DE3">
              <w:t xml:space="preserve"> sazeb reagovaly i úrokové sazby mezibankovního trhu, které se držely na minimálních hodnotách několik předchozích let. Ke konci roku tak tříměsíční sazba PRIBOR dosahovala 0,75 % (meziroční nárůst o 0,47 p. </w:t>
            </w:r>
            <w:proofErr w:type="spellStart"/>
            <w:r w:rsidRPr="00360DE3">
              <w:t>b</w:t>
            </w:r>
            <w:proofErr w:type="spellEnd"/>
            <w:r w:rsidRPr="00360DE3">
              <w:t xml:space="preserve">.) a roční PRIBOR činil 0,96 % (+0,51 p. </w:t>
            </w:r>
            <w:proofErr w:type="spellStart"/>
            <w:r w:rsidRPr="00360DE3">
              <w:t>b</w:t>
            </w:r>
            <w:proofErr w:type="spellEnd"/>
            <w:r w:rsidRPr="00360DE3">
              <w:t>.). Zvýšení mezibankovních sazeb však loni nepocítili klienti z řad domácností ani podniků na svých účtech, kde úročení setrvávalo na minimálních hodnotách. U půjček k jistým posunům docházelo. Mírně se zvyšovaly úrokové sazby na hypotečních úvěrech, zdražily i půjčky pro podniky. Naopak u spotřebních úvěrů pro domácnosti úročení klesalo a poprvé se tak dostalo pod hranici 10 %.</w:t>
            </w:r>
          </w:p>
        </w:tc>
      </w:tr>
    </w:tbl>
    <w:p w:rsidR="00141782" w:rsidRPr="00360DE3" w:rsidRDefault="00E212C9" w:rsidP="00141782">
      <w:pPr>
        <w:pStyle w:val="Nadpis1"/>
        <w:rPr>
          <w:lang w:eastAsia="en-US"/>
        </w:rPr>
      </w:pPr>
      <w:bookmarkStart w:id="22" w:name="_Toc527639477"/>
      <w:r w:rsidRPr="00360DE3">
        <w:rPr>
          <w:lang w:eastAsia="en-US"/>
        </w:rPr>
        <w:lastRenderedPageBreak/>
        <w:t>8</w:t>
      </w:r>
      <w:r w:rsidR="00141782" w:rsidRPr="00360DE3">
        <w:rPr>
          <w:lang w:eastAsia="en-US"/>
        </w:rPr>
        <w:t>. Domácnosti</w:t>
      </w:r>
      <w:bookmarkEnd w:id="22"/>
    </w:p>
    <w:p w:rsidR="00C96D08" w:rsidRPr="00360DE3" w:rsidRDefault="00E212C9" w:rsidP="00433C0C">
      <w:pPr>
        <w:pStyle w:val="Nadpis2"/>
      </w:pPr>
      <w:bookmarkStart w:id="23" w:name="_Toc527639478"/>
      <w:r w:rsidRPr="00360DE3">
        <w:t>8</w:t>
      </w:r>
      <w:r w:rsidR="00C96D08" w:rsidRPr="00360DE3">
        <w:t>.1 Příjmy domácností</w:t>
      </w:r>
      <w:bookmarkEnd w:id="23"/>
    </w:p>
    <w:tbl>
      <w:tblPr>
        <w:tblW w:w="9644" w:type="dxa"/>
        <w:tblInd w:w="-15" w:type="dxa"/>
        <w:tblLayout w:type="fixed"/>
        <w:tblCellMar>
          <w:left w:w="0" w:type="dxa"/>
          <w:right w:w="0" w:type="dxa"/>
        </w:tblCellMar>
        <w:tblLook w:val="00A0"/>
      </w:tblPr>
      <w:tblGrid>
        <w:gridCol w:w="1976"/>
        <w:gridCol w:w="277"/>
        <w:gridCol w:w="7391"/>
      </w:tblGrid>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Příjmy domácností loni rostly poměrně silně. Na rozdíl od minulých let se na jejich reálném navýšení výrazněji projevoval růst cenové hladiny</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C466D2">
            <w:r w:rsidRPr="00360DE3">
              <w:t xml:space="preserve">Domácnosti </w:t>
            </w:r>
            <w:r w:rsidR="00C466D2" w:rsidRPr="00360DE3">
              <w:t>loni</w:t>
            </w:r>
            <w:r w:rsidRPr="00360DE3">
              <w:t xml:space="preserve"> čerpaly z rostoucího výkonu ekonomiky i ze souvisejícího pnutí na trhu práce. Výše hrubého disponibilního důchodu (HDD) domácností dosáhla 2 575,3 mld. korun a meziročně se zvýšila o 100,9 mld. (4,1 %). V porovnání s lety 2014–2016 se výrazněji zvětšil rozdíl mezi reálným a nominálním růstem HDD. V uvedeném období mezera nepřekonala 1,0 p. </w:t>
            </w:r>
            <w:proofErr w:type="spellStart"/>
            <w:r w:rsidRPr="00360DE3">
              <w:t>b</w:t>
            </w:r>
            <w:proofErr w:type="spellEnd"/>
            <w:r w:rsidRPr="00360DE3">
              <w:t>. (v</w:t>
            </w:r>
            <w:r w:rsidR="00C466D2" w:rsidRPr="00360DE3">
              <w:t> </w:t>
            </w:r>
            <w:r w:rsidRPr="00360DE3">
              <w:t xml:space="preserve">roce 2015 to bylo jen 0,2 p. </w:t>
            </w:r>
            <w:proofErr w:type="spellStart"/>
            <w:r w:rsidRPr="00360DE3">
              <w:t>b</w:t>
            </w:r>
            <w:proofErr w:type="spellEnd"/>
            <w:r w:rsidRPr="00360DE3">
              <w:t xml:space="preserve">.), a tak se i nižší zvýšení příjmů přímo promítalo do reálně kupní síly domácností. Loni se po očištění o cenové vlivy růst HDD zredukoval na o 2,4 p. </w:t>
            </w:r>
            <w:proofErr w:type="spellStart"/>
            <w:r w:rsidRPr="00360DE3">
              <w:t>b</w:t>
            </w:r>
            <w:proofErr w:type="spellEnd"/>
            <w:r w:rsidRPr="00360DE3">
              <w:t xml:space="preserve">. </w:t>
            </w:r>
            <w:proofErr w:type="gramStart"/>
            <w:r w:rsidRPr="00360DE3">
              <w:t>na</w:t>
            </w:r>
            <w:proofErr w:type="gramEnd"/>
            <w:r w:rsidRPr="00360DE3">
              <w:t xml:space="preserve"> 1,7 %</w:t>
            </w:r>
            <w:r w:rsidRPr="00360DE3">
              <w:rPr>
                <w:rStyle w:val="Znakapoznpodarou"/>
              </w:rPr>
              <w:footnoteReference w:id="42"/>
            </w:r>
            <w:r w:rsidRPr="00360DE3">
              <w:t xml:space="preserve">. To je </w:t>
            </w:r>
            <w:r w:rsidR="00C466D2" w:rsidRPr="00360DE3">
              <w:t>nejméně</w:t>
            </w:r>
            <w:r w:rsidRPr="00360DE3">
              <w:t xml:space="preserve"> za poslední čtyři roky. Na p</w:t>
            </w:r>
            <w:r w:rsidR="00D52BE2">
              <w:t>říjmy domácností lze pohlížet i</w:t>
            </w:r>
            <w:r w:rsidR="00D52BE2" w:rsidRPr="00360DE3">
              <w:t> </w:t>
            </w:r>
            <w:r w:rsidRPr="00360DE3">
              <w:t>prostřednictvím hrubého upraveného disponibi</w:t>
            </w:r>
            <w:r w:rsidR="00D52BE2">
              <w:t>lního důchodu, který obsahuje i</w:t>
            </w:r>
            <w:r w:rsidR="00D52BE2" w:rsidRPr="00360DE3">
              <w:t> </w:t>
            </w:r>
            <w:r w:rsidRPr="00360DE3">
              <w:t xml:space="preserve">naturální sociální transfery. Jeho úroveň se loni zvýšila o 4,8 %, samotná hodnota naturálních sociálních transferů pak o 8,2 % (nejvíce od roku 2003). Na zrychlení tempa se promítlo výrazné zvýšení mezd pracovníků veřejného sektoru, které se pak projevilo na hodnotě poskytnutých služeb. </w:t>
            </w:r>
          </w:p>
        </w:tc>
      </w:tr>
      <w:tr w:rsidR="00C96D08" w:rsidRPr="00360DE3" w:rsidTr="002B213A">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C96D08" w:rsidRPr="00360DE3" w:rsidRDefault="00C96D08" w:rsidP="001D198A">
            <w:pPr>
              <w:spacing w:after="0"/>
              <w:rPr>
                <w:b/>
              </w:rPr>
            </w:pPr>
            <w:r w:rsidRPr="00360DE3">
              <w:rPr>
                <w:b/>
              </w:rPr>
              <w:t xml:space="preserve">Graf č. </w:t>
            </w:r>
            <w:proofErr w:type="gramStart"/>
            <w:r w:rsidR="001D198A" w:rsidRPr="00360DE3">
              <w:rPr>
                <w:b/>
              </w:rPr>
              <w:t>8.1.1</w:t>
            </w:r>
            <w:r w:rsidRPr="00360DE3">
              <w:rPr>
                <w:b/>
              </w:rPr>
              <w:t xml:space="preserve">  Hrubý</w:t>
            </w:r>
            <w:proofErr w:type="gramEnd"/>
            <w:r w:rsidRPr="00360DE3">
              <w:rPr>
                <w:b/>
              </w:rPr>
              <w:t xml:space="preserve"> disponibilní důchod a mzdy a platy </w:t>
            </w:r>
            <w:r w:rsidRPr="00360DE3">
              <w:t>(meziroční růst v %)</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33925" cy="3552825"/>
                  <wp:effectExtent l="0" t="0" r="0" b="0"/>
                  <wp:docPr id="2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Zdroj: CSÚ</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Růst mezd a platů byl hlavním faktorem zvyšování disponibilních příjmů domácností.</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Největší částí HDD domácností jsou náhrady zaměstnancům. Ty sestávají ze samotných mezd a platů a sociálních příspěvků placených zaměstnavateli a loni dosáhly 2 126,4 mld. korun. Objem samotných vyplacených mezd a platů se nominálně zvýšil o 8,2 %. V reálném vyjádření tato úroveň byla 5,7 %, což je společně s reálným růstem z roku 2005 nejvyšší hodnota za dostupnou časovou řadu. Ve směru růstu HDD působily i hrubý provozní přebytek a hrubý smíšený důchod. Jejich příspěvek byl však nejnižší za poslední čtyři roky. Důvodem je jen mírný nárůst objemu hrubých smíšených důchodů (zachycují příjmy z podnikání drobných p</w:t>
            </w:r>
            <w:r w:rsidR="00C60191" w:rsidRPr="00360DE3">
              <w:t>odnikatelů zařazených do sektoru</w:t>
            </w:r>
            <w:r w:rsidRPr="00360DE3">
              <w:t xml:space="preserve"> domá</w:t>
            </w:r>
            <w:r w:rsidR="00D52BE2">
              <w:t>cností). Ten loni vzrostl o</w:t>
            </w:r>
            <w:r w:rsidR="00D52BE2" w:rsidRPr="00360DE3">
              <w:t> </w:t>
            </w:r>
            <w:r w:rsidR="00D52BE2">
              <w:t>2,3</w:t>
            </w:r>
            <w:r w:rsidR="00D52BE2" w:rsidRPr="00360DE3">
              <w:t> </w:t>
            </w:r>
            <w:r w:rsidRPr="00360DE3">
              <w:t xml:space="preserve">mld. korun, což je nejméně za poslední čtyři roky. Meziročně se totiž téměř </w:t>
            </w:r>
            <w:r w:rsidRPr="00360DE3">
              <w:lastRenderedPageBreak/>
              <w:t xml:space="preserve">nezměnil počet osob samostatně výdělečně činných a růst zaměstnanosti se projevil výhradně na počtu zaměstnanců. Naopak hrubý provozní přebytek (zachycuje hodnotu produkce domácností pro vlastní spotřebu a rovněž imputované nájemné a poskytování služeb bydlení) se zvýšil o 15,3 mld. korun (7,1 %), což je nejvíce od roku 2008. Jeho výrazný nárůst pravděpodobně odrážel prudký růst cen nemovitostí zachycený v imputovaném nájemném.  </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lastRenderedPageBreak/>
              <w:t>Kladné saldo důchodů z vlastnictví loni pokleslo.</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Důchody z vlastnictví v českém prostředí nejsou velkou položkou HDD domácností. Celková hodnota těchto příjmů se v minulém roce snížila o 10,1 mld. korun a dosáhla 165,0 mld. Na druhé straně důchody z vlastnictví, které domácnosti musely vyplácet, se mírně zvýšily, což ve výsledku vedlo ke snížení salda důchodů z vlastnictví o 11,3 mld. korun. To</w:t>
            </w:r>
            <w:r w:rsidR="00D52BE2">
              <w:t xml:space="preserve"> je první pokles od roku 2012 a</w:t>
            </w:r>
            <w:r w:rsidR="00D52BE2" w:rsidRPr="00360DE3">
              <w:t> </w:t>
            </w:r>
            <w:r w:rsidRPr="00360DE3">
              <w:t>větší než v krizových letech 2009 a 2010. Důvodem snížení příjmů z vlastnictví byla opětovná redukce položky úroky o 2,5 mld. (navzdory loňskému zlomu ve vývoji úrokových sazeb čtvrtá v řadě). Dalším byl výrazný nárůst výše reinvestovaných zisků v roce 2016. Loňský návrat na obvyklou úroveň pak znamenal meziroční propad o 21,9 mld. korun. Naopak hodnota rozdělovaných důchodů společností domácnostem se loni zvýšila o 12,8 mld.</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Příznivý vývoj ekonomiky vedl k navyšování objemu odvedených daní i sociálních příspěvků. Výsledkem bylo snížení kladného salda druhotného rozdělení.</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Kladné saldo druhotného rozdělení v roce 2017 meziročně pokleslo o 27,8 mld. korun. Tato položka zahrnuje především různé sociální příspěvky a na druhé straně odvedené daně. Podobně jako v předchozím roce se projevil úspěšný vývoj ekonomiky, zejména vyšší objem odvedených daní z důchodů a jmění (nárůst o 22,2 mld. korun). Díky prudkému růstu mezd se výrazně navýšily i odvedené sociální příspěvky (o 60,7 mld.). Sociální příspěvky a dávky vyplacené domácnostem loni činily 623,4 mld. korun a zvyšovaly se (zejména kvůli valorizaci důchodů). Narostly o 17,4 mld. korun, což je více než v roce 2016. Ostatní běžné transfery dosáhly 244,0 mld. korun a zvýšily se o 27,5 mld. korun.</w:t>
            </w:r>
          </w:p>
        </w:tc>
      </w:tr>
      <w:tr w:rsidR="00C96D08" w:rsidRPr="00360DE3" w:rsidTr="002B213A">
        <w:trPr>
          <w:trHeight w:val="170"/>
        </w:trPr>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4E02EB" w:rsidRDefault="00C96D08" w:rsidP="001D198A">
            <w:pPr>
              <w:spacing w:after="0"/>
            </w:pPr>
            <w:r w:rsidRPr="00360DE3">
              <w:rPr>
                <w:b/>
              </w:rPr>
              <w:t xml:space="preserve">Graf č. </w:t>
            </w:r>
            <w:proofErr w:type="gramStart"/>
            <w:r w:rsidR="001D198A" w:rsidRPr="00360DE3">
              <w:rPr>
                <w:b/>
              </w:rPr>
              <w:t>8.1.2</w:t>
            </w:r>
            <w:r w:rsidRPr="00360DE3">
              <w:rPr>
                <w:b/>
              </w:rPr>
              <w:t xml:space="preserve">  Hrubý</w:t>
            </w:r>
            <w:proofErr w:type="gramEnd"/>
            <w:r w:rsidRPr="00360DE3">
              <w:rPr>
                <w:b/>
              </w:rPr>
              <w:t xml:space="preserve"> disponibilní důchod domácností</w:t>
            </w:r>
            <w:r w:rsidRPr="00360DE3">
              <w:t xml:space="preserve"> </w:t>
            </w:r>
          </w:p>
          <w:p w:rsidR="00C96D08" w:rsidRPr="00360DE3" w:rsidRDefault="00C96D08" w:rsidP="001D198A">
            <w:pPr>
              <w:spacing w:after="0"/>
              <w:rPr>
                <w:b/>
              </w:rPr>
            </w:pPr>
            <w:r w:rsidRPr="00360DE3">
              <w:t>(meziroční změna v mld. korun.)</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43450" cy="3556000"/>
                  <wp:effectExtent l="19050" t="0" r="0" b="0"/>
                  <wp:docPr id="2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Zdroj: ČSÚ</w:t>
            </w:r>
          </w:p>
        </w:tc>
      </w:tr>
    </w:tbl>
    <w:p w:rsidR="00C96D08" w:rsidRPr="00360DE3" w:rsidRDefault="00E212C9" w:rsidP="00433C0C">
      <w:pPr>
        <w:pStyle w:val="Nadpis2"/>
      </w:pPr>
      <w:bookmarkStart w:id="24" w:name="_Toc527639479"/>
      <w:r w:rsidRPr="00360DE3">
        <w:lastRenderedPageBreak/>
        <w:t>8</w:t>
      </w:r>
      <w:r w:rsidR="00C96D08" w:rsidRPr="00360DE3">
        <w:t>.2 Výdaje domácností</w:t>
      </w:r>
      <w:bookmarkEnd w:id="24"/>
    </w:p>
    <w:tbl>
      <w:tblPr>
        <w:tblW w:w="9644" w:type="dxa"/>
        <w:tblInd w:w="-15" w:type="dxa"/>
        <w:tblLayout w:type="fixed"/>
        <w:tblCellMar>
          <w:left w:w="0" w:type="dxa"/>
          <w:right w:w="0" w:type="dxa"/>
        </w:tblCellMar>
        <w:tblLook w:val="00A0"/>
      </w:tblPr>
      <w:tblGrid>
        <w:gridCol w:w="1976"/>
        <w:gridCol w:w="277"/>
        <w:gridCol w:w="7391"/>
      </w:tblGrid>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Výdaje domácností na spotřebu rostly loni rychleji než disponibilní příjmy. To vedlo ke snížení míry úspor.</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1D463E">
            <w:r w:rsidRPr="00360DE3">
              <w:t xml:space="preserve">Výdaje domácností na konečnou spotřebu v běžných cenách v roce 2017 dosáhly 2 362,1 mld. korun. Reálně se spotřební výdaje domácností zvýšily o 4,3 %, což byla nejvyšší hodnota od roku 2003. Domácnostem totiž nahrával vysoký růst výdělků a stále poměrně mírný růst cenové hladiny. Období konjunktury v letech 2005–2007, se kterým bývá současná ekonomická situace srovnávána, bylo doprovázeno nižší reálnou dynamikou spotřeby domácností. Zároveň v minulém roce rostly spotřební výdaje rychleji, než výše disponibilního příjmu domácností. Výsledkem bylo snížení míry úspor na 9,4 % (11,6 % v roce 2016), což byla nejnižší hodnota od roku 1994. Naopak míra investic se zvýšila na 9,3 % (nejvyšší od roku 2010). Srovnání se zbytkem Evropské unie (dostupné jen do roku 2016) ukazuje, že mírou úspor se Česko v roce 2016 řadilo přibližně doprostřed žebříčku a mírně nad průměr celé unie. Loňský pokles by však domácí ekonomiku měl posunout do podprůměru (podle dostupných </w:t>
            </w:r>
            <w:r w:rsidR="001D463E" w:rsidRPr="00360DE3">
              <w:t>údajů</w:t>
            </w:r>
            <w:r w:rsidRPr="00360DE3">
              <w:t xml:space="preserve"> byla míra úspor v EU těsně pod 10 %). Míra úspor má mezi evropskými zeměmi poměrně velký rozptyl. V roce 2016 se pohybovala od -2,3 % na Kypru až na 20,4 % v Lucembursku. </w:t>
            </w:r>
          </w:p>
        </w:tc>
      </w:tr>
      <w:tr w:rsidR="00C96D08" w:rsidRPr="00360DE3" w:rsidTr="002B213A">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C96D08" w:rsidRPr="00360DE3" w:rsidRDefault="00C96D08" w:rsidP="001D198A">
            <w:pPr>
              <w:spacing w:after="0"/>
              <w:rPr>
                <w:b/>
              </w:rPr>
            </w:pPr>
            <w:r w:rsidRPr="00360DE3">
              <w:rPr>
                <w:b/>
              </w:rPr>
              <w:t xml:space="preserve">Graf </w:t>
            </w:r>
            <w:r w:rsidR="001D198A" w:rsidRPr="00360DE3">
              <w:rPr>
                <w:b/>
              </w:rPr>
              <w:t>8.2.1</w:t>
            </w:r>
            <w:r w:rsidRPr="00360DE3">
              <w:rPr>
                <w:b/>
              </w:rPr>
              <w:t xml:space="preserve"> Příspěvky jednotlivých složek spotřeby domácností k celkovému meziročnímu růstu </w:t>
            </w:r>
            <w:r w:rsidRPr="00360DE3">
              <w:t xml:space="preserve">(objemové indexy, příspěvky v p. </w:t>
            </w:r>
            <w:proofErr w:type="spellStart"/>
            <w:r w:rsidRPr="00360DE3">
              <w:t>b</w:t>
            </w:r>
            <w:proofErr w:type="spellEnd"/>
            <w:r w:rsidRPr="00360DE3">
              <w:t>., růst v %)</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37600" cy="3553200"/>
                  <wp:effectExtent l="0" t="0" r="0" b="0"/>
                  <wp:docPr id="2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Zdroj: ČSÚ</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Domácnosti si ve zvýšené míře pořizovaly trvanlivé statky, ale rovněž služby.</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Celkový růst výdajů na spotřebu byl podpořen silnou dynamikou všech jejích složek. Domácnosti měly poměrně pozitivní očekávání budoucího ekonomického vývoje, což vedlo ke zrychlení růstu výdajů na trvanlivé</w:t>
            </w:r>
            <w:r w:rsidRPr="00360DE3">
              <w:rPr>
                <w:rStyle w:val="Znakapoznpodarou"/>
              </w:rPr>
              <w:footnoteReference w:id="43"/>
            </w:r>
            <w:r w:rsidRPr="00360DE3">
              <w:t xml:space="preserve"> statky. Výdaje na zboží dlouhodobé spotřeby vzrostly o 9,0 %</w:t>
            </w:r>
            <w:r w:rsidRPr="00360DE3">
              <w:rPr>
                <w:rStyle w:val="Znakapoznpodarou"/>
              </w:rPr>
              <w:footnoteReference w:id="44"/>
            </w:r>
            <w:r w:rsidRPr="00360DE3">
              <w:t xml:space="preserve">, u střednědobé spotřeby se tempo výrazně zvýšilo z 5,4 % v roce 2016 na loňských 10,0 %. Jde o mimořádně vysoký údaj, který značně přesahuje stejná čísla za období 2005-2007. Tento posun také stál za </w:t>
            </w:r>
            <w:r w:rsidRPr="00360DE3">
              <w:lastRenderedPageBreak/>
              <w:t>zrychlením celkové dynamiky. Růst spotřeby netrvanlivých statků</w:t>
            </w:r>
            <w:r w:rsidRPr="00360DE3">
              <w:rPr>
                <w:rStyle w:val="Znakapoznpodarou"/>
              </w:rPr>
              <w:footnoteReference w:id="45"/>
            </w:r>
            <w:r w:rsidRPr="00360DE3">
              <w:t xml:space="preserve">, který obvykle bývá v čase vyhlazený a mírnější, se udržel na tempu předchozího roku a dosáhl 3,1 %. Rostoucí chuť domácností utrácet se však projevila na tempu výdajů na služby, které dosáhlo 3,5 % (nejvíce od roku 2008).  </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lastRenderedPageBreak/>
              <w:t>Vzhledem k vrcholu hospodářského cyklu se výdaje domácností více soustředily na zbytné statky.</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 xml:space="preserve">Účelová struktura spotřebních výdajů domácností je v čase poměrně stálá, její krátkodobé fluktuace však výrazně souvisí s ekonomickým cyklem. Vzhledem k probíhajícímu vrcholu konjunktury se loni výrazněji zvyšovaly výdaje domácnosti na tzv. zbytné statky. Asi nejmarkantnější bylo zrychlení reálného růstu výdajů na oblečení a obuv na 13,2 % (6,7 %). Pokračovalo poměrně silné zvyšování výdajů na rekreaci, kulturu a sport (6,4 %). Zvýšená míra cestovního ruchu pomohla rovněž stravování a ubytování (5,1 %), kde zaznamenaly výrazný růst především výdaje na ubytovací služby (8,9 %). </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Loni zesílil růst výdajů na bydlení a energie.</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Z výdajů, které domácnosti nemohou ve větší míře omezit, se nejvýrazněji projevovalo bydlení, voda, energie a paliva. Jde o největší položku výdajů domácností a obvykle je její dynamika velmi mírná. Loni však výdaje na bydlení a energie vzrostly o 3,0 %. Projevil se totiž 9,3% nárůst výdajů na nájemné z bytu, stejně jako zvýšené náklady na běžnou údržbu a opravy bytu (11,6 %). Již čtvrtým rokem pokračoval silný růst výdajů na dopravu (7,4 %). Projevily se hlavně nákupy dopravních prostředků, které se zvýšily o 10,1 % (jde o třetí dvojciferný růst v řadě). Tempo růstu výdajů na potraviny a nealkoholické nápoje se mírně zpomalilo a dosáhlo 3,4 % (5,1 % v roce 2016 bylo pro tuto spotřební položku netypicky vysoké). Domácnosti v roce 2017 rovně</w:t>
            </w:r>
            <w:r w:rsidR="00D52BE2">
              <w:t>ž obdržely a spotřebovaly 556,8</w:t>
            </w:r>
            <w:r w:rsidR="00D52BE2" w:rsidRPr="00360DE3">
              <w:t> </w:t>
            </w:r>
            <w:r w:rsidRPr="00360DE3">
              <w:t>mld. korun ve formě naturálních sociálních transferů</w:t>
            </w:r>
            <w:r w:rsidRPr="00360DE3">
              <w:rPr>
                <w:rStyle w:val="Znakapoznpodarou"/>
              </w:rPr>
              <w:footnoteReference w:id="46"/>
            </w:r>
            <w:r w:rsidRPr="00360DE3">
              <w:t xml:space="preserve">. Z toho 72,2 % tvořila netržní produkce vládních institucí a neziskových institucí sloužících domácnostem (NISD) a 27,8 % tržní produkce nakoupená vládními institucemi a NISD.  </w:t>
            </w:r>
          </w:p>
        </w:tc>
      </w:tr>
      <w:tr w:rsidR="00C96D08" w:rsidRPr="00360DE3" w:rsidTr="002B213A">
        <w:trPr>
          <w:trHeight w:val="170"/>
        </w:trPr>
        <w:tc>
          <w:tcPr>
            <w:tcW w:w="1976" w:type="dxa"/>
          </w:tcPr>
          <w:p w:rsidR="00C96D08" w:rsidRPr="00360DE3" w:rsidRDefault="00C96D08" w:rsidP="002B213A">
            <w:pPr>
              <w:pStyle w:val="Marginlie"/>
              <w:rPr>
                <w:spacing w:val="0"/>
              </w:rPr>
            </w:pPr>
            <w:r w:rsidRPr="00360DE3">
              <w:rPr>
                <w:spacing w:val="0"/>
              </w:rPr>
              <w:t>V roce 2017 se zvýšila míra investic domácností.</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 xml:space="preserve">Výdaje na tvorbu hrubého fixního kapitálu domácností v roce 2017 dosáhly 235,3 mld. korun a nominálně se zvýšily o 6,0 %. To je však o 4,4 p. </w:t>
            </w:r>
            <w:proofErr w:type="spellStart"/>
            <w:r w:rsidRPr="00360DE3">
              <w:t>b</w:t>
            </w:r>
            <w:proofErr w:type="spellEnd"/>
            <w:r w:rsidRPr="00360DE3">
              <w:t xml:space="preserve">. </w:t>
            </w:r>
            <w:proofErr w:type="gramStart"/>
            <w:r w:rsidRPr="00360DE3">
              <w:t>nižší</w:t>
            </w:r>
            <w:proofErr w:type="gramEnd"/>
            <w:r w:rsidRPr="00360DE3">
              <w:t xml:space="preserve"> tempo než v roce 2016. Loňské tempo však překročilo růst příjmů domácností a tak došlo ke zvýšení míry investic na 9,3 %. To Česko posouvá do mírného nadprůměru mezi evropskými zeměmi. Průměr EU činil v roce 2016 7,8 %, loni mírně překročila 8 %. Zároveň je pro evropské země míra investic rozptýlená méně než výše zmiňovaná míra úspor. Nejvyšší úrovně dosáhla v Nizozemí (11,2 %) a nejnižší v Lotyšsku (4,5 %).     </w:t>
            </w:r>
          </w:p>
        </w:tc>
      </w:tr>
      <w:tr w:rsidR="00C96D08" w:rsidRPr="00360DE3" w:rsidTr="002B213A">
        <w:trPr>
          <w:trHeight w:val="170"/>
        </w:trPr>
        <w:tc>
          <w:tcPr>
            <w:tcW w:w="1976" w:type="dxa"/>
          </w:tcPr>
          <w:p w:rsidR="00C96D08" w:rsidRPr="00360DE3" w:rsidRDefault="00C96D08" w:rsidP="002B213A">
            <w:pPr>
              <w:pStyle w:val="Marginlie"/>
              <w:rPr>
                <w:spacing w:val="0"/>
              </w:rPr>
            </w:pPr>
            <w:r w:rsidRPr="00360DE3">
              <w:rPr>
                <w:spacing w:val="0"/>
              </w:rPr>
              <w:t>Oproti roku 2016 však růst investiční aktivity poklesl, což zčásti korespondovalo s nižší dynamikou na hypotečním trhu.</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C466D2">
            <w:r w:rsidRPr="00360DE3">
              <w:t xml:space="preserve">Domácnosti investují </w:t>
            </w:r>
            <w:r w:rsidR="00C466D2" w:rsidRPr="00360DE3">
              <w:t>hlavně</w:t>
            </w:r>
            <w:r w:rsidRPr="00360DE3">
              <w:t xml:space="preserve"> do obydlí (více než 75 % jejich investiční aktivity). Ostatní investiční položky, které se objevují u sektoru domácností, jsou výsledkem investic podnikatelů zařazených do sektoru domácností. Ti investují hlavně do strojů a zařízení a dopravních prostředků. Propojení současného vývoje investiční aktivity domácností s trhem nemovitostí nahráv</w:t>
            </w:r>
            <w:r w:rsidR="00D52BE2">
              <w:t>á i podobná dynamika investic a</w:t>
            </w:r>
            <w:r w:rsidR="00D52BE2" w:rsidRPr="00360DE3">
              <w:t> </w:t>
            </w:r>
            <w:r w:rsidRPr="00360DE3">
              <w:t>poptávky po hypotečních úvěrech. Podle údajů Č</w:t>
            </w:r>
            <w:r w:rsidR="00C466D2" w:rsidRPr="00360DE3">
              <w:t>NB</w:t>
            </w:r>
            <w:r w:rsidRPr="00360DE3">
              <w:t xml:space="preserve"> v roce 2017 došlo ke zlomu v poskytování nových hypotečních úvěrů. V druhé polovině roku meziročně klesal objem nově poskytnutých hypotečních úvěrů (celkově byl objem nových </w:t>
            </w:r>
            <w:proofErr w:type="spellStart"/>
            <w:r w:rsidRPr="00360DE3">
              <w:t>hyp</w:t>
            </w:r>
            <w:proofErr w:type="spellEnd"/>
            <w:r w:rsidRPr="00360DE3">
              <w:t>. úvěru loni o 1,5 % nižší než v roce 2016) a rovněž počet nových úvěrových smluv. Celkem bylo vydáno o 19,0 tisíc nových smluv méně než v roce 2016 (9,0 %). Tento vývoj rovněž dokládá rostoucí průměrnou výši poskytnutých úvěrů.</w:t>
            </w:r>
          </w:p>
        </w:tc>
      </w:tr>
    </w:tbl>
    <w:p w:rsidR="00C96D08" w:rsidRPr="00360DE3" w:rsidRDefault="00E212C9" w:rsidP="00C96D08">
      <w:pPr>
        <w:pStyle w:val="Nadpis1"/>
      </w:pPr>
      <w:bookmarkStart w:id="25" w:name="_Toc527639480"/>
      <w:r w:rsidRPr="00360DE3">
        <w:lastRenderedPageBreak/>
        <w:t>9</w:t>
      </w:r>
      <w:r w:rsidR="00C96D08" w:rsidRPr="00360DE3">
        <w:t>. Hospodaření vládních institucí</w:t>
      </w:r>
      <w:bookmarkEnd w:id="25"/>
    </w:p>
    <w:tbl>
      <w:tblPr>
        <w:tblW w:w="9644" w:type="dxa"/>
        <w:tblInd w:w="-15" w:type="dxa"/>
        <w:tblLayout w:type="fixed"/>
        <w:tblCellMar>
          <w:left w:w="0" w:type="dxa"/>
          <w:right w:w="0" w:type="dxa"/>
        </w:tblCellMar>
        <w:tblLook w:val="00A0"/>
      </w:tblPr>
      <w:tblGrid>
        <w:gridCol w:w="1976"/>
        <w:gridCol w:w="277"/>
        <w:gridCol w:w="7391"/>
      </w:tblGrid>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Hospodaření sektoru vládních institucí bylo loni přebytkové.</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 xml:space="preserve">Hospodaření vládních institucí loni podruhé v řadě dosáhlo přebytku, který překonal předchozí kladné saldo z roku 2016 o 46,0 mld. korun a dosáhl 80,6 mld. Na rozdíl od roku 2016, kdy k přebytku přispělo hlavně snížení celkových výdajů, se o příznivý výsledek loni zasloužily hlavně výrazně vyšší příjmy, jejichž růst loni zrychlil. Značně se zvýšil i relativní přebytek. Celkově dosáhla výše přebytku vůči HDP 1,6 % (o rok dříve 0,7 %), čímž se ČR zařadila na třetí příčku v rámci Evropské unie.     </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Příznivý ekonomický vývoj umožnil snížení deficitů v EU.</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 xml:space="preserve">Příznivý ekonomický vývoj se odehrával i ve zbytku EU, což ve většině zemí vedlo k poklesu relativních i absolutních deficitů (případně zvýšení přebytků). Celkový deficit vládních institucí zemí EU loni činil 146,6 mld. eur a meziročně se zmírnil o 95,2 mld. Relativní deficit se </w:t>
            </w:r>
            <w:proofErr w:type="gramStart"/>
            <w:r w:rsidRPr="00360DE3">
              <w:t>snížil z 1,6</w:t>
            </w:r>
            <w:proofErr w:type="gramEnd"/>
            <w:r w:rsidRPr="00360DE3">
              <w:t xml:space="preserve"> % HDP Unie v roce 2016 na loňské 1,0 %. Přebytku hospodaření loni dosáhlo 13 států (v roce 2016 to bylo 11). Nejvyšší relativní přebytek měla Malta (3,9 % HDP), kde rovněž došlo k nejmarkantnějšímu meziročnímu zvýšení (o 2,9 p. </w:t>
            </w:r>
            <w:proofErr w:type="spellStart"/>
            <w:r w:rsidRPr="00360DE3">
              <w:t>b</w:t>
            </w:r>
            <w:proofErr w:type="spellEnd"/>
            <w:r w:rsidRPr="00360DE3">
              <w:t xml:space="preserve">.).  Na druhém místě byl </w:t>
            </w:r>
            <w:proofErr w:type="gramStart"/>
            <w:r w:rsidRPr="00360DE3">
              <w:t>Kypr s 1,8</w:t>
            </w:r>
            <w:proofErr w:type="gramEnd"/>
            <w:r w:rsidRPr="00360DE3">
              <w:t xml:space="preserve"> % a třetí nejvyšší relativní přebytek mělo Česko (zlepšení o dvě příčky). Většina zemí EU měla deficitní financování, i tak se u mnoha zemí salda redukovala. Tříprocentní hranici Maastrichtského kritéria těsně překročilo jen Španělsko (deficit 3,1 % HDP), na hranici bylo Portugalsko (3,0 %, jedna ze čtyř zemí, kde došlo k meziročnímu zhoršení) a třetí nejvyšší relativní deficit mělo Rumunsko (2,9 %).  </w:t>
            </w:r>
          </w:p>
        </w:tc>
      </w:tr>
      <w:tr w:rsidR="00C96D08" w:rsidRPr="00360DE3" w:rsidTr="002B213A">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4E02EB" w:rsidRDefault="00C96D08" w:rsidP="001D198A">
            <w:pPr>
              <w:spacing w:after="0"/>
              <w:rPr>
                <w:lang w:eastAsia="en-US"/>
              </w:rPr>
            </w:pPr>
            <w:r w:rsidRPr="00360DE3">
              <w:rPr>
                <w:b/>
              </w:rPr>
              <w:t xml:space="preserve">Graf č. </w:t>
            </w:r>
            <w:proofErr w:type="gramStart"/>
            <w:r w:rsidR="001D198A" w:rsidRPr="00360DE3">
              <w:rPr>
                <w:b/>
              </w:rPr>
              <w:t>9.1</w:t>
            </w:r>
            <w:r w:rsidRPr="00360DE3">
              <w:rPr>
                <w:b/>
              </w:rPr>
              <w:t xml:space="preserve">  </w:t>
            </w:r>
            <w:r w:rsidRPr="00360DE3">
              <w:rPr>
                <w:b/>
                <w:lang w:eastAsia="en-US"/>
              </w:rPr>
              <w:t>Čisté</w:t>
            </w:r>
            <w:proofErr w:type="gramEnd"/>
            <w:r w:rsidRPr="00360DE3">
              <w:rPr>
                <w:b/>
                <w:lang w:eastAsia="en-US"/>
              </w:rPr>
              <w:t xml:space="preserve"> půjčky/výpůjčky sektoru vládních institucí</w:t>
            </w:r>
            <w:r w:rsidRPr="00360DE3">
              <w:rPr>
                <w:lang w:eastAsia="en-US"/>
              </w:rPr>
              <w:t xml:space="preserve"> </w:t>
            </w:r>
          </w:p>
          <w:p w:rsidR="00C96D08" w:rsidRPr="00360DE3" w:rsidRDefault="00C96D08" w:rsidP="001D198A">
            <w:pPr>
              <w:spacing w:after="0"/>
              <w:rPr>
                <w:b/>
              </w:rPr>
            </w:pPr>
            <w:r w:rsidRPr="00360DE3">
              <w:rPr>
                <w:lang w:eastAsia="en-US"/>
              </w:rPr>
              <w:t>(v % HDP, z údajů v běžných cenách)</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37600" cy="3553200"/>
                  <wp:effectExtent l="0" t="0" r="0" b="0"/>
                  <wp:docPr id="2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 xml:space="preserve">Zdroj: </w:t>
            </w:r>
            <w:proofErr w:type="spellStart"/>
            <w:r w:rsidRPr="00360DE3">
              <w:rPr>
                <w:sz w:val="14"/>
                <w:szCs w:val="14"/>
              </w:rPr>
              <w:t>Eurostat</w:t>
            </w:r>
            <w:proofErr w:type="spellEnd"/>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Přebytku bylo dosaženo především díky silně rostoucím příjmům.</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 xml:space="preserve">Jak již bylo zmíněno výše, díky výraznému hospodářskému růstu se zvýšily i příjmy vládních institucí. Ty byly rozhodujícím faktorem pro výsledek jejich hospodaření. Celkově příjmy dosáhly 2 042,5 mld. korun a meziročně se zvýšily o 125,3 mld. korun (6,5 %). Příznivý ekonomický vývoj se přímo odrážel v příjmech z daní, jejichž růst v porovnání s rokem 2016 zrychlil. Objem přijatých daní z výroby </w:t>
            </w:r>
            <w:r w:rsidRPr="00360DE3">
              <w:lastRenderedPageBreak/>
              <w:t>a dovozu vzrostl o 7,3 %, z toho u daní z produktů to bylo 7,1 % a ostatních daní z výroby 11,0 %. Objem daní typu DPH se zvýšil o 9,5 %. Výrazný růst mezd se dál projevoval na výši daní z příjmů i sociálních příspěvků. Přijaté běžné daně z důchodů a jmění tak vzrostly o 7,9 % a čisté sociální příspěvky o 8,0 %. Na straně příjmů výrazně klesaly jen důchody z vlastn</w:t>
            </w:r>
            <w:r w:rsidR="00D52BE2">
              <w:t>ictví a úroky. Mírně poklesla i</w:t>
            </w:r>
            <w:r w:rsidR="00D52BE2" w:rsidRPr="00360DE3">
              <w:t> </w:t>
            </w:r>
            <w:r w:rsidRPr="00360DE3">
              <w:t>hodnota přijatých kapitálových transferů, která se propadla již v roce 2016 (jde především o dotační prostředky z EU).</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lastRenderedPageBreak/>
              <w:t>Výdaje rovněž rostly. Výrazným faktorem byly náhrady zaměstnancům odrážející růst mezd a platů.</w:t>
            </w:r>
          </w:p>
        </w:tc>
        <w:tc>
          <w:tcPr>
            <w:tcW w:w="277" w:type="dxa"/>
          </w:tcPr>
          <w:p w:rsidR="00C96D08" w:rsidRPr="00360DE3" w:rsidRDefault="00C96D08" w:rsidP="002B213A">
            <w:pPr>
              <w:pStyle w:val="Textpoznpodarou"/>
              <w:jc w:val="both"/>
            </w:pPr>
          </w:p>
        </w:tc>
        <w:tc>
          <w:tcPr>
            <w:tcW w:w="7391" w:type="dxa"/>
          </w:tcPr>
          <w:p w:rsidR="00C96D08" w:rsidRPr="00D52BE2" w:rsidRDefault="00C96D08" w:rsidP="002B213A">
            <w:pPr>
              <w:rPr>
                <w:spacing w:val="-2"/>
              </w:rPr>
            </w:pPr>
            <w:r w:rsidRPr="00D52BE2">
              <w:rPr>
                <w:spacing w:val="-2"/>
              </w:rPr>
              <w:t>Rostly i celkové výdaje vládních institucí. Ty dosáhly 1 961,8 mld. korun a meziročně se zvýšily o 79,3 mld. (4,2 %). Neopakovala se tak redukce z roku 2016, která přispěla k tehdejšímu přebytku. Výdaje vládního sektoru byly poznamenány výrazným růstem mezd a platů, který se následně přímo promítal do náhrad zaměstnancům tohoto sektoru, které vzrostly o 10,2 %. Hodnota naturálních sociálních transferů (tržní produkce nakoupené vládními institucemi a netržní produkce samotných vládních institucí) vzrostla o 3,9 %, což bylo rychlejší tempo než u hodnoty samotných sociálních dávek (2,8 %). Jde mimo jiné o důsledek vyšších nákladů na pracovní sílu. Mírně vzrostl objem vyplacených dotací (3,2 %). Naopak pokračoval výrazný pokles hodnoty vyplacených důchodů z vlastnictví (-14,3 %). V porovnání s rokem 2016 došlo k výraznému zvýšení investičních výdajů. Celkově hodnota výdajů na tvorbu hrubého kapitálu vzrostla o 10,7 %, to však nestačilo na kompenzaci propadu z předchozího roku (-34,5 %). Kapitálové výdaje nepřekonaly úroveň let 2014 a 2015.</w:t>
            </w:r>
          </w:p>
        </w:tc>
      </w:tr>
      <w:tr w:rsidR="00C96D08" w:rsidRPr="00360DE3" w:rsidTr="002B213A">
        <w:trPr>
          <w:trHeight w:val="170"/>
        </w:trPr>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C96D08" w:rsidRPr="00360DE3" w:rsidRDefault="00C96D08" w:rsidP="001D198A">
            <w:pPr>
              <w:spacing w:after="0"/>
            </w:pPr>
            <w:r w:rsidRPr="00360DE3">
              <w:rPr>
                <w:b/>
              </w:rPr>
              <w:t xml:space="preserve">Graf č. </w:t>
            </w:r>
            <w:proofErr w:type="gramStart"/>
            <w:r w:rsidR="001D198A" w:rsidRPr="00360DE3">
              <w:rPr>
                <w:b/>
              </w:rPr>
              <w:t>9.2</w:t>
            </w:r>
            <w:r w:rsidRPr="00360DE3">
              <w:t xml:space="preserve">  </w:t>
            </w:r>
            <w:r w:rsidRPr="00360DE3">
              <w:rPr>
                <w:b/>
                <w:lang w:eastAsia="en-US"/>
              </w:rPr>
              <w:t>Příjmy</w:t>
            </w:r>
            <w:proofErr w:type="gramEnd"/>
            <w:r w:rsidRPr="00360DE3">
              <w:rPr>
                <w:b/>
                <w:lang w:eastAsia="en-US"/>
              </w:rPr>
              <w:t xml:space="preserve">, výdaje </w:t>
            </w:r>
            <w:r w:rsidRPr="00360DE3">
              <w:rPr>
                <w:lang w:eastAsia="en-US"/>
              </w:rPr>
              <w:t>(levá osa)</w:t>
            </w:r>
            <w:r w:rsidRPr="00360DE3">
              <w:rPr>
                <w:b/>
                <w:lang w:eastAsia="en-US"/>
              </w:rPr>
              <w:t xml:space="preserve"> a čisté půjčky/výpůjčky </w:t>
            </w:r>
            <w:r w:rsidRPr="00360DE3">
              <w:rPr>
                <w:lang w:eastAsia="en-US"/>
              </w:rPr>
              <w:t xml:space="preserve">(pravá osa) </w:t>
            </w:r>
            <w:r w:rsidRPr="00360DE3">
              <w:rPr>
                <w:b/>
                <w:lang w:eastAsia="en-US"/>
              </w:rPr>
              <w:t xml:space="preserve">vládních institucí </w:t>
            </w:r>
            <w:r w:rsidRPr="00360DE3">
              <w:rPr>
                <w:lang w:eastAsia="en-US"/>
              </w:rPr>
              <w:t>(v mld. korun)</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37600" cy="3553200"/>
                  <wp:effectExtent l="0" t="0" r="5850" b="0"/>
                  <wp:docPr id="2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Zdroj: ČSÚ</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 xml:space="preserve">Přebytku hospodaření dosáhly všechny </w:t>
            </w:r>
            <w:proofErr w:type="spellStart"/>
            <w:r w:rsidRPr="00360DE3">
              <w:rPr>
                <w:spacing w:val="0"/>
              </w:rPr>
              <w:t>subsektory</w:t>
            </w:r>
            <w:proofErr w:type="spellEnd"/>
            <w:r w:rsidRPr="00360DE3">
              <w:rPr>
                <w:spacing w:val="0"/>
              </w:rPr>
              <w:t>.</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 xml:space="preserve">V loňském roce se na přebytku podílely všechny </w:t>
            </w:r>
            <w:proofErr w:type="spellStart"/>
            <w:r w:rsidRPr="00360DE3">
              <w:t>subsektory</w:t>
            </w:r>
            <w:proofErr w:type="spellEnd"/>
            <w:r w:rsidRPr="00360DE3">
              <w:t xml:space="preserve"> vládních institucí. Přebytku 30,1 mld. korun dosáhly i obvykle deficitní ústřední vládní instituce, u nichž došlo k nárůstu příjmů o 88,2 mld. korun (6,4 %). Ústřední vládní instituce jsou většinovým příjemcem výnosů z daní, které příjmovou stránku salda ovlivnily nejsilněji. Výdaje tohoto </w:t>
            </w:r>
            <w:proofErr w:type="spellStart"/>
            <w:r w:rsidRPr="00360DE3">
              <w:t>subsektoru</w:t>
            </w:r>
            <w:proofErr w:type="spellEnd"/>
            <w:r w:rsidRPr="00360DE3">
              <w:t xml:space="preserve"> přitom rostly po</w:t>
            </w:r>
            <w:r w:rsidR="00D52BE2">
              <w:t>maleji než v celém sektoru (2,7</w:t>
            </w:r>
            <w:r w:rsidR="00D52BE2" w:rsidRPr="00360DE3">
              <w:t> </w:t>
            </w:r>
            <w:r w:rsidRPr="00360DE3">
              <w:t xml:space="preserve">%). Tohoto výsledku bylo dosaženo i kvůli prakticky nezměněné úrovni </w:t>
            </w:r>
            <w:r w:rsidRPr="00360DE3">
              <w:lastRenderedPageBreak/>
              <w:t>kapitálových výdajů, které se oproti roku 2016 zvýšily jen o 0,4 %. Místní vládní instituce dosahují přebytků již delší dobu, ten loňský se však meziročně snížil o 7,2 mld. korun. V roce 2017 jejich příjmy vzrostly o 41,1 mld. korun (7,7 %) i díky silnému růstu daňových výnosů (daně z výroby a dovozu o 9,9 %, daně typu DPH o 11,6 %). Výdaje u místních vládních institucí s</w:t>
            </w:r>
            <w:r w:rsidR="00D52BE2">
              <w:t>e navýšily poměrně razantně – o</w:t>
            </w:r>
            <w:r w:rsidR="00D52BE2" w:rsidRPr="00360DE3">
              <w:t> </w:t>
            </w:r>
            <w:r w:rsidRPr="00360DE3">
              <w:t xml:space="preserve">10,0 %. Zahrnují především náhrady zaměstnancům (růst o 10,3 %) a také kapitálové výdaje, které po propadu v roce 2016 zaznamenaly růst o 26,1 % (jejich úroveň však nepřekonala rok 2015 ani 2014). </w:t>
            </w:r>
            <w:proofErr w:type="spellStart"/>
            <w:r w:rsidRPr="00360DE3">
              <w:t>Subsektor</w:t>
            </w:r>
            <w:proofErr w:type="spellEnd"/>
            <w:r w:rsidRPr="00360DE3">
              <w:t xml:space="preserve"> fondů sociálního zabezpečení</w:t>
            </w:r>
            <w:r w:rsidRPr="00360DE3">
              <w:rPr>
                <w:rStyle w:val="Znakapoznpodarou"/>
              </w:rPr>
              <w:footnoteReference w:id="47"/>
            </w:r>
            <w:r w:rsidRPr="00360DE3">
              <w:t xml:space="preserve"> těžil z růstu objemu vybraných sociálních příspěvků, který byl navázán na růst mezd a platů. Příjmy se tak zvýšily o 6,4 %. Růst výdajů zrychlil na 5,3 %, ale i tak dosáhl </w:t>
            </w:r>
            <w:proofErr w:type="spellStart"/>
            <w:r w:rsidRPr="00360DE3">
              <w:t>subsektor</w:t>
            </w:r>
            <w:proofErr w:type="spellEnd"/>
            <w:r w:rsidRPr="00360DE3">
              <w:t xml:space="preserve"> nejvyššího přebytku od roku 2008 (8,0 mld.)</w:t>
            </w:r>
            <w:r w:rsidR="006C33B2">
              <w:t>, a to již potřetí v řadě.</w:t>
            </w:r>
          </w:p>
        </w:tc>
      </w:tr>
      <w:tr w:rsidR="00C96D08" w:rsidRPr="00360DE3" w:rsidTr="002B213A">
        <w:trPr>
          <w:trHeight w:val="170"/>
        </w:trPr>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C96D08" w:rsidRPr="004225C6" w:rsidRDefault="00C96D08" w:rsidP="004E02EB">
            <w:pPr>
              <w:spacing w:after="0"/>
              <w:rPr>
                <w:spacing w:val="-3"/>
              </w:rPr>
            </w:pPr>
            <w:r w:rsidRPr="004225C6">
              <w:rPr>
                <w:b/>
                <w:spacing w:val="-3"/>
              </w:rPr>
              <w:t xml:space="preserve">Graf č. </w:t>
            </w:r>
            <w:proofErr w:type="gramStart"/>
            <w:r w:rsidR="001D198A" w:rsidRPr="004225C6">
              <w:rPr>
                <w:b/>
                <w:spacing w:val="-3"/>
              </w:rPr>
              <w:t>9.3</w:t>
            </w:r>
            <w:r w:rsidRPr="004225C6">
              <w:rPr>
                <w:spacing w:val="-3"/>
              </w:rPr>
              <w:t xml:space="preserve">  </w:t>
            </w:r>
            <w:r w:rsidRPr="004225C6">
              <w:rPr>
                <w:b/>
                <w:spacing w:val="-3"/>
                <w:lang w:eastAsia="en-US"/>
              </w:rPr>
              <w:t>Čisté</w:t>
            </w:r>
            <w:proofErr w:type="gramEnd"/>
            <w:r w:rsidRPr="004225C6">
              <w:rPr>
                <w:b/>
                <w:spacing w:val="-3"/>
                <w:lang w:eastAsia="en-US"/>
              </w:rPr>
              <w:t xml:space="preserve"> půjčky(+)/výpůjčky(-) vládních institucí v členění na </w:t>
            </w:r>
            <w:proofErr w:type="spellStart"/>
            <w:r w:rsidRPr="004225C6">
              <w:rPr>
                <w:b/>
                <w:spacing w:val="-3"/>
                <w:lang w:eastAsia="en-US"/>
              </w:rPr>
              <w:t>subsektory</w:t>
            </w:r>
            <w:proofErr w:type="spellEnd"/>
            <w:r w:rsidRPr="004225C6">
              <w:rPr>
                <w:b/>
                <w:spacing w:val="-3"/>
                <w:lang w:eastAsia="en-US"/>
              </w:rPr>
              <w:t xml:space="preserve"> </w:t>
            </w:r>
            <w:r w:rsidRPr="004225C6">
              <w:rPr>
                <w:spacing w:val="-3"/>
                <w:lang w:eastAsia="en-US"/>
              </w:rPr>
              <w:t>(v mld. korun, běžné ceny)</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40294" cy="3623941"/>
                  <wp:effectExtent l="0" t="0" r="0" b="0"/>
                  <wp:docPr id="2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Zdroj: ČSÚ</w:t>
            </w: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t>Celkový dluh se mírně snížil, během roku však výrazně kolísal.</w:t>
            </w:r>
          </w:p>
        </w:tc>
        <w:tc>
          <w:tcPr>
            <w:tcW w:w="277" w:type="dxa"/>
          </w:tcPr>
          <w:p w:rsidR="00C96D08" w:rsidRPr="00360DE3" w:rsidRDefault="00C96D08" w:rsidP="002B213A">
            <w:pPr>
              <w:pStyle w:val="Textpoznpodarou"/>
              <w:jc w:val="both"/>
            </w:pPr>
          </w:p>
        </w:tc>
        <w:tc>
          <w:tcPr>
            <w:tcW w:w="7391" w:type="dxa"/>
          </w:tcPr>
          <w:p w:rsidR="00C96D08" w:rsidRDefault="00C96D08" w:rsidP="002B213A">
            <w:r w:rsidRPr="00360DE3">
              <w:t xml:space="preserve">Celkový dluh sektoru vládních institucí k 31. 12. 2017 činil 1 749,1 mld. korun. Nominální dluh setrval na úrovni minulého roku, když se meziročně snížil o 5,7 mld. korun. Vývoj v průběhu roku měl výraznější dynamiku. V první polovině roku totiž výrazně narůstal (od konce roku 2016 do 30. 6. 2017 dohromady o 168,7 mld. korun). Drtivá většina z tohoto nárůstu měla formu krátkodobých dluhových cenných papírů (143,4 mld.). Ve 3. čtvrtletí pak úroveň dluhu klesla o 184,2 mld. korun (z toho pokles u krátkodobých dluhopisů činil 147,9 mld.). Tento vývoj ukazuje na pravděpodobnou snahu využít nízkých úrokových sazeb na dluhopisovém trhu na počátku roku v kombinaci se specifickou situací končící intervence ČNB. Na konci roku 2017 byl podíl krátkodobých dluhových cenných papírů na celkovém dluhu vyšší než v roce 2016. </w:t>
            </w:r>
          </w:p>
          <w:p w:rsidR="00007BEF" w:rsidRPr="00360DE3" w:rsidRDefault="00007BEF" w:rsidP="00007BEF">
            <w:pPr>
              <w:spacing w:after="0"/>
            </w:pPr>
          </w:p>
        </w:tc>
      </w:tr>
      <w:tr w:rsidR="00C96D08" w:rsidRPr="00360DE3" w:rsidTr="002B213A">
        <w:trPr>
          <w:trHeight w:val="145"/>
        </w:trPr>
        <w:tc>
          <w:tcPr>
            <w:tcW w:w="1976" w:type="dxa"/>
          </w:tcPr>
          <w:p w:rsidR="00C96D08" w:rsidRPr="00360DE3" w:rsidRDefault="00C96D08" w:rsidP="002B213A">
            <w:pPr>
              <w:pStyle w:val="Marginlie"/>
              <w:rPr>
                <w:spacing w:val="0"/>
              </w:rPr>
            </w:pPr>
            <w:r w:rsidRPr="00360DE3">
              <w:rPr>
                <w:spacing w:val="0"/>
              </w:rPr>
              <w:lastRenderedPageBreak/>
              <w:t>Díky výraznému hospodářskému růstu se relativní dluh většiny zemí EU snižoval.</w:t>
            </w:r>
          </w:p>
        </w:tc>
        <w:tc>
          <w:tcPr>
            <w:tcW w:w="277" w:type="dxa"/>
          </w:tcPr>
          <w:p w:rsidR="00C96D08" w:rsidRPr="00360DE3" w:rsidRDefault="00C96D08" w:rsidP="002B213A">
            <w:pPr>
              <w:pStyle w:val="Textpoznpodarou"/>
              <w:jc w:val="both"/>
            </w:pPr>
          </w:p>
        </w:tc>
        <w:tc>
          <w:tcPr>
            <w:tcW w:w="7391" w:type="dxa"/>
          </w:tcPr>
          <w:p w:rsidR="00C96D08" w:rsidRPr="00360DE3" w:rsidRDefault="00C96D08" w:rsidP="002B213A">
            <w:r w:rsidRPr="00360DE3">
              <w:t>Podíl dluhu na HDP (relativní dluh) ke konci roku 20</w:t>
            </w:r>
            <w:r w:rsidR="004225C6">
              <w:t>17 činil 34,6 %, což bylo o</w:t>
            </w:r>
            <w:r w:rsidR="004225C6" w:rsidRPr="00360DE3">
              <w:t> </w:t>
            </w:r>
            <w:r w:rsidR="004225C6">
              <w:t>2,2</w:t>
            </w:r>
            <w:r w:rsidR="004225C6" w:rsidRPr="00360DE3">
              <w:t> </w:t>
            </w:r>
            <w:r w:rsidRPr="00360DE3">
              <w:t xml:space="preserve">p. </w:t>
            </w:r>
            <w:proofErr w:type="spellStart"/>
            <w:r w:rsidRPr="00360DE3">
              <w:t>b</w:t>
            </w:r>
            <w:proofErr w:type="spellEnd"/>
            <w:r w:rsidRPr="00360DE3">
              <w:t xml:space="preserve">. </w:t>
            </w:r>
            <w:proofErr w:type="gramStart"/>
            <w:r w:rsidRPr="00360DE3">
              <w:t>méně</w:t>
            </w:r>
            <w:proofErr w:type="gramEnd"/>
            <w:r w:rsidRPr="00360DE3">
              <w:t xml:space="preserve"> než v roce 2016. Relativní dluh Česka se snížil počtvrté v řadě. Česko dosáhlo čtvrtého nejnižšího relativního dluhu mezi státy EU. Relativní dluh se loni snižoval téměř ve všech zemích unie. Napomohl tomu zejména silný hospodářský růst, protože v absolutním vyjádření dluh (v eurech) ve většině zemí rostl. Nejnižšího relativního dluhu dlouhodobě dosahuje Estonsko (9,0 % HDP v roce 2017). Druhé Lucembursko mělo dluh vůči HDP 23,0 % a šlo o jednu ze dvou zemí, kde relativní dluh vzrostl. V Bulharsku relativní dluh činil 25,4 %. Na opačném konci mezinárodního srovnání jsou státy jižní Evropy. Řecké relativní zadlužení se mírně snížilo na 178,6 % HDP, Itálie dosáhla 131,8 % a Portugalsku se podařilo snížit relativní dluh o 4,2 p. </w:t>
            </w:r>
            <w:proofErr w:type="spellStart"/>
            <w:r w:rsidRPr="00360DE3">
              <w:t>b</w:t>
            </w:r>
            <w:proofErr w:type="spellEnd"/>
            <w:r w:rsidRPr="00360DE3">
              <w:t xml:space="preserve">. </w:t>
            </w:r>
            <w:proofErr w:type="gramStart"/>
            <w:r w:rsidRPr="00360DE3">
              <w:t>na</w:t>
            </w:r>
            <w:proofErr w:type="gramEnd"/>
            <w:r w:rsidRPr="00360DE3">
              <w:t xml:space="preserve"> 125,7 % HDP. Více než celého HDP země dosáhl</w:t>
            </w:r>
            <w:r w:rsidR="004225C6">
              <w:t xml:space="preserve"> ještě dluh Belgie (103,1 %).</w:t>
            </w:r>
          </w:p>
        </w:tc>
      </w:tr>
      <w:tr w:rsidR="00C96D08" w:rsidRPr="00360DE3" w:rsidTr="002B213A">
        <w:trPr>
          <w:trHeight w:val="170"/>
        </w:trPr>
        <w:tc>
          <w:tcPr>
            <w:tcW w:w="1976" w:type="dxa"/>
            <w:vMerge w:val="restart"/>
          </w:tcPr>
          <w:p w:rsidR="00C96D08" w:rsidRPr="00360DE3" w:rsidRDefault="00C96D08" w:rsidP="002B213A">
            <w:pPr>
              <w:pStyle w:val="Marginlie"/>
              <w:rPr>
                <w:spacing w:val="0"/>
              </w:rPr>
            </w:pPr>
          </w:p>
        </w:tc>
        <w:tc>
          <w:tcPr>
            <w:tcW w:w="277" w:type="dxa"/>
            <w:vMerge w:val="restart"/>
          </w:tcPr>
          <w:p w:rsidR="00C96D08" w:rsidRPr="00360DE3" w:rsidRDefault="00C96D08" w:rsidP="002B213A">
            <w:pPr>
              <w:pStyle w:val="Textpoznpodarou"/>
              <w:jc w:val="both"/>
            </w:pPr>
          </w:p>
        </w:tc>
        <w:tc>
          <w:tcPr>
            <w:tcW w:w="7391" w:type="dxa"/>
          </w:tcPr>
          <w:p w:rsidR="003B4331" w:rsidRDefault="00C96D08" w:rsidP="001D198A">
            <w:pPr>
              <w:spacing w:after="0"/>
              <w:rPr>
                <w:b/>
                <w:lang w:eastAsia="en-US"/>
              </w:rPr>
            </w:pPr>
            <w:r w:rsidRPr="00360DE3">
              <w:rPr>
                <w:b/>
                <w:lang w:eastAsia="en-US"/>
              </w:rPr>
              <w:t xml:space="preserve">Graf č. </w:t>
            </w:r>
            <w:proofErr w:type="gramStart"/>
            <w:r w:rsidR="001D198A" w:rsidRPr="00360DE3">
              <w:rPr>
                <w:b/>
                <w:lang w:eastAsia="en-US"/>
              </w:rPr>
              <w:t>9.4</w:t>
            </w:r>
            <w:r w:rsidRPr="00360DE3">
              <w:rPr>
                <w:b/>
                <w:lang w:eastAsia="en-US"/>
              </w:rPr>
              <w:t xml:space="preserve">  Hrubý</w:t>
            </w:r>
            <w:proofErr w:type="gramEnd"/>
            <w:r w:rsidRPr="00360DE3">
              <w:rPr>
                <w:b/>
                <w:lang w:eastAsia="en-US"/>
              </w:rPr>
              <w:t xml:space="preserve"> konsolidovaný dluh sektoru vládních institucí </w:t>
            </w:r>
          </w:p>
          <w:p w:rsidR="00C96D08" w:rsidRPr="00360DE3" w:rsidRDefault="00C96D08" w:rsidP="001D198A">
            <w:pPr>
              <w:spacing w:after="0"/>
              <w:rPr>
                <w:b/>
              </w:rPr>
            </w:pPr>
            <w:r w:rsidRPr="00360DE3">
              <w:rPr>
                <w:lang w:eastAsia="en-US"/>
              </w:rPr>
              <w:t>(v mld. korun, běžné ceny)</w:t>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spacing w:after="0"/>
            </w:pPr>
            <w:r w:rsidRPr="00360DE3">
              <w:rPr>
                <w:noProof/>
              </w:rPr>
              <w:drawing>
                <wp:inline distT="0" distB="0" distL="0" distR="0">
                  <wp:extent cx="4737600" cy="3553200"/>
                  <wp:effectExtent l="0" t="0" r="0" b="0"/>
                  <wp:docPr id="2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C96D08" w:rsidRPr="00360DE3" w:rsidTr="002B213A">
        <w:trPr>
          <w:trHeight w:val="170"/>
        </w:trPr>
        <w:tc>
          <w:tcPr>
            <w:tcW w:w="1976" w:type="dxa"/>
            <w:vMerge/>
          </w:tcPr>
          <w:p w:rsidR="00C96D08" w:rsidRPr="00360DE3" w:rsidRDefault="00C96D08" w:rsidP="002B213A">
            <w:pPr>
              <w:pStyle w:val="Marginlie"/>
              <w:rPr>
                <w:spacing w:val="0"/>
              </w:rPr>
            </w:pPr>
          </w:p>
        </w:tc>
        <w:tc>
          <w:tcPr>
            <w:tcW w:w="277" w:type="dxa"/>
            <w:vMerge/>
          </w:tcPr>
          <w:p w:rsidR="00C96D08" w:rsidRPr="00360DE3" w:rsidRDefault="00C96D08" w:rsidP="002B213A">
            <w:pPr>
              <w:pStyle w:val="Textpoznpodarou"/>
              <w:jc w:val="both"/>
            </w:pPr>
          </w:p>
        </w:tc>
        <w:tc>
          <w:tcPr>
            <w:tcW w:w="7391" w:type="dxa"/>
          </w:tcPr>
          <w:p w:rsidR="00C96D08" w:rsidRPr="00360DE3" w:rsidRDefault="00C96D08" w:rsidP="002B213A">
            <w:pPr>
              <w:rPr>
                <w:sz w:val="14"/>
                <w:szCs w:val="14"/>
              </w:rPr>
            </w:pPr>
            <w:r w:rsidRPr="00360DE3">
              <w:rPr>
                <w:sz w:val="14"/>
                <w:szCs w:val="14"/>
              </w:rPr>
              <w:t>Zdroj: ČSÚ</w:t>
            </w:r>
          </w:p>
        </w:tc>
      </w:tr>
    </w:tbl>
    <w:p w:rsidR="00C466D2" w:rsidRPr="00360DE3" w:rsidRDefault="00C466D2" w:rsidP="00C466D2">
      <w:pPr>
        <w:rPr>
          <w:rFonts w:eastAsia="MS Gothic"/>
          <w:color w:val="71818C"/>
          <w:sz w:val="32"/>
          <w:szCs w:val="28"/>
          <w:lang w:eastAsia="en-US"/>
        </w:rPr>
      </w:pPr>
      <w:r w:rsidRPr="00360DE3">
        <w:rPr>
          <w:lang w:eastAsia="en-US"/>
        </w:rPr>
        <w:br w:type="page"/>
      </w:r>
    </w:p>
    <w:p w:rsidR="00141782" w:rsidRPr="00360DE3" w:rsidRDefault="00E212C9" w:rsidP="00141782">
      <w:pPr>
        <w:pStyle w:val="Nadpis1"/>
        <w:rPr>
          <w:lang w:eastAsia="en-US"/>
        </w:rPr>
      </w:pPr>
      <w:bookmarkStart w:id="26" w:name="_Toc527639481"/>
      <w:r w:rsidRPr="00360DE3">
        <w:rPr>
          <w:lang w:eastAsia="en-US"/>
        </w:rPr>
        <w:lastRenderedPageBreak/>
        <w:t>V</w:t>
      </w:r>
      <w:r w:rsidR="00141782" w:rsidRPr="00360DE3">
        <w:rPr>
          <w:lang w:eastAsia="en-US"/>
        </w:rPr>
        <w:t>ybraná odvětví ekonomiky</w:t>
      </w:r>
      <w:bookmarkEnd w:id="26"/>
    </w:p>
    <w:p w:rsidR="00C466D2" w:rsidRPr="00360DE3" w:rsidRDefault="00141782" w:rsidP="00141782">
      <w:pPr>
        <w:pStyle w:val="Nadpis1"/>
        <w:rPr>
          <w:lang w:eastAsia="en-US"/>
        </w:rPr>
      </w:pPr>
      <w:bookmarkStart w:id="27" w:name="_Toc527639482"/>
      <w:r w:rsidRPr="00360DE3">
        <w:rPr>
          <w:lang w:eastAsia="en-US"/>
        </w:rPr>
        <w:t>1</w:t>
      </w:r>
      <w:r w:rsidR="00E212C9" w:rsidRPr="00360DE3">
        <w:rPr>
          <w:lang w:eastAsia="en-US"/>
        </w:rPr>
        <w:t>0</w:t>
      </w:r>
      <w:r w:rsidRPr="00360DE3">
        <w:rPr>
          <w:lang w:eastAsia="en-US"/>
        </w:rPr>
        <w:t>. Zemědělství, lesnictví a rybářství</w:t>
      </w:r>
      <w:bookmarkEnd w:id="27"/>
    </w:p>
    <w:tbl>
      <w:tblPr>
        <w:tblW w:w="9644" w:type="dxa"/>
        <w:tblInd w:w="-15" w:type="dxa"/>
        <w:tblLayout w:type="fixed"/>
        <w:tblCellMar>
          <w:left w:w="0" w:type="dxa"/>
          <w:right w:w="0" w:type="dxa"/>
        </w:tblCellMar>
        <w:tblLook w:val="00A0"/>
      </w:tblPr>
      <w:tblGrid>
        <w:gridCol w:w="1976"/>
        <w:gridCol w:w="277"/>
        <w:gridCol w:w="7391"/>
      </w:tblGrid>
      <w:tr w:rsidR="004C5FBF" w:rsidRPr="00360DE3" w:rsidTr="004C5FBF">
        <w:trPr>
          <w:trHeight w:val="145"/>
        </w:trPr>
        <w:tc>
          <w:tcPr>
            <w:tcW w:w="1976" w:type="dxa"/>
          </w:tcPr>
          <w:p w:rsidR="004C5FBF" w:rsidRPr="00360DE3" w:rsidRDefault="004C5FBF" w:rsidP="001A0D6B">
            <w:pPr>
              <w:pStyle w:val="Marginlie"/>
              <w:rPr>
                <w:spacing w:val="0"/>
              </w:rPr>
            </w:pPr>
            <w:r w:rsidRPr="00360DE3">
              <w:rPr>
                <w:spacing w:val="0"/>
              </w:rPr>
              <w:t>Růst hrubé přidané hodnoty v odvětví zemědělství, lesnictví a rybářství se vloni zastavil. Souviselo to především se slabšími výsledky rostlinné produkce.</w:t>
            </w:r>
          </w:p>
        </w:tc>
        <w:tc>
          <w:tcPr>
            <w:tcW w:w="277" w:type="dxa"/>
          </w:tcPr>
          <w:p w:rsidR="004C5FBF" w:rsidRPr="00360DE3" w:rsidRDefault="004C5FBF" w:rsidP="004C5FBF">
            <w:pPr>
              <w:pStyle w:val="Textpoznpodarou"/>
              <w:jc w:val="both"/>
            </w:pPr>
          </w:p>
        </w:tc>
        <w:tc>
          <w:tcPr>
            <w:tcW w:w="7391" w:type="dxa"/>
          </w:tcPr>
          <w:p w:rsidR="004C5FBF" w:rsidRPr="00360DE3" w:rsidRDefault="004C5FBF" w:rsidP="001A0D6B">
            <w:r w:rsidRPr="00360DE3">
              <w:t>Svižný růst výkonu primárního sektoru</w:t>
            </w:r>
            <w:r w:rsidRPr="00360DE3">
              <w:rPr>
                <w:rStyle w:val="Znakapoznpodarou"/>
              </w:rPr>
              <w:footnoteReference w:id="48"/>
            </w:r>
            <w:r w:rsidRPr="00360DE3">
              <w:t xml:space="preserve"> tažený v letech 2014 až 2016 především velmi dobrou úrodou základních plodin se vloni již neopakoval. Hrubá přidaná hodnota (HPH)</w:t>
            </w:r>
            <w:r w:rsidRPr="00360DE3">
              <w:rPr>
                <w:rStyle w:val="Znakapoznpodarou"/>
              </w:rPr>
              <w:footnoteReference w:id="49"/>
            </w:r>
            <w:r w:rsidRPr="00360DE3">
              <w:t xml:space="preserve"> se meziročně snížila o rovná 3 %, nejvíce po roce 2010. K tomuto výsledku přispěly všechny dílčí odvětví primárního sektoru vyjma lesnictví a těžby dřeva, kde naopak výkony vzrostly. Slabší loňská úroda spolu se sílícími mzdovými náklady napříč celým sektorem se odrazily v ziskovosti podniků. Podíl hrubého provozního přebytku nefinančních podniků v zemědělství, lesnictví a rybářství na jimi vytvořené HPH se meziročně snížil o 4 p. </w:t>
            </w:r>
            <w:proofErr w:type="spellStart"/>
            <w:r w:rsidRPr="00360DE3">
              <w:t>b</w:t>
            </w:r>
            <w:proofErr w:type="spellEnd"/>
            <w:r w:rsidRPr="00360DE3">
              <w:t>. (na 75 %)</w:t>
            </w:r>
            <w:r w:rsidRPr="00360DE3">
              <w:rPr>
                <w:rStyle w:val="Znakapoznpodarou"/>
              </w:rPr>
              <w:footnoteReference w:id="50"/>
            </w:r>
            <w:r w:rsidRPr="00360DE3">
              <w:t xml:space="preserve">. I tak šlo ale o třetí nejlepší výsledek v novodobé historii. </w:t>
            </w:r>
          </w:p>
        </w:tc>
      </w:tr>
      <w:tr w:rsidR="001A0D6B" w:rsidRPr="00360DE3" w:rsidTr="004C5FBF">
        <w:trPr>
          <w:trHeight w:val="145"/>
        </w:trPr>
        <w:tc>
          <w:tcPr>
            <w:tcW w:w="1976" w:type="dxa"/>
          </w:tcPr>
          <w:p w:rsidR="001A0D6B" w:rsidRPr="00360DE3" w:rsidRDefault="001A0D6B" w:rsidP="001A0D6B">
            <w:pPr>
              <w:pStyle w:val="Marginlie"/>
              <w:rPr>
                <w:spacing w:val="0"/>
              </w:rPr>
            </w:pPr>
            <w:r w:rsidRPr="00360DE3">
              <w:rPr>
                <w:spacing w:val="0"/>
              </w:rPr>
              <w:t xml:space="preserve">Míra </w:t>
            </w:r>
            <w:r>
              <w:rPr>
                <w:spacing w:val="0"/>
              </w:rPr>
              <w:t>investice</w:t>
            </w:r>
            <w:r w:rsidRPr="00360DE3">
              <w:rPr>
                <w:spacing w:val="0"/>
              </w:rPr>
              <w:t xml:space="preserve"> podniků v primárním sektoru </w:t>
            </w:r>
            <w:r>
              <w:rPr>
                <w:spacing w:val="0"/>
              </w:rPr>
              <w:t>stagnovala</w:t>
            </w:r>
            <w:r w:rsidRPr="00360DE3">
              <w:rPr>
                <w:spacing w:val="0"/>
              </w:rPr>
              <w:t xml:space="preserve">, nadále ale zůstávala </w:t>
            </w:r>
            <w:r>
              <w:rPr>
                <w:spacing w:val="0"/>
              </w:rPr>
              <w:t>nad průměrem národního hospodářství</w:t>
            </w:r>
            <w:r w:rsidRPr="00360DE3">
              <w:rPr>
                <w:spacing w:val="0"/>
              </w:rPr>
              <w:t>.</w:t>
            </w:r>
          </w:p>
          <w:p w:rsidR="001A0D6B" w:rsidRPr="00360DE3" w:rsidRDefault="001A0D6B" w:rsidP="004C5FBF">
            <w:pPr>
              <w:pStyle w:val="Marginlie"/>
              <w:rPr>
                <w:spacing w:val="0"/>
              </w:rPr>
            </w:pPr>
          </w:p>
        </w:tc>
        <w:tc>
          <w:tcPr>
            <w:tcW w:w="277" w:type="dxa"/>
          </w:tcPr>
          <w:p w:rsidR="001A0D6B" w:rsidRPr="00360DE3" w:rsidRDefault="001A0D6B" w:rsidP="004C5FBF">
            <w:pPr>
              <w:pStyle w:val="Textpoznpodarou"/>
              <w:jc w:val="both"/>
            </w:pPr>
          </w:p>
        </w:tc>
        <w:tc>
          <w:tcPr>
            <w:tcW w:w="7391" w:type="dxa"/>
          </w:tcPr>
          <w:p w:rsidR="001A0D6B" w:rsidRPr="00360DE3" w:rsidRDefault="001A0D6B" w:rsidP="004C5FBF">
            <w:r w:rsidRPr="00360DE3">
              <w:t>Míra investic v primárním sektoru ve srovnání s rokem 2016 stagnovala. Podíl tvorby hrubého fixního kapitálu (THFK) na HPH činil 40 % (v celém národním hospodářství 28 %). Míra investiční aktivity má na rozdíl od většiny ostatních odvětví ekonomiky dlouhodobě spíše rostoucí trend</w:t>
            </w:r>
            <w:r w:rsidRPr="00360DE3">
              <w:rPr>
                <w:rStyle w:val="Znakapoznpodarou"/>
              </w:rPr>
              <w:footnoteReference w:id="51"/>
            </w:r>
            <w:r w:rsidRPr="00360DE3">
              <w:t>. Více než dvě třetiny nových investic směřovalo loni do strojů a zařízení, necelá čtvrtina do budov a staveb. Ve srovnání s celou ekonomikou se ve struktuře investic primárního sektoru více uplatňují dopravní prostředky, ostatní stoje a zařízení (kromě prostředků na ICT) a vzhledem k charakteru výrobního procesu logicky i pěstované biologické zdroje (hospodářská zvířata, stromy, ostatní plodiny). Negativně vyznívá dlouhodobě nízký podíl investic orientovaných na produkty duševního vlastnictví (v roce 2017 šlo jen o 1,6 % z THFK)</w:t>
            </w:r>
            <w:r w:rsidRPr="00360DE3">
              <w:rPr>
                <w:rStyle w:val="Znakapoznpodarou"/>
              </w:rPr>
              <w:footnoteReference w:id="52"/>
            </w:r>
            <w:r w:rsidRPr="00360DE3">
              <w:t>.</w:t>
            </w:r>
          </w:p>
        </w:tc>
      </w:tr>
      <w:tr w:rsidR="004C5FBF" w:rsidRPr="00360DE3" w:rsidTr="004C5FBF">
        <w:trPr>
          <w:trHeight w:val="145"/>
        </w:trPr>
        <w:tc>
          <w:tcPr>
            <w:tcW w:w="1976" w:type="dxa"/>
          </w:tcPr>
          <w:p w:rsidR="004C5FBF" w:rsidRPr="00360DE3" w:rsidRDefault="004C5FBF" w:rsidP="004C5FBF">
            <w:pPr>
              <w:pStyle w:val="Marginlie"/>
              <w:rPr>
                <w:spacing w:val="0"/>
              </w:rPr>
            </w:pPr>
            <w:r w:rsidRPr="00360DE3">
              <w:rPr>
                <w:spacing w:val="0"/>
              </w:rPr>
              <w:t>Míra investic v primárním sektoru převyšovala v Česku úroveň EU o více než čtvrtinu.</w:t>
            </w:r>
          </w:p>
        </w:tc>
        <w:tc>
          <w:tcPr>
            <w:tcW w:w="277" w:type="dxa"/>
          </w:tcPr>
          <w:p w:rsidR="004C5FBF" w:rsidRPr="00360DE3" w:rsidRDefault="004C5FBF" w:rsidP="004C5FBF">
            <w:pPr>
              <w:pStyle w:val="Textpoznpodarou"/>
              <w:jc w:val="both"/>
            </w:pPr>
          </w:p>
        </w:tc>
        <w:tc>
          <w:tcPr>
            <w:tcW w:w="7391" w:type="dxa"/>
          </w:tcPr>
          <w:p w:rsidR="004C5FBF" w:rsidRPr="00360DE3" w:rsidRDefault="004C5FBF" w:rsidP="004C5FBF">
            <w:pPr>
              <w:spacing w:after="200"/>
            </w:pPr>
            <w:r w:rsidRPr="00360DE3">
              <w:t xml:space="preserve">Míra investic v primárním sektoru dlouhodobě zůstává, podobně jako ve většině ostatních segmentů ekonomiky, v Česku nad úrovní EU (kde v roce činila 31 %). Relativně nejvíce bylo investováno v některých starších členských státech se silným zastoupením zemědělské živočišné produkce a významnou dotační podporou (např. v Dánsku, Belgii, Velké Británii, Německu či Rakousku). </w:t>
            </w:r>
          </w:p>
        </w:tc>
      </w:tr>
      <w:tr w:rsidR="004C5FBF" w:rsidRPr="00360DE3" w:rsidTr="004C5FBF">
        <w:trPr>
          <w:trHeight w:val="145"/>
        </w:trPr>
        <w:tc>
          <w:tcPr>
            <w:tcW w:w="1976" w:type="dxa"/>
          </w:tcPr>
          <w:p w:rsidR="004C5FBF" w:rsidRPr="00360DE3" w:rsidRDefault="004C5FBF" w:rsidP="004C5FBF">
            <w:pPr>
              <w:pStyle w:val="Marginlie"/>
              <w:rPr>
                <w:spacing w:val="0"/>
              </w:rPr>
            </w:pPr>
            <w:r w:rsidRPr="00360DE3">
              <w:rPr>
                <w:spacing w:val="0"/>
              </w:rPr>
              <w:t>Zaměstnanost v primárním sektoru zůstala stabilizovaná. Výše průměrných výdělků i produktivita práce setrvaly výrazněji pod úrovní celé ekonomiky.</w:t>
            </w:r>
          </w:p>
        </w:tc>
        <w:tc>
          <w:tcPr>
            <w:tcW w:w="277" w:type="dxa"/>
          </w:tcPr>
          <w:p w:rsidR="004C5FBF" w:rsidRPr="00360DE3" w:rsidRDefault="004C5FBF" w:rsidP="004C5FBF">
            <w:pPr>
              <w:pStyle w:val="Textpoznpodarou"/>
              <w:jc w:val="both"/>
            </w:pPr>
          </w:p>
        </w:tc>
        <w:tc>
          <w:tcPr>
            <w:tcW w:w="7391" w:type="dxa"/>
          </w:tcPr>
          <w:p w:rsidR="004C5FBF" w:rsidRPr="00360DE3" w:rsidRDefault="004C5FBF" w:rsidP="004C5FBF">
            <w:r w:rsidRPr="00360DE3">
              <w:t>Celková zaměstnanost</w:t>
            </w:r>
            <w:r w:rsidRPr="00360DE3">
              <w:rPr>
                <w:rStyle w:val="Znakapoznpodarou"/>
              </w:rPr>
              <w:footnoteReference w:id="53"/>
            </w:r>
            <w:r w:rsidRPr="00360DE3">
              <w:t xml:space="preserve"> v zemědělství, lesnictví a rybářství je po roce 2010 stabilizovaná. Meziročně loni pracovníků mírně přibylo (o 0,6 %) zásluhou vyššího počtu </w:t>
            </w:r>
            <w:proofErr w:type="spellStart"/>
            <w:r w:rsidRPr="00360DE3">
              <w:t>sebezaměstnaných</w:t>
            </w:r>
            <w:proofErr w:type="spellEnd"/>
            <w:r w:rsidRPr="00360DE3">
              <w:t xml:space="preserve"> v zemědělství i nárůstu četnosti zaměstnanců v lesnictví a těžbě dřeva. Spíše než celková četnost pracovníků zůstává problémem jejich věkové složení</w:t>
            </w:r>
            <w:r w:rsidRPr="00360DE3">
              <w:rPr>
                <w:rStyle w:val="Znakapoznpodarou"/>
              </w:rPr>
              <w:footnoteReference w:id="54"/>
            </w:r>
            <w:r w:rsidRPr="00360DE3">
              <w:t>. Průměrné hrubé výdělky</w:t>
            </w:r>
            <w:r w:rsidRPr="00360DE3">
              <w:rPr>
                <w:rStyle w:val="Znakapoznpodarou"/>
              </w:rPr>
              <w:footnoteReference w:id="55"/>
            </w:r>
            <w:r w:rsidRPr="00360DE3">
              <w:t xml:space="preserve"> vzrostly o 5,0 % (a již třetím rokem v řadě za tempem v celé ekonomice zaostaly). Jejich loňská měsíční výše (23,5 tis. korun) byla o pětinu pod úrovní národního hospodářství. V rámci celého odvětví dosáhli mírně příznivějšího postavení zaměstnanci </w:t>
            </w:r>
            <w:r w:rsidR="00093E53">
              <w:t>v lesnictví a těžbě dřeva (27,3</w:t>
            </w:r>
            <w:r w:rsidR="00093E53" w:rsidRPr="00360DE3">
              <w:rPr>
                <w:color w:val="0D0D0D" w:themeColor="text1" w:themeTint="F2"/>
              </w:rPr>
              <w:t> </w:t>
            </w:r>
            <w:r w:rsidRPr="00360DE3">
              <w:t xml:space="preserve">tis. korun). Toto dílčí odvětví také jako jediné z primárního sektoru </w:t>
            </w:r>
            <w:r w:rsidRPr="00360DE3">
              <w:lastRenderedPageBreak/>
              <w:t>dlouhodobě vykazuje vyšší hodinovou produktivitu práce – v roce 2017 o čtvrtinu nad úrovní celé ekonomiky</w:t>
            </w:r>
            <w:r w:rsidRPr="00360DE3">
              <w:rPr>
                <w:rStyle w:val="Znakapoznpodarou"/>
              </w:rPr>
              <w:footnoteReference w:id="56"/>
            </w:r>
            <w:r w:rsidRPr="00360DE3">
              <w:t>.</w:t>
            </w:r>
          </w:p>
        </w:tc>
      </w:tr>
      <w:tr w:rsidR="004C5FBF" w:rsidRPr="00360DE3" w:rsidTr="004C5FBF">
        <w:tc>
          <w:tcPr>
            <w:tcW w:w="1976" w:type="dxa"/>
            <w:vMerge w:val="restart"/>
          </w:tcPr>
          <w:p w:rsidR="004C5FBF" w:rsidRPr="00360DE3" w:rsidRDefault="004C5FBF" w:rsidP="004C5FBF">
            <w:pPr>
              <w:pStyle w:val="Marginlie"/>
              <w:rPr>
                <w:spacing w:val="0"/>
              </w:rPr>
            </w:pPr>
          </w:p>
        </w:tc>
        <w:tc>
          <w:tcPr>
            <w:tcW w:w="277" w:type="dxa"/>
            <w:vMerge w:val="restart"/>
          </w:tcPr>
          <w:p w:rsidR="004C5FBF" w:rsidRPr="00360DE3" w:rsidRDefault="004C5FBF" w:rsidP="004C5FBF">
            <w:pPr>
              <w:pStyle w:val="Textpoznpodarou"/>
              <w:jc w:val="both"/>
            </w:pPr>
          </w:p>
        </w:tc>
        <w:tc>
          <w:tcPr>
            <w:tcW w:w="7391" w:type="dxa"/>
          </w:tcPr>
          <w:p w:rsidR="004C5FBF" w:rsidRPr="00360DE3" w:rsidRDefault="004C5FBF" w:rsidP="004C5FBF">
            <w:pPr>
              <w:spacing w:after="0"/>
              <w:rPr>
                <w:b/>
              </w:rPr>
            </w:pPr>
            <w:r w:rsidRPr="00360DE3">
              <w:rPr>
                <w:b/>
              </w:rPr>
              <w:t xml:space="preserve">Graf </w:t>
            </w:r>
            <w:proofErr w:type="gramStart"/>
            <w:r w:rsidRPr="00360DE3">
              <w:rPr>
                <w:b/>
              </w:rPr>
              <w:t xml:space="preserve">10.1  </w:t>
            </w:r>
            <w:r w:rsidRPr="00360DE3">
              <w:rPr>
                <w:b/>
                <w:bCs/>
              </w:rPr>
              <w:t>Základní</w:t>
            </w:r>
            <w:proofErr w:type="gramEnd"/>
            <w:r w:rsidRPr="00360DE3">
              <w:rPr>
                <w:b/>
                <w:bCs/>
              </w:rPr>
              <w:t xml:space="preserve"> ukazatele odvětví zemědělství, lesnictví a rybářství</w:t>
            </w:r>
          </w:p>
          <w:p w:rsidR="004C5FBF" w:rsidRPr="00360DE3" w:rsidRDefault="004C5FBF" w:rsidP="004C5FBF">
            <w:pPr>
              <w:spacing w:after="0"/>
              <w:rPr>
                <w:b/>
              </w:rPr>
            </w:pPr>
            <w:r w:rsidRPr="00360DE3">
              <w:rPr>
                <w:b/>
                <w:noProof/>
              </w:rPr>
              <w:drawing>
                <wp:inline distT="0" distB="0" distL="0" distR="0">
                  <wp:extent cx="4641576" cy="3553200"/>
                  <wp:effectExtent l="19050" t="0" r="6624" b="0"/>
                  <wp:docPr id="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4C5FBF" w:rsidRPr="00360DE3" w:rsidTr="004C5FBF">
        <w:trPr>
          <w:trHeight w:val="284"/>
        </w:trPr>
        <w:tc>
          <w:tcPr>
            <w:tcW w:w="1976" w:type="dxa"/>
            <w:vMerge/>
          </w:tcPr>
          <w:p w:rsidR="004C5FBF" w:rsidRPr="00360DE3" w:rsidRDefault="004C5FBF" w:rsidP="004C5FBF">
            <w:pPr>
              <w:pStyle w:val="Marginlie"/>
              <w:rPr>
                <w:spacing w:val="0"/>
              </w:rPr>
            </w:pPr>
          </w:p>
        </w:tc>
        <w:tc>
          <w:tcPr>
            <w:tcW w:w="277" w:type="dxa"/>
            <w:vMerge/>
          </w:tcPr>
          <w:p w:rsidR="004C5FBF" w:rsidRPr="00360DE3" w:rsidRDefault="004C5FBF" w:rsidP="004C5FBF">
            <w:pPr>
              <w:pStyle w:val="Textpoznpodarou"/>
              <w:jc w:val="both"/>
            </w:pPr>
          </w:p>
        </w:tc>
        <w:tc>
          <w:tcPr>
            <w:tcW w:w="7391" w:type="dxa"/>
          </w:tcPr>
          <w:p w:rsidR="004C5FBF" w:rsidRPr="00360DE3" w:rsidRDefault="004C5FBF" w:rsidP="001A0D6B">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4C5FBF" w:rsidRPr="00360DE3" w:rsidTr="004C5FBF">
        <w:trPr>
          <w:trHeight w:val="170"/>
        </w:trPr>
        <w:tc>
          <w:tcPr>
            <w:tcW w:w="1976" w:type="dxa"/>
          </w:tcPr>
          <w:p w:rsidR="004C5FBF" w:rsidRPr="00360DE3" w:rsidRDefault="004C5FBF" w:rsidP="004C5FBF">
            <w:pPr>
              <w:pStyle w:val="Marginlie"/>
              <w:rPr>
                <w:spacing w:val="0"/>
              </w:rPr>
            </w:pPr>
            <w:r w:rsidRPr="00360DE3">
              <w:rPr>
                <w:spacing w:val="0"/>
              </w:rPr>
              <w:t>Podíl primárního sektoru na celkové zaměstnanosti byl v Česku v rámci skupiny novějších členských států EU druhý nejnižší</w:t>
            </w:r>
          </w:p>
        </w:tc>
        <w:tc>
          <w:tcPr>
            <w:tcW w:w="277" w:type="dxa"/>
          </w:tcPr>
          <w:p w:rsidR="004C5FBF" w:rsidRPr="00360DE3" w:rsidRDefault="004C5FBF" w:rsidP="004C5FBF">
            <w:pPr>
              <w:pStyle w:val="Textpoznpodarou"/>
              <w:jc w:val="both"/>
            </w:pPr>
          </w:p>
        </w:tc>
        <w:tc>
          <w:tcPr>
            <w:tcW w:w="7391" w:type="dxa"/>
          </w:tcPr>
          <w:p w:rsidR="004C5FBF" w:rsidRPr="00360DE3" w:rsidRDefault="004C5FBF" w:rsidP="004C5FBF">
            <w:pPr>
              <w:spacing w:after="200"/>
              <w:rPr>
                <w:color w:val="0D0D0D"/>
              </w:rPr>
            </w:pPr>
            <w:r w:rsidRPr="00360DE3">
              <w:rPr>
                <w:color w:val="0D0D0D"/>
              </w:rPr>
              <w:t>Role primárního sektoru v celé ekonomice optikou zaměstnanosti i HPH se ve starších i</w:t>
            </w:r>
            <w:r w:rsidRPr="00360DE3">
              <w:t> </w:t>
            </w:r>
            <w:r w:rsidRPr="00360DE3">
              <w:rPr>
                <w:color w:val="0D0D0D"/>
              </w:rPr>
              <w:t>novějších členských zemích EU dlouhodobě snižuje. V ČR (stejně jako na Slovensku) zaměstnával v roce 2017 jen 3,0 % všech pracovníků, šlo po Maltě (1,5 %) o druhý nejnižší podíl mezi novějšími členskými státy EU a také desátý nejnižší v celé Unii (již vévodilo Rumunsko s 24 % a</w:t>
            </w:r>
            <w:r w:rsidRPr="00360DE3">
              <w:t> </w:t>
            </w:r>
            <w:r w:rsidRPr="00360DE3">
              <w:rPr>
                <w:color w:val="0D0D0D"/>
              </w:rPr>
              <w:t>Bulharsko s 19 % a</w:t>
            </w:r>
            <w:r w:rsidR="00093E53" w:rsidRPr="00360DE3">
              <w:rPr>
                <w:color w:val="0D0D0D" w:themeColor="text1" w:themeTint="F2"/>
              </w:rPr>
              <w:t> </w:t>
            </w:r>
            <w:r w:rsidRPr="00360DE3">
              <w:rPr>
                <w:color w:val="0D0D0D"/>
              </w:rPr>
              <w:t>s odstupem Řecko s 11 %). Na HPH se v roce 2017 primární sektor v Česku podílel 2,3 %, podobně jako v Polsku (kde ale zaměstnával plnou desetinu všech pracovníků). Vyšší podíl na přidané hodnotě nežli na zaměstnanosti byl (ze zemí EU a ESVO) zaznamenán jen na Islandu a Slovensku.</w:t>
            </w:r>
          </w:p>
        </w:tc>
      </w:tr>
      <w:tr w:rsidR="004C5FBF" w:rsidRPr="00360DE3" w:rsidTr="004C5FBF">
        <w:trPr>
          <w:trHeight w:val="170"/>
        </w:trPr>
        <w:tc>
          <w:tcPr>
            <w:tcW w:w="1976" w:type="dxa"/>
          </w:tcPr>
          <w:p w:rsidR="004C5FBF" w:rsidRPr="00360DE3" w:rsidRDefault="004C5FBF" w:rsidP="004C5FBF">
            <w:pPr>
              <w:pStyle w:val="Marginlie"/>
              <w:rPr>
                <w:spacing w:val="0"/>
              </w:rPr>
            </w:pPr>
            <w:r w:rsidRPr="00360DE3">
              <w:rPr>
                <w:spacing w:val="0"/>
              </w:rPr>
              <w:t>V Česku dlouhodobě posiluje váhově dominantní rostlinné produkce nad živočišnou výrobou.</w:t>
            </w:r>
          </w:p>
          <w:p w:rsidR="004C5FBF" w:rsidRPr="00360DE3" w:rsidRDefault="004C5FBF" w:rsidP="004C5FBF">
            <w:pPr>
              <w:pStyle w:val="Marginlie"/>
              <w:rPr>
                <w:spacing w:val="0"/>
              </w:rPr>
            </w:pPr>
          </w:p>
          <w:p w:rsidR="004C5FBF" w:rsidRPr="00360DE3" w:rsidRDefault="004C5FBF" w:rsidP="004C5FBF">
            <w:pPr>
              <w:pStyle w:val="Marginlie"/>
              <w:rPr>
                <w:spacing w:val="0"/>
              </w:rPr>
            </w:pPr>
          </w:p>
          <w:p w:rsidR="004C5FBF" w:rsidRPr="00360DE3" w:rsidRDefault="004C5FBF" w:rsidP="004C5FBF">
            <w:pPr>
              <w:pStyle w:val="Marginlie"/>
              <w:rPr>
                <w:spacing w:val="0"/>
              </w:rPr>
            </w:pPr>
            <w:r w:rsidRPr="00360DE3">
              <w:rPr>
                <w:spacing w:val="0"/>
              </w:rPr>
              <w:t>Produkce celého zemědělského odvětví meziročně klesla. Slabší úroda se prolínala drtivou většinou oblastí rostlinné produkce.</w:t>
            </w:r>
          </w:p>
        </w:tc>
        <w:tc>
          <w:tcPr>
            <w:tcW w:w="277" w:type="dxa"/>
          </w:tcPr>
          <w:p w:rsidR="004C5FBF" w:rsidRPr="00360DE3" w:rsidRDefault="004C5FBF" w:rsidP="004C5FBF">
            <w:pPr>
              <w:pStyle w:val="Textpoznpodarou"/>
              <w:jc w:val="both"/>
            </w:pPr>
          </w:p>
        </w:tc>
        <w:tc>
          <w:tcPr>
            <w:tcW w:w="7391" w:type="dxa"/>
          </w:tcPr>
          <w:p w:rsidR="004C5FBF" w:rsidRPr="00360DE3" w:rsidRDefault="004C5FBF" w:rsidP="004C5FBF">
            <w:r w:rsidRPr="00360DE3">
              <w:t>Detailnější strukturální pohled na vývoj výkonů v rozhodující částí primárního sektoru ekonomiky poskytuje souhrnný zemědělský účet</w:t>
            </w:r>
            <w:r w:rsidRPr="00360DE3">
              <w:rPr>
                <w:rStyle w:val="Znakapoznpodarou"/>
              </w:rPr>
              <w:footnoteReference w:id="57"/>
            </w:r>
            <w:r w:rsidRPr="00360DE3">
              <w:t>. Z něj plyne, že počínaje rokem 2004, kdy Česko vstoupilo do EU, převažuje rostlinná produkce nad živočišnou</w:t>
            </w:r>
            <w:r w:rsidRPr="00360DE3">
              <w:rPr>
                <w:rStyle w:val="Znakapoznpodarou"/>
              </w:rPr>
              <w:footnoteReference w:id="58"/>
            </w:r>
            <w:r w:rsidRPr="00360DE3">
              <w:t xml:space="preserve"> a tento trend spíše posiluje. Nejvyšší váhy (60 %) dosáhla rostlinná produkce v roce 2016, když se projevil vliv velmi</w:t>
            </w:r>
            <w:r w:rsidR="00093E53">
              <w:t xml:space="preserve"> dobré úrody (hlavně obilovin i</w:t>
            </w:r>
            <w:r w:rsidR="00093E53" w:rsidRPr="00360DE3">
              <w:rPr>
                <w:color w:val="0D0D0D" w:themeColor="text1" w:themeTint="F2"/>
              </w:rPr>
              <w:t> </w:t>
            </w:r>
            <w:r w:rsidRPr="00360DE3">
              <w:t xml:space="preserve">technických plodin). Loni podíl rostlinné produkce na výkonu celého zemědělského odvětví klesl na 55,6 %. </w:t>
            </w:r>
            <w:r w:rsidR="00007BEF">
              <w:rPr>
                <w:rFonts w:cs="Arial"/>
                <w:szCs w:val="20"/>
              </w:rPr>
              <w:t>P</w:t>
            </w:r>
            <w:r w:rsidRPr="00360DE3">
              <w:rPr>
                <w:rFonts w:cs="Arial"/>
                <w:szCs w:val="20"/>
              </w:rPr>
              <w:t>rodukce celého zemědělského odvětví (</w:t>
            </w:r>
            <w:r w:rsidRPr="00360DE3">
              <w:rPr>
                <w:szCs w:val="20"/>
              </w:rPr>
              <w:t>v</w:t>
            </w:r>
            <w:r w:rsidR="00007BEF">
              <w:rPr>
                <w:rFonts w:cs="Arial"/>
                <w:szCs w:val="20"/>
              </w:rPr>
              <w:t>yjádřená</w:t>
            </w:r>
            <w:r w:rsidRPr="00360DE3">
              <w:rPr>
                <w:rFonts w:cs="Arial"/>
                <w:szCs w:val="20"/>
              </w:rPr>
              <w:t xml:space="preserve"> ve stálých cenách roku 2000) se loni nacházel</w:t>
            </w:r>
            <w:r w:rsidR="00007BEF">
              <w:rPr>
                <w:rFonts w:cs="Arial"/>
                <w:szCs w:val="20"/>
              </w:rPr>
              <w:t>a</w:t>
            </w:r>
            <w:r w:rsidRPr="00360DE3">
              <w:rPr>
                <w:rFonts w:cs="Arial"/>
                <w:szCs w:val="20"/>
              </w:rPr>
              <w:t xml:space="preserve"> fakticky na úrovni roku 2015, ve srovnání s rokem 2016 se ale o téměř 6 % snížil</w:t>
            </w:r>
            <w:r w:rsidR="00007BEF">
              <w:rPr>
                <w:rFonts w:cs="Arial"/>
                <w:szCs w:val="20"/>
              </w:rPr>
              <w:t>a (z</w:t>
            </w:r>
            <w:r w:rsidRPr="00360DE3">
              <w:rPr>
                <w:rFonts w:cs="Arial"/>
                <w:szCs w:val="20"/>
              </w:rPr>
              <w:t xml:space="preserve"> toho v samotné rostlinné produkci o desetinu). Stála za tím nižší produkce ve váhově dominantní </w:t>
            </w:r>
            <w:r w:rsidRPr="00360DE3">
              <w:rPr>
                <w:rFonts w:cs="Arial"/>
                <w:szCs w:val="20"/>
              </w:rPr>
              <w:lastRenderedPageBreak/>
              <w:t xml:space="preserve">skupině obilovin (meziročně o bezmála sedminu), s poklesem se ale potýkaly téměř všechny hlavní skupiny rostlinné produkce. Slabší sklizeň byla loni výsledkem hlavně nižších hektarových výnosů, neboť z významnějších plodin klesla citelněji produkční plocha jen u jednoletých </w:t>
            </w:r>
            <w:r w:rsidR="00007BEF">
              <w:rPr>
                <w:rFonts w:cs="Arial"/>
                <w:szCs w:val="20"/>
              </w:rPr>
              <w:t>pícnin, triticale a máku (mezi 8</w:t>
            </w:r>
            <w:r w:rsidRPr="00360DE3">
              <w:t> </w:t>
            </w:r>
            <w:r w:rsidRPr="00360DE3">
              <w:rPr>
                <w:rFonts w:cs="Arial"/>
                <w:szCs w:val="20"/>
              </w:rPr>
              <w:t>a</w:t>
            </w:r>
            <w:r w:rsidRPr="00360DE3">
              <w:t> </w:t>
            </w:r>
            <w:r w:rsidR="00007BEF">
              <w:rPr>
                <w:rFonts w:cs="Arial"/>
                <w:szCs w:val="20"/>
              </w:rPr>
              <w:t>9</w:t>
            </w:r>
            <w:r w:rsidRPr="00360DE3">
              <w:t> </w:t>
            </w:r>
            <w:r w:rsidRPr="00360DE3">
              <w:rPr>
                <w:rFonts w:cs="Arial"/>
                <w:szCs w:val="20"/>
              </w:rPr>
              <w:t>%). Meziroční srovnání úrody je ale ovlivněno výjimečně příznivým rokem 2016</w:t>
            </w:r>
            <w:r w:rsidRPr="00360DE3">
              <w:rPr>
                <w:rStyle w:val="Znakapoznpodarou"/>
                <w:rFonts w:cs="Arial"/>
                <w:szCs w:val="20"/>
              </w:rPr>
              <w:footnoteReference w:id="59"/>
            </w:r>
            <w:r w:rsidRPr="00360DE3">
              <w:rPr>
                <w:rFonts w:cs="Arial"/>
                <w:szCs w:val="20"/>
              </w:rPr>
              <w:t>. Nicméně i ve srovnání s desetiletým průměrem (za období 2008 až 2017) loňská sklizeň zaostala, a to zejména u obilovin (o 5,0 %)</w:t>
            </w:r>
            <w:r w:rsidRPr="00360DE3">
              <w:rPr>
                <w:rStyle w:val="Znakapoznpodarou"/>
                <w:rFonts w:cs="Arial"/>
                <w:szCs w:val="20"/>
              </w:rPr>
              <w:footnoteReference w:id="60"/>
            </w:r>
            <w:r w:rsidRPr="00360DE3">
              <w:rPr>
                <w:rFonts w:cs="Arial"/>
                <w:szCs w:val="20"/>
              </w:rPr>
              <w:t xml:space="preserve"> a olejnin (4,6 %). Zatímco u obilovin byl pokles sklizní proti dlouhodobému průměru ovlivněn výhradně nižší produkční plochou, u olejnin naopak snížením výnosů (při mírném růstu produkční plochy o 1,1 %)</w:t>
            </w:r>
            <w:r w:rsidRPr="00360DE3">
              <w:rPr>
                <w:rStyle w:val="Znakapoznpodarou"/>
                <w:rFonts w:cs="Arial"/>
                <w:szCs w:val="20"/>
              </w:rPr>
              <w:footnoteReference w:id="61"/>
            </w:r>
            <w:r w:rsidRPr="00360DE3">
              <w:rPr>
                <w:rFonts w:cs="Arial"/>
                <w:szCs w:val="20"/>
              </w:rPr>
              <w:t xml:space="preserve">. </w:t>
            </w:r>
            <w:r w:rsidRPr="00360DE3">
              <w:t xml:space="preserve"> </w:t>
            </w:r>
          </w:p>
        </w:tc>
      </w:tr>
      <w:tr w:rsidR="004C5FBF" w:rsidRPr="00360DE3" w:rsidTr="004C5FBF">
        <w:tc>
          <w:tcPr>
            <w:tcW w:w="1976" w:type="dxa"/>
            <w:vMerge w:val="restart"/>
          </w:tcPr>
          <w:p w:rsidR="004C5FBF" w:rsidRPr="00360DE3" w:rsidRDefault="004C5FBF" w:rsidP="004C5FBF">
            <w:pPr>
              <w:pStyle w:val="Marginlie"/>
              <w:rPr>
                <w:spacing w:val="0"/>
              </w:rPr>
            </w:pPr>
          </w:p>
        </w:tc>
        <w:tc>
          <w:tcPr>
            <w:tcW w:w="277" w:type="dxa"/>
            <w:vMerge w:val="restart"/>
          </w:tcPr>
          <w:p w:rsidR="004C5FBF" w:rsidRPr="00360DE3" w:rsidRDefault="004C5FBF" w:rsidP="004C5FBF">
            <w:pPr>
              <w:pStyle w:val="Textpoznpodarou"/>
              <w:jc w:val="both"/>
            </w:pPr>
          </w:p>
        </w:tc>
        <w:tc>
          <w:tcPr>
            <w:tcW w:w="7391" w:type="dxa"/>
          </w:tcPr>
          <w:p w:rsidR="004C5FBF" w:rsidRPr="00360DE3" w:rsidRDefault="004C5FBF" w:rsidP="004C5FBF">
            <w:pPr>
              <w:spacing w:after="0" w:line="240" w:lineRule="auto"/>
              <w:rPr>
                <w:b/>
              </w:rPr>
            </w:pPr>
            <w:r w:rsidRPr="00360DE3">
              <w:rPr>
                <w:b/>
              </w:rPr>
              <w:t>Graf 10.2  Produkce v </w:t>
            </w:r>
            <w:proofErr w:type="gramStart"/>
            <w:r w:rsidRPr="00360DE3">
              <w:rPr>
                <w:b/>
              </w:rPr>
              <w:t>zemědělského</w:t>
            </w:r>
            <w:proofErr w:type="gramEnd"/>
            <w:r w:rsidRPr="00360DE3">
              <w:rPr>
                <w:b/>
              </w:rPr>
              <w:t xml:space="preserve"> odvětví</w:t>
            </w:r>
          </w:p>
          <w:p w:rsidR="004C5FBF" w:rsidRPr="00360DE3" w:rsidRDefault="004C5FBF" w:rsidP="004C5FBF">
            <w:pPr>
              <w:spacing w:after="0"/>
              <w:rPr>
                <w:b/>
              </w:rPr>
            </w:pPr>
            <w:r w:rsidRPr="00360DE3">
              <w:t>(objemový index, úroveň roku 2000=100)*</w:t>
            </w:r>
          </w:p>
          <w:p w:rsidR="004C5FBF" w:rsidRPr="00360DE3" w:rsidRDefault="004C5FBF" w:rsidP="004C5FBF">
            <w:pPr>
              <w:spacing w:after="0"/>
              <w:rPr>
                <w:b/>
              </w:rPr>
            </w:pPr>
            <w:r w:rsidRPr="00360DE3">
              <w:rPr>
                <w:b/>
                <w:noProof/>
              </w:rPr>
              <w:drawing>
                <wp:inline distT="0" distB="0" distL="0" distR="0">
                  <wp:extent cx="4641499" cy="3357349"/>
                  <wp:effectExtent l="19050" t="0" r="6701" b="0"/>
                  <wp:docPr id="3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4C5FBF" w:rsidRPr="00360DE3" w:rsidTr="004C5FBF">
        <w:trPr>
          <w:trHeight w:val="284"/>
        </w:trPr>
        <w:tc>
          <w:tcPr>
            <w:tcW w:w="1976" w:type="dxa"/>
            <w:vMerge/>
          </w:tcPr>
          <w:p w:rsidR="004C5FBF" w:rsidRPr="00360DE3" w:rsidRDefault="004C5FBF" w:rsidP="004C5FBF">
            <w:pPr>
              <w:pStyle w:val="Marginlie"/>
              <w:rPr>
                <w:spacing w:val="0"/>
              </w:rPr>
            </w:pPr>
          </w:p>
        </w:tc>
        <w:tc>
          <w:tcPr>
            <w:tcW w:w="277" w:type="dxa"/>
            <w:vMerge/>
          </w:tcPr>
          <w:p w:rsidR="004C5FBF" w:rsidRPr="00360DE3" w:rsidRDefault="004C5FBF" w:rsidP="004C5FBF">
            <w:pPr>
              <w:pStyle w:val="Textpoznpodarou"/>
              <w:jc w:val="both"/>
            </w:pPr>
          </w:p>
        </w:tc>
        <w:tc>
          <w:tcPr>
            <w:tcW w:w="7391" w:type="dxa"/>
          </w:tcPr>
          <w:p w:rsidR="004C5FBF" w:rsidRPr="00360DE3" w:rsidRDefault="004C5FBF" w:rsidP="004C5FBF">
            <w:pPr>
              <w:pStyle w:val="Zhlav"/>
              <w:spacing w:before="40" w:line="240" w:lineRule="auto"/>
              <w:rPr>
                <w:rFonts w:cs="Arial"/>
                <w:sz w:val="14"/>
                <w:szCs w:val="14"/>
                <w:lang w:eastAsia="cs-CZ"/>
              </w:rPr>
            </w:pPr>
            <w:r w:rsidRPr="00360DE3">
              <w:rPr>
                <w:rFonts w:cs="Arial"/>
                <w:sz w:val="14"/>
                <w:szCs w:val="14"/>
                <w:lang w:eastAsia="cs-CZ"/>
              </w:rPr>
              <w:t>*Údaje ve stálých cenách roku 2000, Data za rok 2017 jsou předběžná.</w:t>
            </w:r>
          </w:p>
          <w:p w:rsidR="004C5FBF" w:rsidRPr="00360DE3" w:rsidRDefault="004C5FBF" w:rsidP="004C5FBF">
            <w:pPr>
              <w:pStyle w:val="Zhlav"/>
              <w:spacing w:before="40" w:after="240" w:line="240" w:lineRule="auto"/>
              <w:rPr>
                <w:rFonts w:cs="Arial"/>
                <w:sz w:val="14"/>
                <w:szCs w:val="14"/>
                <w:lang w:eastAsia="cs-CZ"/>
              </w:rPr>
            </w:pPr>
            <w:r w:rsidRPr="00360DE3">
              <w:rPr>
                <w:rFonts w:cs="Arial"/>
                <w:sz w:val="14"/>
                <w:szCs w:val="14"/>
                <w:lang w:eastAsia="cs-CZ"/>
              </w:rPr>
              <w:t>Zdroj: ČSÚ (souhrnný zemědělský účet)</w:t>
            </w:r>
          </w:p>
        </w:tc>
      </w:tr>
      <w:tr w:rsidR="004C5FBF" w:rsidRPr="00360DE3" w:rsidTr="004C5FBF">
        <w:tc>
          <w:tcPr>
            <w:tcW w:w="1976" w:type="dxa"/>
          </w:tcPr>
          <w:p w:rsidR="004C5FBF" w:rsidRPr="00360DE3" w:rsidRDefault="004C5FBF" w:rsidP="004C5FBF">
            <w:pPr>
              <w:pStyle w:val="Marginlie"/>
              <w:rPr>
                <w:spacing w:val="0"/>
              </w:rPr>
            </w:pPr>
            <w:r w:rsidRPr="00360DE3">
              <w:rPr>
                <w:spacing w:val="0"/>
              </w:rPr>
              <w:t xml:space="preserve">Úrodu ovoce loni poznamenaly opakované jarní mrazy. Objem produkce zeleniny se meziročně výrazně nezměnil. </w:t>
            </w:r>
          </w:p>
        </w:tc>
        <w:tc>
          <w:tcPr>
            <w:tcW w:w="277" w:type="dxa"/>
          </w:tcPr>
          <w:p w:rsidR="004C5FBF" w:rsidRPr="00360DE3" w:rsidRDefault="004C5FBF" w:rsidP="004C5FBF">
            <w:pPr>
              <w:pStyle w:val="Textpoznpodarou"/>
              <w:jc w:val="both"/>
            </w:pPr>
          </w:p>
        </w:tc>
        <w:tc>
          <w:tcPr>
            <w:tcW w:w="7391" w:type="dxa"/>
          </w:tcPr>
          <w:p w:rsidR="003F3890" w:rsidRPr="00666D91" w:rsidRDefault="004C5FBF" w:rsidP="00C6152B">
            <w:pPr>
              <w:spacing w:after="220"/>
              <w:rPr>
                <w:spacing w:val="-2"/>
              </w:rPr>
            </w:pPr>
            <w:r w:rsidRPr="00666D91">
              <w:rPr>
                <w:rFonts w:cs="Arial"/>
                <w:spacing w:val="-2"/>
                <w:szCs w:val="20"/>
              </w:rPr>
              <w:t>Výrazněji se nedařilo ovocnářství, kde loňskou sklizeň poznamenaly opakované mrazy v jarním období (duben, květen). Meziroční propad sklizní měl plošný charakter, lepší úrody dosáhli jen pěstitelé broskví a meruněk (jejich sklizeň v roce 2016 byla ale vůbec nejslabší v novodobé historii). Ve výrazně dominantním segmentu ovocnářství – produkci jablek – se loni sk</w:t>
            </w:r>
            <w:r w:rsidR="00093E53" w:rsidRPr="00666D91">
              <w:rPr>
                <w:rFonts w:cs="Arial"/>
                <w:spacing w:val="-2"/>
                <w:szCs w:val="20"/>
              </w:rPr>
              <w:t>lizeň snížila proti roku 2016 o</w:t>
            </w:r>
            <w:r w:rsidR="004225C6" w:rsidRPr="00666D91">
              <w:rPr>
                <w:rFonts w:cs="Arial"/>
                <w:spacing w:val="-2"/>
                <w:szCs w:val="20"/>
              </w:rPr>
              <w:t> </w:t>
            </w:r>
            <w:r w:rsidR="00666D91">
              <w:rPr>
                <w:rFonts w:cs="Arial"/>
                <w:spacing w:val="-2"/>
                <w:szCs w:val="20"/>
              </w:rPr>
              <w:t>16</w:t>
            </w:r>
            <w:r w:rsidR="00666D91" w:rsidRPr="00666D91">
              <w:rPr>
                <w:rFonts w:cs="Arial"/>
                <w:spacing w:val="-2"/>
                <w:szCs w:val="20"/>
              </w:rPr>
              <w:t> </w:t>
            </w:r>
            <w:r w:rsidRPr="00666D91">
              <w:rPr>
                <w:rFonts w:cs="Arial"/>
                <w:spacing w:val="-2"/>
                <w:szCs w:val="20"/>
              </w:rPr>
              <w:t xml:space="preserve">%, proti desetiletému průmětu o 15 %. Hluboký pokles úrody proti dlouhodobému průměru byl u některých ostatních produktů ovlivněn rovněž klesajícími počty pěstovaných stromů či keřů (broskve, višně, rybíz). </w:t>
            </w:r>
            <w:r w:rsidRPr="00666D91">
              <w:rPr>
                <w:spacing w:val="-2"/>
              </w:rPr>
              <w:t>Podstatně lépe na tom loni byli producenti čerstvé zeleniny</w:t>
            </w:r>
            <w:r w:rsidRPr="00666D91">
              <w:rPr>
                <w:rStyle w:val="Znakapoznpodarou"/>
                <w:spacing w:val="-2"/>
              </w:rPr>
              <w:footnoteReference w:id="62"/>
            </w:r>
            <w:r w:rsidRPr="00666D91">
              <w:rPr>
                <w:spacing w:val="-2"/>
              </w:rPr>
              <w:t xml:space="preserve">. Dařilo se produkci mrkve, květáku či </w:t>
            </w:r>
            <w:r w:rsidRPr="00666D91">
              <w:rPr>
                <w:spacing w:val="-2"/>
              </w:rPr>
              <w:lastRenderedPageBreak/>
              <w:t xml:space="preserve">kedluben, naopak o dvě třetiny propadla meziročně sklizeň rajčat. Vedle tržní produkce ovoce, zeleniny či brambor </w:t>
            </w:r>
            <w:r w:rsidR="00007BEF" w:rsidRPr="00666D91">
              <w:rPr>
                <w:spacing w:val="-2"/>
              </w:rPr>
              <w:t xml:space="preserve">se sklizeň </w:t>
            </w:r>
            <w:r w:rsidRPr="00666D91">
              <w:rPr>
                <w:spacing w:val="-2"/>
              </w:rPr>
              <w:t>z nezanedbatelné části tradičně odehrává také u</w:t>
            </w:r>
            <w:r w:rsidRPr="00666D91">
              <w:rPr>
                <w:rFonts w:cs="Arial"/>
                <w:spacing w:val="-2"/>
                <w:szCs w:val="20"/>
              </w:rPr>
              <w:t> </w:t>
            </w:r>
            <w:r w:rsidRPr="00666D91">
              <w:rPr>
                <w:spacing w:val="-2"/>
              </w:rPr>
              <w:t>drobných pěstitelů v sektoru domácností (tj., mimo zemědělský sektor)</w:t>
            </w:r>
            <w:r w:rsidRPr="00666D91">
              <w:rPr>
                <w:rStyle w:val="Znakapoznpodarou"/>
                <w:spacing w:val="-2"/>
              </w:rPr>
              <w:footnoteReference w:id="63"/>
            </w:r>
            <w:r w:rsidRPr="00666D91">
              <w:rPr>
                <w:spacing w:val="-2"/>
              </w:rPr>
              <w:t>.</w:t>
            </w:r>
          </w:p>
        </w:tc>
      </w:tr>
      <w:tr w:rsidR="003F3890" w:rsidRPr="00360DE3" w:rsidTr="004C5FBF">
        <w:tc>
          <w:tcPr>
            <w:tcW w:w="1976" w:type="dxa"/>
          </w:tcPr>
          <w:p w:rsidR="003F3890" w:rsidRPr="00360DE3" w:rsidRDefault="003F3890" w:rsidP="00DC37E3">
            <w:pPr>
              <w:pStyle w:val="Marginlie"/>
              <w:rPr>
                <w:spacing w:val="0"/>
              </w:rPr>
            </w:pPr>
            <w:r w:rsidRPr="00360DE3">
              <w:rPr>
                <w:spacing w:val="0"/>
              </w:rPr>
              <w:lastRenderedPageBreak/>
              <w:t>Dařilo se producentům cukrové řepy, luskovin, chmele i vinných hroznů.</w:t>
            </w:r>
          </w:p>
        </w:tc>
        <w:tc>
          <w:tcPr>
            <w:tcW w:w="277" w:type="dxa"/>
          </w:tcPr>
          <w:p w:rsidR="003F3890" w:rsidRPr="00360DE3" w:rsidRDefault="003F3890" w:rsidP="00DC37E3">
            <w:pPr>
              <w:pStyle w:val="Textpoznpodarou"/>
              <w:jc w:val="both"/>
            </w:pPr>
          </w:p>
        </w:tc>
        <w:tc>
          <w:tcPr>
            <w:tcW w:w="7391" w:type="dxa"/>
          </w:tcPr>
          <w:p w:rsidR="003F3890" w:rsidRPr="00666D91" w:rsidRDefault="003F3890" w:rsidP="00C6152B">
            <w:pPr>
              <w:spacing w:after="220"/>
              <w:rPr>
                <w:spacing w:val="-2"/>
              </w:rPr>
            </w:pPr>
            <w:r w:rsidRPr="00666D91">
              <w:rPr>
                <w:spacing w:val="-2"/>
              </w:rPr>
              <w:t>Příznivá byla loni úroda cukrové řepy (4,4 mil. tun,</w:t>
            </w:r>
            <w:r w:rsidR="00600079" w:rsidRPr="00666D91">
              <w:rPr>
                <w:spacing w:val="-2"/>
              </w:rPr>
              <w:t xml:space="preserve"> druhá nejvyšší od roku 1990) i </w:t>
            </w:r>
            <w:r w:rsidRPr="00666D91">
              <w:rPr>
                <w:spacing w:val="-2"/>
              </w:rPr>
              <w:t xml:space="preserve">luskovin. Produkce těchto plodin </w:t>
            </w:r>
            <w:r w:rsidR="00600079" w:rsidRPr="00666D91">
              <w:rPr>
                <w:spacing w:val="-2"/>
              </w:rPr>
              <w:t xml:space="preserve">v posledních třech letech </w:t>
            </w:r>
            <w:r w:rsidRPr="00666D91">
              <w:rPr>
                <w:spacing w:val="-2"/>
              </w:rPr>
              <w:t>těží z rozšiřujících se osevních ploch. Sklizeň brambo</w:t>
            </w:r>
            <w:r w:rsidR="00600079" w:rsidRPr="00666D91">
              <w:rPr>
                <w:spacing w:val="-2"/>
              </w:rPr>
              <w:t>r se meziročně prakticky</w:t>
            </w:r>
            <w:r w:rsidRPr="00666D91">
              <w:rPr>
                <w:spacing w:val="-2"/>
              </w:rPr>
              <w:t xml:space="preserve"> nezměnila a </w:t>
            </w:r>
            <w:r w:rsidR="00600079" w:rsidRPr="00666D91">
              <w:rPr>
                <w:spacing w:val="-2"/>
              </w:rPr>
              <w:t>zároveň se ani výrazněji neodchýlila od desetiletého průměru</w:t>
            </w:r>
            <w:r w:rsidRPr="00666D91">
              <w:rPr>
                <w:spacing w:val="-2"/>
              </w:rPr>
              <w:t>. Slunný, velmi teplý a srážkově normální loňský rok svědčil produkci vinných hroznů (meziročně +5 %, proti 10letému průměru +7 %). Sklizeň chmele, tradiční exportní komodity tuzemského zemědělství, dosáhla i přes meziroční pokles (o 12 %) třetí nejlepší výsledek po roce 2005.</w:t>
            </w:r>
          </w:p>
        </w:tc>
      </w:tr>
      <w:tr w:rsidR="003F3890" w:rsidRPr="00360DE3" w:rsidTr="004C5FBF">
        <w:tc>
          <w:tcPr>
            <w:tcW w:w="1976" w:type="dxa"/>
            <w:vMerge w:val="restart"/>
          </w:tcPr>
          <w:p w:rsidR="003F3890" w:rsidRPr="00360DE3" w:rsidRDefault="003F3890" w:rsidP="004C5FBF">
            <w:pPr>
              <w:pStyle w:val="Marginlie"/>
              <w:rPr>
                <w:spacing w:val="0"/>
              </w:rPr>
            </w:pPr>
          </w:p>
        </w:tc>
        <w:tc>
          <w:tcPr>
            <w:tcW w:w="277" w:type="dxa"/>
            <w:vMerge w:val="restart"/>
          </w:tcPr>
          <w:p w:rsidR="003F3890" w:rsidRPr="00360DE3" w:rsidRDefault="003F3890" w:rsidP="004C5FBF">
            <w:pPr>
              <w:pStyle w:val="Textpoznpodarou"/>
              <w:jc w:val="both"/>
            </w:pPr>
          </w:p>
        </w:tc>
        <w:tc>
          <w:tcPr>
            <w:tcW w:w="7391" w:type="dxa"/>
          </w:tcPr>
          <w:p w:rsidR="003F3890" w:rsidRPr="00360DE3" w:rsidRDefault="003F3890" w:rsidP="004C5FBF">
            <w:pPr>
              <w:spacing w:after="0"/>
              <w:jc w:val="left"/>
              <w:rPr>
                <w:b/>
              </w:rPr>
            </w:pPr>
            <w:r w:rsidRPr="00360DE3">
              <w:rPr>
                <w:b/>
              </w:rPr>
              <w:t xml:space="preserve">Graf </w:t>
            </w:r>
            <w:proofErr w:type="gramStart"/>
            <w:r w:rsidRPr="00360DE3">
              <w:rPr>
                <w:b/>
              </w:rPr>
              <w:t>10.3  Sklizeň</w:t>
            </w:r>
            <w:proofErr w:type="gramEnd"/>
            <w:r w:rsidRPr="00360DE3">
              <w:rPr>
                <w:b/>
              </w:rPr>
              <w:t xml:space="preserve">, produkční plocha a hektarové výnosy* hl. zemědělských plodin v roce 2017 </w:t>
            </w:r>
            <w:r w:rsidRPr="00360DE3">
              <w:t>(změny v % - meziročně, resp. proti dlouhodobému průměru)</w:t>
            </w:r>
          </w:p>
          <w:p w:rsidR="003F3890" w:rsidRPr="00360DE3" w:rsidRDefault="003F3890" w:rsidP="004C5FBF">
            <w:pPr>
              <w:spacing w:after="0"/>
              <w:rPr>
                <w:b/>
              </w:rPr>
            </w:pPr>
            <w:r w:rsidRPr="00360DE3">
              <w:rPr>
                <w:b/>
                <w:noProof/>
              </w:rPr>
              <w:drawing>
                <wp:inline distT="0" distB="0" distL="0" distR="0">
                  <wp:extent cx="4650537" cy="3881993"/>
                  <wp:effectExtent l="0" t="0" r="0" b="0"/>
                  <wp:docPr id="4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3F3890" w:rsidRPr="00360DE3" w:rsidTr="004C5FBF">
        <w:trPr>
          <w:trHeight w:val="284"/>
        </w:trPr>
        <w:tc>
          <w:tcPr>
            <w:tcW w:w="1976" w:type="dxa"/>
            <w:vMerge/>
          </w:tcPr>
          <w:p w:rsidR="003F3890" w:rsidRPr="00360DE3" w:rsidRDefault="003F3890" w:rsidP="004C5FBF">
            <w:pPr>
              <w:pStyle w:val="Marginlie"/>
              <w:rPr>
                <w:spacing w:val="0"/>
              </w:rPr>
            </w:pPr>
          </w:p>
        </w:tc>
        <w:tc>
          <w:tcPr>
            <w:tcW w:w="277" w:type="dxa"/>
            <w:vMerge/>
          </w:tcPr>
          <w:p w:rsidR="003F3890" w:rsidRPr="00360DE3" w:rsidRDefault="003F3890" w:rsidP="004C5FBF">
            <w:pPr>
              <w:pStyle w:val="Textpoznpodarou"/>
              <w:jc w:val="both"/>
            </w:pPr>
          </w:p>
        </w:tc>
        <w:tc>
          <w:tcPr>
            <w:tcW w:w="7391" w:type="dxa"/>
          </w:tcPr>
          <w:p w:rsidR="003F3890" w:rsidRPr="00360DE3" w:rsidRDefault="003F3890" w:rsidP="004C5FBF">
            <w:pPr>
              <w:pStyle w:val="Zhlav"/>
              <w:spacing w:before="40" w:after="200" w:line="240" w:lineRule="auto"/>
              <w:rPr>
                <w:rFonts w:cs="Arial"/>
                <w:sz w:val="14"/>
                <w:szCs w:val="14"/>
                <w:lang w:eastAsia="cs-CZ"/>
              </w:rPr>
            </w:pPr>
            <w:r w:rsidRPr="00360DE3">
              <w:rPr>
                <w:rFonts w:cs="Arial"/>
                <w:sz w:val="14"/>
                <w:szCs w:val="14"/>
                <w:lang w:eastAsia="cs-CZ"/>
              </w:rPr>
              <w:t xml:space="preserve">*U jablek a hrušek výnos na jeden strom.                                                                                                          Zdroj: ČSÚ </w:t>
            </w:r>
          </w:p>
        </w:tc>
      </w:tr>
      <w:tr w:rsidR="003F3890" w:rsidRPr="00360DE3" w:rsidTr="004C5FBF">
        <w:trPr>
          <w:trHeight w:val="170"/>
        </w:trPr>
        <w:tc>
          <w:tcPr>
            <w:tcW w:w="1976" w:type="dxa"/>
          </w:tcPr>
          <w:p w:rsidR="003F3890" w:rsidRPr="00360DE3" w:rsidRDefault="003F3890" w:rsidP="004C5FBF">
            <w:pPr>
              <w:pStyle w:val="Marginlie"/>
              <w:rPr>
                <w:spacing w:val="0"/>
              </w:rPr>
            </w:pPr>
            <w:r w:rsidRPr="00360DE3">
              <w:rPr>
                <w:spacing w:val="0"/>
              </w:rPr>
              <w:t>Slabší výsledky výroby masa byly vykompenzovány dlouhodobě příznivějším vývojem i produkce mléka a vajec.</w:t>
            </w: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1A0D6B" w:rsidRPr="00360DE3" w:rsidRDefault="001A0D6B"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r w:rsidRPr="00360DE3">
              <w:rPr>
                <w:spacing w:val="0"/>
              </w:rPr>
              <w:t xml:space="preserve">K nižší produkci masa přispěl nejvíce segment vepřového. Růst výroby drůbežího masa naopak </w:t>
            </w:r>
            <w:r w:rsidRPr="00360DE3">
              <w:rPr>
                <w:spacing w:val="0"/>
              </w:rPr>
              <w:lastRenderedPageBreak/>
              <w:t>pokračoval.</w:t>
            </w: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r w:rsidRPr="00360DE3">
              <w:rPr>
                <w:spacing w:val="0"/>
              </w:rPr>
              <w:t>Nižší rentabilita chovů se odrazila ve stavech chovaných prasat. Ty byly loni nejnižší v historii.</w:t>
            </w:r>
          </w:p>
          <w:p w:rsidR="003F3890" w:rsidRPr="00360DE3" w:rsidRDefault="003F3890" w:rsidP="004C5FBF">
            <w:pPr>
              <w:pStyle w:val="Marginlie"/>
              <w:rPr>
                <w:spacing w:val="0"/>
              </w:rPr>
            </w:pPr>
          </w:p>
        </w:tc>
        <w:tc>
          <w:tcPr>
            <w:tcW w:w="277" w:type="dxa"/>
          </w:tcPr>
          <w:p w:rsidR="003F3890" w:rsidRPr="00360DE3" w:rsidRDefault="003F3890" w:rsidP="004C5FBF">
            <w:pPr>
              <w:pStyle w:val="Textpoznpodarou"/>
              <w:jc w:val="both"/>
            </w:pPr>
          </w:p>
        </w:tc>
        <w:tc>
          <w:tcPr>
            <w:tcW w:w="7391" w:type="dxa"/>
          </w:tcPr>
          <w:p w:rsidR="003F3890" w:rsidRPr="00360DE3" w:rsidRDefault="003F3890" w:rsidP="00C6152B">
            <w:pPr>
              <w:spacing w:after="220"/>
              <w:rPr>
                <w:color w:val="0D0D0D" w:themeColor="text1" w:themeTint="F2"/>
              </w:rPr>
            </w:pPr>
            <w:r w:rsidRPr="00360DE3">
              <w:rPr>
                <w:color w:val="0D0D0D" w:themeColor="text1" w:themeTint="F2"/>
              </w:rPr>
              <w:t>Situace v živočišné produkci zůstává po odeznění významnějších turbulencí v období 2009 až 2012 (způsobených propadem produkce vepřového, zčásti i drůbežího ma</w:t>
            </w:r>
            <w:r w:rsidR="00093E53">
              <w:rPr>
                <w:color w:val="0D0D0D" w:themeColor="text1" w:themeTint="F2"/>
              </w:rPr>
              <w:t>sa) stabilizovaná. Celková živočišná</w:t>
            </w:r>
            <w:r w:rsidRPr="00360DE3">
              <w:rPr>
                <w:color w:val="0D0D0D" w:themeColor="text1" w:themeTint="F2"/>
              </w:rPr>
              <w:t xml:space="preserve"> produkce </w:t>
            </w:r>
            <w:r w:rsidR="00093E53">
              <w:rPr>
                <w:color w:val="0D0D0D" w:themeColor="text1" w:themeTint="F2"/>
              </w:rPr>
              <w:t xml:space="preserve">(ve stálých cenách roku 2000) </w:t>
            </w:r>
            <w:r w:rsidRPr="00360DE3">
              <w:rPr>
                <w:color w:val="0D0D0D" w:themeColor="text1" w:themeTint="F2"/>
              </w:rPr>
              <w:t>v roce 2017 meziročně stagnoval</w:t>
            </w:r>
            <w:r w:rsidR="00093E53">
              <w:rPr>
                <w:color w:val="0D0D0D" w:themeColor="text1" w:themeTint="F2"/>
              </w:rPr>
              <w:t>a</w:t>
            </w:r>
            <w:r w:rsidRPr="00360DE3">
              <w:rPr>
                <w:color w:val="0D0D0D" w:themeColor="text1" w:themeTint="F2"/>
              </w:rPr>
              <w:t xml:space="preserve"> (podobně jako v předešlém roce), když slabší výsledky producentů masa byly prakticky vykompenzovány dlouhodobě rostoucími výkony u ostatních živočišných produ</w:t>
            </w:r>
            <w:r w:rsidR="00093E53">
              <w:rPr>
                <w:color w:val="0D0D0D" w:themeColor="text1" w:themeTint="F2"/>
              </w:rPr>
              <w:t>ktů. Výroba jatečných zvířat (v</w:t>
            </w:r>
            <w:r w:rsidR="00093E53" w:rsidRPr="00360DE3">
              <w:rPr>
                <w:color w:val="0D0D0D" w:themeColor="text1" w:themeTint="F2"/>
              </w:rPr>
              <w:t> </w:t>
            </w:r>
            <w:r w:rsidRPr="00360DE3">
              <w:rPr>
                <w:color w:val="0D0D0D" w:themeColor="text1" w:themeTint="F2"/>
              </w:rPr>
              <w:t>tunách živé hmotnosti) se po stagnaci v roce 20</w:t>
            </w:r>
            <w:r w:rsidR="00093E53">
              <w:rPr>
                <w:color w:val="0D0D0D" w:themeColor="text1" w:themeTint="F2"/>
              </w:rPr>
              <w:t>16 loni meziročně snížila o</w:t>
            </w:r>
            <w:r w:rsidR="00093E53" w:rsidRPr="00360DE3">
              <w:rPr>
                <w:color w:val="0D0D0D" w:themeColor="text1" w:themeTint="F2"/>
              </w:rPr>
              <w:t> </w:t>
            </w:r>
            <w:r w:rsidR="00093E53">
              <w:rPr>
                <w:color w:val="0D0D0D" w:themeColor="text1" w:themeTint="F2"/>
              </w:rPr>
              <w:t>1,3</w:t>
            </w:r>
            <w:r w:rsidR="00093E53" w:rsidRPr="00360DE3">
              <w:rPr>
                <w:color w:val="0D0D0D" w:themeColor="text1" w:themeTint="F2"/>
              </w:rPr>
              <w:t> </w:t>
            </w:r>
            <w:r w:rsidRPr="00360DE3">
              <w:rPr>
                <w:color w:val="0D0D0D" w:themeColor="text1" w:themeTint="F2"/>
              </w:rPr>
              <w:t>%. V pozadí stál hlubší propad produkce prasat, z menší části i skotu. Vzhledem k rozvoji vývozu živých zvířat byl vývoj produkce masa v tuze</w:t>
            </w:r>
            <w:r w:rsidR="00093E53">
              <w:rPr>
                <w:color w:val="0D0D0D" w:themeColor="text1" w:themeTint="F2"/>
              </w:rPr>
              <w:t>msku loni ještě méně příznivá</w:t>
            </w:r>
            <w:r w:rsidRPr="00360DE3">
              <w:rPr>
                <w:color w:val="0D0D0D" w:themeColor="text1" w:themeTint="F2"/>
              </w:rPr>
              <w:t xml:space="preserve">. Ta se snížila o 2,5 %, nejvíce za posledních pět let. Ve váhově dominantní kategorii vepřového masa došlo k poklesu o 4,2 % (produkce </w:t>
            </w:r>
            <w:r w:rsidRPr="00360DE3">
              <w:rPr>
                <w:color w:val="0D0D0D" w:themeColor="text1" w:themeTint="F2"/>
              </w:rPr>
              <w:lastRenderedPageBreak/>
              <w:t>se snižovala již třetím rokem v řadě). Naopak na růst v předešlých třech letech nenavázalo hovězí a telecí maso, v úhrnu zde loni výroba poklesla o téměř 6 % (projevily se snížené stavy býků ve výkrmu během roku 2016). Dařilo se naopak pro</w:t>
            </w:r>
            <w:r w:rsidR="00093E53">
              <w:rPr>
                <w:color w:val="0D0D0D" w:themeColor="text1" w:themeTint="F2"/>
              </w:rPr>
              <w:t>du</w:t>
            </w:r>
            <w:r w:rsidRPr="00360DE3">
              <w:rPr>
                <w:color w:val="0D0D0D" w:themeColor="text1" w:themeTint="F2"/>
              </w:rPr>
              <w:t>centům drůbežího masa, kde mírný růst (odrážející i pozvolné posilování tuzemské poptávky) přetrvával již čtvrtým rokem v řadě. Nižší ceny zemědělských výrobců jatečných prasat (v roce 2015 klesly meziročně o osminu, v následujícím roce v průměru spíše stagnovaly) ovlivnily rentabilitu chovů a promítly se do stavu hospodářských zvířat. V loňském roce klesl počet chovaných prasat o meziročně 7,4 % (na 1,49 mi</w:t>
            </w:r>
            <w:r w:rsidR="003B4331">
              <w:rPr>
                <w:color w:val="0D0D0D" w:themeColor="text1" w:themeTint="F2"/>
              </w:rPr>
              <w:t>l</w:t>
            </w:r>
            <w:r w:rsidRPr="00360DE3">
              <w:rPr>
                <w:color w:val="0D0D0D" w:themeColor="text1" w:themeTint="F2"/>
              </w:rPr>
              <w:t>. kusů – nejméně ve stoleté historii). V roce 2017 se výkupní ceny z pohledu prvovýrobců vepřového vyvíjely již mnohem příznivěji a postupně došlo i k dílčí korekci ve stavech hospodářských zvířat</w:t>
            </w:r>
            <w:r w:rsidRPr="00360DE3">
              <w:rPr>
                <w:rStyle w:val="Znakapoznpodarou"/>
                <w:color w:val="0D0D0D" w:themeColor="text1" w:themeTint="F2"/>
              </w:rPr>
              <w:footnoteReference w:id="64"/>
            </w:r>
            <w:r w:rsidRPr="00360DE3">
              <w:rPr>
                <w:color w:val="0D0D0D" w:themeColor="text1" w:themeTint="F2"/>
              </w:rPr>
              <w:t xml:space="preserve">. Klesající produkce masa (především vepřového) nekorespondovala s trendy v tuzemské spotřebě. Logickým důsledkem bylo další snížení soběstačnosti ČR doprovázené rostoucími dovozy, jež dále prohloubily negativní saldo agrárního obchodu ČR. </w:t>
            </w:r>
          </w:p>
        </w:tc>
      </w:tr>
      <w:tr w:rsidR="003F3890" w:rsidRPr="00360DE3" w:rsidTr="004C5FBF">
        <w:trPr>
          <w:trHeight w:val="170"/>
        </w:trPr>
        <w:tc>
          <w:tcPr>
            <w:tcW w:w="1976" w:type="dxa"/>
          </w:tcPr>
          <w:p w:rsidR="003F3890" w:rsidRPr="00360DE3" w:rsidRDefault="003F3890" w:rsidP="004C5FBF">
            <w:pPr>
              <w:pStyle w:val="Marginlie"/>
              <w:rPr>
                <w:spacing w:val="0"/>
              </w:rPr>
            </w:pPr>
          </w:p>
        </w:tc>
        <w:tc>
          <w:tcPr>
            <w:tcW w:w="277" w:type="dxa"/>
          </w:tcPr>
          <w:p w:rsidR="003F3890" w:rsidRPr="00360DE3" w:rsidRDefault="003F3890" w:rsidP="004C5FBF">
            <w:pPr>
              <w:pStyle w:val="Textpoznpodarou"/>
              <w:jc w:val="both"/>
            </w:pPr>
          </w:p>
        </w:tc>
        <w:tc>
          <w:tcPr>
            <w:tcW w:w="7391" w:type="dxa"/>
          </w:tcPr>
          <w:p w:rsidR="003F3890" w:rsidRPr="00360DE3" w:rsidRDefault="003F3890" w:rsidP="004C5FBF">
            <w:pPr>
              <w:spacing w:after="0"/>
            </w:pPr>
            <w:r w:rsidRPr="00360DE3">
              <w:rPr>
                <w:b/>
              </w:rPr>
              <w:t xml:space="preserve">Graf </w:t>
            </w:r>
            <w:proofErr w:type="gramStart"/>
            <w:r w:rsidRPr="00360DE3">
              <w:rPr>
                <w:b/>
              </w:rPr>
              <w:t>10.4  Základní</w:t>
            </w:r>
            <w:proofErr w:type="gramEnd"/>
            <w:r w:rsidRPr="00360DE3">
              <w:rPr>
                <w:b/>
              </w:rPr>
              <w:t xml:space="preserve"> ukazatele živočišné produkce</w:t>
            </w:r>
            <w:r w:rsidRPr="00360DE3">
              <w:t xml:space="preserve"> (úroveň roku 2010=100)</w:t>
            </w:r>
          </w:p>
          <w:p w:rsidR="003F3890" w:rsidRPr="00360DE3" w:rsidRDefault="003F3890" w:rsidP="004C5FBF">
            <w:pPr>
              <w:spacing w:after="0"/>
            </w:pPr>
            <w:r w:rsidRPr="00360DE3">
              <w:rPr>
                <w:noProof/>
              </w:rPr>
              <w:drawing>
                <wp:inline distT="0" distB="0" distL="0" distR="0">
                  <wp:extent cx="4661757" cy="3612721"/>
                  <wp:effectExtent l="0" t="0" r="5493" b="0"/>
                  <wp:docPr id="4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3F3890" w:rsidRPr="00360DE3" w:rsidTr="004C5FBF">
        <w:trPr>
          <w:trHeight w:val="170"/>
        </w:trPr>
        <w:tc>
          <w:tcPr>
            <w:tcW w:w="1976" w:type="dxa"/>
          </w:tcPr>
          <w:p w:rsidR="003F3890" w:rsidRPr="00360DE3" w:rsidRDefault="003F3890" w:rsidP="004C5FBF">
            <w:pPr>
              <w:pStyle w:val="Marginlie"/>
              <w:rPr>
                <w:spacing w:val="0"/>
              </w:rPr>
            </w:pPr>
          </w:p>
        </w:tc>
        <w:tc>
          <w:tcPr>
            <w:tcW w:w="277" w:type="dxa"/>
          </w:tcPr>
          <w:p w:rsidR="003F3890" w:rsidRPr="00360DE3" w:rsidRDefault="003F3890" w:rsidP="004C5FBF">
            <w:pPr>
              <w:pStyle w:val="Textpoznpodarou"/>
              <w:jc w:val="both"/>
            </w:pPr>
          </w:p>
        </w:tc>
        <w:tc>
          <w:tcPr>
            <w:tcW w:w="7391" w:type="dxa"/>
          </w:tcPr>
          <w:p w:rsidR="003F3890" w:rsidRPr="00360DE3" w:rsidRDefault="003F3890" w:rsidP="004C5FBF">
            <w:pPr>
              <w:spacing w:after="0"/>
              <w:rPr>
                <w:rFonts w:cs="Arial"/>
                <w:color w:val="0D0D0D" w:themeColor="text1" w:themeTint="F2"/>
                <w:sz w:val="14"/>
                <w:szCs w:val="14"/>
              </w:rPr>
            </w:pPr>
            <w:r w:rsidRPr="00360DE3">
              <w:rPr>
                <w:rFonts w:cs="Arial"/>
                <w:color w:val="0D0D0D" w:themeColor="text1" w:themeTint="F2"/>
                <w:sz w:val="14"/>
                <w:szCs w:val="14"/>
              </w:rPr>
              <w:t>Poznámka. Výroba jatečných zvířat, mléka a snáška vajec je uváděna v rozsahu zemědělského sektoru a domácností.</w:t>
            </w:r>
          </w:p>
          <w:p w:rsidR="003F3890" w:rsidRPr="00360DE3" w:rsidRDefault="003F3890" w:rsidP="004C5FBF">
            <w:pPr>
              <w:spacing w:after="0"/>
              <w:rPr>
                <w:rFonts w:cs="Arial"/>
                <w:color w:val="0D0D0D" w:themeColor="text1" w:themeTint="F2"/>
                <w:sz w:val="14"/>
                <w:szCs w:val="14"/>
              </w:rPr>
            </w:pPr>
            <w:r w:rsidRPr="00360DE3">
              <w:rPr>
                <w:rFonts w:cs="Arial"/>
                <w:color w:val="0D0D0D" w:themeColor="text1" w:themeTint="F2"/>
                <w:sz w:val="14"/>
                <w:szCs w:val="14"/>
              </w:rPr>
              <w:t>*Uveden bez telat.     **Od roku 2010 pouze konzumní vejce, tj. bez násadových.</w:t>
            </w:r>
          </w:p>
          <w:p w:rsidR="003F3890" w:rsidRPr="00360DE3" w:rsidRDefault="003F3890" w:rsidP="00C6152B">
            <w:pPr>
              <w:spacing w:after="220"/>
              <w:rPr>
                <w:rFonts w:cs="Arial"/>
                <w:sz w:val="14"/>
                <w:szCs w:val="14"/>
              </w:rPr>
            </w:pPr>
            <w:r w:rsidRPr="00360DE3">
              <w:rPr>
                <w:rFonts w:cs="Arial"/>
                <w:color w:val="0D0D0D" w:themeColor="text1" w:themeTint="F2"/>
                <w:sz w:val="14"/>
                <w:szCs w:val="14"/>
              </w:rPr>
              <w:t>***Produkce jatečných zvířat je uvedena v tunách živé hmotnosti.                                                                 Zdroj: ČSÚ</w:t>
            </w:r>
          </w:p>
        </w:tc>
      </w:tr>
      <w:tr w:rsidR="003F3890" w:rsidRPr="00360DE3" w:rsidTr="004C5FBF">
        <w:trPr>
          <w:trHeight w:val="170"/>
        </w:trPr>
        <w:tc>
          <w:tcPr>
            <w:tcW w:w="1976" w:type="dxa"/>
          </w:tcPr>
          <w:p w:rsidR="003F3890" w:rsidRPr="00360DE3" w:rsidRDefault="003F3890" w:rsidP="004C5FBF">
            <w:pPr>
              <w:pStyle w:val="Marginlie"/>
              <w:rPr>
                <w:spacing w:val="0"/>
              </w:rPr>
            </w:pPr>
            <w:r w:rsidRPr="00360DE3">
              <w:rPr>
                <w:spacing w:val="0"/>
              </w:rPr>
              <w:t>Produkce mléka i vajec se navyšovala. Přispěla k tomu i rostoucí užitkovost chovů.</w:t>
            </w:r>
          </w:p>
        </w:tc>
        <w:tc>
          <w:tcPr>
            <w:tcW w:w="277" w:type="dxa"/>
          </w:tcPr>
          <w:p w:rsidR="003F3890" w:rsidRPr="00360DE3" w:rsidRDefault="003F3890" w:rsidP="004C5FBF">
            <w:pPr>
              <w:pStyle w:val="Textpoznpodarou"/>
              <w:jc w:val="both"/>
            </w:pPr>
          </w:p>
        </w:tc>
        <w:tc>
          <w:tcPr>
            <w:tcW w:w="7391" w:type="dxa"/>
          </w:tcPr>
          <w:p w:rsidR="003F3890" w:rsidRPr="00360DE3" w:rsidRDefault="003F3890" w:rsidP="00847931">
            <w:pPr>
              <w:spacing w:after="0"/>
            </w:pPr>
            <w:r w:rsidRPr="00360DE3">
              <w:t>Dařilo se naopak ostatním segm</w:t>
            </w:r>
            <w:r w:rsidR="00847931">
              <w:t>entům živočišné výroby. Výroba</w:t>
            </w:r>
            <w:r w:rsidRPr="00360DE3">
              <w:t xml:space="preserve"> mléka rostla již sedmým rokem v řadě, byť loni byl meziroční růst (+0,5 %) za celé období nejslabší. Celému oboru pomohlo i výrazné navý</w:t>
            </w:r>
            <w:r w:rsidR="00274037">
              <w:t>šení výkupní ceny mléka (o</w:t>
            </w:r>
            <w:r w:rsidR="00274037" w:rsidRPr="00360DE3">
              <w:t> </w:t>
            </w:r>
            <w:r w:rsidR="00274037">
              <w:t>25,8</w:t>
            </w:r>
            <w:r w:rsidR="00274037" w:rsidRPr="00360DE3">
              <w:t> </w:t>
            </w:r>
            <w:r w:rsidRPr="00360DE3">
              <w:t>% meziročně). Ta se tak po propadu v roce 2016 vrátila na dlouhodobě obvyklou úroveň</w:t>
            </w:r>
            <w:r w:rsidRPr="00360DE3">
              <w:rPr>
                <w:rStyle w:val="Znakapoznpodarou"/>
              </w:rPr>
              <w:footnoteReference w:id="65"/>
            </w:r>
            <w:r w:rsidRPr="00360DE3">
              <w:t>. Pokračoval dlouhodobý růst užitkovosti chovů</w:t>
            </w:r>
            <w:r w:rsidRPr="00360DE3">
              <w:rPr>
                <w:rStyle w:val="Znakapoznpodarou"/>
              </w:rPr>
              <w:footnoteReference w:id="66"/>
            </w:r>
            <w:r w:rsidR="00274037">
              <w:t>. To platilo také</w:t>
            </w:r>
            <w:r w:rsidRPr="00360DE3">
              <w:t xml:space="preserve"> </w:t>
            </w:r>
            <w:r w:rsidR="00274037">
              <w:t>o</w:t>
            </w:r>
            <w:r w:rsidR="00274037" w:rsidRPr="00360DE3">
              <w:t> </w:t>
            </w:r>
            <w:r w:rsidRPr="00360DE3">
              <w:t xml:space="preserve">produkci vajec. Snáška vajec meziročně vzrostla o </w:t>
            </w:r>
            <w:r w:rsidR="00847931">
              <w:t>11,8 %</w:t>
            </w:r>
            <w:r w:rsidR="00C6152B">
              <w:rPr>
                <w:rStyle w:val="Znakapoznpodarou"/>
              </w:rPr>
              <w:footnoteReference w:id="67"/>
            </w:r>
            <w:r w:rsidR="00847931">
              <w:t>.</w:t>
            </w:r>
          </w:p>
        </w:tc>
      </w:tr>
      <w:tr w:rsidR="003F3890" w:rsidRPr="00360DE3" w:rsidTr="004C5FBF">
        <w:trPr>
          <w:trHeight w:val="170"/>
        </w:trPr>
        <w:tc>
          <w:tcPr>
            <w:tcW w:w="1976" w:type="dxa"/>
          </w:tcPr>
          <w:p w:rsidR="003F3890" w:rsidRPr="00360DE3" w:rsidRDefault="003F3890" w:rsidP="004C5FBF">
            <w:pPr>
              <w:pStyle w:val="Marginlie"/>
              <w:rPr>
                <w:spacing w:val="0"/>
              </w:rPr>
            </w:pPr>
            <w:r w:rsidRPr="00360DE3">
              <w:rPr>
                <w:spacing w:val="0"/>
              </w:rPr>
              <w:lastRenderedPageBreak/>
              <w:t>Nominální hodnota produkce zemědělství meziročně stagnovala. Pozitivně ji ovlivnily rostoucí ceny výrobců v rostlinné a zejména živočišné výrobě.</w:t>
            </w: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r w:rsidRPr="00360DE3">
              <w:rPr>
                <w:spacing w:val="0"/>
              </w:rPr>
              <w:t>Zisk zemědělského odvětví meziročně mírně klesl, přesto zůstává nad úrovní průměru za posledních pět let.</w:t>
            </w:r>
          </w:p>
        </w:tc>
        <w:tc>
          <w:tcPr>
            <w:tcW w:w="277" w:type="dxa"/>
          </w:tcPr>
          <w:p w:rsidR="003F3890" w:rsidRPr="00360DE3" w:rsidRDefault="003F3890" w:rsidP="004C5FBF">
            <w:pPr>
              <w:pStyle w:val="Textpoznpodarou"/>
              <w:jc w:val="both"/>
            </w:pPr>
          </w:p>
        </w:tc>
        <w:tc>
          <w:tcPr>
            <w:tcW w:w="7391" w:type="dxa"/>
          </w:tcPr>
          <w:p w:rsidR="003F3890" w:rsidRPr="00360DE3" w:rsidRDefault="003F3890" w:rsidP="00847931">
            <w:pPr>
              <w:spacing w:after="200"/>
              <w:rPr>
                <w:color w:val="0D0D0D" w:themeColor="text1" w:themeTint="F2"/>
              </w:rPr>
            </w:pPr>
            <w:r w:rsidRPr="00360DE3">
              <w:rPr>
                <w:color w:val="0D0D0D" w:themeColor="text1" w:themeTint="F2"/>
              </w:rPr>
              <w:t xml:space="preserve">Celková produkce zemědělského odvětví dosáhla loni v běžných cenách 133,5 mld. korun a meziročně fakticky stagnovala. Slabší úroda byla částečně kompenzována vyšším růstem výrobních cen (zejména u obilovin, olejnin či ovoce). Cenové vlivy (zejména u vepřového masa, mléka a vajec) ještě výrazněji ovlivnily výsledky celkové živočišné výroby (růst hodnoty produkce o 13 %). Navýšení výrobních nákladů v zemědělství bylo loni jen mírné. Hodnota </w:t>
            </w:r>
            <w:proofErr w:type="spellStart"/>
            <w:r w:rsidRPr="00360DE3">
              <w:rPr>
                <w:color w:val="0D0D0D" w:themeColor="text1" w:themeTint="F2"/>
              </w:rPr>
              <w:t>mezispotřeby</w:t>
            </w:r>
            <w:proofErr w:type="spellEnd"/>
            <w:r w:rsidRPr="00360DE3">
              <w:rPr>
                <w:color w:val="0D0D0D" w:themeColor="text1" w:themeTint="F2"/>
              </w:rPr>
              <w:t xml:space="preserve"> posílila o 2,3 %. Vyššímu růstu bránilo zlevňování u hnojiv, krmiv i elektrické energie (tyto položky tvořily bezmála třetinu všech nákladů v zemědělském odvětví). Odhadovaná výše vyplacených dotací na výrobu nadále rostla (meziročně o 5,5 %, na 32,4 mld. korun, druhou nejvyšší hodnotu v novodobé historii). Projevoval se vliv zvýšeného akcentu na ekologické aspekty hospodaření (program </w:t>
            </w:r>
            <w:proofErr w:type="spellStart"/>
            <w:r w:rsidRPr="00360DE3">
              <w:rPr>
                <w:color w:val="0D0D0D" w:themeColor="text1" w:themeTint="F2"/>
              </w:rPr>
              <w:t>Greening</w:t>
            </w:r>
            <w:proofErr w:type="spellEnd"/>
            <w:r w:rsidRPr="00360DE3">
              <w:rPr>
                <w:color w:val="0D0D0D" w:themeColor="text1" w:themeTint="F2"/>
              </w:rPr>
              <w:t>). Podnikatelský důchod reprezentující zisk</w:t>
            </w:r>
            <w:r w:rsidR="009A7B2E">
              <w:rPr>
                <w:color w:val="0D0D0D" w:themeColor="text1" w:themeTint="F2"/>
              </w:rPr>
              <w:t xml:space="preserve"> zemědělského odvětví v ČR čini</w:t>
            </w:r>
            <w:r w:rsidRPr="00360DE3">
              <w:rPr>
                <w:color w:val="0D0D0D" w:themeColor="text1" w:themeTint="F2"/>
              </w:rPr>
              <w:t>l 20,6 mld. korun. Přestože za roky 2014 i 2016 (ovlivněné velmi dobrými úrodami) mírně zaostal, byl stále vyšší než průměrná hodnota za poslední pětiletí. V zisku setrvává tuzemské zemědělství díky dotační podpoře nepřetržitě počínaje rokem 2004.</w:t>
            </w:r>
          </w:p>
        </w:tc>
      </w:tr>
      <w:tr w:rsidR="003F3890" w:rsidRPr="00360DE3" w:rsidTr="004C5FBF">
        <w:trPr>
          <w:trHeight w:val="170"/>
        </w:trPr>
        <w:tc>
          <w:tcPr>
            <w:tcW w:w="1976" w:type="dxa"/>
          </w:tcPr>
          <w:p w:rsidR="003F3890" w:rsidRPr="00360DE3" w:rsidRDefault="003F3890" w:rsidP="004C5FBF">
            <w:pPr>
              <w:pStyle w:val="Marginlie"/>
              <w:rPr>
                <w:spacing w:val="0"/>
              </w:rPr>
            </w:pPr>
          </w:p>
        </w:tc>
        <w:tc>
          <w:tcPr>
            <w:tcW w:w="277" w:type="dxa"/>
          </w:tcPr>
          <w:p w:rsidR="003F3890" w:rsidRPr="00360DE3" w:rsidRDefault="003F3890" w:rsidP="004C5FBF">
            <w:pPr>
              <w:pStyle w:val="Textpoznpodarou"/>
              <w:jc w:val="both"/>
            </w:pPr>
          </w:p>
        </w:tc>
        <w:tc>
          <w:tcPr>
            <w:tcW w:w="7391" w:type="dxa"/>
          </w:tcPr>
          <w:p w:rsidR="003F3890" w:rsidRPr="00360DE3" w:rsidRDefault="003F3890" w:rsidP="004C5FBF">
            <w:pPr>
              <w:spacing w:after="0"/>
              <w:jc w:val="left"/>
              <w:rPr>
                <w:b/>
              </w:rPr>
            </w:pPr>
            <w:r w:rsidRPr="00360DE3">
              <w:rPr>
                <w:b/>
              </w:rPr>
              <w:t xml:space="preserve">Graf </w:t>
            </w:r>
            <w:proofErr w:type="gramStart"/>
            <w:r w:rsidRPr="00360DE3">
              <w:rPr>
                <w:b/>
              </w:rPr>
              <w:t>10.5  Saldo</w:t>
            </w:r>
            <w:proofErr w:type="gramEnd"/>
            <w:r w:rsidRPr="00360DE3">
              <w:rPr>
                <w:b/>
              </w:rPr>
              <w:t xml:space="preserve"> zahraničního obchodu ČR s </w:t>
            </w:r>
            <w:proofErr w:type="spellStart"/>
            <w:r w:rsidRPr="00360DE3">
              <w:rPr>
                <w:b/>
              </w:rPr>
              <w:t>vybr</w:t>
            </w:r>
            <w:proofErr w:type="spellEnd"/>
            <w:r w:rsidRPr="00360DE3">
              <w:rPr>
                <w:b/>
              </w:rPr>
              <w:t xml:space="preserve">. produkty zemědělství a potravinářského průmyslu </w:t>
            </w:r>
            <w:r w:rsidRPr="00360DE3">
              <w:t xml:space="preserve">(dle kategorií SITC, </w:t>
            </w:r>
            <w:proofErr w:type="spellStart"/>
            <w:r w:rsidRPr="00360DE3">
              <w:t>přeshraniční</w:t>
            </w:r>
            <w:proofErr w:type="spellEnd"/>
            <w:r w:rsidRPr="00360DE3">
              <w:t xml:space="preserve"> pojetí, v mld. korun)</w:t>
            </w:r>
          </w:p>
          <w:p w:rsidR="003F3890" w:rsidRPr="00360DE3" w:rsidRDefault="003F3890" w:rsidP="004C5FBF">
            <w:pPr>
              <w:spacing w:after="0"/>
            </w:pPr>
            <w:r w:rsidRPr="00360DE3">
              <w:rPr>
                <w:noProof/>
              </w:rPr>
              <w:drawing>
                <wp:inline distT="0" distB="0" distL="0" distR="0">
                  <wp:extent cx="4667367" cy="3881992"/>
                  <wp:effectExtent l="0" t="0" r="0" b="0"/>
                  <wp:docPr id="4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3F3890" w:rsidRPr="00360DE3" w:rsidTr="004C5FBF">
        <w:trPr>
          <w:trHeight w:val="170"/>
        </w:trPr>
        <w:tc>
          <w:tcPr>
            <w:tcW w:w="1976" w:type="dxa"/>
          </w:tcPr>
          <w:p w:rsidR="003F3890" w:rsidRPr="00360DE3" w:rsidRDefault="003F3890" w:rsidP="004C5FBF">
            <w:pPr>
              <w:pStyle w:val="Marginlie"/>
              <w:rPr>
                <w:spacing w:val="0"/>
              </w:rPr>
            </w:pPr>
          </w:p>
        </w:tc>
        <w:tc>
          <w:tcPr>
            <w:tcW w:w="277" w:type="dxa"/>
          </w:tcPr>
          <w:p w:rsidR="003F3890" w:rsidRPr="00360DE3" w:rsidRDefault="003F3890" w:rsidP="004C5FBF">
            <w:pPr>
              <w:pStyle w:val="Textpoznpodarou"/>
              <w:jc w:val="both"/>
            </w:pPr>
          </w:p>
        </w:tc>
        <w:tc>
          <w:tcPr>
            <w:tcW w:w="7391" w:type="dxa"/>
          </w:tcPr>
          <w:p w:rsidR="003F3890" w:rsidRPr="00360DE3" w:rsidRDefault="003F3890" w:rsidP="004C5FBF">
            <w:pPr>
              <w:spacing w:after="0"/>
              <w:rPr>
                <w:rFonts w:cs="Arial"/>
                <w:sz w:val="14"/>
                <w:szCs w:val="14"/>
              </w:rPr>
            </w:pPr>
            <w:r w:rsidRPr="00360DE3">
              <w:rPr>
                <w:rFonts w:cs="Arial"/>
                <w:sz w:val="14"/>
                <w:szCs w:val="14"/>
              </w:rPr>
              <w:t xml:space="preserve">*Kromě nemletých </w:t>
            </w:r>
            <w:proofErr w:type="gramStart"/>
            <w:r w:rsidRPr="00360DE3">
              <w:rPr>
                <w:rFonts w:cs="Arial"/>
                <w:sz w:val="14"/>
                <w:szCs w:val="14"/>
              </w:rPr>
              <w:t>obilnin,  **Margarin</w:t>
            </w:r>
            <w:proofErr w:type="gramEnd"/>
            <w:r w:rsidRPr="00360DE3">
              <w:rPr>
                <w:rFonts w:cs="Arial"/>
                <w:sz w:val="14"/>
                <w:szCs w:val="14"/>
              </w:rPr>
              <w:t xml:space="preserve">, jedlé směsi, přípravky z tuku, olejů; Homogenizované </w:t>
            </w:r>
            <w:proofErr w:type="spellStart"/>
            <w:r w:rsidRPr="00360DE3">
              <w:rPr>
                <w:rFonts w:cs="Arial"/>
                <w:sz w:val="14"/>
                <w:szCs w:val="14"/>
              </w:rPr>
              <w:t>potr</w:t>
            </w:r>
            <w:proofErr w:type="spellEnd"/>
            <w:r w:rsidRPr="00360DE3">
              <w:rPr>
                <w:rFonts w:cs="Arial"/>
                <w:sz w:val="14"/>
                <w:szCs w:val="14"/>
              </w:rPr>
              <w:t>. přípravky; Omáčky, směsi koření, hořčice, ocet; Polévky a masové vývary; Droždí, kvasinky, prášky do pečiva; ostatní hotové pokrmy</w:t>
            </w:r>
          </w:p>
          <w:p w:rsidR="003F3890" w:rsidRPr="00360DE3" w:rsidRDefault="003F3890" w:rsidP="00847931">
            <w:pPr>
              <w:spacing w:after="200"/>
              <w:rPr>
                <w:sz w:val="16"/>
                <w:szCs w:val="16"/>
              </w:rPr>
            </w:pPr>
            <w:r w:rsidRPr="00360DE3">
              <w:rPr>
                <w:rFonts w:cs="Arial"/>
                <w:sz w:val="14"/>
                <w:szCs w:val="14"/>
              </w:rPr>
              <w:t>Zdroj: ČSÚ</w:t>
            </w:r>
          </w:p>
        </w:tc>
      </w:tr>
      <w:tr w:rsidR="003F3890" w:rsidRPr="00360DE3" w:rsidTr="004C5FBF">
        <w:trPr>
          <w:trHeight w:val="170"/>
        </w:trPr>
        <w:tc>
          <w:tcPr>
            <w:tcW w:w="1976" w:type="dxa"/>
          </w:tcPr>
          <w:p w:rsidR="003F3890" w:rsidRPr="00360DE3" w:rsidRDefault="003F3890" w:rsidP="004C5FBF">
            <w:pPr>
              <w:pStyle w:val="Marginlie"/>
              <w:rPr>
                <w:spacing w:val="0"/>
              </w:rPr>
            </w:pPr>
            <w:r w:rsidRPr="00360DE3">
              <w:rPr>
                <w:spacing w:val="0"/>
              </w:rPr>
              <w:t>Negativní saldo agrárního zahraničního obchodu ČR se nadále prohlubovalo – jak u prvovýrobců, tak zejména u zpracovatelů.</w:t>
            </w: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p>
          <w:p w:rsidR="003F3890" w:rsidRPr="00360DE3" w:rsidRDefault="003F3890" w:rsidP="004C5FBF">
            <w:pPr>
              <w:pStyle w:val="Marginlie"/>
              <w:rPr>
                <w:spacing w:val="0"/>
              </w:rPr>
            </w:pPr>
            <w:r w:rsidRPr="00360DE3">
              <w:rPr>
                <w:spacing w:val="0"/>
              </w:rPr>
              <w:t>Rekordní těžba dřeva se orazila v silných exportech, směřujících v drtivě většině do Německa a Rakouska.</w:t>
            </w:r>
          </w:p>
        </w:tc>
        <w:tc>
          <w:tcPr>
            <w:tcW w:w="277" w:type="dxa"/>
          </w:tcPr>
          <w:p w:rsidR="003F3890" w:rsidRPr="00360DE3" w:rsidRDefault="003F3890" w:rsidP="004C5FBF">
            <w:pPr>
              <w:pStyle w:val="Textpoznpodarou"/>
              <w:jc w:val="both"/>
            </w:pPr>
          </w:p>
        </w:tc>
        <w:tc>
          <w:tcPr>
            <w:tcW w:w="7391" w:type="dxa"/>
          </w:tcPr>
          <w:p w:rsidR="003F3890" w:rsidRPr="00360DE3" w:rsidRDefault="003F3890" w:rsidP="004C5FBF">
            <w:r w:rsidRPr="00360DE3">
              <w:t>Po příznivějším vývoji v letech 2011 až 2015 se negativní saldo zahraničního obchodu ČR</w:t>
            </w:r>
            <w:r w:rsidRPr="00360DE3">
              <w:rPr>
                <w:rStyle w:val="Znakapoznpodarou"/>
              </w:rPr>
              <w:footnoteReference w:id="68"/>
            </w:r>
            <w:r w:rsidRPr="00360DE3">
              <w:t xml:space="preserve"> s produkty zemědělství, lesnictví a rybolovu (zachycující postavení prvovýrobců) začalo opět prohlubovat (v roce 2016 činilo 4,5 mld. korun, o rok později téměř 7 mld.). Ještě v horším postavení byli tuzemští zpracovatelé, neboť deficit obchodu s potravinářskými výrobky se meziročně prohloubil na rekordních 41,4 mld. korun, meziročně 5,3 mld. více. </w:t>
            </w:r>
            <w:r w:rsidRPr="00360DE3">
              <w:rPr>
                <w:color w:val="000000"/>
              </w:rPr>
              <w:t xml:space="preserve">Z podrobnějšího členění dle klasifikace </w:t>
            </w:r>
            <w:r w:rsidRPr="00360DE3">
              <w:rPr>
                <w:color w:val="000000"/>
              </w:rPr>
              <w:lastRenderedPageBreak/>
              <w:t>SITC plyne, že celkový deficit v kategorii potraviny a živá zvířata v roce 2017 (37,9</w:t>
            </w:r>
            <w:r w:rsidR="00274037" w:rsidRPr="00360DE3">
              <w:t> </w:t>
            </w:r>
            <w:r w:rsidRPr="00360DE3">
              <w:rPr>
                <w:color w:val="000000"/>
              </w:rPr>
              <w:t>mld. korun)</w:t>
            </w:r>
            <w:r w:rsidRPr="00360DE3">
              <w:rPr>
                <w:rStyle w:val="Znakapoznpodarou"/>
                <w:color w:val="000000"/>
              </w:rPr>
              <w:footnoteReference w:id="69"/>
            </w:r>
            <w:r w:rsidRPr="00360DE3">
              <w:rPr>
                <w:color w:val="000000"/>
              </w:rPr>
              <w:t xml:space="preserve"> byl způsoben zejména prohlubujícími se schodky v obchodu se zeleninou a ovocem a dále v kategorii maso a masné výroky. Disproporce mezi deficity u masa a masných výrobků a přebytky u obchodu s živými zvířaty se nadále zvětšovaly. Navzdory slabší loňské úrodě přetrval výraznější přebytek u</w:t>
            </w:r>
            <w:r w:rsidR="00274037" w:rsidRPr="00360DE3">
              <w:t> </w:t>
            </w:r>
            <w:r w:rsidRPr="00360DE3">
              <w:rPr>
                <w:color w:val="000000"/>
              </w:rPr>
              <w:t>obilovin a obilných výrobků (15,4 mld. korun), realizovaný primárně se sousedními státy. Rekordní přebytek obchodu v kategorii dřevo a korek (15,4 mld.) měl přímou souvislost s vývojem tuzemské těžby dřeva, resp. četností kalamitních situací (povětrnostní vlivy, škůdci).</w:t>
            </w:r>
            <w:r w:rsidRPr="00360DE3">
              <w:rPr>
                <w:rStyle w:val="Znakapoznpodarou"/>
                <w:color w:val="000000"/>
              </w:rPr>
              <w:footnoteReference w:id="70"/>
            </w:r>
            <w:r w:rsidRPr="00360DE3">
              <w:rPr>
                <w:color w:val="000000"/>
              </w:rPr>
              <w:t xml:space="preserve"> Prakticky veškerý vývoz surového dřeva z ČR dlouhodobě směřuje do Rakouska a Německa. Česko patří v rámci EU dlouhodobě k nejvýznamnějším vývozcům dřeva</w:t>
            </w:r>
            <w:r w:rsidRPr="00360DE3">
              <w:rPr>
                <w:rStyle w:val="Znakapoznpodarou"/>
                <w:color w:val="000000"/>
              </w:rPr>
              <w:footnoteReference w:id="71"/>
            </w:r>
            <w:r w:rsidRPr="00360DE3">
              <w:rPr>
                <w:color w:val="000000"/>
              </w:rPr>
              <w:t>.</w:t>
            </w:r>
          </w:p>
        </w:tc>
      </w:tr>
    </w:tbl>
    <w:p w:rsidR="00C466D2" w:rsidRPr="00360DE3" w:rsidRDefault="00E212C9" w:rsidP="00141782">
      <w:pPr>
        <w:pStyle w:val="Nadpis1"/>
        <w:rPr>
          <w:lang w:eastAsia="en-US"/>
        </w:rPr>
      </w:pPr>
      <w:bookmarkStart w:id="28" w:name="_Toc527639483"/>
      <w:r w:rsidRPr="00360DE3">
        <w:rPr>
          <w:lang w:eastAsia="en-US"/>
        </w:rPr>
        <w:lastRenderedPageBreak/>
        <w:t>11</w:t>
      </w:r>
      <w:r w:rsidR="00141782" w:rsidRPr="00360DE3">
        <w:rPr>
          <w:lang w:eastAsia="en-US"/>
        </w:rPr>
        <w:t>. Zpracovatelský průmysl, těžba a dobývání, energetika</w:t>
      </w:r>
      <w:bookmarkEnd w:id="28"/>
      <w:r w:rsidR="00141782" w:rsidRPr="00360DE3">
        <w:rPr>
          <w:lang w:eastAsia="en-US"/>
        </w:rPr>
        <w:t xml:space="preserve"> </w:t>
      </w:r>
    </w:p>
    <w:tbl>
      <w:tblPr>
        <w:tblW w:w="9644" w:type="dxa"/>
        <w:tblInd w:w="-15" w:type="dxa"/>
        <w:tblLayout w:type="fixed"/>
        <w:tblCellMar>
          <w:left w:w="0" w:type="dxa"/>
          <w:right w:w="0" w:type="dxa"/>
        </w:tblCellMar>
        <w:tblLook w:val="00A0"/>
      </w:tblPr>
      <w:tblGrid>
        <w:gridCol w:w="1976"/>
        <w:gridCol w:w="277"/>
        <w:gridCol w:w="7391"/>
      </w:tblGrid>
      <w:tr w:rsidR="003F3890" w:rsidRPr="00360DE3" w:rsidTr="001A0D6B">
        <w:trPr>
          <w:trHeight w:val="145"/>
        </w:trPr>
        <w:tc>
          <w:tcPr>
            <w:tcW w:w="1976" w:type="dxa"/>
          </w:tcPr>
          <w:p w:rsidR="003F3890" w:rsidRPr="00360DE3" w:rsidRDefault="003F3890" w:rsidP="00DC37E3">
            <w:pPr>
              <w:pStyle w:val="Marginlie"/>
              <w:rPr>
                <w:spacing w:val="0"/>
              </w:rPr>
            </w:pPr>
            <w:r w:rsidRPr="00360DE3">
              <w:rPr>
                <w:spacing w:val="0"/>
              </w:rPr>
              <w:t xml:space="preserve">Průmyslu se vloni dařilo. Hrubá přidaná hodnota vzrostla o 9 %, nejvíce po roce 2006. Ve výkonech se odrážela rostoucí domácí i zahraniční poptávka. </w:t>
            </w: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tc>
        <w:tc>
          <w:tcPr>
            <w:tcW w:w="277" w:type="dxa"/>
          </w:tcPr>
          <w:p w:rsidR="003F3890" w:rsidRPr="00360DE3" w:rsidRDefault="003F3890" w:rsidP="00DC37E3">
            <w:pPr>
              <w:pStyle w:val="Textpoznpodarou"/>
              <w:jc w:val="both"/>
            </w:pPr>
          </w:p>
        </w:tc>
        <w:tc>
          <w:tcPr>
            <w:tcW w:w="7391" w:type="dxa"/>
          </w:tcPr>
          <w:p w:rsidR="003F3890" w:rsidRPr="00360DE3" w:rsidRDefault="003F3890" w:rsidP="001A0D6B">
            <w:r w:rsidRPr="00360DE3">
              <w:t>Průmyslu</w:t>
            </w:r>
            <w:r w:rsidRPr="00360DE3">
              <w:rPr>
                <w:rStyle w:val="Znakapoznpodarou"/>
              </w:rPr>
              <w:footnoteReference w:id="72"/>
            </w:r>
            <w:r w:rsidRPr="00360DE3">
              <w:t xml:space="preserve"> jako klíčovému odvětví tuzemské ekonomiky se vloni mimořádně dařilo. Profitoval jak ze zrychleného ekonomického růstu v </w:t>
            </w:r>
            <w:proofErr w:type="spellStart"/>
            <w:r w:rsidRPr="00360DE3">
              <w:t>Eurozóně</w:t>
            </w:r>
            <w:proofErr w:type="spellEnd"/>
            <w:r w:rsidRPr="00360DE3">
              <w:t xml:space="preserve">, tak i pokračujícího příznivého vývoje v drtivé většině tradičních mimoevropských exportních </w:t>
            </w:r>
            <w:proofErr w:type="gramStart"/>
            <w:r w:rsidRPr="00360DE3">
              <w:t>teritoriích</w:t>
            </w:r>
            <w:proofErr w:type="gramEnd"/>
            <w:r w:rsidRPr="00360DE3">
              <w:t xml:space="preserve">. Meziroční tempo růstu produkce se ve srovnání s rokem 2016 téměř zdvojnásobilo (na 6,6 %). Dynamika </w:t>
            </w:r>
            <w:proofErr w:type="spellStart"/>
            <w:r w:rsidRPr="00360DE3">
              <w:t>mezispotřeby</w:t>
            </w:r>
            <w:proofErr w:type="spellEnd"/>
            <w:r w:rsidRPr="00360DE3">
              <w:t>, jež má v průmyslu vlivem energeticky i materiálově náročného charakteru výroby významnější roli než v jiných odvětvích</w:t>
            </w:r>
            <w:r w:rsidRPr="00360DE3">
              <w:rPr>
                <w:rStyle w:val="Znakapoznpodarou"/>
              </w:rPr>
              <w:footnoteReference w:id="73"/>
            </w:r>
            <w:r w:rsidRPr="00360DE3">
              <w:t>, nebyla ale ve srovnání s produkcí tak výrazná (</w:t>
            </w:r>
            <w:proofErr w:type="gramStart"/>
            <w:r w:rsidRPr="00360DE3">
              <w:t>posílila z 4,0</w:t>
            </w:r>
            <w:proofErr w:type="gramEnd"/>
            <w:r w:rsidRPr="00360DE3">
              <w:t xml:space="preserve"> % v roce 2016 na loňských 5,7 %). To vyústilo v citelnou akceleraci hrubé přidané hodnoty (HPH). Ta loni vzrostla o rovných 9 %, nejvíce po roce 2006. Přispěl k tomu především vývoj v první polovině loňského roku, kdy </w:t>
            </w:r>
            <w:proofErr w:type="spellStart"/>
            <w:r w:rsidRPr="00360DE3">
              <w:t>mezičtvrtletní</w:t>
            </w:r>
            <w:proofErr w:type="spellEnd"/>
            <w:r w:rsidRPr="00360DE3">
              <w:t xml:space="preserve"> tempa HPH přesahovala 3,5 %. Výkon průmyslu rostl již čtvrtým rokem v řadě, v úhrnu za toto období stoupl o 21,5 %, což byl čtvrtý nejlepší výsledek mezi členy EU (po Irsku, Slovensku a Rumunsku). </w:t>
            </w:r>
          </w:p>
        </w:tc>
      </w:tr>
      <w:tr w:rsidR="001A0D6B" w:rsidRPr="00360DE3" w:rsidTr="001A0D6B">
        <w:trPr>
          <w:trHeight w:val="145"/>
        </w:trPr>
        <w:tc>
          <w:tcPr>
            <w:tcW w:w="1976" w:type="dxa"/>
          </w:tcPr>
          <w:p w:rsidR="001A0D6B" w:rsidRPr="00360DE3" w:rsidRDefault="001A0D6B" w:rsidP="00DC37E3">
            <w:pPr>
              <w:pStyle w:val="Marginlie"/>
              <w:rPr>
                <w:spacing w:val="0"/>
              </w:rPr>
            </w:pPr>
            <w:r w:rsidRPr="00360DE3">
              <w:rPr>
                <w:spacing w:val="0"/>
              </w:rPr>
              <w:t>Kladné saldo důvěry podnikatelů v průmyslu během roku mírně posilovalo a na jeho konci dosáhlo 6,5letého maxima.</w:t>
            </w:r>
          </w:p>
        </w:tc>
        <w:tc>
          <w:tcPr>
            <w:tcW w:w="277" w:type="dxa"/>
          </w:tcPr>
          <w:p w:rsidR="001A0D6B" w:rsidRPr="00360DE3" w:rsidRDefault="001A0D6B" w:rsidP="00DC37E3">
            <w:pPr>
              <w:pStyle w:val="Textpoznpodarou"/>
              <w:jc w:val="both"/>
            </w:pPr>
          </w:p>
        </w:tc>
        <w:tc>
          <w:tcPr>
            <w:tcW w:w="7391" w:type="dxa"/>
          </w:tcPr>
          <w:p w:rsidR="001A0D6B" w:rsidRPr="00360DE3" w:rsidRDefault="001A0D6B" w:rsidP="00DC37E3">
            <w:r w:rsidRPr="00360DE3">
              <w:t>Tuzemský průmysl se loni opíral nejen o své tradiční obchodní partnery v zahraničí, ale i o výrazně oživenou domácí poptávku. Dokládají to i údaje z podnikových statistik. Nominální tržby průmyslových podniků z přímého vývozu loni posílily o 5,3 %, domácí tržby pak téměř o desetinu. Obdobná tendence byla patrná i u nových zakázek</w:t>
            </w:r>
            <w:r w:rsidRPr="00360DE3">
              <w:rPr>
                <w:rStyle w:val="Znakapoznpodarou"/>
              </w:rPr>
              <w:footnoteReference w:id="74"/>
            </w:r>
            <w:r w:rsidRPr="00360DE3">
              <w:t>. Výše uvedené vlivy se odrazily také v náladách manažerů průmyslových podniků – kladné saldo důvěry v odvětví během roku mírně posilovalo a na jeho konci dosáhlo 6,5letého maxima. V prosinci 2017 očekávala růst výrobní činnosti v nejbližším období téměř čtvrtina podniků (o rok dříve pětina), pokles jen 6,5 % (v prosinci 2016 pak desetina). K pozitivnímu meziročnímu vývoji přispěly hlavně obory více orientované na tuzemský trh.</w:t>
            </w:r>
          </w:p>
        </w:tc>
      </w:tr>
      <w:tr w:rsidR="003F3890" w:rsidRPr="00360DE3" w:rsidTr="001A0D6B">
        <w:trPr>
          <w:trHeight w:val="145"/>
        </w:trPr>
        <w:tc>
          <w:tcPr>
            <w:tcW w:w="1976" w:type="dxa"/>
          </w:tcPr>
          <w:p w:rsidR="003F3890" w:rsidRPr="00360DE3" w:rsidRDefault="003F3890" w:rsidP="00DC37E3">
            <w:pPr>
              <w:pStyle w:val="Marginlie"/>
              <w:rPr>
                <w:spacing w:val="0"/>
              </w:rPr>
            </w:pPr>
            <w:r w:rsidRPr="00360DE3">
              <w:rPr>
                <w:spacing w:val="0"/>
              </w:rPr>
              <w:lastRenderedPageBreak/>
              <w:t>Míra zisku nefinančních podniků v průmyslu již třetím rokem v řadě klesala. Stále však převyšovala úroveň celé ekonomiky.</w:t>
            </w: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p>
          <w:p w:rsidR="003F3890" w:rsidRPr="00360DE3" w:rsidRDefault="003F3890" w:rsidP="00DC37E3">
            <w:pPr>
              <w:pStyle w:val="Marginlie"/>
              <w:rPr>
                <w:spacing w:val="0"/>
              </w:rPr>
            </w:pPr>
            <w:r w:rsidRPr="00360DE3">
              <w:rPr>
                <w:spacing w:val="0"/>
              </w:rPr>
              <w:t>Nová pracovní místa obsazovaly průmyslové podniky vhodnými uchazeči s výraznými obtížemi. Produktivita práce v průmyslu vloni výrazně posílila.</w:t>
            </w:r>
          </w:p>
        </w:tc>
        <w:tc>
          <w:tcPr>
            <w:tcW w:w="277" w:type="dxa"/>
          </w:tcPr>
          <w:p w:rsidR="003F3890" w:rsidRPr="00360DE3" w:rsidRDefault="003F3890" w:rsidP="00DC37E3">
            <w:pPr>
              <w:pStyle w:val="Textpoznpodarou"/>
              <w:jc w:val="both"/>
            </w:pPr>
          </w:p>
        </w:tc>
        <w:tc>
          <w:tcPr>
            <w:tcW w:w="7391" w:type="dxa"/>
          </w:tcPr>
          <w:p w:rsidR="003F3890" w:rsidRPr="00360DE3" w:rsidRDefault="003F3890" w:rsidP="00DC37E3">
            <w:pPr>
              <w:spacing w:after="200"/>
            </w:pPr>
            <w:r w:rsidRPr="00360DE3">
              <w:t>Míra zisku nefinančních podniků</w:t>
            </w:r>
            <w:r w:rsidRPr="00360DE3">
              <w:rPr>
                <w:rStyle w:val="Znakapoznpodarou"/>
              </w:rPr>
              <w:footnoteReference w:id="75"/>
            </w:r>
            <w:r w:rsidRPr="00360DE3">
              <w:t xml:space="preserve"> v průmyslu se </w:t>
            </w:r>
            <w:proofErr w:type="gramStart"/>
            <w:r w:rsidRPr="00360DE3">
              <w:t>snižovala</w:t>
            </w:r>
            <w:proofErr w:type="gramEnd"/>
            <w:r w:rsidRPr="00360DE3">
              <w:t xml:space="preserve"> již třetím rokem v řadě a roce 2017 se </w:t>
            </w:r>
            <w:proofErr w:type="gramStart"/>
            <w:r w:rsidRPr="00360DE3">
              <w:t>rovnala</w:t>
            </w:r>
            <w:proofErr w:type="gramEnd"/>
            <w:r w:rsidRPr="00360DE3">
              <w:t xml:space="preserve"> 51,4 % (nejméně po roce 2002). I tak ale loni převyšovala úroveň národního hospodářství (o 2,1 p. </w:t>
            </w:r>
            <w:proofErr w:type="spellStart"/>
            <w:r w:rsidRPr="00360DE3">
              <w:t>b</w:t>
            </w:r>
            <w:proofErr w:type="spellEnd"/>
            <w:r w:rsidRPr="00360DE3">
              <w:t>.). Redukce míry ziskovosti byla ovlivněna nejen sílícími mzdovými náklady firem, ale i velmi vysokou srovnávací základnu. V prvních letech silného oživení ekonomiky (2014 a 2015) pomohlo proexportním podnikům řízené oslabení české koruny. Firmy také ve zvýšené míře využívaly levnější agenturní pracovníky a stavy kmenových pracovníků (i po zkušenostech s vleklou recesí) navyšovaly opatrněji. V následujících letech se však rezervoár potenciální pracovní síly z tuzemska z větší části vyčerpal, což společně s administrativně náročným náborem zaměstnanců z třetích zemí vedlo k sílícím tlakům na růst průměrných výdělků. Ty loni vzrostly (v pojetí národních účtů)</w:t>
            </w:r>
            <w:r w:rsidRPr="00360DE3">
              <w:rPr>
                <w:rStyle w:val="Znakapoznpodarou"/>
              </w:rPr>
              <w:footnoteReference w:id="76"/>
            </w:r>
            <w:r w:rsidRPr="00360DE3">
              <w:t xml:space="preserve"> nominálně o 7,3 % (v celé ekonomice o 6,8 %). Nepatrně nad úrovní národního hospodářství se nacházela rovněž hladina průměrného hrubého měsíčního výdělku (29,9 tis.). V průmyslu loni pracovalo 1,391 mil. zaměstnanců (po přepočtu na celé úvazky). Meziroční přírůstek zaměstnanců se loni ve srovnání předešlými dvěma lety citelně zmenšil (+16 tis.), přesto se zaměstnanost již téměř vyrovnala úrovni z vrcholu konjunktury minulé dekády. Zvolnění růstu zaměstnanosti souvisí se stále obtížnějším obsazováním volných míst vhodnými uchazeči. </w:t>
            </w:r>
          </w:p>
        </w:tc>
      </w:tr>
      <w:tr w:rsidR="003F3890" w:rsidRPr="00360DE3" w:rsidTr="001A0D6B">
        <w:tc>
          <w:tcPr>
            <w:tcW w:w="1976" w:type="dxa"/>
            <w:vMerge w:val="restart"/>
          </w:tcPr>
          <w:p w:rsidR="003F3890" w:rsidRPr="00360DE3" w:rsidRDefault="003F3890" w:rsidP="00DC37E3">
            <w:pPr>
              <w:pStyle w:val="Marginlie"/>
              <w:rPr>
                <w:spacing w:val="0"/>
              </w:rPr>
            </w:pPr>
          </w:p>
        </w:tc>
        <w:tc>
          <w:tcPr>
            <w:tcW w:w="277" w:type="dxa"/>
            <w:vMerge w:val="restart"/>
          </w:tcPr>
          <w:p w:rsidR="003F3890" w:rsidRPr="00360DE3" w:rsidRDefault="003F3890" w:rsidP="00DC37E3">
            <w:pPr>
              <w:pStyle w:val="Textpoznpodarou"/>
              <w:jc w:val="both"/>
            </w:pPr>
          </w:p>
        </w:tc>
        <w:tc>
          <w:tcPr>
            <w:tcW w:w="7391" w:type="dxa"/>
          </w:tcPr>
          <w:p w:rsidR="003F3890" w:rsidRPr="00360DE3" w:rsidRDefault="003F3890" w:rsidP="00DC37E3">
            <w:pPr>
              <w:spacing w:after="0"/>
              <w:rPr>
                <w:b/>
              </w:rPr>
            </w:pPr>
            <w:r w:rsidRPr="00360DE3">
              <w:rPr>
                <w:b/>
              </w:rPr>
              <w:t xml:space="preserve">Graf </w:t>
            </w:r>
            <w:proofErr w:type="gramStart"/>
            <w:r w:rsidRPr="00360DE3">
              <w:rPr>
                <w:b/>
              </w:rPr>
              <w:t xml:space="preserve">11.1  </w:t>
            </w:r>
            <w:r w:rsidRPr="00360DE3">
              <w:rPr>
                <w:b/>
                <w:bCs/>
              </w:rPr>
              <w:t>Základní</w:t>
            </w:r>
            <w:proofErr w:type="gramEnd"/>
            <w:r w:rsidRPr="00360DE3">
              <w:rPr>
                <w:b/>
                <w:bCs/>
              </w:rPr>
              <w:t xml:space="preserve"> ukazatele odvětví průmyslu</w:t>
            </w:r>
            <w:r w:rsidRPr="00360DE3">
              <w:rPr>
                <w:bCs/>
              </w:rPr>
              <w:t xml:space="preserve"> (NACE B až E)</w:t>
            </w:r>
          </w:p>
          <w:p w:rsidR="003F3890" w:rsidRPr="00360DE3" w:rsidRDefault="003F3890" w:rsidP="00DC37E3">
            <w:pPr>
              <w:spacing w:after="0"/>
              <w:rPr>
                <w:b/>
              </w:rPr>
            </w:pPr>
            <w:r w:rsidRPr="00360DE3">
              <w:rPr>
                <w:b/>
                <w:noProof/>
              </w:rPr>
              <w:drawing>
                <wp:inline distT="0" distB="0" distL="0" distR="0">
                  <wp:extent cx="4641576" cy="3553200"/>
                  <wp:effectExtent l="19050" t="0" r="6624" b="0"/>
                  <wp:docPr id="5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3F3890" w:rsidRPr="00360DE3" w:rsidTr="001A0D6B">
        <w:trPr>
          <w:trHeight w:val="284"/>
        </w:trPr>
        <w:tc>
          <w:tcPr>
            <w:tcW w:w="1976" w:type="dxa"/>
            <w:vMerge/>
          </w:tcPr>
          <w:p w:rsidR="003F3890" w:rsidRPr="00360DE3" w:rsidRDefault="003F3890" w:rsidP="00DC37E3">
            <w:pPr>
              <w:pStyle w:val="Marginlie"/>
              <w:rPr>
                <w:spacing w:val="0"/>
              </w:rPr>
            </w:pPr>
          </w:p>
        </w:tc>
        <w:tc>
          <w:tcPr>
            <w:tcW w:w="277" w:type="dxa"/>
            <w:vMerge/>
          </w:tcPr>
          <w:p w:rsidR="003F3890" w:rsidRPr="00360DE3" w:rsidRDefault="003F3890" w:rsidP="00DC37E3">
            <w:pPr>
              <w:pStyle w:val="Textpoznpodarou"/>
              <w:jc w:val="both"/>
            </w:pPr>
          </w:p>
        </w:tc>
        <w:tc>
          <w:tcPr>
            <w:tcW w:w="7391" w:type="dxa"/>
          </w:tcPr>
          <w:p w:rsidR="003F3890" w:rsidRPr="00360DE3" w:rsidRDefault="003F3890" w:rsidP="003F3890">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t xml:space="preserve">Hodinová produktivit práce v průmyslu zůstává zhruba osminu nad úrovní celé </w:t>
            </w:r>
            <w:r w:rsidRPr="00360DE3">
              <w:rPr>
                <w:spacing w:val="0"/>
              </w:rPr>
              <w:lastRenderedPageBreak/>
              <w:t>ekonomiky.</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rPr>
                <w:rFonts w:cs="Arial"/>
                <w:sz w:val="14"/>
                <w:szCs w:val="14"/>
              </w:rPr>
            </w:pPr>
            <w:r w:rsidRPr="00360DE3">
              <w:t xml:space="preserve">„Ztenčení“ volných rezerv na pracovním trhu se loni v průmyslu projevilo posílením hodinové produktivity práce (o 7,4 %). Výraznější meziroční nárůst si přitom průmysl připsal naposledy v letech 2005 a 2006. Za posledních deset let narostla </w:t>
            </w:r>
            <w:r w:rsidRPr="00360DE3">
              <w:lastRenderedPageBreak/>
              <w:t>reálná hodinová produktivita práce v průmyslu téměř o pětinu (v celé ekonomice zhruba o osminu). Dosažená nominální úroveň hodinové produktivity práce v průmyslu loni převyšovala hodnotu v národním hospodářství o 13 %.</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lastRenderedPageBreak/>
              <w:t>Mezi investicemi v průmyslu dlouhodobě dominují ostatní stroje a zařízení. Nejvyšší dynamiky vykazují po roce 2010 výdaje na ICT a na vědu a výzkum.</w:t>
            </w:r>
          </w:p>
        </w:tc>
        <w:tc>
          <w:tcPr>
            <w:tcW w:w="277" w:type="dxa"/>
          </w:tcPr>
          <w:p w:rsidR="000C1D78" w:rsidRPr="00360DE3" w:rsidRDefault="000C1D78" w:rsidP="00DC37E3">
            <w:pPr>
              <w:pStyle w:val="Textpoznpodarou"/>
              <w:jc w:val="both"/>
            </w:pPr>
          </w:p>
        </w:tc>
        <w:tc>
          <w:tcPr>
            <w:tcW w:w="7391" w:type="dxa"/>
          </w:tcPr>
          <w:p w:rsidR="000C1D78" w:rsidRPr="00222FFB" w:rsidRDefault="000C1D78" w:rsidP="00DC37E3">
            <w:pPr>
              <w:spacing w:after="200"/>
              <w:rPr>
                <w:rFonts w:cs="Arial"/>
                <w:spacing w:val="-2"/>
                <w:szCs w:val="20"/>
              </w:rPr>
            </w:pPr>
            <w:r w:rsidRPr="00222FFB">
              <w:rPr>
                <w:rFonts w:cs="Arial"/>
                <w:spacing w:val="-2"/>
                <w:szCs w:val="20"/>
              </w:rPr>
              <w:t>Míra investic v průmyslu má po roce 2013 klesající trend, neboť výdaje na tvorbu hrubého fixního kapitálu se zvyšovaly pomaleji než nominální HPH. Investiční aktivita v tomto odvětví tak loni dosáhla 26,8 % a pohybovala se těsně pod úrovní národního hospodářství. Z hlediska skladby investic v průmyslu tradičně dominují ostatní stroje a zařízení</w:t>
            </w:r>
            <w:r w:rsidRPr="00222FFB">
              <w:rPr>
                <w:rStyle w:val="Znakapoznpodarou"/>
                <w:rFonts w:cs="Arial"/>
                <w:spacing w:val="-2"/>
                <w:szCs w:val="20"/>
              </w:rPr>
              <w:footnoteReference w:id="77"/>
            </w:r>
            <w:r w:rsidRPr="00222FFB">
              <w:rPr>
                <w:rFonts w:cs="Arial"/>
                <w:spacing w:val="-2"/>
                <w:szCs w:val="20"/>
              </w:rPr>
              <w:t>, které se zde v roce 2017 na celkových investicích podílely 47 % (nejvíce ze všech odvětví ekonomiky). Pětina investic směřovala na budovy a stavby (vyšší váhu měly v těžbě a energetice). Nejdynamičtěji rostoucí investiční položku v celém odvětví představují po roce 2010 výdaje na výzkum a vývoj a též do oblas</w:t>
            </w:r>
            <w:r w:rsidR="00E711D1" w:rsidRPr="00222FFB">
              <w:rPr>
                <w:rFonts w:cs="Arial"/>
                <w:spacing w:val="-2"/>
                <w:szCs w:val="20"/>
              </w:rPr>
              <w:t>ti ICT, což s</w:t>
            </w:r>
            <w:r w:rsidRPr="00222FFB">
              <w:rPr>
                <w:rFonts w:cs="Arial"/>
                <w:spacing w:val="-2"/>
                <w:szCs w:val="20"/>
              </w:rPr>
              <w:t xml:space="preserve">ouvisí </w:t>
            </w:r>
            <w:r w:rsidR="00E711D1" w:rsidRPr="00222FFB">
              <w:rPr>
                <w:rFonts w:cs="Arial"/>
                <w:spacing w:val="-2"/>
                <w:szCs w:val="20"/>
              </w:rPr>
              <w:t xml:space="preserve">především </w:t>
            </w:r>
            <w:r w:rsidRPr="00222FFB">
              <w:rPr>
                <w:rFonts w:cs="Arial"/>
                <w:spacing w:val="-2"/>
                <w:szCs w:val="20"/>
              </w:rPr>
              <w:t>se sílícími tlaky v oblasti konkurenceschopnosti i produktivity umocněné v posledních letech obtížemi při náboru nových pracovníků. Prostředky do ICT</w:t>
            </w:r>
            <w:r w:rsidR="00E711D1" w:rsidRPr="00222FFB">
              <w:rPr>
                <w:rFonts w:cs="Arial"/>
                <w:spacing w:val="-2"/>
                <w:szCs w:val="20"/>
              </w:rPr>
              <w:t>, které jsou důležité hlavně ve zpracovatelském průmyslu,</w:t>
            </w:r>
            <w:r w:rsidRPr="00222FFB">
              <w:rPr>
                <w:rFonts w:cs="Arial"/>
                <w:spacing w:val="-2"/>
                <w:szCs w:val="20"/>
              </w:rPr>
              <w:t xml:space="preserve"> vytvářily loni již téměř sedminu všech průmyslových investic, u výzkumu a vývoje šlo o desetinu. Naopak význam dopravních prostředků a zařízení mezi novými inv</w:t>
            </w:r>
            <w:r w:rsidR="00E711D1" w:rsidRPr="00222FFB">
              <w:rPr>
                <w:rFonts w:cs="Arial"/>
                <w:spacing w:val="-2"/>
                <w:szCs w:val="20"/>
              </w:rPr>
              <w:t>esticemi v průmyslu klesal (loni tvořily jen 2,9 </w:t>
            </w:r>
            <w:r w:rsidRPr="00222FFB">
              <w:rPr>
                <w:rFonts w:cs="Arial"/>
                <w:spacing w:val="-2"/>
                <w:szCs w:val="20"/>
              </w:rPr>
              <w:t>%)</w:t>
            </w:r>
            <w:r w:rsidRPr="00222FFB">
              <w:rPr>
                <w:rStyle w:val="Znakapoznpodarou"/>
                <w:rFonts w:cs="Arial"/>
                <w:spacing w:val="-2"/>
                <w:szCs w:val="20"/>
              </w:rPr>
              <w:footnoteReference w:id="78"/>
            </w:r>
            <w:r w:rsidRPr="00222FFB">
              <w:rPr>
                <w:rFonts w:cs="Arial"/>
                <w:spacing w:val="-2"/>
                <w:szCs w:val="20"/>
              </w:rPr>
              <w:t xml:space="preserve">. </w:t>
            </w:r>
          </w:p>
        </w:tc>
      </w:tr>
      <w:tr w:rsidR="000C1D78" w:rsidRPr="00360DE3" w:rsidTr="001A0D6B">
        <w:trPr>
          <w:trHeight w:val="170"/>
        </w:trPr>
        <w:tc>
          <w:tcPr>
            <w:tcW w:w="1976" w:type="dxa"/>
          </w:tcPr>
          <w:p w:rsidR="000C1D78" w:rsidRPr="00360DE3" w:rsidRDefault="000C1D78" w:rsidP="00DC37E3">
            <w:pPr>
              <w:pStyle w:val="Marginlie"/>
              <w:rPr>
                <w:spacing w:val="0"/>
              </w:rPr>
            </w:pP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spacing w:after="0"/>
              <w:rPr>
                <w:rFonts w:cs="Arial"/>
                <w:szCs w:val="20"/>
              </w:rPr>
            </w:pPr>
            <w:r w:rsidRPr="00360DE3">
              <w:rPr>
                <w:rFonts w:cs="Arial"/>
                <w:b/>
                <w:szCs w:val="20"/>
              </w:rPr>
              <w:t xml:space="preserve">Graf </w:t>
            </w:r>
            <w:proofErr w:type="gramStart"/>
            <w:r w:rsidRPr="00360DE3">
              <w:rPr>
                <w:rFonts w:cs="Arial"/>
                <w:b/>
                <w:szCs w:val="20"/>
              </w:rPr>
              <w:t>11.2  Hlavní</w:t>
            </w:r>
            <w:proofErr w:type="gramEnd"/>
            <w:r w:rsidRPr="00360DE3">
              <w:rPr>
                <w:rFonts w:cs="Arial"/>
                <w:b/>
                <w:szCs w:val="20"/>
              </w:rPr>
              <w:t xml:space="preserve"> položky tvorby hrubého fixního kapitálu ve zpracovatelském průmyslu</w:t>
            </w:r>
            <w:r w:rsidRPr="00360DE3">
              <w:rPr>
                <w:rFonts w:cs="Arial"/>
                <w:szCs w:val="20"/>
              </w:rPr>
              <w:t xml:space="preserve"> (v mil. korun, v cenách roku 2010)</w:t>
            </w:r>
          </w:p>
          <w:p w:rsidR="000C1D78" w:rsidRPr="00360DE3" w:rsidRDefault="000C1D78" w:rsidP="00DC37E3">
            <w:pPr>
              <w:spacing w:after="0"/>
            </w:pPr>
            <w:r w:rsidRPr="00360DE3">
              <w:rPr>
                <w:noProof/>
              </w:rPr>
              <w:drawing>
                <wp:inline distT="0" distB="0" distL="0" distR="0">
                  <wp:extent cx="4707653" cy="3456633"/>
                  <wp:effectExtent l="0" t="0" r="0" b="0"/>
                  <wp:docPr id="7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0C1D78" w:rsidRPr="00360DE3" w:rsidTr="001A0D6B">
        <w:trPr>
          <w:trHeight w:val="170"/>
        </w:trPr>
        <w:tc>
          <w:tcPr>
            <w:tcW w:w="1976" w:type="dxa"/>
          </w:tcPr>
          <w:p w:rsidR="000C1D78" w:rsidRPr="00360DE3" w:rsidRDefault="000C1D78" w:rsidP="00DC37E3">
            <w:pPr>
              <w:pStyle w:val="Marginlie"/>
              <w:rPr>
                <w:spacing w:val="0"/>
              </w:rPr>
            </w:pP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spacing w:after="180"/>
            </w:pPr>
            <w:r w:rsidRPr="00360DE3">
              <w:rPr>
                <w:rFonts w:cs="Arial"/>
                <w:sz w:val="14"/>
                <w:szCs w:val="14"/>
              </w:rPr>
              <w:t>Zdroj: ČSÚ (národní účty)</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t xml:space="preserve">V severských státech a zemích Beneluxu stály za vysokou mírou investic v průmyslu výdaje do duševního vlastnictví. </w:t>
            </w:r>
          </w:p>
          <w:p w:rsidR="000C1D78" w:rsidRPr="00360DE3" w:rsidRDefault="000C1D78" w:rsidP="00DC37E3">
            <w:pPr>
              <w:pStyle w:val="Marginlie"/>
              <w:rPr>
                <w:spacing w:val="0"/>
              </w:rPr>
            </w:pPr>
          </w:p>
          <w:p w:rsidR="000C1D78" w:rsidRPr="00360DE3" w:rsidRDefault="000C1D78" w:rsidP="00DC37E3">
            <w:pPr>
              <w:pStyle w:val="Marginlie"/>
              <w:rPr>
                <w:spacing w:val="0"/>
              </w:rPr>
            </w:pPr>
          </w:p>
          <w:p w:rsidR="000C1D78" w:rsidRPr="00360DE3" w:rsidRDefault="000C1D78" w:rsidP="00DC37E3">
            <w:pPr>
              <w:pStyle w:val="Marginlie"/>
              <w:rPr>
                <w:spacing w:val="0"/>
              </w:rPr>
            </w:pPr>
            <w:r w:rsidRPr="00360DE3">
              <w:rPr>
                <w:spacing w:val="0"/>
              </w:rPr>
              <w:t xml:space="preserve">V novějších členských zemích Unie měly vyšší </w:t>
            </w:r>
            <w:r w:rsidRPr="00360DE3">
              <w:rPr>
                <w:spacing w:val="0"/>
              </w:rPr>
              <w:lastRenderedPageBreak/>
              <w:t>váhu investice do budov, strojů a zařízení.</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spacing w:after="200"/>
              <w:rPr>
                <w:rFonts w:cs="Arial"/>
                <w:szCs w:val="20"/>
              </w:rPr>
            </w:pPr>
            <w:r w:rsidRPr="00360DE3">
              <w:rPr>
                <w:rFonts w:cs="Arial"/>
                <w:szCs w:val="20"/>
              </w:rPr>
              <w:t xml:space="preserve">Míra investic v tuzemském průmyslu dlouhodobě mírně převyšuje úroveň EU. V roce 2016 ale Česko mezi desítku investičně nejaktivnějších států Unie nepatřilo. Vysokou mírou investic se vyznačovaly hlavně menší a středně velké ekonomiky (vyjma Francie). Jednalo se o země Beneluxu, severské státy a ze zemí střední a východní Evropy hlavně o Rumunsko, Slovensko (oba 36 %) a Maďarsko (29 %). Na rozdíl od ČR se na vysoké investiční aktivitě v těchto novějších členských státech podílely výdaje na ICT jen minimálně. Výdaje do duševního vlastnictví </w:t>
            </w:r>
            <w:r w:rsidRPr="00360DE3">
              <w:rPr>
                <w:rFonts w:cs="Arial"/>
                <w:szCs w:val="20"/>
              </w:rPr>
              <w:lastRenderedPageBreak/>
              <w:t xml:space="preserve">(především vědy a výzkumu) tvořily v Německu, Rakousku, Dánsku, Belgii, Švédsku a Finsku kolem 40 % investic v průmyslu (ve Francii téměř 50 %). </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lastRenderedPageBreak/>
              <w:t xml:space="preserve">Loňský silný růst HPH v průmyslu měl podobně jako v letech 2005 i 2006 převážně plošný charakter. </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rPr>
                <w:rFonts w:cs="Arial"/>
                <w:szCs w:val="20"/>
              </w:rPr>
            </w:pPr>
            <w:r w:rsidRPr="00360DE3">
              <w:rPr>
                <w:rFonts w:cs="Arial"/>
                <w:szCs w:val="20"/>
              </w:rPr>
              <w:t>Zatímco v roce 2016 nepřesáhl růst HPH v průmyslu 2 %, loni prudce zrychlil na rovných 9 %. Přispěla k tomu primárně akcelerace výkonu váhově dominantní</w:t>
            </w:r>
            <w:r w:rsidRPr="00360DE3">
              <w:rPr>
                <w:rStyle w:val="Znakapoznpodarou"/>
                <w:rFonts w:cs="Arial"/>
                <w:szCs w:val="20"/>
              </w:rPr>
              <w:footnoteReference w:id="79"/>
            </w:r>
            <w:r w:rsidRPr="00360DE3">
              <w:rPr>
                <w:rFonts w:cs="Arial"/>
                <w:szCs w:val="20"/>
              </w:rPr>
              <w:t xml:space="preserve"> výroby motorových vozidel i nejbližších návazných oborů (gumárenství, výroby elektrických zařízení). Podstatné bylo i významné posílení výkonu strojírenství a obnovení v minulosti dočasně utlumených výrobních kapacit v chemickém průmyslu a energetice. Vyjma těžby a dobývání, hutnictví i vodního hospodářství tak k loňskému vysokému růstu přidané hodnoty průmyslu přispěly všechny jeho významné obory. Analogická situace nastala naposledy v letech 2005 a 2006. </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t>K růstu HPH v průmyslu přispěly z poloviny automobilový průmysl a nejbližší návazné obory.</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rPr>
                <w:rFonts w:cs="Arial"/>
                <w:szCs w:val="20"/>
              </w:rPr>
            </w:pPr>
            <w:r w:rsidRPr="00360DE3">
              <w:rPr>
                <w:rFonts w:cs="Arial"/>
                <w:szCs w:val="20"/>
              </w:rPr>
              <w:t xml:space="preserve">Velmi úspěšný rok zažila loni výroba motorových vozidel. Tempo meziročního růstu HPH se zde oproti roku 2016 zdvojnásobilo a činilo bezmála 20 %. K navýšení HPH v celém průmyslu přispělo toto odvětví 3,5 p. </w:t>
            </w:r>
            <w:proofErr w:type="spellStart"/>
            <w:r w:rsidRPr="00360DE3">
              <w:rPr>
                <w:rFonts w:cs="Arial"/>
                <w:szCs w:val="20"/>
              </w:rPr>
              <w:t>b</w:t>
            </w:r>
            <w:proofErr w:type="spellEnd"/>
            <w:r w:rsidRPr="00360DE3">
              <w:rPr>
                <w:rFonts w:cs="Arial"/>
                <w:szCs w:val="20"/>
              </w:rPr>
              <w:t>. (nejsilnější vliv za posledních sedm let). Z podnikových statistik vyplynulo, že váhově převažující tržby z přímého vývozu</w:t>
            </w:r>
            <w:r w:rsidRPr="00360DE3">
              <w:rPr>
                <w:rStyle w:val="Znakapoznpodarou"/>
                <w:rFonts w:cs="Arial"/>
                <w:szCs w:val="20"/>
              </w:rPr>
              <w:footnoteReference w:id="80"/>
            </w:r>
            <w:r w:rsidRPr="00360DE3">
              <w:rPr>
                <w:rFonts w:cs="Arial"/>
                <w:szCs w:val="20"/>
              </w:rPr>
              <w:t xml:space="preserve"> zde loni rostly pomaleji než domácí tržby (ty mohou zahrnovat i nepřímý vývoz). Rekordu dosáhlo i fyzické množství vyrobené produkce</w:t>
            </w:r>
            <w:r w:rsidRPr="00360DE3">
              <w:rPr>
                <w:rStyle w:val="Znakapoznpodarou"/>
                <w:rFonts w:cs="Arial"/>
                <w:szCs w:val="20"/>
              </w:rPr>
              <w:footnoteReference w:id="81"/>
            </w:r>
            <w:r w:rsidRPr="00360DE3">
              <w:rPr>
                <w:rFonts w:cs="Arial"/>
                <w:szCs w:val="20"/>
              </w:rPr>
              <w:t>. I přes napjatou situaci na pracovním trhu se odvětví dařilo obsazovat nová místa. Počet pracovníků se loni rozšířil o 2,8 %, od konce poslední recese (rok 2013) o čtvrtinu (resp. 40 tis.). Tempo růstu průměrných zaměstnaneckých výdělků (+9,1 %, dle údajů národních účtů) řadilo loni odvětví ke špičce mezi všemi průmyslovými obory, jejich dosažená výše</w:t>
            </w:r>
            <w:r w:rsidRPr="00360DE3">
              <w:rPr>
                <w:rStyle w:val="Znakapoznpodarou"/>
                <w:rFonts w:cs="Arial"/>
                <w:szCs w:val="20"/>
              </w:rPr>
              <w:footnoteReference w:id="82"/>
            </w:r>
            <w:r w:rsidRPr="00360DE3">
              <w:rPr>
                <w:rFonts w:cs="Arial"/>
                <w:szCs w:val="20"/>
              </w:rPr>
              <w:t xml:space="preserve"> převyšovala úroveň celé ekonomiky o více než čtvrtinu.</w:t>
            </w:r>
          </w:p>
        </w:tc>
      </w:tr>
      <w:tr w:rsidR="000C1D78" w:rsidRPr="00360DE3" w:rsidTr="001A0D6B">
        <w:trPr>
          <w:trHeight w:val="170"/>
        </w:trPr>
        <w:tc>
          <w:tcPr>
            <w:tcW w:w="1976" w:type="dxa"/>
          </w:tcPr>
          <w:p w:rsidR="000C1D78" w:rsidRPr="00360DE3" w:rsidRDefault="000C1D78" w:rsidP="00DC37E3">
            <w:pPr>
              <w:pStyle w:val="Marginlie"/>
              <w:rPr>
                <w:spacing w:val="0"/>
              </w:rPr>
            </w:pP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spacing w:after="0"/>
              <w:jc w:val="left"/>
            </w:pPr>
            <w:r w:rsidRPr="00360DE3">
              <w:rPr>
                <w:b/>
              </w:rPr>
              <w:t xml:space="preserve">Graf </w:t>
            </w:r>
            <w:proofErr w:type="gramStart"/>
            <w:r w:rsidRPr="00360DE3">
              <w:rPr>
                <w:b/>
              </w:rPr>
              <w:t>11.3  Příspěvky</w:t>
            </w:r>
            <w:proofErr w:type="gramEnd"/>
            <w:r w:rsidRPr="00360DE3">
              <w:rPr>
                <w:b/>
              </w:rPr>
              <w:t xml:space="preserve"> odvětvových oddílů k meziroční změně HPH v celém průmyslu </w:t>
            </w:r>
            <w:r w:rsidRPr="00360DE3">
              <w:t>(reálně, v procentních bodech)</w:t>
            </w:r>
          </w:p>
          <w:p w:rsidR="000C1D78" w:rsidRPr="00360DE3" w:rsidRDefault="000C1D78" w:rsidP="00DC37E3">
            <w:pPr>
              <w:spacing w:after="0"/>
              <w:rPr>
                <w:rFonts w:cs="Arial"/>
                <w:szCs w:val="20"/>
              </w:rPr>
            </w:pPr>
            <w:r w:rsidRPr="00360DE3">
              <w:rPr>
                <w:rFonts w:cs="Arial"/>
                <w:noProof/>
                <w:szCs w:val="20"/>
              </w:rPr>
              <w:drawing>
                <wp:inline distT="0" distB="0" distL="0" distR="0">
                  <wp:extent cx="4673600" cy="3409950"/>
                  <wp:effectExtent l="19050" t="0" r="0" b="0"/>
                  <wp:docPr id="7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0C1D78" w:rsidRPr="00360DE3" w:rsidTr="001A0D6B">
        <w:trPr>
          <w:trHeight w:val="170"/>
        </w:trPr>
        <w:tc>
          <w:tcPr>
            <w:tcW w:w="1976" w:type="dxa"/>
          </w:tcPr>
          <w:p w:rsidR="000C1D78" w:rsidRPr="00360DE3" w:rsidRDefault="000C1D78" w:rsidP="00DC37E3">
            <w:pPr>
              <w:pStyle w:val="Marginlie"/>
              <w:spacing w:line="240" w:lineRule="auto"/>
              <w:rPr>
                <w:spacing w:val="0"/>
              </w:rPr>
            </w:pP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spacing w:after="0" w:line="240" w:lineRule="auto"/>
              <w:rPr>
                <w:rFonts w:cs="Arial"/>
                <w:sz w:val="14"/>
                <w:szCs w:val="14"/>
              </w:rPr>
            </w:pPr>
            <w:r w:rsidRPr="00360DE3">
              <w:rPr>
                <w:rFonts w:cs="Arial"/>
                <w:sz w:val="14"/>
                <w:szCs w:val="14"/>
              </w:rPr>
              <w:t>Zdroj: ČSÚ (národní účty)</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lastRenderedPageBreak/>
              <w:t>Zatímco ve výrobě elektronických a optických přístrojů přetrvával dynamický růst již čtvrtým rokem v řadě, k výraznému oživení ve strojírenství došlo teprve vloni.</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pPr>
              <w:rPr>
                <w:rFonts w:cs="Arial"/>
                <w:szCs w:val="20"/>
              </w:rPr>
            </w:pPr>
            <w:r w:rsidRPr="00360DE3">
              <w:rPr>
                <w:rFonts w:cs="Arial"/>
                <w:szCs w:val="20"/>
              </w:rPr>
              <w:t xml:space="preserve">Ve strojírenství – třetím váhově nejvýznamnějším zpracovatelském </w:t>
            </w:r>
            <w:proofErr w:type="gramStart"/>
            <w:r w:rsidRPr="00360DE3">
              <w:rPr>
                <w:rFonts w:cs="Arial"/>
                <w:szCs w:val="20"/>
              </w:rPr>
              <w:t>oboru</w:t>
            </w:r>
            <w:proofErr w:type="gramEnd"/>
            <w:r w:rsidRPr="00360DE3">
              <w:rPr>
                <w:rFonts w:cs="Arial"/>
                <w:szCs w:val="20"/>
              </w:rPr>
              <w:t xml:space="preserve"> – vzrostla loni HPH o 13 %. Stalo se tak po pěti předešlých slabších letech. K jeho oživení výrazně přispěla tuzemská poptávka (růst domácích tržeb o 28 %). Ve výrazně proexportní výrobě počítačů, elektronických a optických přístrojů přetrvával silný růst již čtvrtým rokem v řadě. Od konce poslední recese tak výkon odvětví vzrostl o více než polovinu, což bylo společně s chemickým průmyslem nejvíce ze všech zpracovatelských oborů</w:t>
            </w:r>
            <w:r w:rsidRPr="00360DE3">
              <w:rPr>
                <w:rStyle w:val="Znakapoznpodarou"/>
                <w:rFonts w:cs="Arial"/>
                <w:szCs w:val="20"/>
              </w:rPr>
              <w:footnoteReference w:id="83"/>
            </w:r>
            <w:r w:rsidRPr="00360DE3">
              <w:rPr>
                <w:rFonts w:cs="Arial"/>
                <w:szCs w:val="20"/>
              </w:rPr>
              <w:t>. Loni se dařilo i potravinářství, kde i nikterak dramatický 8% růst HPH znamenal nejlepší výsledek po roce 2005. Tomuto na tuzemský trh více orientovanému oboru pomohla i dobrá úroda v předešlém roce, jakož i stabilizace v živočišné produkci. Pokračoval i rozvoj malých oborů v čele s nábytkářstvím (kde se za poslední dva roky HPH navýšila o čtvrtinu) a dále také výrobou nápojů, tabáku papíru, jakož i textilního, oděvního, kožedělného či dřevozpracujícího průmyslu. Přestože tyto malé obory vytváří méně než desetinu přidané hodnoty celého průmyslu, na jeho meziročním růstu se loni podílely téměř celým procentním bodem.</w:t>
            </w:r>
          </w:p>
        </w:tc>
      </w:tr>
      <w:tr w:rsidR="000C1D78" w:rsidRPr="00360DE3" w:rsidTr="001A0D6B">
        <w:trPr>
          <w:trHeight w:val="170"/>
        </w:trPr>
        <w:tc>
          <w:tcPr>
            <w:tcW w:w="1976" w:type="dxa"/>
          </w:tcPr>
          <w:p w:rsidR="000C1D78" w:rsidRPr="00360DE3" w:rsidRDefault="000C1D78" w:rsidP="00DC37E3">
            <w:pPr>
              <w:pStyle w:val="Marginlie"/>
              <w:rPr>
                <w:spacing w:val="0"/>
              </w:rPr>
            </w:pPr>
            <w:r w:rsidRPr="00360DE3">
              <w:rPr>
                <w:spacing w:val="0"/>
              </w:rPr>
              <w:t xml:space="preserve">Ukončení neplánovaných odstávek v chemickém průmyslu a energetice vyústilo vloni v plné obnovení jejich výrobních kapacit. Růst HPH průmyslu podpořily 1 p. </w:t>
            </w:r>
            <w:proofErr w:type="spellStart"/>
            <w:r w:rsidRPr="00360DE3">
              <w:rPr>
                <w:spacing w:val="0"/>
              </w:rPr>
              <w:t>b</w:t>
            </w:r>
            <w:proofErr w:type="spellEnd"/>
            <w:r w:rsidRPr="00360DE3">
              <w:rPr>
                <w:spacing w:val="0"/>
              </w:rPr>
              <w:t xml:space="preserve">. </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1A0D6B">
            <w:pPr>
              <w:rPr>
                <w:rFonts w:cs="Arial"/>
                <w:szCs w:val="20"/>
              </w:rPr>
            </w:pPr>
            <w:r w:rsidRPr="00360DE3">
              <w:rPr>
                <w:rFonts w:cs="Arial"/>
                <w:szCs w:val="20"/>
              </w:rPr>
              <w:t xml:space="preserve">Důležitým impulsem pro loňskou akceleraci průmyslu bylo citelné oživení ve významných strategických odvětvích – energetice i chemickém </w:t>
            </w:r>
            <w:proofErr w:type="gramStart"/>
            <w:r w:rsidRPr="00360DE3">
              <w:rPr>
                <w:rFonts w:cs="Arial"/>
                <w:szCs w:val="20"/>
              </w:rPr>
              <w:t>průmyslu</w:t>
            </w:r>
            <w:proofErr w:type="gramEnd"/>
            <w:r w:rsidRPr="00360DE3">
              <w:rPr>
                <w:rFonts w:cs="Arial"/>
                <w:szCs w:val="20"/>
              </w:rPr>
              <w:t xml:space="preserve">. Po skončení neplánovaných odstávek vlivem havárií v letech 2015 i 2016 výkony v těchto odvětví loni prudce vzrostly. Zatímco v roce 2016 přispívaly k růstu HPH celého průmyslu negativně (-1,0 p. </w:t>
            </w:r>
            <w:proofErr w:type="spellStart"/>
            <w:r w:rsidRPr="00360DE3">
              <w:rPr>
                <w:rFonts w:cs="Arial"/>
                <w:szCs w:val="20"/>
              </w:rPr>
              <w:t>b</w:t>
            </w:r>
            <w:proofErr w:type="spellEnd"/>
            <w:r w:rsidRPr="00360DE3">
              <w:rPr>
                <w:rFonts w:cs="Arial"/>
                <w:szCs w:val="20"/>
              </w:rPr>
              <w:t>.), loni se stejnou intenzitou, ale v pozitivním směru. V obou odvětvích přetrvává dlouhodobý trend posilování zaměstnanosti a výší průměrných mezd se řadí k nejlépe hodnoceným průmyslovým oborům. Z hlediska výkonů se však odlišují. Jestliže v chemickém průmyslu se HPH za posledních deset navýšila o 55 %, v energetice se zredukovala o 30 %. Pokles výkonu energetiky v poslední dekádě souvisel s proměnami odvětvové skladby ekonomiky, tlaky na redukci energetické náročnosti výrob či energetickými úsporami v domácnostech či vládním sektoru.</w:t>
            </w:r>
          </w:p>
        </w:tc>
      </w:tr>
      <w:tr w:rsidR="001A0D6B" w:rsidRPr="00360DE3" w:rsidTr="001A0D6B">
        <w:trPr>
          <w:trHeight w:val="170"/>
        </w:trPr>
        <w:tc>
          <w:tcPr>
            <w:tcW w:w="1976" w:type="dxa"/>
          </w:tcPr>
          <w:p w:rsidR="001A0D6B" w:rsidRPr="00360DE3" w:rsidRDefault="001A0D6B" w:rsidP="00F162B3">
            <w:pPr>
              <w:pStyle w:val="Marginlie"/>
              <w:rPr>
                <w:spacing w:val="0"/>
              </w:rPr>
            </w:pPr>
            <w:r w:rsidRPr="00360DE3">
              <w:rPr>
                <w:spacing w:val="0"/>
              </w:rPr>
              <w:t>Produkce v těžebním průmyslu klesala již desátým rokem v řadě. Útlum těžby černého uhlí a uranu nebyl kompenzován růstem těžby některých stavebních surovin.</w:t>
            </w:r>
          </w:p>
        </w:tc>
        <w:tc>
          <w:tcPr>
            <w:tcW w:w="277" w:type="dxa"/>
          </w:tcPr>
          <w:p w:rsidR="001A0D6B" w:rsidRPr="00360DE3" w:rsidRDefault="001A0D6B" w:rsidP="00F162B3">
            <w:pPr>
              <w:pStyle w:val="Textpoznpodarou"/>
              <w:jc w:val="both"/>
            </w:pPr>
          </w:p>
        </w:tc>
        <w:tc>
          <w:tcPr>
            <w:tcW w:w="7391" w:type="dxa"/>
          </w:tcPr>
          <w:p w:rsidR="001A0D6B" w:rsidRPr="00360DE3" w:rsidRDefault="001A0D6B" w:rsidP="00F162B3">
            <w:pPr>
              <w:spacing w:after="220"/>
              <w:rPr>
                <w:rFonts w:cs="Arial"/>
                <w:szCs w:val="20"/>
              </w:rPr>
            </w:pPr>
            <w:r w:rsidRPr="00360DE3">
              <w:rPr>
                <w:rFonts w:cs="Arial"/>
                <w:szCs w:val="20"/>
              </w:rPr>
              <w:t>I v roce 2017 pokračoval vleklý útlum v těžebním průmyslu. Produkce zde klesala již desátým rokem v řadě (v úhrnu za celé období o 37 %). Přidaná hodnota se loni snížila bezmála o desetinu, především vlivem řízeného útlumu těžby černého uhlí, z menší části také uranu. Celkový vývoj v odvětví již nemohly zvrátit vyšší výkony v okrajovém segmentu těžby některých surovin (kámen, písky, jíly) užívaných ve stavebnictví. Hloubce redukce výkonových ukazatelů v celém o</w:t>
            </w:r>
            <w:r w:rsidR="00274037">
              <w:rPr>
                <w:rFonts w:cs="Arial"/>
                <w:szCs w:val="20"/>
              </w:rPr>
              <w:t>dvětví odpovídal i</w:t>
            </w:r>
            <w:r w:rsidR="00274037" w:rsidRPr="00360DE3">
              <w:t> </w:t>
            </w:r>
            <w:r w:rsidRPr="00360DE3">
              <w:rPr>
                <w:rFonts w:cs="Arial"/>
                <w:szCs w:val="20"/>
              </w:rPr>
              <w:t>úbytek pracovních míst. Rok 2017 přinesl i pozitivní zprávu – nominální tržby podniků v těžbě a dobývání poprvé po roce 2011 vzrostly (+8,7 %), když se prudký pokles cen uhlí zastavil.</w:t>
            </w:r>
          </w:p>
        </w:tc>
      </w:tr>
      <w:tr w:rsidR="001A0D6B" w:rsidRPr="00360DE3" w:rsidTr="001A0D6B">
        <w:trPr>
          <w:trHeight w:val="170"/>
        </w:trPr>
        <w:tc>
          <w:tcPr>
            <w:tcW w:w="1976" w:type="dxa"/>
          </w:tcPr>
          <w:p w:rsidR="001A0D6B" w:rsidRPr="00360DE3" w:rsidRDefault="001A0D6B" w:rsidP="00F162B3">
            <w:pPr>
              <w:pStyle w:val="Marginlie"/>
              <w:rPr>
                <w:spacing w:val="0"/>
              </w:rPr>
            </w:pPr>
            <w:r w:rsidRPr="00360DE3">
              <w:rPr>
                <w:spacing w:val="0"/>
              </w:rPr>
              <w:t>Výkony i zaměstnanost v hutnictví a slévárenství po roce 2010 stagnovaly.</w:t>
            </w:r>
          </w:p>
        </w:tc>
        <w:tc>
          <w:tcPr>
            <w:tcW w:w="277" w:type="dxa"/>
          </w:tcPr>
          <w:p w:rsidR="001A0D6B" w:rsidRPr="00360DE3" w:rsidRDefault="001A0D6B" w:rsidP="00F162B3">
            <w:pPr>
              <w:pStyle w:val="Textpoznpodarou"/>
              <w:jc w:val="both"/>
            </w:pPr>
          </w:p>
        </w:tc>
        <w:tc>
          <w:tcPr>
            <w:tcW w:w="7391" w:type="dxa"/>
          </w:tcPr>
          <w:p w:rsidR="001A0D6B" w:rsidRPr="00360DE3" w:rsidRDefault="001A0D6B" w:rsidP="00F162B3">
            <w:pPr>
              <w:spacing w:after="220"/>
              <w:rPr>
                <w:rFonts w:cs="Arial"/>
                <w:szCs w:val="20"/>
              </w:rPr>
            </w:pPr>
            <w:r w:rsidRPr="00360DE3">
              <w:rPr>
                <w:rFonts w:cs="Arial"/>
                <w:szCs w:val="20"/>
              </w:rPr>
              <w:t>S dílčími problémy se potýkalo i hutnictví a slévárenství. V roce 2017 jeho HPH klesla o 13 %. Z pohledu celého období po roce 2010 výkon odvětví spíše stagnuje – ať již jde o produkci, přidanou hodnotu i celkovou zaměstnanost. Ovlivňují ho dlouhodobější strukturální změny v celém průmyslu (vč. tlaků na snižování materiálové i energetické náročnosti), ale i důsledky sílících dovozů oceli a příbuzných výrobků z Číny.</w:t>
            </w:r>
          </w:p>
        </w:tc>
      </w:tr>
      <w:tr w:rsidR="00B57338" w:rsidRPr="00360DE3" w:rsidTr="001A0D6B">
        <w:trPr>
          <w:trHeight w:val="170"/>
        </w:trPr>
        <w:tc>
          <w:tcPr>
            <w:tcW w:w="1976" w:type="dxa"/>
          </w:tcPr>
          <w:p w:rsidR="00B57338" w:rsidRPr="00360DE3" w:rsidRDefault="00B57338" w:rsidP="00F162B3">
            <w:pPr>
              <w:pStyle w:val="Marginlie"/>
              <w:rPr>
                <w:spacing w:val="0"/>
              </w:rPr>
            </w:pPr>
            <w:r w:rsidRPr="00360DE3">
              <w:rPr>
                <w:spacing w:val="0"/>
              </w:rPr>
              <w:t>Dílčí průmyslové obory se dlouhodobě liší investiční náročností, produktivitou práce, ziskovostí, ale i vlastnickou skladbou podniků.</w:t>
            </w: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r w:rsidRPr="00360DE3">
              <w:rPr>
                <w:spacing w:val="0"/>
              </w:rPr>
              <w:t>Vztah mezi mírou ziskovosti a rolí zahraničního kapitálu je na úrovni odvětvových oddílů průmyslu v ČR silný.</w:t>
            </w:r>
          </w:p>
        </w:tc>
        <w:tc>
          <w:tcPr>
            <w:tcW w:w="277" w:type="dxa"/>
          </w:tcPr>
          <w:p w:rsidR="00B57338" w:rsidRPr="00360DE3" w:rsidRDefault="00B57338" w:rsidP="00F162B3">
            <w:pPr>
              <w:pStyle w:val="Textpoznpodarou"/>
              <w:jc w:val="both"/>
            </w:pPr>
          </w:p>
        </w:tc>
        <w:tc>
          <w:tcPr>
            <w:tcW w:w="7391" w:type="dxa"/>
          </w:tcPr>
          <w:p w:rsidR="00B57338" w:rsidRPr="00360DE3" w:rsidRDefault="00B57338" w:rsidP="00F162B3">
            <w:pPr>
              <w:rPr>
                <w:rFonts w:cs="Arial"/>
                <w:szCs w:val="20"/>
              </w:rPr>
            </w:pPr>
            <w:r w:rsidRPr="00360DE3">
              <w:rPr>
                <w:rFonts w:cs="Arial"/>
                <w:szCs w:val="20"/>
              </w:rPr>
              <w:t xml:space="preserve">Charakter výrobní činnosti odlišuje jednotlivé průmyslové obory z hlediska požadavků na pracovní sílu či investiční náročnosti. Obory se liší také organizační strukturou (velikostní i vlastnickou skladbou podniků). Tyto vlivy se promítají do výrazných rozdílů mezi průmyslovými obory z pohledu dosahované produktivity práce, míry investic či ziskovosti. Nejvyšší míry ziskovosti dlouhodobě dosahují </w:t>
            </w:r>
            <w:r w:rsidRPr="00360DE3">
              <w:rPr>
                <w:rFonts w:cs="Arial"/>
                <w:szCs w:val="20"/>
              </w:rPr>
              <w:lastRenderedPageBreak/>
              <w:t>nefinanční podniky v energetice, v nápojovém, tabákovém průmyslu a také odvětví výroby počítačů, elektronických a optických přístrojů. Toto odvětví vykazuje společně s energetikou, těžbou i petrochemickým průmyslem nejvyšší investiční nenáročnost. Vztah mezi mírou investic a zisku je v průmyslových odvětvích poměrně volný. Těsnost vazby mezi investiční aktivitou a podílem podniků pod zahraniční kontrolou (na HPH vytvořené podnikovou sférou) byla ještě slabší. Naopak vazba mezi ziskovostí podniků a rolí zahraničního kapitálu se ukázala jako významná. Zčásti je to způsobeno selektivností zahraničních investic, které v minulosti proudily především do perspektivních oborů.</w:t>
            </w:r>
          </w:p>
        </w:tc>
      </w:tr>
      <w:tr w:rsidR="00B57338" w:rsidRPr="00360DE3" w:rsidTr="001A0D6B">
        <w:trPr>
          <w:trHeight w:val="170"/>
        </w:trPr>
        <w:tc>
          <w:tcPr>
            <w:tcW w:w="1976" w:type="dxa"/>
          </w:tcPr>
          <w:p w:rsidR="00B57338" w:rsidRPr="00360DE3" w:rsidRDefault="00B57338" w:rsidP="00DC37E3">
            <w:pPr>
              <w:pStyle w:val="Marginlie"/>
              <w:rPr>
                <w:spacing w:val="0"/>
              </w:rPr>
            </w:pP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spacing w:after="0"/>
              <w:rPr>
                <w:rFonts w:cs="Arial"/>
                <w:szCs w:val="20"/>
              </w:rPr>
            </w:pPr>
            <w:r w:rsidRPr="00360DE3">
              <w:rPr>
                <w:rFonts w:cs="Arial"/>
                <w:b/>
                <w:szCs w:val="20"/>
              </w:rPr>
              <w:t xml:space="preserve">Graf </w:t>
            </w:r>
            <w:proofErr w:type="gramStart"/>
            <w:r w:rsidRPr="00360DE3">
              <w:rPr>
                <w:rFonts w:cs="Arial"/>
                <w:b/>
                <w:szCs w:val="20"/>
              </w:rPr>
              <w:t>11.4  Míra</w:t>
            </w:r>
            <w:proofErr w:type="gramEnd"/>
            <w:r w:rsidRPr="00360DE3">
              <w:rPr>
                <w:rFonts w:cs="Arial"/>
                <w:b/>
                <w:szCs w:val="20"/>
              </w:rPr>
              <w:t xml:space="preserve"> investic, míra zisku*v roce 2017 a podíl podniků pod zahraniční kontrolou na HPH vytvořené všemi nefinančními podniky</w:t>
            </w:r>
            <w:r w:rsidRPr="00360DE3">
              <w:rPr>
                <w:rFonts w:cs="Arial"/>
                <w:szCs w:val="20"/>
              </w:rPr>
              <w:t xml:space="preserve"> </w:t>
            </w:r>
            <w:r w:rsidRPr="00360DE3">
              <w:rPr>
                <w:rFonts w:cs="Arial"/>
                <w:b/>
                <w:szCs w:val="20"/>
              </w:rPr>
              <w:t xml:space="preserve">v roce 2016 </w:t>
            </w:r>
            <w:r w:rsidRPr="00360DE3">
              <w:rPr>
                <w:rFonts w:cs="Arial"/>
                <w:szCs w:val="20"/>
              </w:rPr>
              <w:t>(v %)</w:t>
            </w:r>
          </w:p>
          <w:p w:rsidR="00B57338" w:rsidRPr="00360DE3" w:rsidRDefault="00B57338" w:rsidP="00DC37E3">
            <w:pPr>
              <w:spacing w:after="0"/>
              <w:rPr>
                <w:rFonts w:cs="Arial"/>
                <w:sz w:val="14"/>
                <w:szCs w:val="14"/>
              </w:rPr>
            </w:pPr>
            <w:r w:rsidRPr="00360DE3">
              <w:rPr>
                <w:rFonts w:cs="Arial"/>
                <w:noProof/>
                <w:sz w:val="14"/>
                <w:szCs w:val="14"/>
              </w:rPr>
              <w:drawing>
                <wp:inline distT="0" distB="0" distL="0" distR="0">
                  <wp:extent cx="4703673" cy="3467405"/>
                  <wp:effectExtent l="0" t="0" r="0" b="0"/>
                  <wp:docPr id="4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B57338" w:rsidRPr="00360DE3" w:rsidTr="001A0D6B">
        <w:trPr>
          <w:trHeight w:val="170"/>
        </w:trPr>
        <w:tc>
          <w:tcPr>
            <w:tcW w:w="1976" w:type="dxa"/>
          </w:tcPr>
          <w:p w:rsidR="00B57338" w:rsidRPr="00360DE3" w:rsidRDefault="00B57338" w:rsidP="00DC37E3">
            <w:pPr>
              <w:pStyle w:val="Marginlie"/>
              <w:rPr>
                <w:spacing w:val="0"/>
              </w:rPr>
            </w:pP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spacing w:after="200"/>
              <w:rPr>
                <w:rFonts w:cs="Arial"/>
                <w:sz w:val="14"/>
                <w:szCs w:val="14"/>
              </w:rPr>
            </w:pPr>
            <w:r w:rsidRPr="00360DE3">
              <w:rPr>
                <w:rFonts w:cs="Arial"/>
                <w:sz w:val="14"/>
                <w:szCs w:val="14"/>
              </w:rPr>
              <w:t>*Míra zisku se vztahuje jen k nefinančním podnikům, nezahrnuje tedy všechny ekonomické subjekty působící v příslušném odvětví. U popisů jednotlivých průmyslových oddílů či sekcí je v závorce uveden příslušný kód dle klasifikace CZ-NACE.                                                                                                               Zdroj: ČSÚ (národní účty)</w:t>
            </w:r>
          </w:p>
        </w:tc>
      </w:tr>
      <w:tr w:rsidR="00B57338" w:rsidRPr="00360DE3" w:rsidTr="001A0D6B">
        <w:trPr>
          <w:trHeight w:val="170"/>
        </w:trPr>
        <w:tc>
          <w:tcPr>
            <w:tcW w:w="1976" w:type="dxa"/>
          </w:tcPr>
          <w:p w:rsidR="00B57338" w:rsidRPr="00360DE3" w:rsidRDefault="00B57338" w:rsidP="00F162B3">
            <w:pPr>
              <w:pStyle w:val="Marginlie"/>
              <w:rPr>
                <w:spacing w:val="0"/>
              </w:rPr>
            </w:pPr>
            <w:r w:rsidRPr="00360DE3">
              <w:rPr>
                <w:spacing w:val="0"/>
              </w:rPr>
              <w:t xml:space="preserve">Energetika představuje v ČR významný obor z hlediska ekonomických výkonů, z pohledu zaměstnanosti mezi průmyslovými obory nevyčnívá. </w:t>
            </w: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B57338" w:rsidP="00F162B3">
            <w:pPr>
              <w:pStyle w:val="Marginlie"/>
              <w:rPr>
                <w:spacing w:val="0"/>
              </w:rPr>
            </w:pPr>
          </w:p>
          <w:p w:rsidR="00B57338" w:rsidRPr="00360DE3" w:rsidRDefault="00CF1C4C" w:rsidP="00F162B3">
            <w:pPr>
              <w:pStyle w:val="Marginlie"/>
              <w:rPr>
                <w:spacing w:val="0"/>
              </w:rPr>
            </w:pPr>
            <w:r>
              <w:rPr>
                <w:spacing w:val="0"/>
              </w:rPr>
              <w:t xml:space="preserve">Pokles tuzemské výroby elektřiny </w:t>
            </w:r>
            <w:r w:rsidR="00B57338" w:rsidRPr="00360DE3">
              <w:rPr>
                <w:spacing w:val="0"/>
              </w:rPr>
              <w:t xml:space="preserve">se v Česku loni po čtyřech letech zastavil. Klíčovou roli sehrálo plné </w:t>
            </w:r>
            <w:r w:rsidR="00B57338" w:rsidRPr="00360DE3">
              <w:rPr>
                <w:spacing w:val="0"/>
              </w:rPr>
              <w:lastRenderedPageBreak/>
              <w:t xml:space="preserve">obnovení výrobních kapacit v jaderných elektrárnách. </w:t>
            </w:r>
          </w:p>
        </w:tc>
        <w:tc>
          <w:tcPr>
            <w:tcW w:w="277" w:type="dxa"/>
          </w:tcPr>
          <w:p w:rsidR="00B57338" w:rsidRPr="00360DE3" w:rsidRDefault="00B57338" w:rsidP="00F162B3">
            <w:pPr>
              <w:pStyle w:val="Textpoznpodarou"/>
              <w:jc w:val="both"/>
            </w:pPr>
          </w:p>
        </w:tc>
        <w:tc>
          <w:tcPr>
            <w:tcW w:w="7391" w:type="dxa"/>
          </w:tcPr>
          <w:p w:rsidR="00B57338" w:rsidRPr="00360DE3" w:rsidRDefault="00B57338" w:rsidP="00F162B3">
            <w:pPr>
              <w:spacing w:after="220"/>
              <w:rPr>
                <w:rFonts w:cs="Arial"/>
                <w:szCs w:val="20"/>
              </w:rPr>
            </w:pPr>
            <w:r w:rsidRPr="00360DE3">
              <w:rPr>
                <w:rFonts w:cs="Arial"/>
                <w:szCs w:val="20"/>
              </w:rPr>
              <w:t>Energetika představuje v Česku z pohledu přidané hodnoty druhý nejvýznamnější průmyslový obor (na jeho HPH se podílí desetinou)</w:t>
            </w:r>
            <w:r w:rsidRPr="00360DE3">
              <w:rPr>
                <w:rStyle w:val="Znakapoznpodarou"/>
                <w:rFonts w:cs="Arial"/>
                <w:szCs w:val="20"/>
              </w:rPr>
              <w:footnoteReference w:id="84"/>
            </w:r>
            <w:r w:rsidRPr="00360DE3">
              <w:rPr>
                <w:rFonts w:cs="Arial"/>
                <w:szCs w:val="20"/>
              </w:rPr>
              <w:t>, z hlediska zaměstnanosti ale mezi průmyslovými obory nevybočuje</w:t>
            </w:r>
            <w:r w:rsidRPr="00360DE3">
              <w:rPr>
                <w:rStyle w:val="Znakapoznpodarou"/>
                <w:rFonts w:cs="Arial"/>
                <w:szCs w:val="20"/>
              </w:rPr>
              <w:footnoteReference w:id="85"/>
            </w:r>
            <w:r w:rsidRPr="00360DE3">
              <w:rPr>
                <w:rFonts w:cs="Arial"/>
                <w:szCs w:val="20"/>
              </w:rPr>
              <w:t xml:space="preserve">. Dle údajů Energetického regulačního úřadu se vloni po čtyřech letech zastavil pokles tuzemské hrubé výroby elektřiny. Ta vzrostla meziročně o 4,5 % (na 83 </w:t>
            </w:r>
            <w:proofErr w:type="spellStart"/>
            <w:r w:rsidRPr="00360DE3">
              <w:rPr>
                <w:rFonts w:cs="Arial"/>
                <w:szCs w:val="20"/>
              </w:rPr>
              <w:t>TWh</w:t>
            </w:r>
            <w:proofErr w:type="spellEnd"/>
            <w:r w:rsidRPr="00360DE3">
              <w:rPr>
                <w:rFonts w:cs="Arial"/>
                <w:szCs w:val="20"/>
              </w:rPr>
              <w:t xml:space="preserve">). Za loňským růstem (i poklesem v letech 2015 i 2016) stály téměř výhradně jaderné elektrárny, které loni zvýšily produkci o šestinu a dosáhly třetí nejvyšší výroby v historii (28,3 </w:t>
            </w:r>
            <w:proofErr w:type="spellStart"/>
            <w:r w:rsidRPr="00360DE3">
              <w:rPr>
                <w:rFonts w:cs="Arial"/>
                <w:szCs w:val="20"/>
              </w:rPr>
              <w:t>GWh</w:t>
            </w:r>
            <w:proofErr w:type="spellEnd"/>
            <w:r w:rsidRPr="00360DE3">
              <w:rPr>
                <w:rFonts w:cs="Arial"/>
                <w:szCs w:val="20"/>
              </w:rPr>
              <w:t xml:space="preserve">). Výroba v parních elektrárnách (45,4 </w:t>
            </w:r>
            <w:proofErr w:type="spellStart"/>
            <w:r w:rsidRPr="00360DE3">
              <w:rPr>
                <w:rFonts w:cs="Arial"/>
                <w:szCs w:val="20"/>
              </w:rPr>
              <w:t>TWh</w:t>
            </w:r>
            <w:proofErr w:type="spellEnd"/>
            <w:r w:rsidRPr="00360DE3">
              <w:rPr>
                <w:rFonts w:cs="Arial"/>
                <w:szCs w:val="20"/>
              </w:rPr>
              <w:t xml:space="preserve">), loni klesla o 0,6 %, neboť téměř čtvrtinový pokles výroby elektřiny z černého uhlí nebyl plně kompenzován vyšším užitím biomasy a klíčové položky – hnědého uhlí. Podíl výroby elektřiny z obnovitelných zdrojů na tuzemské spotřebě v posledních pěti letech stagnuje na 13 %. Výroba z větrných elektráren i biomasy byla loni nejvyšší v novodobé historii, naopak </w:t>
            </w:r>
            <w:r w:rsidRPr="00360DE3">
              <w:rPr>
                <w:rFonts w:cs="Arial"/>
                <w:szCs w:val="20"/>
              </w:rPr>
              <w:lastRenderedPageBreak/>
              <w:t>produkce z vodních elektráren o 6,5 % klesla. Celková hrubá spotřeba elektřiny v tuzemsku zásluhou všech kategorií odběratelů</w:t>
            </w:r>
            <w:r w:rsidR="00274037">
              <w:rPr>
                <w:rFonts w:cs="Arial"/>
                <w:szCs w:val="20"/>
              </w:rPr>
              <w:t xml:space="preserve"> nadále rostla (loni o 1,9 %) a</w:t>
            </w:r>
            <w:r w:rsidR="00274037" w:rsidRPr="00360DE3">
              <w:t> </w:t>
            </w:r>
            <w:r w:rsidRPr="00360DE3">
              <w:rPr>
                <w:rFonts w:cs="Arial"/>
                <w:szCs w:val="20"/>
              </w:rPr>
              <w:t xml:space="preserve">dosáhla rekordní výše (73,8 </w:t>
            </w:r>
            <w:proofErr w:type="spellStart"/>
            <w:r w:rsidRPr="00360DE3">
              <w:rPr>
                <w:rFonts w:cs="Arial"/>
                <w:szCs w:val="20"/>
              </w:rPr>
              <w:t>TWh</w:t>
            </w:r>
            <w:proofErr w:type="spellEnd"/>
            <w:r w:rsidRPr="00360DE3">
              <w:rPr>
                <w:rFonts w:cs="Arial"/>
                <w:szCs w:val="20"/>
              </w:rPr>
              <w:t xml:space="preserve">). Mezi domácnosti spotřebovaly (v přepočtu na obyvatele) nejvíc elektřiny ve Středočeském a Jihočeském kraji (o třetinu nad úrovní ČR). Česko je dlouhodobě čistým vývozcem elektřiny. Kladné saldo obchodu s elektřinou se meziročně zvýšilo skoro o pětinu (na 13 </w:t>
            </w:r>
            <w:proofErr w:type="spellStart"/>
            <w:r w:rsidRPr="00360DE3">
              <w:rPr>
                <w:rFonts w:cs="Arial"/>
                <w:szCs w:val="20"/>
              </w:rPr>
              <w:t>TWh</w:t>
            </w:r>
            <w:proofErr w:type="spellEnd"/>
            <w:r w:rsidRPr="00360DE3">
              <w:rPr>
                <w:rFonts w:cs="Arial"/>
                <w:szCs w:val="20"/>
              </w:rPr>
              <w:t xml:space="preserve">), neboť po propadu vývozu z roku 2016 se jeho výše vrátila na obvyklou úroveň. </w:t>
            </w:r>
          </w:p>
        </w:tc>
      </w:tr>
      <w:tr w:rsidR="00B57338" w:rsidRPr="00360DE3" w:rsidTr="001A0D6B">
        <w:trPr>
          <w:trHeight w:val="170"/>
        </w:trPr>
        <w:tc>
          <w:tcPr>
            <w:tcW w:w="1976" w:type="dxa"/>
          </w:tcPr>
          <w:p w:rsidR="00B57338" w:rsidRPr="00360DE3" w:rsidRDefault="00B57338" w:rsidP="00DC37E3">
            <w:pPr>
              <w:pStyle w:val="Marginlie"/>
              <w:rPr>
                <w:spacing w:val="0"/>
              </w:rPr>
            </w:pP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spacing w:after="0"/>
              <w:jc w:val="left"/>
              <w:rPr>
                <w:rFonts w:cs="Arial"/>
                <w:szCs w:val="20"/>
              </w:rPr>
            </w:pPr>
            <w:r w:rsidRPr="00360DE3">
              <w:rPr>
                <w:rFonts w:cs="Arial"/>
                <w:b/>
                <w:szCs w:val="20"/>
              </w:rPr>
              <w:t>Graf 11.5  Zdroje výroby elektr. energie v ČR</w:t>
            </w:r>
            <w:r w:rsidRPr="00360DE3">
              <w:rPr>
                <w:rFonts w:cs="Arial"/>
                <w:szCs w:val="20"/>
              </w:rPr>
              <w:t xml:space="preserve"> (příspěvek </w:t>
            </w:r>
            <w:proofErr w:type="spellStart"/>
            <w:r w:rsidRPr="00360DE3">
              <w:rPr>
                <w:rFonts w:cs="Arial"/>
                <w:szCs w:val="20"/>
              </w:rPr>
              <w:t>meziroč</w:t>
            </w:r>
            <w:proofErr w:type="spellEnd"/>
            <w:r w:rsidRPr="00360DE3">
              <w:rPr>
                <w:rFonts w:cs="Arial"/>
                <w:szCs w:val="20"/>
              </w:rPr>
              <w:t xml:space="preserve">. </w:t>
            </w:r>
            <w:proofErr w:type="gramStart"/>
            <w:r w:rsidRPr="00360DE3">
              <w:rPr>
                <w:rFonts w:cs="Arial"/>
                <w:szCs w:val="20"/>
              </w:rPr>
              <w:t>změně, v p .</w:t>
            </w:r>
            <w:proofErr w:type="spellStart"/>
            <w:r w:rsidRPr="00360DE3">
              <w:rPr>
                <w:rFonts w:cs="Arial"/>
                <w:szCs w:val="20"/>
              </w:rPr>
              <w:t>b</w:t>
            </w:r>
            <w:proofErr w:type="spellEnd"/>
            <w:r w:rsidRPr="00360DE3">
              <w:rPr>
                <w:rFonts w:cs="Arial"/>
                <w:szCs w:val="20"/>
              </w:rPr>
              <w:t xml:space="preserve">.) </w:t>
            </w:r>
            <w:r w:rsidRPr="00360DE3">
              <w:rPr>
                <w:rFonts w:cs="Arial"/>
                <w:b/>
                <w:szCs w:val="20"/>
              </w:rPr>
              <w:t>a tuzemská</w:t>
            </w:r>
            <w:proofErr w:type="gramEnd"/>
            <w:r w:rsidRPr="00360DE3">
              <w:rPr>
                <w:rFonts w:cs="Arial"/>
                <w:b/>
                <w:szCs w:val="20"/>
              </w:rPr>
              <w:t xml:space="preserve"> spotřeba elektřiny dle hl. odběratelů</w:t>
            </w:r>
            <w:r w:rsidRPr="00360DE3">
              <w:rPr>
                <w:rFonts w:cs="Arial"/>
                <w:szCs w:val="20"/>
              </w:rPr>
              <w:t xml:space="preserve"> (v </w:t>
            </w:r>
            <w:proofErr w:type="spellStart"/>
            <w:r w:rsidRPr="00360DE3">
              <w:rPr>
                <w:rFonts w:cs="Arial"/>
                <w:szCs w:val="20"/>
              </w:rPr>
              <w:t>GWh</w:t>
            </w:r>
            <w:proofErr w:type="spellEnd"/>
            <w:r w:rsidRPr="00360DE3">
              <w:rPr>
                <w:rFonts w:cs="Arial"/>
                <w:szCs w:val="20"/>
              </w:rPr>
              <w:t xml:space="preserve">, rok 2005=100, </w:t>
            </w:r>
            <w:proofErr w:type="spellStart"/>
            <w:r w:rsidRPr="00360DE3">
              <w:rPr>
                <w:rFonts w:cs="Arial"/>
                <w:szCs w:val="20"/>
              </w:rPr>
              <w:t>pr</w:t>
            </w:r>
            <w:proofErr w:type="spellEnd"/>
            <w:r w:rsidRPr="00360DE3">
              <w:rPr>
                <w:rFonts w:cs="Arial"/>
                <w:szCs w:val="20"/>
              </w:rPr>
              <w:t xml:space="preserve">. osa) </w:t>
            </w:r>
          </w:p>
          <w:p w:rsidR="00B57338" w:rsidRPr="00360DE3" w:rsidRDefault="00B57338" w:rsidP="00DC37E3">
            <w:pPr>
              <w:spacing w:after="0"/>
              <w:rPr>
                <w:rFonts w:cs="Arial"/>
                <w:szCs w:val="20"/>
              </w:rPr>
            </w:pPr>
            <w:r w:rsidRPr="00360DE3">
              <w:rPr>
                <w:rFonts w:cs="Arial"/>
                <w:noProof/>
                <w:szCs w:val="20"/>
              </w:rPr>
              <w:drawing>
                <wp:inline distT="0" distB="0" distL="0" distR="0">
                  <wp:extent cx="4660112" cy="3511296"/>
                  <wp:effectExtent l="0" t="0" r="7138" b="0"/>
                  <wp:docPr id="5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B57338" w:rsidRPr="00360DE3" w:rsidTr="001A0D6B">
        <w:trPr>
          <w:trHeight w:val="170"/>
        </w:trPr>
        <w:tc>
          <w:tcPr>
            <w:tcW w:w="1976" w:type="dxa"/>
          </w:tcPr>
          <w:p w:rsidR="00B57338" w:rsidRPr="00360DE3" w:rsidRDefault="00B57338" w:rsidP="00DC37E3">
            <w:pPr>
              <w:pStyle w:val="Marginlie"/>
              <w:rPr>
                <w:spacing w:val="0"/>
              </w:rPr>
            </w:pP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spacing w:after="220"/>
              <w:rPr>
                <w:rFonts w:cs="Arial"/>
                <w:sz w:val="14"/>
                <w:szCs w:val="14"/>
              </w:rPr>
            </w:pPr>
            <w:r w:rsidRPr="00360DE3">
              <w:rPr>
                <w:rFonts w:cs="Arial"/>
                <w:sz w:val="14"/>
                <w:szCs w:val="14"/>
              </w:rPr>
              <w:t xml:space="preserve"> Zdroj: Energetický regulační úřad.</w:t>
            </w:r>
          </w:p>
        </w:tc>
      </w:tr>
      <w:tr w:rsidR="00B57338" w:rsidRPr="00360DE3" w:rsidTr="001A0D6B">
        <w:trPr>
          <w:trHeight w:val="170"/>
        </w:trPr>
        <w:tc>
          <w:tcPr>
            <w:tcW w:w="1976" w:type="dxa"/>
          </w:tcPr>
          <w:p w:rsidR="00B57338" w:rsidRPr="00360DE3" w:rsidRDefault="00B57338" w:rsidP="00DC37E3">
            <w:pPr>
              <w:pStyle w:val="Marginlie"/>
              <w:rPr>
                <w:spacing w:val="0"/>
              </w:rPr>
            </w:pPr>
            <w:r w:rsidRPr="00360DE3">
              <w:rPr>
                <w:spacing w:val="0"/>
              </w:rPr>
              <w:t>Mírný růst spotřeby zemního plynu po roce 2014 vedl k přerušení dlouhodobého klesajícího trendu.</w:t>
            </w: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rPr>
                <w:rFonts w:cs="Arial"/>
                <w:szCs w:val="20"/>
              </w:rPr>
            </w:pPr>
            <w:r w:rsidRPr="00360DE3">
              <w:rPr>
                <w:rFonts w:cs="Arial"/>
                <w:szCs w:val="20"/>
              </w:rPr>
              <w:t xml:space="preserve">Spotřeba zemního plynu ČR v posledních třech letech mírně roste, dlouhodobý trend poklesu se tak narušil. Loni byla spotřeba vyšší o 3,3 % a činila 91 </w:t>
            </w:r>
            <w:proofErr w:type="spellStart"/>
            <w:r w:rsidRPr="00360DE3">
              <w:rPr>
                <w:rFonts w:cs="Arial"/>
                <w:szCs w:val="20"/>
              </w:rPr>
              <w:t>GWh</w:t>
            </w:r>
            <w:proofErr w:type="spellEnd"/>
            <w:r w:rsidRPr="00360DE3">
              <w:rPr>
                <w:rFonts w:cs="Arial"/>
                <w:szCs w:val="20"/>
              </w:rPr>
              <w:t>. Vzrostla u všech kategorií odběratelů, z toho v domácnostech o 2,5 %. Ty mají v přepočtu na 1 odběratele dlouhodobě nejvyšší spotřebu ve Středočeském a Jihomoravském kraji (25 až 30 % nad úrovní ČR). Přepočtená spotřeba (na dlouhodobý teplotní normál) byla loni proti roku 2014 o 8,6 % vyšší, ale za maximem z roku 2004 zaostávala o 11,1 %.</w:t>
            </w:r>
          </w:p>
        </w:tc>
      </w:tr>
    </w:tbl>
    <w:p w:rsidR="00C466D2" w:rsidRPr="00360DE3" w:rsidRDefault="00E212C9" w:rsidP="00141782">
      <w:pPr>
        <w:pStyle w:val="Nadpis1"/>
        <w:rPr>
          <w:lang w:eastAsia="en-US"/>
        </w:rPr>
      </w:pPr>
      <w:bookmarkStart w:id="29" w:name="_Toc527639484"/>
      <w:r w:rsidRPr="00360DE3">
        <w:rPr>
          <w:lang w:eastAsia="en-US"/>
        </w:rPr>
        <w:t>12</w:t>
      </w:r>
      <w:r w:rsidR="00141782" w:rsidRPr="00360DE3">
        <w:rPr>
          <w:lang w:eastAsia="en-US"/>
        </w:rPr>
        <w:t>. Stavebnictví</w:t>
      </w:r>
      <w:bookmarkEnd w:id="29"/>
    </w:p>
    <w:tbl>
      <w:tblPr>
        <w:tblW w:w="9644" w:type="dxa"/>
        <w:tblInd w:w="-15" w:type="dxa"/>
        <w:tblLayout w:type="fixed"/>
        <w:tblCellMar>
          <w:left w:w="0" w:type="dxa"/>
          <w:right w:w="0" w:type="dxa"/>
        </w:tblCellMar>
        <w:tblLook w:val="00A0"/>
      </w:tblPr>
      <w:tblGrid>
        <w:gridCol w:w="1976"/>
        <w:gridCol w:w="277"/>
        <w:gridCol w:w="7391"/>
      </w:tblGrid>
      <w:tr w:rsidR="000C1D78" w:rsidRPr="00360DE3" w:rsidTr="00DC37E3">
        <w:trPr>
          <w:trHeight w:val="145"/>
        </w:trPr>
        <w:tc>
          <w:tcPr>
            <w:tcW w:w="1976" w:type="dxa"/>
          </w:tcPr>
          <w:p w:rsidR="000C1D78" w:rsidRPr="00360DE3" w:rsidRDefault="000C1D78" w:rsidP="00DC37E3">
            <w:pPr>
              <w:pStyle w:val="Marginlie"/>
              <w:rPr>
                <w:spacing w:val="0"/>
              </w:rPr>
            </w:pPr>
            <w:r w:rsidRPr="00360DE3">
              <w:rPr>
                <w:spacing w:val="0"/>
              </w:rPr>
              <w:t>Produkce ve stavebnictví loni mírně vzrostla, pokles hrubé přidané hodnoty však pokračoval již druhým rokem v řadě. Zejména inženýrské stavitelství bylo limitováno pomalejším rozjezdem větších projektů.</w:t>
            </w:r>
          </w:p>
          <w:p w:rsidR="000C1D78" w:rsidRPr="00360DE3" w:rsidRDefault="000C1D78" w:rsidP="00DC37E3">
            <w:pPr>
              <w:pStyle w:val="Marginlie"/>
              <w:rPr>
                <w:spacing w:val="0"/>
              </w:rPr>
            </w:pPr>
          </w:p>
          <w:p w:rsidR="000C1D78" w:rsidRPr="00360DE3" w:rsidRDefault="000C1D78" w:rsidP="00DC37E3">
            <w:pPr>
              <w:pStyle w:val="Marginlie"/>
              <w:rPr>
                <w:spacing w:val="0"/>
              </w:rPr>
            </w:pPr>
          </w:p>
          <w:p w:rsidR="000C1D78" w:rsidRPr="00360DE3" w:rsidRDefault="000C1D78" w:rsidP="00DC37E3">
            <w:pPr>
              <w:pStyle w:val="Marginlie"/>
              <w:rPr>
                <w:spacing w:val="0"/>
              </w:rPr>
            </w:pPr>
            <w:r w:rsidRPr="00360DE3">
              <w:rPr>
                <w:spacing w:val="0"/>
              </w:rPr>
              <w:t>Pokračovala redukce pracovních míst, ale již jen v zaměstnaneckém segmentu.</w:t>
            </w:r>
          </w:p>
        </w:tc>
        <w:tc>
          <w:tcPr>
            <w:tcW w:w="277" w:type="dxa"/>
          </w:tcPr>
          <w:p w:rsidR="000C1D78" w:rsidRPr="00360DE3" w:rsidRDefault="000C1D78" w:rsidP="00DC37E3">
            <w:pPr>
              <w:pStyle w:val="Textpoznpodarou"/>
              <w:jc w:val="both"/>
            </w:pPr>
          </w:p>
        </w:tc>
        <w:tc>
          <w:tcPr>
            <w:tcW w:w="7391" w:type="dxa"/>
          </w:tcPr>
          <w:p w:rsidR="000C1D78" w:rsidRPr="00360DE3" w:rsidRDefault="000C1D78" w:rsidP="00DC37E3">
            <w:r w:rsidRPr="00360DE3">
              <w:rPr>
                <w:color w:val="0D0D0D" w:themeColor="text1" w:themeTint="F2"/>
              </w:rPr>
              <w:t>Stavebnictví bylo loni podobně jako v roce 2016 limitováno přetrvávajícím nízkým objemem veřejných investic. Přestože se meziroční pokles produkce ve stavebnictví</w:t>
            </w:r>
            <w:r w:rsidRPr="00360DE3">
              <w:rPr>
                <w:rStyle w:val="Znakapoznpodarou"/>
                <w:color w:val="0D0D0D" w:themeColor="text1" w:themeTint="F2"/>
              </w:rPr>
              <w:footnoteReference w:id="86"/>
            </w:r>
            <w:r w:rsidRPr="00360DE3">
              <w:rPr>
                <w:color w:val="0D0D0D" w:themeColor="text1" w:themeTint="F2"/>
              </w:rPr>
              <w:t xml:space="preserve"> zastavil (+2,8 %, o rok dříve -5,7 %), nepříznivý vývoj v případě hrubé přidané hodnoty (HPH) přetrvával (ta loni jen nepatrně překračovala úroveň z roku 2012, kdy v tomto odvětví recese vrcholila). K redukci HPH přispěl loni primárně odvětvový oddíl inženýrského stavitelství, jehož výkon se meziročně snížil o osminu. Mělčí pokles trvající však již čtvrtým rokem v řadě zaznamenala </w:t>
            </w:r>
            <w:r w:rsidRPr="00360DE3">
              <w:rPr>
                <w:color w:val="0D0D0D" w:themeColor="text1" w:themeTint="F2"/>
              </w:rPr>
              <w:lastRenderedPageBreak/>
              <w:t>i</w:t>
            </w:r>
            <w:r w:rsidR="00274037" w:rsidRPr="00360DE3">
              <w:t> </w:t>
            </w:r>
            <w:r w:rsidRPr="00360DE3">
              <w:rPr>
                <w:color w:val="0D0D0D" w:themeColor="text1" w:themeTint="F2"/>
              </w:rPr>
              <w:t>výstavba budov. Ve váhově dominantním a dlouhodobě sílícím segmentu specializovaných stavebních činností</w:t>
            </w:r>
            <w:r w:rsidRPr="00360DE3">
              <w:rPr>
                <w:rStyle w:val="Znakapoznpodarou"/>
                <w:color w:val="0D0D0D" w:themeColor="text1" w:themeTint="F2"/>
              </w:rPr>
              <w:footnoteReference w:id="87"/>
            </w:r>
            <w:r w:rsidRPr="00360DE3">
              <w:rPr>
                <w:color w:val="0D0D0D" w:themeColor="text1" w:themeTint="F2"/>
              </w:rPr>
              <w:t xml:space="preserve"> růst po roce 2015 zvolnil pod 2 % a nemohl tak zvrátit méně příznivý vývoj celého odvětví. Ten se projevoval i v zaměstnanosti. Počet zaměstnaných ve stavebnictví se snížil pod 400 tis. (</w:t>
            </w:r>
            <w:r w:rsidRPr="00360DE3">
              <w:t>po přepočtu na plné úvazky)</w:t>
            </w:r>
            <w:r w:rsidRPr="00360DE3">
              <w:rPr>
                <w:color w:val="0D0D0D" w:themeColor="text1" w:themeTint="F2"/>
              </w:rPr>
              <w:t xml:space="preserve">, proti roku 2010 ubyla bezmála šestina pracovních míst. Na rozdíl od předešlých pěti let však loni k redukci míst přispívali jen zaměstnanci (-1,9 %), neboť </w:t>
            </w:r>
            <w:proofErr w:type="spellStart"/>
            <w:r w:rsidRPr="00360DE3">
              <w:rPr>
                <w:color w:val="0D0D0D" w:themeColor="text1" w:themeTint="F2"/>
              </w:rPr>
              <w:t>sebezaměstnaných</w:t>
            </w:r>
            <w:proofErr w:type="spellEnd"/>
            <w:r w:rsidRPr="00360DE3">
              <w:rPr>
                <w:color w:val="0D0D0D" w:themeColor="text1" w:themeTint="F2"/>
              </w:rPr>
              <w:t xml:space="preserve"> o 2,1 % přibylo. To patrně souviselo s rostoucí poptávkou po menších stavebních pracích, jejichž vývoj je více vázaný na hospodářský cyklus než na cyklus čerpání prostředků z evropských fondů. </w:t>
            </w:r>
          </w:p>
        </w:tc>
      </w:tr>
      <w:tr w:rsidR="00F160CE" w:rsidRPr="00360DE3" w:rsidTr="00DC37E3">
        <w:trPr>
          <w:trHeight w:val="145"/>
        </w:trPr>
        <w:tc>
          <w:tcPr>
            <w:tcW w:w="1976" w:type="dxa"/>
          </w:tcPr>
          <w:p w:rsidR="00F160CE" w:rsidRPr="00360DE3" w:rsidRDefault="00F160CE" w:rsidP="00DC37E3">
            <w:pPr>
              <w:pStyle w:val="Marginlie"/>
              <w:rPr>
                <w:spacing w:val="0"/>
              </w:rPr>
            </w:pPr>
            <w:r w:rsidRPr="00360DE3">
              <w:rPr>
                <w:spacing w:val="0"/>
              </w:rPr>
              <w:lastRenderedPageBreak/>
              <w:t>Mírný pokles míry ziskovosti stavebních podniků byl v roce 2017 ovlivněn sílícím tlakem na růst průměrných mezd.</w:t>
            </w:r>
          </w:p>
        </w:tc>
        <w:tc>
          <w:tcPr>
            <w:tcW w:w="277" w:type="dxa"/>
          </w:tcPr>
          <w:p w:rsidR="00F160CE" w:rsidRPr="00360DE3" w:rsidRDefault="00F160CE" w:rsidP="00DC37E3">
            <w:pPr>
              <w:pStyle w:val="Textpoznpodarou"/>
              <w:jc w:val="both"/>
            </w:pPr>
          </w:p>
        </w:tc>
        <w:tc>
          <w:tcPr>
            <w:tcW w:w="7391" w:type="dxa"/>
          </w:tcPr>
          <w:p w:rsidR="00F160CE" w:rsidRPr="00360DE3" w:rsidRDefault="00F160CE" w:rsidP="00DC37E3">
            <w:r w:rsidRPr="00360DE3">
              <w:t>Nižší objem realizovaných stavebních prací pro veřejné zadavatele v kombinaci s růstem mzdových nákladů v celém odvětví se odrazily v mírném poklesu míry zisku nefinančních podniků</w:t>
            </w:r>
            <w:r w:rsidRPr="00360DE3">
              <w:rPr>
                <w:rStyle w:val="Znakapoznpodarou"/>
              </w:rPr>
              <w:footnoteReference w:id="88"/>
            </w:r>
            <w:r w:rsidRPr="00360DE3">
              <w:t xml:space="preserve"> ve stavebnictví po roce 2015. Zatímco redukce veřejných zakázek byla klíčovým determinantem vývoje v roce 2016, následující rok akcentoval vliv faktoru sílících tlaků na růst průměrných mezd. Podíl hrubého provozního přebytku stavebních podniků na jejich HPH činil vloni 41,4 %, tedy podstatně méně než v rekordním roce 2005 (46,8 %), ale též znatelně více než na dnu recese (36 %), čemuž napomohl i silný růst produktivity práce v letech 2013 až 2015.</w:t>
            </w:r>
          </w:p>
        </w:tc>
      </w:tr>
      <w:tr w:rsidR="00F160CE" w:rsidRPr="00360DE3" w:rsidTr="00DC37E3">
        <w:tc>
          <w:tcPr>
            <w:tcW w:w="1976" w:type="dxa"/>
            <w:vMerge w:val="restart"/>
          </w:tcPr>
          <w:p w:rsidR="00F160CE" w:rsidRPr="00360DE3" w:rsidRDefault="00F160CE" w:rsidP="00DC37E3">
            <w:pPr>
              <w:pStyle w:val="Marginlie"/>
              <w:rPr>
                <w:spacing w:val="0"/>
              </w:rPr>
            </w:pPr>
          </w:p>
        </w:tc>
        <w:tc>
          <w:tcPr>
            <w:tcW w:w="277" w:type="dxa"/>
            <w:vMerge w:val="restart"/>
          </w:tcPr>
          <w:p w:rsidR="00F160CE" w:rsidRPr="00360DE3" w:rsidRDefault="00F160CE" w:rsidP="00DC37E3">
            <w:pPr>
              <w:pStyle w:val="Textpoznpodarou"/>
              <w:jc w:val="both"/>
            </w:pPr>
          </w:p>
        </w:tc>
        <w:tc>
          <w:tcPr>
            <w:tcW w:w="7391" w:type="dxa"/>
          </w:tcPr>
          <w:p w:rsidR="00F160CE" w:rsidRPr="00360DE3" w:rsidRDefault="00F160CE" w:rsidP="00DC37E3">
            <w:pPr>
              <w:spacing w:after="0"/>
              <w:rPr>
                <w:b/>
              </w:rPr>
            </w:pPr>
            <w:r w:rsidRPr="00360DE3">
              <w:rPr>
                <w:b/>
              </w:rPr>
              <w:t xml:space="preserve">Graf </w:t>
            </w:r>
            <w:proofErr w:type="gramStart"/>
            <w:r w:rsidRPr="00360DE3">
              <w:rPr>
                <w:b/>
              </w:rPr>
              <w:t xml:space="preserve">12.1  </w:t>
            </w:r>
            <w:r w:rsidRPr="00360DE3">
              <w:rPr>
                <w:b/>
                <w:bCs/>
              </w:rPr>
              <w:t>Základní</w:t>
            </w:r>
            <w:proofErr w:type="gramEnd"/>
            <w:r w:rsidRPr="00360DE3">
              <w:rPr>
                <w:b/>
                <w:bCs/>
              </w:rPr>
              <w:t xml:space="preserve"> ukazatele odvětví stavebnictví</w:t>
            </w:r>
            <w:r w:rsidRPr="00360DE3">
              <w:rPr>
                <w:b/>
              </w:rPr>
              <w:t xml:space="preserve"> </w:t>
            </w:r>
          </w:p>
          <w:p w:rsidR="00F160CE" w:rsidRPr="00360DE3" w:rsidRDefault="00F160CE" w:rsidP="00DC37E3">
            <w:pPr>
              <w:spacing w:after="0"/>
              <w:rPr>
                <w:b/>
              </w:rPr>
            </w:pPr>
            <w:r w:rsidRPr="00360DE3">
              <w:rPr>
                <w:b/>
                <w:noProof/>
              </w:rPr>
              <w:drawing>
                <wp:inline distT="0" distB="0" distL="0" distR="0">
                  <wp:extent cx="4715301" cy="3418764"/>
                  <wp:effectExtent l="0" t="0" r="9099" b="0"/>
                  <wp:docPr id="8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F160CE" w:rsidRPr="00360DE3" w:rsidTr="00DC37E3">
        <w:trPr>
          <w:trHeight w:val="284"/>
        </w:trPr>
        <w:tc>
          <w:tcPr>
            <w:tcW w:w="1976" w:type="dxa"/>
            <w:vMerge/>
          </w:tcPr>
          <w:p w:rsidR="00F160CE" w:rsidRPr="00360DE3" w:rsidRDefault="00F160CE" w:rsidP="00DC37E3">
            <w:pPr>
              <w:pStyle w:val="Marginlie"/>
              <w:rPr>
                <w:spacing w:val="0"/>
              </w:rPr>
            </w:pPr>
          </w:p>
        </w:tc>
        <w:tc>
          <w:tcPr>
            <w:tcW w:w="277" w:type="dxa"/>
            <w:vMerge/>
          </w:tcPr>
          <w:p w:rsidR="00F160CE" w:rsidRPr="00360DE3" w:rsidRDefault="00F160CE" w:rsidP="00DC37E3">
            <w:pPr>
              <w:pStyle w:val="Textpoznpodarou"/>
              <w:jc w:val="both"/>
            </w:pPr>
          </w:p>
        </w:tc>
        <w:tc>
          <w:tcPr>
            <w:tcW w:w="7391" w:type="dxa"/>
          </w:tcPr>
          <w:p w:rsidR="00F160CE" w:rsidRPr="00360DE3" w:rsidRDefault="00F160CE" w:rsidP="00B57338">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B57338" w:rsidRPr="00360DE3" w:rsidTr="00DC37E3">
        <w:trPr>
          <w:trHeight w:val="170"/>
        </w:trPr>
        <w:tc>
          <w:tcPr>
            <w:tcW w:w="1976" w:type="dxa"/>
          </w:tcPr>
          <w:p w:rsidR="00B57338" w:rsidRPr="00360DE3" w:rsidRDefault="00B57338" w:rsidP="00F162B3">
            <w:pPr>
              <w:pStyle w:val="Marginlie"/>
              <w:rPr>
                <w:spacing w:val="0"/>
              </w:rPr>
            </w:pPr>
            <w:r w:rsidRPr="00360DE3">
              <w:rPr>
                <w:spacing w:val="0"/>
              </w:rPr>
              <w:t>Míra investic ve stavebnictví v posledních třech letech stagnovala, v porovnání s ostatními odvětvími ekonomiky zůstává nízká.</w:t>
            </w:r>
          </w:p>
        </w:tc>
        <w:tc>
          <w:tcPr>
            <w:tcW w:w="277" w:type="dxa"/>
          </w:tcPr>
          <w:p w:rsidR="00B57338" w:rsidRPr="00360DE3" w:rsidRDefault="00B57338" w:rsidP="00F162B3">
            <w:pPr>
              <w:pStyle w:val="Textpoznpodarou"/>
              <w:jc w:val="both"/>
            </w:pPr>
          </w:p>
        </w:tc>
        <w:tc>
          <w:tcPr>
            <w:tcW w:w="7391" w:type="dxa"/>
          </w:tcPr>
          <w:p w:rsidR="00B57338" w:rsidRPr="00360DE3" w:rsidRDefault="00B57338" w:rsidP="00F162B3">
            <w:r w:rsidRPr="00360DE3">
              <w:t xml:space="preserve">Podíl tvorby hrubého fixního kapitálu na HPH osciloval kolem 16 %. Míra investic ve stavebnictví tak zůstává v posledních čtyřech letech stabilní, současně ale také patří k nejnižším mezi odvětvími národního hospodářství. Věcná skladba investic je ve stavebnictví dlouhodobě od většiny ostatních odvětví výrazně odlišná. Téměř 40 % investic loni směřovalo na dopravní prostředky a zařízení, 35 % pak na ostatní stroje a zařízení. Jen 4,3 % investic cílilo na produkty duševního vlastnictví </w:t>
            </w:r>
            <w:r w:rsidRPr="00360DE3">
              <w:lastRenderedPageBreak/>
              <w:t xml:space="preserve">(vč. výzkumu a vývoje) – čtyřikrát méně než v celé v ekonomice či ve zpracovatelském průmyslu. </w:t>
            </w:r>
          </w:p>
        </w:tc>
      </w:tr>
      <w:tr w:rsidR="00B57338" w:rsidRPr="00360DE3" w:rsidTr="00DC37E3">
        <w:trPr>
          <w:trHeight w:val="170"/>
        </w:trPr>
        <w:tc>
          <w:tcPr>
            <w:tcW w:w="1976" w:type="dxa"/>
          </w:tcPr>
          <w:p w:rsidR="00B57338" w:rsidRPr="00360DE3" w:rsidRDefault="00B57338" w:rsidP="00DC37E3">
            <w:pPr>
              <w:pStyle w:val="Marginlie"/>
              <w:rPr>
                <w:spacing w:val="0"/>
              </w:rPr>
            </w:pP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spacing w:after="0"/>
            </w:pPr>
            <w:r w:rsidRPr="00360DE3">
              <w:rPr>
                <w:b/>
              </w:rPr>
              <w:t xml:space="preserve">Graf </w:t>
            </w:r>
            <w:proofErr w:type="gramStart"/>
            <w:r w:rsidRPr="00360DE3">
              <w:rPr>
                <w:b/>
              </w:rPr>
              <w:t>12.2  Stavební</w:t>
            </w:r>
            <w:proofErr w:type="gramEnd"/>
            <w:r w:rsidRPr="00360DE3">
              <w:rPr>
                <w:b/>
              </w:rPr>
              <w:t xml:space="preserve"> práce (dle dodavatelských smluv) za jednotlivé směry výstavby</w:t>
            </w:r>
            <w:r w:rsidRPr="00360DE3">
              <w:t xml:space="preserve"> (v mld. korun, běžné ceny)*</w:t>
            </w:r>
          </w:p>
          <w:p w:rsidR="00B57338" w:rsidRPr="00360DE3" w:rsidRDefault="00B57338" w:rsidP="00DC37E3">
            <w:pPr>
              <w:spacing w:after="0"/>
              <w:rPr>
                <w:b/>
              </w:rPr>
            </w:pPr>
            <w:r w:rsidRPr="00360DE3">
              <w:rPr>
                <w:b/>
                <w:noProof/>
              </w:rPr>
              <w:drawing>
                <wp:inline distT="0" distB="0" distL="0" distR="0">
                  <wp:extent cx="4695825" cy="3819525"/>
                  <wp:effectExtent l="0" t="0" r="0" b="0"/>
                  <wp:docPr id="5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B57338" w:rsidRPr="00360DE3" w:rsidTr="00DC37E3">
        <w:trPr>
          <w:trHeight w:val="170"/>
        </w:trPr>
        <w:tc>
          <w:tcPr>
            <w:tcW w:w="1976" w:type="dxa"/>
          </w:tcPr>
          <w:p w:rsidR="00B57338" w:rsidRPr="00360DE3" w:rsidRDefault="00B57338" w:rsidP="00DC37E3">
            <w:pPr>
              <w:pStyle w:val="Marginlie"/>
              <w:rPr>
                <w:spacing w:val="0"/>
              </w:rPr>
            </w:pPr>
          </w:p>
        </w:tc>
        <w:tc>
          <w:tcPr>
            <w:tcW w:w="277" w:type="dxa"/>
          </w:tcPr>
          <w:p w:rsidR="00B57338" w:rsidRPr="00360DE3" w:rsidRDefault="00B57338" w:rsidP="00DC37E3">
            <w:pPr>
              <w:pStyle w:val="Textpoznpodarou"/>
              <w:jc w:val="both"/>
            </w:pPr>
          </w:p>
        </w:tc>
        <w:tc>
          <w:tcPr>
            <w:tcW w:w="7391" w:type="dxa"/>
          </w:tcPr>
          <w:p w:rsidR="0061249B" w:rsidRDefault="00B57338" w:rsidP="0061249B">
            <w:pPr>
              <w:spacing w:after="0"/>
              <w:rPr>
                <w:rFonts w:cs="Arial"/>
                <w:color w:val="0D0D0D" w:themeColor="text1" w:themeTint="F2"/>
                <w:sz w:val="14"/>
                <w:szCs w:val="14"/>
              </w:rPr>
            </w:pPr>
            <w:r w:rsidRPr="00360DE3">
              <w:rPr>
                <w:rFonts w:cs="Arial"/>
                <w:bCs/>
                <w:color w:val="0D0D0D" w:themeColor="text1" w:themeTint="F2"/>
                <w:sz w:val="14"/>
                <w:szCs w:val="14"/>
              </w:rPr>
              <w:t>*Stavební práce „S“ (dle dodavatelských smluv)</w:t>
            </w:r>
            <w:r w:rsidRPr="00360DE3">
              <w:rPr>
                <w:rFonts w:cs="Arial"/>
                <w:color w:val="0D0D0D" w:themeColor="text1" w:themeTint="F2"/>
                <w:sz w:val="14"/>
                <w:szCs w:val="14"/>
              </w:rPr>
              <w:t xml:space="preserve"> vyjadřují hodnotu vlastních výkonů ze stavební činnosti provedenou na základě smlouvy o dodávce pro konečného uživatele (stavebníka) vč. hodnoty příp. poddodávek stavebních prací přijatých od jiných dodavatelských organizací (pro splnění dané smlouvy o dodávce pro konečného uživatele). Objem skutečně provedených prací je vykazován ve fakturovaných hodnotách.                 </w:t>
            </w:r>
          </w:p>
          <w:p w:rsidR="00B57338" w:rsidRPr="00360DE3" w:rsidRDefault="00B57338" w:rsidP="00DC37E3">
            <w:r w:rsidRPr="00360DE3">
              <w:rPr>
                <w:rFonts w:cs="Arial"/>
                <w:color w:val="0D0D0D" w:themeColor="text1" w:themeTint="F2"/>
                <w:sz w:val="14"/>
                <w:szCs w:val="14"/>
              </w:rPr>
              <w:t>Zdroj: ČSÚ (podnikové statistiky</w:t>
            </w:r>
            <w:r w:rsidRPr="00360DE3">
              <w:rPr>
                <w:rFonts w:cs="Arial"/>
                <w:sz w:val="14"/>
                <w:szCs w:val="14"/>
              </w:rPr>
              <w:t>)</w:t>
            </w:r>
          </w:p>
        </w:tc>
      </w:tr>
      <w:tr w:rsidR="00B57338" w:rsidRPr="00360DE3" w:rsidTr="00DC37E3">
        <w:trPr>
          <w:trHeight w:val="170"/>
        </w:trPr>
        <w:tc>
          <w:tcPr>
            <w:tcW w:w="1976" w:type="dxa"/>
          </w:tcPr>
          <w:p w:rsidR="00B57338" w:rsidRPr="00360DE3" w:rsidRDefault="00B57338" w:rsidP="00DC37E3">
            <w:pPr>
              <w:pStyle w:val="Marginlie"/>
              <w:rPr>
                <w:spacing w:val="0"/>
              </w:rPr>
            </w:pPr>
            <w:r w:rsidRPr="00360DE3">
              <w:rPr>
                <w:spacing w:val="0"/>
              </w:rPr>
              <w:t>Hodnota stavebních prací ve firmách s méně než 20 zaměstnanci rostla rychleji než ve zbylé části odvětví.</w:t>
            </w: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r w:rsidRPr="00360DE3">
              <w:rPr>
                <w:spacing w:val="0"/>
              </w:rPr>
              <w:t xml:space="preserve">Již druhým rokem v řadě zůstaly nejvýznamnější složkou stavebních prací opravy a údržba. </w:t>
            </w:r>
          </w:p>
        </w:tc>
        <w:tc>
          <w:tcPr>
            <w:tcW w:w="277" w:type="dxa"/>
          </w:tcPr>
          <w:p w:rsidR="00B57338" w:rsidRPr="00360DE3" w:rsidRDefault="00B57338" w:rsidP="00DC37E3">
            <w:pPr>
              <w:pStyle w:val="Textpoznpodarou"/>
              <w:jc w:val="both"/>
            </w:pPr>
          </w:p>
        </w:tc>
        <w:tc>
          <w:tcPr>
            <w:tcW w:w="7391" w:type="dxa"/>
          </w:tcPr>
          <w:p w:rsidR="00B57338" w:rsidRPr="00360DE3" w:rsidRDefault="00B57338" w:rsidP="0061249B">
            <w:pPr>
              <w:spacing w:after="0"/>
              <w:rPr>
                <w:color w:val="0D0D0D"/>
              </w:rPr>
            </w:pPr>
            <w:r w:rsidRPr="00360DE3">
              <w:t>Lépe na tom loni (podobně jako v roce 2016) byly menší stavební firmy. Dle podnikových statistik vzrostla nominální hodnota stavebních prací (dle dodavatelských smluv) v subjektech do 20 zaměstnanců o 12,9 % meziročně (o rok dříve o 1,1 % poklesla), naopak ve zbývajících podnicích dosáhla jen +1,9 % (v roce 2016 pak -12,1 %). Větší stavební podniky (hlavně v inženýrském stavitelství) čelily důsledkům prudkého poklesu nových zakázek v souvislosti s pomalejším náběhem čerpání prostředků z rozpočtu EU. Absenci větších projektů potvrzovala i průměrná velikost nově uzavřené zakázky</w:t>
            </w:r>
            <w:r w:rsidRPr="00360DE3">
              <w:rPr>
                <w:rStyle w:val="Znakapoznpodarou"/>
              </w:rPr>
              <w:footnoteReference w:id="89"/>
            </w:r>
            <w:r w:rsidRPr="00360DE3">
              <w:t xml:space="preserve">.  To se odrazilo i ve skladbě stavebních prací. V roce 2016 převýšil objem prací na úseku oprav a údržby hodnotu prací za inženýrské stavby, což se stalo poprvé po roce 2003. Loni byl tento trend potvrzen, neboť opravy a údržby vyvářely 27,3 % hodnoty stavebních prací a byly její nejsilnější složkou. V letech 2016 i 2017 zrychloval růst výstavby </w:t>
            </w:r>
            <w:r w:rsidRPr="00360DE3">
              <w:rPr>
                <w:color w:val="0D0D0D"/>
              </w:rPr>
              <w:t>nebytových výrobních budov (souvisejících s rostoucí poptávkou v průmyslu a skladování). Loni se částečně zlepšila situace v oblasti nevýrobních budov</w:t>
            </w:r>
            <w:r w:rsidRPr="00360DE3">
              <w:rPr>
                <w:rStyle w:val="Znakapoznpodarou"/>
                <w:color w:val="0D0D0D"/>
              </w:rPr>
              <w:footnoteReference w:id="90"/>
            </w:r>
            <w:r w:rsidRPr="00360DE3">
              <w:rPr>
                <w:color w:val="0D0D0D"/>
              </w:rPr>
              <w:t>, i tak však tvořily jen desetinu všech stavebních prací. Již pátým rokem v řadě klesala navzdory sílícím klimatickým výzvám hodnota prací v kategorii vodohospodářských staveb. Váha této položky na celém stavebnictví (0,66 %) byla loni nejslabší za celou dobu sledování – od roku 1994.</w:t>
            </w:r>
          </w:p>
        </w:tc>
      </w:tr>
      <w:tr w:rsidR="00B57338" w:rsidRPr="00360DE3" w:rsidTr="00DC37E3">
        <w:trPr>
          <w:trHeight w:val="170"/>
        </w:trPr>
        <w:tc>
          <w:tcPr>
            <w:tcW w:w="1976" w:type="dxa"/>
          </w:tcPr>
          <w:p w:rsidR="00B57338" w:rsidRPr="00360DE3" w:rsidRDefault="00B57338" w:rsidP="00DC37E3">
            <w:pPr>
              <w:pStyle w:val="Marginlie"/>
              <w:rPr>
                <w:spacing w:val="0"/>
              </w:rPr>
            </w:pPr>
            <w:r w:rsidRPr="00360DE3">
              <w:rPr>
                <w:spacing w:val="0"/>
              </w:rPr>
              <w:lastRenderedPageBreak/>
              <w:t>V relaci na obyvatele se nejvíce „prostavělo“ v Praze a Jihočeském kraji, nejméně na Zlínsku.</w:t>
            </w: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r w:rsidRPr="00360DE3">
              <w:rPr>
                <w:color w:val="0D0D0D"/>
              </w:rPr>
              <w:t>Hodnota stavebních prací (dle místa stavby) v roce 2017 meziročně vzrostla v devíti krajích ČR – nejvíce ve středních a jižních Čechách a na Karlovarsku. Podíl Prahy na republikovém úhrnu dosáhl 23,2 %, naopak na Karlovarský kraj připadala jen 2,2 %. V přepočtu na obyvatele bylo loni nejvíce prostavěno v Praze (191 % úrovně ČR) a Jihočeském kraji (142 %), třetí v pořadí Jihomoravský kraj se již nacházel těsně pod celorepublikovou úrovní (99 %). Již třetím rokem v řadě dosahoval nejhorší pozice Zlínský kraj (necelých dvou třetin úrovně ČR).</w:t>
            </w:r>
          </w:p>
        </w:tc>
      </w:tr>
      <w:tr w:rsidR="00B57338" w:rsidRPr="00360DE3" w:rsidTr="00DC37E3">
        <w:trPr>
          <w:trHeight w:val="170"/>
        </w:trPr>
        <w:tc>
          <w:tcPr>
            <w:tcW w:w="1976" w:type="dxa"/>
          </w:tcPr>
          <w:p w:rsidR="00B57338" w:rsidRPr="00360DE3" w:rsidRDefault="00B57338" w:rsidP="00DC37E3">
            <w:pPr>
              <w:pStyle w:val="Marginlie"/>
              <w:rPr>
                <w:spacing w:val="0"/>
              </w:rPr>
            </w:pPr>
            <w:r w:rsidRPr="00360DE3">
              <w:rPr>
                <w:spacing w:val="0"/>
              </w:rPr>
              <w:t>Objem zahajované bytové výstavby rostl čtvrtým rokem v řadě. Přetrvávala nízká výstavba bytů v domovech pro seniory, z pohledu regionů pak v úhrnu zejména v Praze.</w:t>
            </w: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p>
          <w:p w:rsidR="00B57338" w:rsidRPr="00360DE3" w:rsidRDefault="00B57338" w:rsidP="00DC37E3">
            <w:pPr>
              <w:pStyle w:val="Marginlie"/>
              <w:rPr>
                <w:spacing w:val="0"/>
              </w:rPr>
            </w:pPr>
            <w:r w:rsidRPr="00360DE3">
              <w:rPr>
                <w:spacing w:val="0"/>
              </w:rPr>
              <w:t>Nejnižší počet dokončených bytů v relaci na obyvatele přetrvává dlouhodobě ve městech s 20 až 50 tis. obyvateli.</w:t>
            </w: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r w:rsidRPr="00360DE3">
              <w:t>Přestože bytové budovy tvořily loni jen 15,6 % hodnoty všech stavebních prací (v</w:t>
            </w:r>
            <w:r w:rsidRPr="00360DE3">
              <w:rPr>
                <w:color w:val="0D0D0D"/>
              </w:rPr>
              <w:t> </w:t>
            </w:r>
            <w:r w:rsidRPr="00360DE3">
              <w:t>podkategorii nové výstavby pak 22,6 %), jednalo se o intenzivně vnímanou a</w:t>
            </w:r>
            <w:r w:rsidRPr="00360DE3">
              <w:rPr>
                <w:color w:val="0D0D0D"/>
              </w:rPr>
              <w:t> </w:t>
            </w:r>
            <w:r w:rsidRPr="00360DE3">
              <w:t xml:space="preserve">celospolečensky důležitou oblast stavebnictví. Loni byla v Česku zahájena výstavba 31 521 bytů, jejich četnost rostla již čtvrtým rokem v řadě. K růstu nejvíce přispěly rodinné domy, více se stavělo i v ostatních formách výstavby – vyjma bytů v nebytových budovách a též v domovech pro seniory, kde byl objem výstavby rekordně nízký (345). </w:t>
            </w:r>
            <w:r w:rsidRPr="00360DE3">
              <w:rPr>
                <w:color w:val="0D0D0D" w:themeColor="text1" w:themeTint="F2"/>
              </w:rPr>
              <w:t>B</w:t>
            </w:r>
            <w:r w:rsidRPr="00360DE3">
              <w:t>ytů v bytových domech se zahájilo nejvíce za posledních osm let (7 244), nešlo ale zároveň ani o polovinu objemu ze stejného období dosud rekordního roku 2007. Více než pětina všech zahájených bytů připadala na Středočeský kraj. Již druhým rokem v řadě atakovala četnost zahájených bytů v Praze dlouhodobá minima</w:t>
            </w:r>
            <w:r w:rsidRPr="00360DE3">
              <w:rPr>
                <w:rStyle w:val="Znakapoznpodarou"/>
              </w:rPr>
              <w:footnoteReference w:id="91"/>
            </w:r>
            <w:r w:rsidRPr="00360DE3">
              <w:t xml:space="preserve">. Objem nové výstavby </w:t>
            </w:r>
            <w:r w:rsidRPr="00360DE3">
              <w:rPr>
                <w:rFonts w:cs="Arial"/>
                <w:szCs w:val="20"/>
              </w:rPr>
              <w:t xml:space="preserve">výrazně zaostával za růstem pracovních míst, resp. počtem nově příchozích obyvatel a podporoval rostoucí napětí na rezidenčním trhu. Z podrobnějšího pohledu vyplývá, že lokalizace nové bytové výstavby </w:t>
            </w:r>
            <w:r w:rsidRPr="00360DE3">
              <w:t>nadále přispívala k </w:t>
            </w:r>
            <w:proofErr w:type="spellStart"/>
            <w:r w:rsidRPr="00360DE3">
              <w:t>suburbanizačním</w:t>
            </w:r>
            <w:proofErr w:type="spellEnd"/>
            <w:r w:rsidRPr="00360DE3">
              <w:t xml:space="preserve"> tendencím, což bylo vedle Prahy dobře patrné i v případě Brna, Plzně či Českých Budějovic. Naopak nejnižší intenzita dokončené bytové výstavby dlouhodobě přetrvává v SZ Čechách, severní a východní Moravě. Z pohledu velikostních kategorií měly loni nejvyšší intenzitu výstavby města nad 100 tis. obyvatel a také obce s 500 až 2000 obyvateli, nejnižší pak dlouhodobě města s 20 až 50 tis. obyvateli.</w:t>
            </w:r>
          </w:p>
        </w:tc>
      </w:tr>
      <w:tr w:rsidR="00B57338" w:rsidRPr="00360DE3" w:rsidTr="00DC37E3">
        <w:trPr>
          <w:trHeight w:val="170"/>
        </w:trPr>
        <w:tc>
          <w:tcPr>
            <w:tcW w:w="1976" w:type="dxa"/>
          </w:tcPr>
          <w:p w:rsidR="00B57338" w:rsidRPr="00360DE3" w:rsidRDefault="00B57338" w:rsidP="00DC37E3">
            <w:pPr>
              <w:pStyle w:val="Marginlie"/>
              <w:rPr>
                <w:spacing w:val="0"/>
              </w:rPr>
            </w:pPr>
            <w:r w:rsidRPr="00360DE3">
              <w:rPr>
                <w:spacing w:val="0"/>
              </w:rPr>
              <w:t>Nové zakázky i důvěra podnikatelů ve stavebnictví naznačovaly v průběhu roku výrazně příznivější vyhlídky pro celé odvětví.</w:t>
            </w: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r w:rsidRPr="00360DE3">
              <w:t xml:space="preserve">Vyhlídky odvětví stavebnictví se během loňského roku výrazně zlepšovaly. </w:t>
            </w:r>
            <w:r w:rsidRPr="00360DE3">
              <w:rPr>
                <w:color w:val="000000" w:themeColor="text1"/>
              </w:rPr>
              <w:t xml:space="preserve">Sezónně očištěné </w:t>
            </w:r>
            <w:r w:rsidRPr="00360DE3">
              <w:rPr>
                <w:color w:val="0D0D0D" w:themeColor="text1" w:themeTint="F2"/>
              </w:rPr>
              <w:t>saldo důvěry podnikatelů sice zůstávalo v negativním pásmu, ale zejména v během druhé poloviny roku doznalo i pod vlivem růstu nových zakázek příznivějších hodnot</w:t>
            </w:r>
            <w:r w:rsidRPr="00360DE3">
              <w:rPr>
                <w:rStyle w:val="Znakapoznpodarou"/>
                <w:color w:val="0D0D0D" w:themeColor="text1" w:themeTint="F2"/>
              </w:rPr>
              <w:footnoteReference w:id="92"/>
            </w:r>
            <w:r w:rsidRPr="00360DE3">
              <w:rPr>
                <w:color w:val="0D0D0D" w:themeColor="text1" w:themeTint="F2"/>
              </w:rPr>
              <w:t>.</w:t>
            </w:r>
            <w:r w:rsidRPr="00360DE3">
              <w:t xml:space="preserve"> </w:t>
            </w:r>
            <w:r w:rsidRPr="00360DE3">
              <w:rPr>
                <w:color w:val="000000" w:themeColor="text1"/>
              </w:rPr>
              <w:t xml:space="preserve">Podíl podniků očekávajících redukci stavební činnosti či zaměstnanosti meziročně výrazně klesl. </w:t>
            </w:r>
          </w:p>
        </w:tc>
      </w:tr>
      <w:tr w:rsidR="00B57338" w:rsidRPr="00360DE3" w:rsidTr="00DC37E3">
        <w:trPr>
          <w:trHeight w:val="170"/>
        </w:trPr>
        <w:tc>
          <w:tcPr>
            <w:tcW w:w="1976" w:type="dxa"/>
          </w:tcPr>
          <w:p w:rsidR="00B57338" w:rsidRPr="00360DE3" w:rsidRDefault="00B57338" w:rsidP="00DC37E3">
            <w:pPr>
              <w:pStyle w:val="Marginlie"/>
              <w:rPr>
                <w:spacing w:val="0"/>
              </w:rPr>
            </w:pPr>
            <w:r w:rsidRPr="00360DE3">
              <w:rPr>
                <w:spacing w:val="0"/>
              </w:rPr>
              <w:t>V Česku jako jediné zemi EU loni meziročně poklesla jak HPH, tak i celková zaměstnanost ve stavebnictví.</w:t>
            </w:r>
          </w:p>
        </w:tc>
        <w:tc>
          <w:tcPr>
            <w:tcW w:w="277" w:type="dxa"/>
          </w:tcPr>
          <w:p w:rsidR="00B57338" w:rsidRPr="00360DE3" w:rsidRDefault="00B57338" w:rsidP="00DC37E3">
            <w:pPr>
              <w:pStyle w:val="Textpoznpodarou"/>
              <w:jc w:val="both"/>
            </w:pPr>
          </w:p>
        </w:tc>
        <w:tc>
          <w:tcPr>
            <w:tcW w:w="7391" w:type="dxa"/>
          </w:tcPr>
          <w:p w:rsidR="00B57338" w:rsidRPr="00360DE3" w:rsidRDefault="00B57338" w:rsidP="00DC37E3">
            <w:pPr>
              <w:spacing w:after="0"/>
            </w:pPr>
            <w:r w:rsidRPr="00360DE3">
              <w:t>Navzdory příznivějším vyhlídkám v úhrnu za celý loňský rok HPH ve stavebnictví meziročně poklesla (-2,9 %). Česko tak společně s Řeckem, Rumunskem a</w:t>
            </w:r>
            <w:r w:rsidRPr="00360DE3">
              <w:rPr>
                <w:color w:val="0D0D0D" w:themeColor="text1" w:themeTint="F2"/>
              </w:rPr>
              <w:t> </w:t>
            </w:r>
            <w:r w:rsidRPr="00360DE3">
              <w:t>Lucemburskem patřilo k jediným státům EU, jejichž stavebnictví k růstu celé ekonomiky nepřispívalo</w:t>
            </w:r>
            <w:r w:rsidRPr="00360DE3">
              <w:rPr>
                <w:rStyle w:val="Znakapoznpodarou"/>
              </w:rPr>
              <w:footnoteReference w:id="93"/>
            </w:r>
            <w:r w:rsidRPr="00360DE3">
              <w:t>. Zároveň bylo jedinou unijní zemí, v níž v tomto odvětví loni vedle přidané hodnoty klesala i zaměstnanost. Nepříznivě postavení ČR v HPH je zčásti způsobeno odlišnou srovnávací základnou oproti většině zemí střední a</w:t>
            </w:r>
            <w:r w:rsidRPr="00360DE3">
              <w:rPr>
                <w:color w:val="0D0D0D" w:themeColor="text1" w:themeTint="F2"/>
              </w:rPr>
              <w:t> </w:t>
            </w:r>
            <w:r w:rsidRPr="00360DE3">
              <w:t>východní Evropy, ve kterých výkon stavebnictví v roce 2016 (vlivem ukončení staršího programového období EU) prudce klesal. Česko si však výrazně lépe nestálo ani v dlouhodobějším pohledu. Proti roku 2013 loni výkon stavebnictví nepatrně zaostával (o 1 %), ve třech čtvrtinách unijních zemí ale již tuto úroveň překonal. Ve srovnání s konjunkturním rokem 2007 pak byl v Česku o 9 % nižší (v EU o 11 %), nad touto úrovní se naopak nacházel ve třetině zemí EU – výrazně např. v Polsku (o 45 %), Slovensku, Německu a Velké Británii (shodně o 12 %).</w:t>
            </w:r>
          </w:p>
        </w:tc>
      </w:tr>
    </w:tbl>
    <w:p w:rsidR="00B57338" w:rsidRDefault="000C1D78" w:rsidP="000C1D78">
      <w:pPr>
        <w:spacing w:after="0"/>
        <w:rPr>
          <w:b/>
          <w:szCs w:val="20"/>
        </w:rPr>
      </w:pPr>
      <w:r w:rsidRPr="00360DE3">
        <w:rPr>
          <w:b/>
          <w:szCs w:val="20"/>
        </w:rPr>
        <w:t xml:space="preserve"> </w:t>
      </w:r>
    </w:p>
    <w:p w:rsidR="00B57338" w:rsidRDefault="00B57338" w:rsidP="000C1D78">
      <w:pPr>
        <w:spacing w:after="0"/>
        <w:rPr>
          <w:b/>
          <w:szCs w:val="20"/>
        </w:rPr>
      </w:pPr>
    </w:p>
    <w:p w:rsidR="000C1D78" w:rsidRPr="00360DE3" w:rsidRDefault="000C1D78" w:rsidP="000C1D78">
      <w:pPr>
        <w:spacing w:after="0"/>
        <w:rPr>
          <w:b/>
          <w:szCs w:val="20"/>
        </w:rPr>
      </w:pPr>
      <w:r w:rsidRPr="00360DE3">
        <w:rPr>
          <w:b/>
          <w:szCs w:val="20"/>
        </w:rPr>
        <w:lastRenderedPageBreak/>
        <w:t>Kartogramy 12.1 a 12.2</w:t>
      </w:r>
    </w:p>
    <w:p w:rsidR="000C1D78" w:rsidRPr="00360DE3" w:rsidRDefault="000C1D78" w:rsidP="000C1D78">
      <w:pPr>
        <w:spacing w:after="0"/>
        <w:rPr>
          <w:sz w:val="16"/>
          <w:szCs w:val="16"/>
        </w:rPr>
      </w:pPr>
      <w:r w:rsidRPr="00360DE3">
        <w:rPr>
          <w:b/>
          <w:noProof/>
          <w:szCs w:val="20"/>
        </w:rPr>
        <w:drawing>
          <wp:inline distT="0" distB="0" distL="0" distR="0">
            <wp:extent cx="6120130" cy="4330711"/>
            <wp:effectExtent l="19050" t="0" r="0" b="0"/>
            <wp:docPr id="67" name="Obrázek 0" descr="Dokoncene byt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oncene byty.emf"/>
                    <pic:cNvPicPr/>
                  </pic:nvPicPr>
                  <pic:blipFill>
                    <a:blip r:embed="rId57" cstate="print"/>
                    <a:stretch>
                      <a:fillRect/>
                    </a:stretch>
                  </pic:blipFill>
                  <pic:spPr>
                    <a:xfrm>
                      <a:off x="0" y="0"/>
                      <a:ext cx="6120130" cy="4330711"/>
                    </a:xfrm>
                    <a:prstGeom prst="rect">
                      <a:avLst/>
                    </a:prstGeom>
                  </pic:spPr>
                </pic:pic>
              </a:graphicData>
            </a:graphic>
          </wp:inline>
        </w:drawing>
      </w:r>
    </w:p>
    <w:p w:rsidR="000C1D78" w:rsidRPr="00360DE3" w:rsidRDefault="000C1D78" w:rsidP="000C1D78">
      <w:pPr>
        <w:spacing w:after="0"/>
        <w:rPr>
          <w:sz w:val="16"/>
          <w:szCs w:val="16"/>
        </w:rPr>
      </w:pPr>
    </w:p>
    <w:p w:rsidR="000C1D78" w:rsidRPr="00360DE3" w:rsidRDefault="000C1D78" w:rsidP="000C1D78">
      <w:r w:rsidRPr="00360DE3">
        <w:rPr>
          <w:noProof/>
        </w:rPr>
        <w:drawing>
          <wp:inline distT="0" distB="0" distL="0" distR="0">
            <wp:extent cx="6120130" cy="4330700"/>
            <wp:effectExtent l="19050" t="0" r="0" b="0"/>
            <wp:docPr id="68" name="Obrázek 1" descr="Obytná plocha bytu.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ytná plocha bytu.emf"/>
                    <pic:cNvPicPr/>
                  </pic:nvPicPr>
                  <pic:blipFill>
                    <a:blip r:embed="rId58" cstate="print"/>
                    <a:stretch>
                      <a:fillRect/>
                    </a:stretch>
                  </pic:blipFill>
                  <pic:spPr>
                    <a:xfrm>
                      <a:off x="0" y="0"/>
                      <a:ext cx="6120130" cy="4330700"/>
                    </a:xfrm>
                    <a:prstGeom prst="rect">
                      <a:avLst/>
                    </a:prstGeom>
                  </pic:spPr>
                </pic:pic>
              </a:graphicData>
            </a:graphic>
          </wp:inline>
        </w:drawing>
      </w:r>
    </w:p>
    <w:p w:rsidR="00C466D2" w:rsidRPr="00360DE3" w:rsidRDefault="00E212C9" w:rsidP="00141782">
      <w:pPr>
        <w:pStyle w:val="Nadpis1"/>
        <w:rPr>
          <w:lang w:eastAsia="en-US"/>
        </w:rPr>
      </w:pPr>
      <w:bookmarkStart w:id="30" w:name="_Toc527639485"/>
      <w:r w:rsidRPr="00360DE3">
        <w:rPr>
          <w:lang w:eastAsia="en-US"/>
        </w:rPr>
        <w:lastRenderedPageBreak/>
        <w:t>13</w:t>
      </w:r>
      <w:r w:rsidR="00141782" w:rsidRPr="00360DE3">
        <w:rPr>
          <w:lang w:eastAsia="en-US"/>
        </w:rPr>
        <w:t>. Obchod, doprava</w:t>
      </w:r>
      <w:bookmarkEnd w:id="30"/>
    </w:p>
    <w:tbl>
      <w:tblPr>
        <w:tblW w:w="9644" w:type="dxa"/>
        <w:tblInd w:w="-15" w:type="dxa"/>
        <w:tblLayout w:type="fixed"/>
        <w:tblCellMar>
          <w:left w:w="0" w:type="dxa"/>
          <w:right w:w="0" w:type="dxa"/>
        </w:tblCellMar>
        <w:tblLook w:val="00A0"/>
      </w:tblPr>
      <w:tblGrid>
        <w:gridCol w:w="1976"/>
        <w:gridCol w:w="277"/>
        <w:gridCol w:w="7391"/>
      </w:tblGrid>
      <w:tr w:rsidR="00F160CE" w:rsidRPr="00360DE3" w:rsidTr="006D64C2">
        <w:trPr>
          <w:trHeight w:val="145"/>
        </w:trPr>
        <w:tc>
          <w:tcPr>
            <w:tcW w:w="1976" w:type="dxa"/>
          </w:tcPr>
          <w:p w:rsidR="00F160CE" w:rsidRPr="00360DE3" w:rsidRDefault="00C21405" w:rsidP="00DC37E3">
            <w:pPr>
              <w:pStyle w:val="Marginlie"/>
              <w:rPr>
                <w:spacing w:val="0"/>
              </w:rPr>
            </w:pPr>
            <w:r>
              <w:rPr>
                <w:spacing w:val="0"/>
              </w:rPr>
              <w:t>Obchod a doprava vytvářely v Č</w:t>
            </w:r>
            <w:r w:rsidR="00F160CE" w:rsidRPr="00360DE3">
              <w:rPr>
                <w:spacing w:val="0"/>
              </w:rPr>
              <w:t>esku více než čtvrtinu přidané hodnoty sektoru služeb.</w:t>
            </w:r>
          </w:p>
        </w:tc>
        <w:tc>
          <w:tcPr>
            <w:tcW w:w="277" w:type="dxa"/>
          </w:tcPr>
          <w:p w:rsidR="00F160CE" w:rsidRPr="00360DE3" w:rsidRDefault="00F160CE" w:rsidP="00DC37E3">
            <w:pPr>
              <w:pStyle w:val="Textpoznpodarou"/>
              <w:jc w:val="both"/>
            </w:pPr>
          </w:p>
        </w:tc>
        <w:tc>
          <w:tcPr>
            <w:tcW w:w="7391" w:type="dxa"/>
          </w:tcPr>
          <w:p w:rsidR="00F160CE" w:rsidRPr="00360DE3" w:rsidRDefault="00F160CE" w:rsidP="00DC37E3">
            <w:r w:rsidRPr="00360DE3">
              <w:t>Obchod i doprava (vč. skladování)</w:t>
            </w:r>
            <w:r w:rsidRPr="00360DE3">
              <w:rPr>
                <w:rStyle w:val="Znakapoznpodarou"/>
              </w:rPr>
              <w:footnoteReference w:id="94"/>
            </w:r>
            <w:r w:rsidRPr="00360DE3">
              <w:t xml:space="preserve"> patří dlouhodobě nejen v ČR k nejvýznamnějším odvětvím služeb. Samotný obchod vytvářel loni v Česku 18,3 % hrubé přidané hodnoty (HPH) celého terciárního sektoru, doprava pak dosahovala zhruba polovičního podílu. Přestože meziroční růst HPH v obchodu a dopravě byl proti roku 2016 o polovinu vyšší a loni činil 3,1 %, již druhý rok v řadě za růstovým tempem v celé ekonomice zaostával. Za období od konce poslední recese (rok 2013) byl nicméně vývoj v obchodu a dopravě oproti národnímu hospodářství mírně příznivější a dařilo se mu také lépe než obchodu a dopravě v celé EU.</w:t>
            </w:r>
          </w:p>
        </w:tc>
      </w:tr>
      <w:tr w:rsidR="00F160CE" w:rsidRPr="00360DE3" w:rsidTr="006D64C2">
        <w:tc>
          <w:tcPr>
            <w:tcW w:w="1976" w:type="dxa"/>
            <w:vMerge w:val="restart"/>
          </w:tcPr>
          <w:p w:rsidR="00F160CE" w:rsidRPr="00360DE3" w:rsidRDefault="00F160CE" w:rsidP="00DC37E3">
            <w:pPr>
              <w:pStyle w:val="Marginlie"/>
              <w:rPr>
                <w:spacing w:val="0"/>
              </w:rPr>
            </w:pPr>
          </w:p>
        </w:tc>
        <w:tc>
          <w:tcPr>
            <w:tcW w:w="277" w:type="dxa"/>
            <w:vMerge w:val="restart"/>
          </w:tcPr>
          <w:p w:rsidR="00F160CE" w:rsidRPr="00360DE3" w:rsidRDefault="00F160CE" w:rsidP="00DC37E3">
            <w:pPr>
              <w:pStyle w:val="Textpoznpodarou"/>
              <w:jc w:val="both"/>
            </w:pPr>
          </w:p>
        </w:tc>
        <w:tc>
          <w:tcPr>
            <w:tcW w:w="7391" w:type="dxa"/>
          </w:tcPr>
          <w:p w:rsidR="00F160CE" w:rsidRPr="00360DE3" w:rsidRDefault="00F160CE" w:rsidP="00DC37E3">
            <w:pPr>
              <w:spacing w:after="0"/>
              <w:rPr>
                <w:b/>
              </w:rPr>
            </w:pPr>
            <w:r w:rsidRPr="00360DE3">
              <w:rPr>
                <w:b/>
              </w:rPr>
              <w:t xml:space="preserve">Graf 13.1  </w:t>
            </w:r>
            <w:r w:rsidRPr="00360DE3">
              <w:rPr>
                <w:b/>
                <w:bCs/>
              </w:rPr>
              <w:t xml:space="preserve">Zákl. </w:t>
            </w:r>
            <w:proofErr w:type="gramStart"/>
            <w:r w:rsidRPr="00360DE3">
              <w:rPr>
                <w:b/>
                <w:bCs/>
              </w:rPr>
              <w:t>ukazatele</w:t>
            </w:r>
            <w:proofErr w:type="gramEnd"/>
            <w:r w:rsidRPr="00360DE3">
              <w:rPr>
                <w:b/>
                <w:bCs/>
              </w:rPr>
              <w:t xml:space="preserve"> odvětví zahrnujících obchod, dopravu a skladování</w:t>
            </w:r>
          </w:p>
          <w:p w:rsidR="00F160CE" w:rsidRPr="00360DE3" w:rsidRDefault="00F160CE" w:rsidP="00DC37E3">
            <w:pPr>
              <w:spacing w:after="0"/>
              <w:rPr>
                <w:b/>
              </w:rPr>
            </w:pPr>
            <w:r w:rsidRPr="00360DE3">
              <w:rPr>
                <w:b/>
                <w:noProof/>
              </w:rPr>
              <w:drawing>
                <wp:inline distT="0" distB="0" distL="0" distR="0">
                  <wp:extent cx="4716119" cy="3553200"/>
                  <wp:effectExtent l="0" t="0" r="8281" b="0"/>
                  <wp:docPr id="9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F160CE" w:rsidRPr="00360DE3" w:rsidTr="006D64C2">
        <w:trPr>
          <w:trHeight w:val="284"/>
        </w:trPr>
        <w:tc>
          <w:tcPr>
            <w:tcW w:w="1976" w:type="dxa"/>
            <w:vMerge/>
          </w:tcPr>
          <w:p w:rsidR="00F160CE" w:rsidRPr="00360DE3" w:rsidRDefault="00F160CE" w:rsidP="00DC37E3">
            <w:pPr>
              <w:pStyle w:val="Marginlie"/>
              <w:rPr>
                <w:spacing w:val="0"/>
              </w:rPr>
            </w:pPr>
          </w:p>
        </w:tc>
        <w:tc>
          <w:tcPr>
            <w:tcW w:w="277" w:type="dxa"/>
            <w:vMerge/>
          </w:tcPr>
          <w:p w:rsidR="00F160CE" w:rsidRPr="00360DE3" w:rsidRDefault="00F160CE" w:rsidP="00DC37E3">
            <w:pPr>
              <w:pStyle w:val="Textpoznpodarou"/>
              <w:jc w:val="both"/>
            </w:pPr>
          </w:p>
        </w:tc>
        <w:tc>
          <w:tcPr>
            <w:tcW w:w="7391" w:type="dxa"/>
          </w:tcPr>
          <w:p w:rsidR="00F160CE" w:rsidRPr="00360DE3" w:rsidRDefault="00F160CE" w:rsidP="00DC37E3">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6D64C2" w:rsidRPr="00360DE3" w:rsidTr="006D64C2">
        <w:trPr>
          <w:trHeight w:val="170"/>
        </w:trPr>
        <w:tc>
          <w:tcPr>
            <w:tcW w:w="1976" w:type="dxa"/>
          </w:tcPr>
          <w:p w:rsidR="006D64C2" w:rsidRPr="00360DE3" w:rsidRDefault="006D64C2" w:rsidP="00F162B3">
            <w:pPr>
              <w:pStyle w:val="Marginlie"/>
              <w:rPr>
                <w:spacing w:val="0"/>
              </w:rPr>
            </w:pPr>
            <w:r w:rsidRPr="00360DE3">
              <w:rPr>
                <w:spacing w:val="0"/>
              </w:rPr>
              <w:t>Ziskovost podniků v obchodu a dopravě v posledních dvou letech stagnovala na úrovni blízké konjunktuře z minulé dekády.</w:t>
            </w:r>
          </w:p>
        </w:tc>
        <w:tc>
          <w:tcPr>
            <w:tcW w:w="277" w:type="dxa"/>
          </w:tcPr>
          <w:p w:rsidR="006D64C2" w:rsidRPr="00360DE3" w:rsidRDefault="006D64C2" w:rsidP="00F162B3">
            <w:pPr>
              <w:pStyle w:val="Textpoznpodarou"/>
              <w:jc w:val="both"/>
            </w:pPr>
          </w:p>
        </w:tc>
        <w:tc>
          <w:tcPr>
            <w:tcW w:w="7391" w:type="dxa"/>
          </w:tcPr>
          <w:p w:rsidR="006D64C2" w:rsidRPr="00360DE3" w:rsidRDefault="006D64C2" w:rsidP="00F162B3">
            <w:r w:rsidRPr="00360DE3">
              <w:t>Míra zisku nefinančních podniků působících v obchodu a dopravě</w:t>
            </w:r>
            <w:r w:rsidRPr="00360DE3">
              <w:rPr>
                <w:rStyle w:val="Znakapoznpodarou"/>
              </w:rPr>
              <w:footnoteReference w:id="95"/>
            </w:r>
            <w:r w:rsidRPr="00360DE3">
              <w:t xml:space="preserve"> v posledních dvou letech stagnovala těsně pod 45 % a blížila se tak vysokým hodnotám z konjunktury minulé dekády</w:t>
            </w:r>
            <w:r w:rsidRPr="00360DE3">
              <w:rPr>
                <w:rStyle w:val="Znakapoznpodarou"/>
              </w:rPr>
              <w:footnoteReference w:id="96"/>
            </w:r>
            <w:r w:rsidRPr="00360DE3">
              <w:t xml:space="preserve">. Ziskovost podniků se v dílčích odvětvích výrazněji odlišovala. Nejlepší postavení drží v posledních třech letech obchod a opravy motorových vozidel, kde přesahoval podíl hrubého provozního přebytku na HPH vždy mírně úroveň 50 %. Naopak s výrazným odstupem figurovala vodní doprava (33 %) a navzdory oživění v posledních letech nadále i letecká doprava (36 %). Specifické postavení měly poštovní a kurýrní činnosti, jež loni dosáhly nejslabší ziskovosti za posledních jedenáct let (8 %). Toto odvětví se dlouhodobě vyznačuje nízkým zastoupením soukromých podniků a dominancí podniků veřejných. Zatímco ziskovost v tomto odvětví patří v rámci obchodu a dopravy k nejslabším dlouhodobě, odvětví vykazující nejvyšší ziskovost se v posledních dvou dekádách </w:t>
            </w:r>
            <w:r w:rsidRPr="00360DE3">
              <w:lastRenderedPageBreak/>
              <w:t>proměňovala</w:t>
            </w:r>
            <w:r w:rsidRPr="00360DE3">
              <w:rPr>
                <w:rStyle w:val="Znakapoznpodarou"/>
              </w:rPr>
              <w:footnoteReference w:id="97"/>
            </w:r>
            <w:r w:rsidRPr="00360DE3">
              <w:t>.</w:t>
            </w:r>
          </w:p>
        </w:tc>
      </w:tr>
      <w:tr w:rsidR="006D64C2" w:rsidRPr="00360DE3" w:rsidTr="006D64C2">
        <w:trPr>
          <w:trHeight w:val="170"/>
        </w:trPr>
        <w:tc>
          <w:tcPr>
            <w:tcW w:w="1976" w:type="dxa"/>
          </w:tcPr>
          <w:p w:rsidR="006D64C2" w:rsidRPr="00360DE3" w:rsidRDefault="006D64C2" w:rsidP="00DC37E3">
            <w:pPr>
              <w:pStyle w:val="Marginlie"/>
              <w:rPr>
                <w:spacing w:val="0"/>
              </w:rPr>
            </w:pPr>
            <w:r w:rsidRPr="00360DE3">
              <w:rPr>
                <w:spacing w:val="0"/>
              </w:rPr>
              <w:lastRenderedPageBreak/>
              <w:t>Strmý růst mzdových nákladů se při slabší dynamice zaměstnanosti projevil citelným posílením průměrných výdělků…</w:t>
            </w: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r w:rsidRPr="00360DE3">
              <w:rPr>
                <w:spacing w:val="0"/>
              </w:rPr>
              <w:t xml:space="preserve">…jejich úroveň však ve srovnání s terciárním sektorem i celou ekonomikou </w:t>
            </w:r>
            <w:r w:rsidR="00D965EC">
              <w:rPr>
                <w:spacing w:val="0"/>
              </w:rPr>
              <w:t xml:space="preserve">je </w:t>
            </w:r>
            <w:r w:rsidRPr="00360DE3">
              <w:rPr>
                <w:spacing w:val="0"/>
              </w:rPr>
              <w:t>nadále nižší.</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r w:rsidRPr="00360DE3">
              <w:t>Za skutečností, že zvyšování míry zisku podniků v obchodu a dopravě se po roce 2015 zastavil</w:t>
            </w:r>
            <w:r w:rsidR="00D965EC">
              <w:t>o</w:t>
            </w:r>
            <w:r w:rsidRPr="00360DE3">
              <w:t xml:space="preserve">, stály strmě rostoucí mzdové náklady. Počet zaměstnanců se však navyšoval jen mírně (loni o 1,2 %), neboť </w:t>
            </w:r>
            <w:r w:rsidR="00D965EC">
              <w:t>posílení odvětví velkoobchodu i</w:t>
            </w:r>
            <w:r w:rsidR="00D965EC" w:rsidRPr="00360DE3">
              <w:t> </w:t>
            </w:r>
            <w:r w:rsidRPr="00360DE3">
              <w:t>skladování bylo z větší části kompenzováno redukcí pracovních míst ve vodní dopravě a hlavně v maloobchodu. Růst objemu mzdových prostředků (v roce 2017 o 8,5 %) se tak logicky překlopil přímo do průměrných výdělků. Ty rostly v tomto odvětví v posledních třech letech vyšším tempem než v celé ekonomice, což souviselo především s jejich podprůměrnou úrovní. Mzdový růst byl vedle prohlubujícího se nedostatku pracovníků také stimulován navyšováním hranice minimální mzdy. Navzdory sílícím mzdovým nákladům narostl loni reálný objem vyplacených mezd a platů proti roku 2010 stále méně než reálná hodinová produktivita práce (+15,4 %).</w:t>
            </w:r>
          </w:p>
        </w:tc>
      </w:tr>
      <w:tr w:rsidR="006D64C2" w:rsidRPr="00360DE3" w:rsidTr="006D64C2">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pPr>
            <w:r w:rsidRPr="00360DE3">
              <w:rPr>
                <w:b/>
              </w:rPr>
              <w:t xml:space="preserve">Graf </w:t>
            </w:r>
            <w:proofErr w:type="gramStart"/>
            <w:r w:rsidRPr="00360DE3">
              <w:rPr>
                <w:b/>
              </w:rPr>
              <w:t>13.2  Příspěvky</w:t>
            </w:r>
            <w:proofErr w:type="gramEnd"/>
            <w:r w:rsidRPr="00360DE3">
              <w:rPr>
                <w:b/>
              </w:rPr>
              <w:t xml:space="preserve"> odvětvových oddílů k meziroční změně HPH v uskupení obchod, doprava a skladování </w:t>
            </w:r>
            <w:r w:rsidRPr="00360DE3">
              <w:t>(reálně, v procentních bodech)</w:t>
            </w:r>
          </w:p>
          <w:p w:rsidR="006D64C2" w:rsidRPr="00360DE3" w:rsidRDefault="006D64C2" w:rsidP="00DC37E3">
            <w:pPr>
              <w:spacing w:after="0"/>
              <w:rPr>
                <w:b/>
              </w:rPr>
            </w:pPr>
            <w:r w:rsidRPr="00360DE3">
              <w:rPr>
                <w:b/>
                <w:noProof/>
              </w:rPr>
              <w:drawing>
                <wp:inline distT="0" distB="0" distL="0" distR="0">
                  <wp:extent cx="4705350" cy="3606800"/>
                  <wp:effectExtent l="19050" t="0" r="0" b="0"/>
                  <wp:docPr id="5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6D64C2" w:rsidRPr="00360DE3" w:rsidTr="006D64C2">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r w:rsidRPr="00360DE3">
              <w:rPr>
                <w:rFonts w:cs="Arial"/>
                <w:color w:val="0D0D0D" w:themeColor="text1" w:themeTint="F2"/>
                <w:sz w:val="14"/>
                <w:szCs w:val="14"/>
              </w:rPr>
              <w:t xml:space="preserve"> </w:t>
            </w:r>
            <w:r w:rsidRPr="00360DE3">
              <w:rPr>
                <w:rFonts w:cs="Arial"/>
                <w:sz w:val="14"/>
                <w:szCs w:val="14"/>
              </w:rPr>
              <w:t>Zdroj: ČSÚ (národní účty)</w:t>
            </w:r>
          </w:p>
        </w:tc>
      </w:tr>
      <w:tr w:rsidR="006D64C2" w:rsidRPr="00360DE3" w:rsidTr="006D64C2">
        <w:trPr>
          <w:trHeight w:val="170"/>
        </w:trPr>
        <w:tc>
          <w:tcPr>
            <w:tcW w:w="1976" w:type="dxa"/>
          </w:tcPr>
          <w:p w:rsidR="006D64C2" w:rsidRPr="00360DE3" w:rsidRDefault="006D64C2" w:rsidP="00F162B3">
            <w:pPr>
              <w:pStyle w:val="Marginlie"/>
              <w:rPr>
                <w:spacing w:val="0"/>
              </w:rPr>
            </w:pPr>
            <w:r w:rsidRPr="00360DE3">
              <w:rPr>
                <w:spacing w:val="0"/>
              </w:rPr>
              <w:t xml:space="preserve">Míra investic v obchodu a dopravě klesla na více než dvacetileté minimum. Ve srovnání s ostatními odvětvími služeb byla podprůměrná. </w:t>
            </w:r>
          </w:p>
        </w:tc>
        <w:tc>
          <w:tcPr>
            <w:tcW w:w="277" w:type="dxa"/>
          </w:tcPr>
          <w:p w:rsidR="006D64C2" w:rsidRPr="00360DE3" w:rsidRDefault="006D64C2" w:rsidP="00F162B3">
            <w:pPr>
              <w:pStyle w:val="Textpoznpodarou"/>
              <w:jc w:val="both"/>
            </w:pPr>
          </w:p>
        </w:tc>
        <w:tc>
          <w:tcPr>
            <w:tcW w:w="7391" w:type="dxa"/>
          </w:tcPr>
          <w:p w:rsidR="006D64C2" w:rsidRPr="00360DE3" w:rsidRDefault="006D64C2" w:rsidP="00F162B3">
            <w:pPr>
              <w:rPr>
                <w:szCs w:val="20"/>
              </w:rPr>
            </w:pPr>
            <w:r w:rsidRPr="00360DE3">
              <w:rPr>
                <w:rFonts w:cs="Arial"/>
                <w:color w:val="0D0D0D" w:themeColor="text1" w:themeTint="F2"/>
                <w:szCs w:val="20"/>
              </w:rPr>
              <w:t>Po mírném oživení v letech 2015 a 2016 se míra investic v obchodu a dopravě opět snížila (na 22 %). Méně než loni vydaly subjekty v tomto odvětví na investice (ve vztahu k HPH) jen v první polovině 90. let. Z toho pohledu není překvapivé, že míra investic v roce 2017 byla nižší než v celém terciárním sektoru (28 %). Ve srovnání se státy EU ale zůstává tuzemská míra investic v obchodu a dopravě výrazně nadprůměrná</w:t>
            </w:r>
            <w:r w:rsidRPr="00360DE3">
              <w:rPr>
                <w:rStyle w:val="Znakapoznpodarou"/>
                <w:rFonts w:cs="Arial"/>
                <w:color w:val="0D0D0D" w:themeColor="text1" w:themeTint="F2"/>
                <w:szCs w:val="20"/>
              </w:rPr>
              <w:footnoteReference w:id="98"/>
            </w:r>
            <w:r w:rsidRPr="00360DE3">
              <w:rPr>
                <w:rFonts w:cs="Arial"/>
                <w:color w:val="0D0D0D" w:themeColor="text1" w:themeTint="F2"/>
                <w:szCs w:val="20"/>
              </w:rPr>
              <w:t xml:space="preserve">. Silnější sklon k investicím vykazuje z jednotlivých odvětví dlouhodobě jen skladování (loni 45 %), což souvisí jak s rozšiřováním logistických center těžících z příznivé geografické polohy ČR, tak i s rozvojem automatizace. Naopak v maloobchodu setrvávala míra investic navzdory pokračující modernizaci </w:t>
            </w:r>
            <w:r w:rsidRPr="00360DE3">
              <w:rPr>
                <w:rFonts w:cs="Arial"/>
                <w:color w:val="0D0D0D" w:themeColor="text1" w:themeTint="F2"/>
                <w:szCs w:val="20"/>
              </w:rPr>
              <w:lastRenderedPageBreak/>
              <w:t>prodejní sítě na nízké úrovni (14 % – vloni stejně jako za posledních pět let). V celém uskupení o</w:t>
            </w:r>
            <w:r w:rsidR="00D965EC">
              <w:rPr>
                <w:rFonts w:cs="Arial"/>
                <w:color w:val="0D0D0D" w:themeColor="text1" w:themeTint="F2"/>
                <w:szCs w:val="20"/>
              </w:rPr>
              <w:t>b</w:t>
            </w:r>
            <w:r w:rsidRPr="00360DE3">
              <w:rPr>
                <w:rFonts w:cs="Arial"/>
                <w:color w:val="0D0D0D" w:themeColor="text1" w:themeTint="F2"/>
                <w:szCs w:val="20"/>
              </w:rPr>
              <w:t xml:space="preserve">chod a doprava převládaly ve skladbě investic ostatní budovy a stavby (zejména vlivem odvětví skladování) a také dopravní prostředky a zařízení – obě kategorie tvořily bezmála třetinu všech investic. Slabší zastoupení měly v porovnání s celou ekonomkou výdaje na ICT, ostatní stroje a zařízení a produkty duševního vlastnictví. </w:t>
            </w:r>
          </w:p>
        </w:tc>
      </w:tr>
      <w:tr w:rsidR="006D64C2" w:rsidRPr="00360DE3" w:rsidTr="006D64C2">
        <w:trPr>
          <w:trHeight w:val="170"/>
        </w:trPr>
        <w:tc>
          <w:tcPr>
            <w:tcW w:w="1976" w:type="dxa"/>
          </w:tcPr>
          <w:p w:rsidR="006D64C2" w:rsidRPr="00360DE3" w:rsidRDefault="006D64C2" w:rsidP="00DC37E3">
            <w:pPr>
              <w:pStyle w:val="Marginlie"/>
              <w:rPr>
                <w:spacing w:val="0"/>
              </w:rPr>
            </w:pPr>
            <w:r w:rsidRPr="00360DE3">
              <w:rPr>
                <w:spacing w:val="0"/>
              </w:rPr>
              <w:lastRenderedPageBreak/>
              <w:t>K růstu obchodu a dopravy přispěl loni nejvíce maloobchod.</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rPr>
                <w:color w:val="0D0D0D"/>
              </w:rPr>
            </w:pPr>
            <w:r w:rsidRPr="00360DE3">
              <w:rPr>
                <w:color w:val="0D0D0D"/>
              </w:rPr>
              <w:t xml:space="preserve">Zatímco v letech 2014 i 2015 přispěl k meziročnímu růstu HPH v odvětví obchodu a dopravy nejvíce velkoobchod a následující rok motoristický segment obchodu, loni tuto pozici převzal maloobchod. Zejména pozemní doprava a velkoobchod představují cyklická odvětví, jejichž HPH má silnější vazbu na celkový ekonomický vývoj. Podstatně méně je tento vliv patrný v maloobchodu (kde se projevuje zpoždění dopadu makroekonomického vývoje na trh práce a následně i do příjmů domácností) a zejména skladování. </w:t>
            </w:r>
          </w:p>
        </w:tc>
      </w:tr>
      <w:tr w:rsidR="006D64C2" w:rsidRPr="00360DE3" w:rsidTr="006D64C2">
        <w:trPr>
          <w:trHeight w:val="170"/>
        </w:trPr>
        <w:tc>
          <w:tcPr>
            <w:tcW w:w="1976" w:type="dxa"/>
          </w:tcPr>
          <w:p w:rsidR="006D64C2" w:rsidRPr="00360DE3" w:rsidRDefault="006D64C2" w:rsidP="00DC37E3">
            <w:pPr>
              <w:pStyle w:val="Marginlie"/>
              <w:rPr>
                <w:spacing w:val="0"/>
              </w:rPr>
            </w:pPr>
            <w:r w:rsidRPr="00360DE3">
              <w:rPr>
                <w:spacing w:val="0"/>
              </w:rPr>
              <w:t>Příznivý vývoj na trhu práce společně s dalším posílením optimistických očekávání spotřebitelů vyústily v téměř 6 % růst maloobchodních tržeb. Šlo o desetileté maximum.</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rPr>
                <w:color w:val="0D0D0D"/>
              </w:rPr>
            </w:pPr>
            <w:r w:rsidRPr="00360DE3">
              <w:rPr>
                <w:color w:val="0D0D0D"/>
              </w:rPr>
              <w:t>Tempo růstu HPH v maloobchodu loni výrazně zrychlilo na 4,7 % (z 2,7 % v roce 2016). Detailnější pohled na vývoj jeho jednotlivých segmentů umožňují podnikové statistiky prostřednictví pravidelných měsíčních šetření. Z nich vyplynulo, že maloobchodní tržby loni vzrostly o 5,9 %</w:t>
            </w:r>
            <w:r w:rsidRPr="00360DE3">
              <w:rPr>
                <w:rStyle w:val="Znakapoznpodarou"/>
                <w:color w:val="0D0D0D"/>
              </w:rPr>
              <w:footnoteReference w:id="99"/>
            </w:r>
            <w:r w:rsidRPr="00360DE3">
              <w:rPr>
                <w:color w:val="0D0D0D"/>
              </w:rPr>
              <w:t xml:space="preserve">, nejvyšším tempem za posledních deset let. Byly tradičně taženy prodejem </w:t>
            </w:r>
            <w:proofErr w:type="spellStart"/>
            <w:r w:rsidRPr="00360DE3">
              <w:rPr>
                <w:color w:val="0D0D0D"/>
              </w:rPr>
              <w:t>nepotravinářského</w:t>
            </w:r>
            <w:proofErr w:type="spellEnd"/>
            <w:r w:rsidRPr="00360DE3">
              <w:rPr>
                <w:color w:val="0D0D0D"/>
              </w:rPr>
              <w:t xml:space="preserve"> zboží, kde se tržby navýšily o</w:t>
            </w:r>
            <w:r w:rsidR="00274037" w:rsidRPr="00360DE3">
              <w:t> </w:t>
            </w:r>
            <w:r w:rsidRPr="00360DE3">
              <w:rPr>
                <w:color w:val="0D0D0D"/>
              </w:rPr>
              <w:t xml:space="preserve">8,8 % (po Rumunsku, Bulharsku a Maďarsku nejvyšším tempem v EU). Stabilní tempa (mezi 5 a 6 %) si v posledních třech </w:t>
            </w:r>
            <w:r w:rsidR="00D965EC">
              <w:rPr>
                <w:color w:val="0D0D0D"/>
              </w:rPr>
              <w:t xml:space="preserve">letech </w:t>
            </w:r>
            <w:r w:rsidRPr="00360DE3">
              <w:rPr>
                <w:color w:val="0D0D0D"/>
              </w:rPr>
              <w:t>drželi prodejci pohonných hmot (PHM). K vyšší poptávce po PHM mohl loni přispět i relativně příznivější cenový vývoj. Maloobchod s potr</w:t>
            </w:r>
            <w:r w:rsidR="00D965EC">
              <w:rPr>
                <w:color w:val="0D0D0D"/>
              </w:rPr>
              <w:t>avinami si udržoval slabší tempo (2,8 %). Již třetím rokem v řadě vykázal</w:t>
            </w:r>
            <w:r w:rsidRPr="00360DE3">
              <w:rPr>
                <w:color w:val="0D0D0D"/>
              </w:rPr>
              <w:t xml:space="preserve"> růst </w:t>
            </w:r>
            <w:r w:rsidR="00D965EC">
              <w:rPr>
                <w:color w:val="0D0D0D"/>
              </w:rPr>
              <w:t xml:space="preserve">tržeb </w:t>
            </w:r>
            <w:r w:rsidRPr="00360DE3">
              <w:rPr>
                <w:color w:val="0D0D0D"/>
              </w:rPr>
              <w:t>váhově relativně okrajový prodej potravin ve specializova</w:t>
            </w:r>
            <w:r w:rsidR="00D965EC">
              <w:rPr>
                <w:color w:val="0D0D0D"/>
              </w:rPr>
              <w:t xml:space="preserve">ných (menších) prodejnách (v letech 2016 i 2017 dokonce převýšil tempo celkových tržeb </w:t>
            </w:r>
            <w:r w:rsidR="00BB2F03">
              <w:rPr>
                <w:color w:val="0D0D0D"/>
              </w:rPr>
              <w:t xml:space="preserve">za potraviny </w:t>
            </w:r>
            <w:r w:rsidR="00BB2F03" w:rsidRPr="00BB2F03">
              <w:rPr>
                <w:color w:val="0D0D0D"/>
              </w:rPr>
              <w:t>v nespecializovaných prodejnách</w:t>
            </w:r>
            <w:r w:rsidR="00BB2F03">
              <w:rPr>
                <w:color w:val="0D0D0D"/>
              </w:rPr>
              <w:t>).</w:t>
            </w:r>
            <w:r w:rsidR="00D965EC">
              <w:rPr>
                <w:color w:val="0D0D0D"/>
              </w:rPr>
              <w:t xml:space="preserve"> To</w:t>
            </w:r>
            <w:r w:rsidRPr="00360DE3">
              <w:rPr>
                <w:color w:val="0D0D0D"/>
              </w:rPr>
              <w:t xml:space="preserve"> m</w:t>
            </w:r>
            <w:r w:rsidR="00D965EC">
              <w:rPr>
                <w:color w:val="0D0D0D"/>
              </w:rPr>
              <w:t xml:space="preserve">ůže </w:t>
            </w:r>
            <w:r w:rsidRPr="00360DE3">
              <w:rPr>
                <w:color w:val="0D0D0D"/>
              </w:rPr>
              <w:t>v souvislosti s dynamickým růstem disponibilních příjmů domácností signalizovat příklon ke kvalitnějším a cenově výše zařazeným produktům. Z ostatních specializovaných prodejen se loni dařilo hlavně počítačovým a komunikačním zařízením, výrobkům pro kulturu a rekreaci. Silně rostl také odbyt oděvů, obuvi a</w:t>
            </w:r>
            <w:r w:rsidR="009A7B2E" w:rsidRPr="00360DE3">
              <w:rPr>
                <w:color w:val="0D0D0D" w:themeColor="text1" w:themeTint="F2"/>
              </w:rPr>
              <w:t> </w:t>
            </w:r>
            <w:r w:rsidRPr="00360DE3">
              <w:rPr>
                <w:color w:val="0D0D0D"/>
              </w:rPr>
              <w:t xml:space="preserve">koženého zboží. Prudce rostl segment prodeje prostřednictvím internetu nebo zásilkové služby, kde se tržby za posledních pět let téměř ztrojnásobily. </w:t>
            </w:r>
          </w:p>
        </w:tc>
      </w:tr>
      <w:tr w:rsidR="006D64C2" w:rsidRPr="00360DE3" w:rsidTr="006D64C2">
        <w:trPr>
          <w:trHeight w:val="170"/>
        </w:trPr>
        <w:tc>
          <w:tcPr>
            <w:tcW w:w="1976" w:type="dxa"/>
          </w:tcPr>
          <w:p w:rsidR="006D64C2" w:rsidRPr="00360DE3" w:rsidRDefault="006D64C2" w:rsidP="00F162B3">
            <w:pPr>
              <w:pStyle w:val="Marginlie"/>
              <w:rPr>
                <w:spacing w:val="0"/>
              </w:rPr>
            </w:pPr>
            <w:r w:rsidRPr="00360DE3">
              <w:rPr>
                <w:spacing w:val="0"/>
              </w:rPr>
              <w:t>Podobně jako</w:t>
            </w:r>
            <w:r w:rsidR="00650330">
              <w:rPr>
                <w:spacing w:val="0"/>
              </w:rPr>
              <w:t xml:space="preserve"> v roce 2016 pokračoval růst přep</w:t>
            </w:r>
            <w:r w:rsidRPr="00360DE3">
              <w:rPr>
                <w:spacing w:val="0"/>
              </w:rPr>
              <w:t>ravních výkonů ve všech druzích veřejné osobní dopravy. Počet cestujících v železniční dopravě dosáhl desetiletého maxima.</w:t>
            </w:r>
          </w:p>
        </w:tc>
        <w:tc>
          <w:tcPr>
            <w:tcW w:w="277" w:type="dxa"/>
          </w:tcPr>
          <w:p w:rsidR="006D64C2" w:rsidRPr="00360DE3" w:rsidRDefault="006D64C2" w:rsidP="00F162B3">
            <w:pPr>
              <w:pStyle w:val="Textpoznpodarou"/>
              <w:jc w:val="both"/>
            </w:pPr>
          </w:p>
        </w:tc>
        <w:tc>
          <w:tcPr>
            <w:tcW w:w="7391" w:type="dxa"/>
          </w:tcPr>
          <w:p w:rsidR="006D64C2" w:rsidRPr="00360DE3" w:rsidRDefault="006D64C2" w:rsidP="00650330">
            <w:pPr>
              <w:rPr>
                <w:color w:val="0D0D0D"/>
              </w:rPr>
            </w:pPr>
            <w:r w:rsidRPr="00360DE3">
              <w:rPr>
                <w:color w:val="0D0D0D"/>
              </w:rPr>
              <w:t>Přetrvávající svižný ekonomický růst podpořený rozvojem vnitřního i zahraničního obchodu spolu s vyšší mobilitou obyvatel (související s růstem jejich příjmů i</w:t>
            </w:r>
            <w:r w:rsidR="00274037" w:rsidRPr="00360DE3">
              <w:t> </w:t>
            </w:r>
            <w:r w:rsidRPr="00360DE3">
              <w:rPr>
                <w:color w:val="0D0D0D"/>
              </w:rPr>
              <w:t xml:space="preserve">rekordní zaměstnaností) se odrazily i v naturálních ukazatelích dopravy. Zatímco v nákladní dopravě se výrazné oživení (z pohledu fyzického objemu přepravené zboží) promítlo především v letech 2014 a 2015, ve veřejné osobní dopravě spíše v následujících dvou letech. V osobní železniční dopravě vzrostl loni počet cestujících meziročně o 2,2 % Mírný růst </w:t>
            </w:r>
            <w:proofErr w:type="gramStart"/>
            <w:r w:rsidRPr="00360DE3">
              <w:rPr>
                <w:color w:val="0D0D0D"/>
              </w:rPr>
              <w:t>je</w:t>
            </w:r>
            <w:proofErr w:type="gramEnd"/>
            <w:r w:rsidRPr="00360DE3">
              <w:rPr>
                <w:color w:val="0D0D0D"/>
              </w:rPr>
              <w:t xml:space="preserve"> zde po roce 2010 vykazován nepřetržitě.</w:t>
            </w:r>
            <w:r w:rsidR="00650330">
              <w:rPr>
                <w:color w:val="0D0D0D"/>
              </w:rPr>
              <w:t xml:space="preserve"> Loňský počet cestujících (183</w:t>
            </w:r>
            <w:r w:rsidRPr="00360DE3">
              <w:rPr>
                <w:color w:val="0D0D0D"/>
              </w:rPr>
              <w:t xml:space="preserve"> mil.) byl zároveň nejvyšší za posledních deset let. Počet </w:t>
            </w:r>
            <w:r w:rsidR="00650330">
              <w:rPr>
                <w:color w:val="0D0D0D"/>
              </w:rPr>
              <w:t>cestujících</w:t>
            </w:r>
            <w:r w:rsidRPr="00360DE3">
              <w:rPr>
                <w:color w:val="0D0D0D"/>
              </w:rPr>
              <w:t xml:space="preserve"> přepravených veřejnou autobusovou dopravou byl loni již druhým rokem v řadě meziročně nižší, přepravní výkony (zohledňující i ujetou v</w:t>
            </w:r>
            <w:r w:rsidR="00A4750C">
              <w:rPr>
                <w:color w:val="0D0D0D"/>
              </w:rPr>
              <w:t>zdálenost) však rostly (+9</w:t>
            </w:r>
            <w:r w:rsidRPr="00360DE3">
              <w:rPr>
                <w:color w:val="0D0D0D"/>
              </w:rPr>
              <w:t xml:space="preserve"> %). To platilo i o </w:t>
            </w:r>
            <w:r w:rsidR="00A4750C">
              <w:rPr>
                <w:color w:val="0D0D0D"/>
              </w:rPr>
              <w:t xml:space="preserve">přepravních </w:t>
            </w:r>
            <w:r w:rsidRPr="00360DE3">
              <w:rPr>
                <w:color w:val="0D0D0D"/>
              </w:rPr>
              <w:t>výkonech obchodní letecké dopravy (+11 %), jež posílily nejvíce po roce 2004. Výkony v této kategorii však plně neodráží vývoj letecké dopravy na území ČR, neboť zahrnuje pouze tuzemské přepravce</w:t>
            </w:r>
            <w:r w:rsidRPr="00360DE3">
              <w:rPr>
                <w:rStyle w:val="Znakapoznpodarou"/>
                <w:color w:val="0D0D0D"/>
              </w:rPr>
              <w:footnoteReference w:id="100"/>
            </w:r>
            <w:r w:rsidRPr="00360DE3">
              <w:rPr>
                <w:color w:val="0D0D0D"/>
              </w:rPr>
              <w:t>.</w:t>
            </w:r>
          </w:p>
        </w:tc>
      </w:tr>
      <w:tr w:rsidR="006D64C2" w:rsidRPr="00360DE3" w:rsidTr="006D64C2">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rPr>
                <w:b/>
              </w:rPr>
            </w:pPr>
            <w:r w:rsidRPr="00360DE3">
              <w:rPr>
                <w:b/>
              </w:rPr>
              <w:t xml:space="preserve">Graf </w:t>
            </w:r>
            <w:proofErr w:type="gramStart"/>
            <w:r w:rsidRPr="00360DE3">
              <w:rPr>
                <w:b/>
              </w:rPr>
              <w:t>13.3  Přepravní</w:t>
            </w:r>
            <w:proofErr w:type="gramEnd"/>
            <w:r w:rsidRPr="00360DE3">
              <w:rPr>
                <w:b/>
              </w:rPr>
              <w:t xml:space="preserve"> výkony osobní dopravy </w:t>
            </w:r>
            <w:r w:rsidRPr="00360DE3">
              <w:t>(v mld. osobokilometrů, pravá osa)</w:t>
            </w:r>
            <w:r w:rsidRPr="00360DE3">
              <w:rPr>
                <w:b/>
              </w:rPr>
              <w:t xml:space="preserve"> a nákladní dopravy</w:t>
            </w:r>
            <w:r w:rsidRPr="00360DE3">
              <w:t xml:space="preserve"> (tunokilometry, rok 2010=100)</w:t>
            </w:r>
          </w:p>
          <w:p w:rsidR="006D64C2" w:rsidRPr="00360DE3" w:rsidRDefault="00E924B2" w:rsidP="00DC37E3">
            <w:pPr>
              <w:spacing w:after="0"/>
            </w:pPr>
            <w:r w:rsidRPr="00E924B2">
              <w:rPr>
                <w:noProof/>
              </w:rPr>
              <w:drawing>
                <wp:inline distT="0" distB="0" distL="0" distR="0">
                  <wp:extent cx="4646785" cy="3554193"/>
                  <wp:effectExtent l="19050" t="0" r="1415" b="0"/>
                  <wp:docPr id="4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6D64C2" w:rsidRPr="00360DE3" w:rsidTr="006D64C2">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line="240" w:lineRule="auto"/>
              <w:rPr>
                <w:rFonts w:cs="Arial"/>
                <w:sz w:val="14"/>
                <w:szCs w:val="14"/>
              </w:rPr>
            </w:pPr>
            <w:r w:rsidRPr="00360DE3">
              <w:rPr>
                <w:rFonts w:cs="Arial"/>
                <w:sz w:val="14"/>
                <w:szCs w:val="14"/>
              </w:rPr>
              <w:t>*Zahrnuje tuzemské civilní letecké dopravce zajišťující vnitrostátní i mezinárodní komerční pravidelnou i nepravidelnou přepravu osob či nákladu.</w:t>
            </w:r>
          </w:p>
          <w:p w:rsidR="006D64C2" w:rsidRPr="00360DE3" w:rsidRDefault="006D64C2" w:rsidP="00DC37E3">
            <w:pPr>
              <w:pStyle w:val="Zhlav"/>
              <w:spacing w:line="240" w:lineRule="auto"/>
              <w:jc w:val="both"/>
              <w:rPr>
                <w:rFonts w:cs="Arial"/>
                <w:sz w:val="14"/>
                <w:szCs w:val="14"/>
                <w:lang w:eastAsia="cs-CZ"/>
              </w:rPr>
            </w:pPr>
            <w:r w:rsidRPr="00360DE3">
              <w:rPr>
                <w:rFonts w:cs="Arial"/>
                <w:sz w:val="14"/>
                <w:szCs w:val="14"/>
              </w:rPr>
              <w:t>*</w:t>
            </w:r>
            <w:r w:rsidRPr="00360DE3">
              <w:rPr>
                <w:rFonts w:cs="Arial"/>
                <w:sz w:val="14"/>
                <w:szCs w:val="14"/>
                <w:lang w:eastAsia="cs-CZ"/>
              </w:rPr>
              <w:t>*Zahrnuje přepravu nákl</w:t>
            </w:r>
            <w:r w:rsidR="00D93CE2">
              <w:rPr>
                <w:rFonts w:cs="Arial"/>
                <w:sz w:val="14"/>
                <w:szCs w:val="14"/>
                <w:lang w:eastAsia="cs-CZ"/>
              </w:rPr>
              <w:t>adu vozidly registrovanými v ČR</w:t>
            </w:r>
            <w:r w:rsidRPr="00360DE3">
              <w:rPr>
                <w:rFonts w:cs="Arial"/>
                <w:sz w:val="14"/>
                <w:szCs w:val="14"/>
                <w:lang w:eastAsia="cs-CZ"/>
              </w:rPr>
              <w:t>.</w:t>
            </w:r>
          </w:p>
          <w:p w:rsidR="006D64C2" w:rsidRPr="00360DE3" w:rsidRDefault="006D64C2" w:rsidP="00DC37E3">
            <w:pPr>
              <w:spacing w:line="240" w:lineRule="auto"/>
            </w:pPr>
            <w:r w:rsidRPr="00360DE3">
              <w:rPr>
                <w:rFonts w:cs="Arial"/>
                <w:sz w:val="14"/>
                <w:szCs w:val="14"/>
              </w:rPr>
              <w:t>Zdroj: Ministerstvo dopravy ČR</w:t>
            </w:r>
          </w:p>
        </w:tc>
      </w:tr>
      <w:tr w:rsidR="00F160CE" w:rsidRPr="00360DE3" w:rsidTr="006D64C2">
        <w:trPr>
          <w:trHeight w:val="170"/>
        </w:trPr>
        <w:tc>
          <w:tcPr>
            <w:tcW w:w="1976" w:type="dxa"/>
          </w:tcPr>
          <w:p w:rsidR="00F160CE" w:rsidRPr="00360DE3" w:rsidRDefault="00F160CE" w:rsidP="00DC37E3">
            <w:pPr>
              <w:pStyle w:val="Marginlie"/>
              <w:rPr>
                <w:spacing w:val="0"/>
              </w:rPr>
            </w:pPr>
          </w:p>
        </w:tc>
        <w:tc>
          <w:tcPr>
            <w:tcW w:w="277" w:type="dxa"/>
          </w:tcPr>
          <w:p w:rsidR="00F160CE" w:rsidRPr="00360DE3" w:rsidRDefault="00F160CE" w:rsidP="00DC37E3">
            <w:pPr>
              <w:pStyle w:val="Textpoznpodarou"/>
              <w:jc w:val="both"/>
            </w:pPr>
          </w:p>
        </w:tc>
        <w:tc>
          <w:tcPr>
            <w:tcW w:w="7391" w:type="dxa"/>
          </w:tcPr>
          <w:p w:rsidR="00F160CE" w:rsidRPr="00A55161" w:rsidRDefault="00F160CE" w:rsidP="00DC37E3">
            <w:pPr>
              <w:spacing w:after="0"/>
              <w:rPr>
                <w:rFonts w:cs="Arial"/>
                <w:b/>
                <w:spacing w:val="-4"/>
                <w:szCs w:val="20"/>
              </w:rPr>
            </w:pPr>
            <w:r w:rsidRPr="00A55161">
              <w:rPr>
                <w:rFonts w:cs="Arial"/>
                <w:b/>
                <w:spacing w:val="-4"/>
                <w:szCs w:val="20"/>
              </w:rPr>
              <w:t>Graf 13.4  C</w:t>
            </w:r>
            <w:r w:rsidR="00A4750C" w:rsidRPr="00A55161">
              <w:rPr>
                <w:rFonts w:cs="Arial"/>
                <w:b/>
                <w:spacing w:val="-4"/>
                <w:szCs w:val="20"/>
              </w:rPr>
              <w:t>elkový počet přepravovaných cestujících</w:t>
            </w:r>
            <w:r w:rsidRPr="00A55161">
              <w:rPr>
                <w:rFonts w:cs="Arial"/>
                <w:b/>
                <w:spacing w:val="-4"/>
                <w:szCs w:val="20"/>
              </w:rPr>
              <w:t xml:space="preserve"> v obchodní letecké dopravě* </w:t>
            </w:r>
            <w:r w:rsidR="00A4750C" w:rsidRPr="00A55161">
              <w:rPr>
                <w:rFonts w:cs="Arial"/>
                <w:b/>
                <w:spacing w:val="-4"/>
                <w:szCs w:val="20"/>
              </w:rPr>
              <w:t xml:space="preserve">ve vybraných státech EU </w:t>
            </w:r>
            <w:r w:rsidRPr="00A55161">
              <w:rPr>
                <w:rFonts w:cs="Arial"/>
                <w:spacing w:val="-4"/>
                <w:szCs w:val="20"/>
              </w:rPr>
              <w:t>(</w:t>
            </w:r>
            <w:r w:rsidR="00A4750C" w:rsidRPr="00A55161">
              <w:rPr>
                <w:rFonts w:cs="Arial"/>
                <w:spacing w:val="-4"/>
                <w:szCs w:val="20"/>
              </w:rPr>
              <w:t xml:space="preserve">meziroční změna v %, </w:t>
            </w:r>
            <w:proofErr w:type="spellStart"/>
            <w:r w:rsidR="00A4750C" w:rsidRPr="00A55161">
              <w:rPr>
                <w:rFonts w:cs="Arial"/>
                <w:spacing w:val="-4"/>
                <w:szCs w:val="20"/>
              </w:rPr>
              <w:t>abs</w:t>
            </w:r>
            <w:proofErr w:type="spellEnd"/>
            <w:r w:rsidR="00A4750C" w:rsidRPr="00A55161">
              <w:rPr>
                <w:rFonts w:cs="Arial"/>
                <w:spacing w:val="-4"/>
                <w:szCs w:val="20"/>
              </w:rPr>
              <w:t xml:space="preserve">. </w:t>
            </w:r>
            <w:proofErr w:type="gramStart"/>
            <w:r w:rsidR="00A4750C" w:rsidRPr="00A55161">
              <w:rPr>
                <w:rFonts w:cs="Arial"/>
                <w:spacing w:val="-4"/>
                <w:szCs w:val="20"/>
              </w:rPr>
              <w:t>počet</w:t>
            </w:r>
            <w:proofErr w:type="gramEnd"/>
            <w:r w:rsidR="00A4750C" w:rsidRPr="00A55161">
              <w:rPr>
                <w:rFonts w:cs="Arial"/>
                <w:spacing w:val="-4"/>
                <w:szCs w:val="20"/>
              </w:rPr>
              <w:t xml:space="preserve"> v mil. –</w:t>
            </w:r>
            <w:r w:rsidR="00A55161">
              <w:rPr>
                <w:rFonts w:cs="Arial"/>
                <w:spacing w:val="-4"/>
                <w:szCs w:val="20"/>
              </w:rPr>
              <w:t xml:space="preserve"> </w:t>
            </w:r>
            <w:proofErr w:type="spellStart"/>
            <w:r w:rsidR="00A55161">
              <w:rPr>
                <w:rFonts w:cs="Arial"/>
                <w:spacing w:val="-4"/>
                <w:szCs w:val="20"/>
              </w:rPr>
              <w:t>pr.</w:t>
            </w:r>
            <w:r w:rsidR="00A4750C" w:rsidRPr="00A55161">
              <w:rPr>
                <w:rFonts w:cs="Arial"/>
                <w:spacing w:val="-4"/>
                <w:szCs w:val="20"/>
              </w:rPr>
              <w:t>osa</w:t>
            </w:r>
            <w:proofErr w:type="spellEnd"/>
            <w:r w:rsidR="00A4750C" w:rsidRPr="00A55161">
              <w:rPr>
                <w:rFonts w:cs="Arial"/>
                <w:spacing w:val="-4"/>
                <w:szCs w:val="20"/>
              </w:rPr>
              <w:t>)</w:t>
            </w:r>
          </w:p>
          <w:p w:rsidR="00F160CE" w:rsidRPr="00360DE3" w:rsidRDefault="00F160CE" w:rsidP="00DC37E3">
            <w:pPr>
              <w:spacing w:after="0"/>
            </w:pPr>
            <w:r w:rsidRPr="00360DE3">
              <w:rPr>
                <w:noProof/>
              </w:rPr>
              <w:drawing>
                <wp:inline distT="0" distB="0" distL="0" distR="0">
                  <wp:extent cx="4726854" cy="3741747"/>
                  <wp:effectExtent l="19050" t="0" r="0" b="0"/>
                  <wp:docPr id="90"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F160CE" w:rsidRPr="00360DE3" w:rsidTr="006D64C2">
        <w:trPr>
          <w:trHeight w:val="170"/>
        </w:trPr>
        <w:tc>
          <w:tcPr>
            <w:tcW w:w="1976" w:type="dxa"/>
          </w:tcPr>
          <w:p w:rsidR="00F160CE" w:rsidRPr="00360DE3" w:rsidRDefault="00F160CE" w:rsidP="00DC37E3">
            <w:pPr>
              <w:pStyle w:val="Marginlie"/>
              <w:rPr>
                <w:spacing w:val="0"/>
              </w:rPr>
            </w:pPr>
          </w:p>
        </w:tc>
        <w:tc>
          <w:tcPr>
            <w:tcW w:w="277" w:type="dxa"/>
          </w:tcPr>
          <w:p w:rsidR="00F160CE" w:rsidRPr="00360DE3" w:rsidRDefault="00F160CE" w:rsidP="00DC37E3">
            <w:pPr>
              <w:pStyle w:val="Textpoznpodarou"/>
              <w:jc w:val="both"/>
            </w:pPr>
          </w:p>
        </w:tc>
        <w:tc>
          <w:tcPr>
            <w:tcW w:w="7391" w:type="dxa"/>
          </w:tcPr>
          <w:p w:rsidR="00F160CE" w:rsidRPr="00A55161" w:rsidRDefault="00F160CE" w:rsidP="00A4750C">
            <w:pPr>
              <w:spacing w:after="0"/>
              <w:rPr>
                <w:rFonts w:cs="Arial"/>
                <w:color w:val="0D0D0D" w:themeColor="text1" w:themeTint="F2"/>
                <w:spacing w:val="-2"/>
                <w:sz w:val="14"/>
                <w:szCs w:val="14"/>
              </w:rPr>
            </w:pPr>
            <w:r w:rsidRPr="00A55161">
              <w:rPr>
                <w:rFonts w:cs="Arial"/>
                <w:spacing w:val="-2"/>
                <w:sz w:val="14"/>
                <w:szCs w:val="14"/>
              </w:rPr>
              <w:t>*</w:t>
            </w:r>
            <w:r w:rsidR="00A4750C" w:rsidRPr="00A55161">
              <w:rPr>
                <w:rFonts w:cs="Arial"/>
                <w:color w:val="0D0D0D" w:themeColor="text1" w:themeTint="F2"/>
                <w:spacing w:val="-2"/>
                <w:sz w:val="14"/>
                <w:szCs w:val="14"/>
              </w:rPr>
              <w:t xml:space="preserve"> </w:t>
            </w:r>
            <w:r w:rsidR="00A55161" w:rsidRPr="00A55161">
              <w:rPr>
                <w:rFonts w:cs="Arial"/>
                <w:color w:val="0D0D0D" w:themeColor="text1" w:themeTint="F2"/>
                <w:spacing w:val="-2"/>
                <w:sz w:val="14"/>
                <w:szCs w:val="14"/>
              </w:rPr>
              <w:t>Zahrnuje všechny cestující, jejichž cesta začíná nebo končí na vykazujícím letišti s výjimkou cestujících v přímém tranzitu</w:t>
            </w:r>
            <w:r w:rsidR="00A55161">
              <w:rPr>
                <w:rFonts w:cs="Arial"/>
                <w:color w:val="0D0D0D" w:themeColor="text1" w:themeTint="F2"/>
                <w:spacing w:val="-2"/>
                <w:sz w:val="14"/>
                <w:szCs w:val="14"/>
              </w:rPr>
              <w:t xml:space="preserve">. </w:t>
            </w:r>
            <w:r w:rsidRPr="00360DE3">
              <w:rPr>
                <w:rFonts w:cs="Arial"/>
                <w:sz w:val="14"/>
                <w:szCs w:val="14"/>
              </w:rPr>
              <w:t xml:space="preserve">Poznámka: Počty přepravovaných osob uvedené na pravé ose jsou vyjádřeny v logaritmickém měřítku. </w:t>
            </w:r>
          </w:p>
          <w:p w:rsidR="00F160CE" w:rsidRPr="00360DE3" w:rsidRDefault="00F160CE" w:rsidP="00A55161">
            <w:pPr>
              <w:spacing w:after="100" w:line="240" w:lineRule="auto"/>
            </w:pPr>
            <w:r w:rsidRPr="00360DE3">
              <w:rPr>
                <w:rFonts w:cs="Arial"/>
                <w:sz w:val="14"/>
                <w:szCs w:val="14"/>
              </w:rPr>
              <w:t xml:space="preserve">Zdroj: </w:t>
            </w:r>
            <w:proofErr w:type="spellStart"/>
            <w:r w:rsidRPr="00360DE3">
              <w:rPr>
                <w:rFonts w:cs="Arial"/>
                <w:sz w:val="14"/>
                <w:szCs w:val="14"/>
              </w:rPr>
              <w:t>Eurostat</w:t>
            </w:r>
            <w:proofErr w:type="spellEnd"/>
          </w:p>
        </w:tc>
      </w:tr>
      <w:tr w:rsidR="006D64C2" w:rsidRPr="00360DE3" w:rsidTr="006D64C2">
        <w:trPr>
          <w:trHeight w:val="170"/>
        </w:trPr>
        <w:tc>
          <w:tcPr>
            <w:tcW w:w="1976" w:type="dxa"/>
          </w:tcPr>
          <w:p w:rsidR="006D64C2" w:rsidRPr="00360DE3" w:rsidRDefault="006D64C2" w:rsidP="00F162B3">
            <w:pPr>
              <w:pStyle w:val="Marginlie"/>
              <w:rPr>
                <w:spacing w:val="0"/>
              </w:rPr>
            </w:pPr>
            <w:r w:rsidRPr="00360DE3">
              <w:rPr>
                <w:spacing w:val="0"/>
              </w:rPr>
              <w:lastRenderedPageBreak/>
              <w:t>Hlubší pokles výkonů silniční nákladní dopravy v letech 2016 i 2017 kontrastoval s mírným posilováním železniční přepravy.</w:t>
            </w:r>
          </w:p>
        </w:tc>
        <w:tc>
          <w:tcPr>
            <w:tcW w:w="277" w:type="dxa"/>
          </w:tcPr>
          <w:p w:rsidR="006D64C2" w:rsidRPr="00360DE3" w:rsidRDefault="006D64C2" w:rsidP="00F162B3">
            <w:pPr>
              <w:pStyle w:val="Textpoznpodarou"/>
              <w:jc w:val="both"/>
            </w:pPr>
          </w:p>
        </w:tc>
        <w:tc>
          <w:tcPr>
            <w:tcW w:w="7391" w:type="dxa"/>
          </w:tcPr>
          <w:p w:rsidR="006D64C2" w:rsidRPr="00360DE3" w:rsidRDefault="006D64C2" w:rsidP="00F162B3">
            <w:pPr>
              <w:spacing w:after="200"/>
              <w:rPr>
                <w:color w:val="0D0D0D"/>
              </w:rPr>
            </w:pPr>
            <w:r w:rsidRPr="00360DE3">
              <w:rPr>
                <w:color w:val="0D0D0D"/>
              </w:rPr>
              <w:t>V nákladní dopravě pokračoval pozitivní trend posilování přepravních výkonů na železnici (orientované hlavně na přepravu nerostných surovin, koksu či ropných produktů), které v období 2016-2017 zčásti kompenzovaly úbytek výkonů v objemově dominantní</w:t>
            </w:r>
            <w:r w:rsidRPr="00360DE3">
              <w:rPr>
                <w:rStyle w:val="Znakapoznpodarou"/>
                <w:color w:val="0D0D0D"/>
              </w:rPr>
              <w:footnoteReference w:id="101"/>
            </w:r>
            <w:r w:rsidRPr="00360DE3">
              <w:rPr>
                <w:color w:val="0D0D0D"/>
              </w:rPr>
              <w:t xml:space="preserve"> silniční dopravě. Její slabší </w:t>
            </w:r>
            <w:proofErr w:type="gramStart"/>
            <w:r w:rsidRPr="00360DE3">
              <w:rPr>
                <w:color w:val="0D0D0D"/>
              </w:rPr>
              <w:t>loňské</w:t>
            </w:r>
            <w:proofErr w:type="gramEnd"/>
            <w:r w:rsidRPr="00360DE3">
              <w:rPr>
                <w:color w:val="0D0D0D"/>
              </w:rPr>
              <w:t xml:space="preserve"> výkon (pokles o</w:t>
            </w:r>
            <w:r w:rsidR="00274037" w:rsidRPr="00360DE3">
              <w:t> </w:t>
            </w:r>
            <w:r w:rsidRPr="00360DE3">
              <w:rPr>
                <w:color w:val="0D0D0D"/>
              </w:rPr>
              <w:t>6</w:t>
            </w:r>
            <w:r w:rsidR="00274037" w:rsidRPr="00360DE3">
              <w:t> </w:t>
            </w:r>
            <w:r w:rsidRPr="00360DE3">
              <w:rPr>
                <w:color w:val="0D0D0D"/>
              </w:rPr>
              <w:t>mld. tunokilometrů, resp. o 12 %) byl loni způsoben poklesem přepravní vzdálenosti, neboť fyzický objem přepravného zboží (vozidly registrovanými na území ČR) meziročně vzrostl (+6,4 %). Váha vnitrostátní silniční nákladní dopravy na úkor dříve dominantní mezinárodní dopravy v ČR dlouhodobě roste. V r</w:t>
            </w:r>
            <w:r w:rsidR="00A4750C">
              <w:rPr>
                <w:color w:val="0D0D0D"/>
              </w:rPr>
              <w:t>oce 2017 byla již proporce</w:t>
            </w:r>
            <w:r w:rsidRPr="00360DE3">
              <w:rPr>
                <w:color w:val="0D0D0D"/>
              </w:rPr>
              <w:t xml:space="preserve"> hlavních složek silniční nákladní dopravy z pohledu přepravních výkonů (</w:t>
            </w:r>
            <w:proofErr w:type="spellStart"/>
            <w:r w:rsidRPr="00360DE3">
              <w:rPr>
                <w:color w:val="0D0D0D"/>
              </w:rPr>
              <w:t>tkm</w:t>
            </w:r>
            <w:proofErr w:type="spellEnd"/>
            <w:r w:rsidRPr="00360DE3">
              <w:rPr>
                <w:color w:val="0D0D0D"/>
              </w:rPr>
              <w:t>) prakticky vyrovnaná.</w:t>
            </w:r>
          </w:p>
        </w:tc>
      </w:tr>
    </w:tbl>
    <w:p w:rsidR="00C466D2" w:rsidRPr="00360DE3" w:rsidRDefault="00E212C9" w:rsidP="00141782">
      <w:pPr>
        <w:pStyle w:val="Nadpis1"/>
        <w:rPr>
          <w:lang w:eastAsia="en-US"/>
        </w:rPr>
      </w:pPr>
      <w:bookmarkStart w:id="31" w:name="_Toc527639486"/>
      <w:r w:rsidRPr="00360DE3">
        <w:rPr>
          <w:lang w:eastAsia="en-US"/>
        </w:rPr>
        <w:t>14</w:t>
      </w:r>
      <w:r w:rsidR="00141782" w:rsidRPr="00360DE3">
        <w:rPr>
          <w:lang w:eastAsia="en-US"/>
        </w:rPr>
        <w:t>. Ubytování a pohostinství</w:t>
      </w:r>
      <w:bookmarkEnd w:id="31"/>
    </w:p>
    <w:tbl>
      <w:tblPr>
        <w:tblW w:w="9644" w:type="dxa"/>
        <w:tblInd w:w="-15" w:type="dxa"/>
        <w:tblLayout w:type="fixed"/>
        <w:tblCellMar>
          <w:left w:w="0" w:type="dxa"/>
          <w:right w:w="0" w:type="dxa"/>
        </w:tblCellMar>
        <w:tblLook w:val="00A0"/>
      </w:tblPr>
      <w:tblGrid>
        <w:gridCol w:w="1976"/>
        <w:gridCol w:w="277"/>
        <w:gridCol w:w="7391"/>
      </w:tblGrid>
      <w:tr w:rsidR="009540B7" w:rsidRPr="00360DE3" w:rsidTr="00DC37E3">
        <w:trPr>
          <w:trHeight w:val="145"/>
        </w:trPr>
        <w:tc>
          <w:tcPr>
            <w:tcW w:w="1976" w:type="dxa"/>
          </w:tcPr>
          <w:p w:rsidR="009540B7" w:rsidRPr="00360DE3" w:rsidRDefault="009540B7" w:rsidP="00DC37E3">
            <w:pPr>
              <w:pStyle w:val="Marginlie"/>
              <w:rPr>
                <w:spacing w:val="0"/>
              </w:rPr>
            </w:pPr>
            <w:r w:rsidRPr="00360DE3">
              <w:rPr>
                <w:spacing w:val="0"/>
              </w:rPr>
              <w:t>Hrubá přidaná hodnota rostla loni v ubytování, stravování a pohostinství vyšším tempem než v celém sektoru služeb. Táhly ji hlavně silné výkony v segmentu ubytování.</w:t>
            </w:r>
          </w:p>
        </w:tc>
        <w:tc>
          <w:tcPr>
            <w:tcW w:w="277" w:type="dxa"/>
          </w:tcPr>
          <w:p w:rsidR="009540B7" w:rsidRPr="00360DE3" w:rsidRDefault="009540B7" w:rsidP="00DC37E3">
            <w:pPr>
              <w:pStyle w:val="Textpoznpodarou"/>
              <w:jc w:val="both"/>
            </w:pPr>
          </w:p>
        </w:tc>
        <w:tc>
          <w:tcPr>
            <w:tcW w:w="7391" w:type="dxa"/>
          </w:tcPr>
          <w:p w:rsidR="009540B7" w:rsidRPr="00A35142" w:rsidRDefault="009540B7" w:rsidP="00A35142">
            <w:pPr>
              <w:rPr>
                <w:spacing w:val="-2"/>
              </w:rPr>
            </w:pPr>
            <w:r w:rsidRPr="00A35142">
              <w:rPr>
                <w:spacing w:val="-2"/>
              </w:rPr>
              <w:t>Ubytování, stravování a pohostinství</w:t>
            </w:r>
            <w:r w:rsidRPr="00A35142">
              <w:rPr>
                <w:rStyle w:val="Znakapoznpodarou"/>
                <w:spacing w:val="-2"/>
              </w:rPr>
              <w:footnoteReference w:id="102"/>
            </w:r>
            <w:r w:rsidRPr="00A35142">
              <w:rPr>
                <w:spacing w:val="-2"/>
              </w:rPr>
              <w:t xml:space="preserve"> patří v Česku k relativně malým odvětvím. Na produkci celého terciárního sektoru se loni podílelo 3,9 %, na hrubé přidané hodnotě (HPH) 3,5 %. Významnější roli mělo toto odvětví v oblasti zaměstnanosti (6,5 %), a to hlavně v případě podnikajících osob (desetina všech </w:t>
            </w:r>
            <w:proofErr w:type="spellStart"/>
            <w:r w:rsidRPr="00A35142">
              <w:rPr>
                <w:spacing w:val="-2"/>
              </w:rPr>
              <w:t>sebezaměstnaných</w:t>
            </w:r>
            <w:proofErr w:type="spellEnd"/>
            <w:r w:rsidRPr="00A35142">
              <w:rPr>
                <w:spacing w:val="-2"/>
              </w:rPr>
              <w:t xml:space="preserve"> působících ve službách nacházela hlavní zdroj ekonomické aktivity právě zde). Na rozdíl od roku 2016 se loni HPH v ubytování, stravování a pohostinství navyšovala silnějším meziročním tempem (+3,5 %) než v celém sektoru služeb. Výsledek mohl být ještě příznivější, nebýt sílících výrobních nákladů (</w:t>
            </w:r>
            <w:proofErr w:type="spellStart"/>
            <w:r w:rsidRPr="00A35142">
              <w:rPr>
                <w:spacing w:val="-2"/>
              </w:rPr>
              <w:t>mezispotřeba</w:t>
            </w:r>
            <w:proofErr w:type="spellEnd"/>
            <w:r w:rsidRPr="00A35142">
              <w:rPr>
                <w:spacing w:val="-2"/>
              </w:rPr>
              <w:t xml:space="preserve"> se navýšila o 13,2 %, nejvíce za posledních deset let). Samotná produkce (se silnou vazbou na tržby) totiž vzrostla bezmála o desetinu. Již třetím rokem v řadě přispěly k růstu HPH v odvětví jeho oba hlavní segmenty</w:t>
            </w:r>
            <w:r w:rsidRPr="00A35142">
              <w:rPr>
                <w:rStyle w:val="Znakapoznpodarou"/>
                <w:spacing w:val="-2"/>
              </w:rPr>
              <w:footnoteReference w:id="103"/>
            </w:r>
            <w:r w:rsidRPr="00A35142">
              <w:rPr>
                <w:spacing w:val="-2"/>
              </w:rPr>
              <w:t xml:space="preserve">. Zatímco v letech 2015 i 2016 ho táhl hlavně váhově dominantní segment stravování a pohostinství, loni tuto roli převzalo ubytování (zajistilo téměř tři pětiny </w:t>
            </w:r>
            <w:r w:rsidR="00D32F90" w:rsidRPr="00A35142">
              <w:rPr>
                <w:spacing w:val="-2"/>
              </w:rPr>
              <w:t xml:space="preserve">meziročního </w:t>
            </w:r>
            <w:r w:rsidRPr="00A35142">
              <w:rPr>
                <w:spacing w:val="-2"/>
              </w:rPr>
              <w:t>růstu HPH). Současný vývoj celého odvětví souvisí jak s příznivou finanční situací i optimistickými očekáváními tuzemských domácností (projevující se mj. i posílením „zby</w:t>
            </w:r>
            <w:r w:rsidR="00A35142">
              <w:rPr>
                <w:spacing w:val="-2"/>
              </w:rPr>
              <w:t>tných“ výdajů), tak s vývojem v</w:t>
            </w:r>
            <w:r w:rsidR="00A35142" w:rsidRPr="00A35142">
              <w:rPr>
                <w:spacing w:val="-2"/>
              </w:rPr>
              <w:t> </w:t>
            </w:r>
            <w:r w:rsidRPr="00A35142">
              <w:rPr>
                <w:spacing w:val="-2"/>
              </w:rPr>
              <w:t>mateřských státech nejčetněji zastoupených zahraničních návštěvníků Česka.</w:t>
            </w:r>
          </w:p>
        </w:tc>
      </w:tr>
      <w:tr w:rsidR="006D64C2" w:rsidRPr="00360DE3" w:rsidTr="00DC37E3">
        <w:trPr>
          <w:trHeight w:val="145"/>
        </w:trPr>
        <w:tc>
          <w:tcPr>
            <w:tcW w:w="1976" w:type="dxa"/>
          </w:tcPr>
          <w:p w:rsidR="006D64C2" w:rsidRPr="00360DE3" w:rsidRDefault="006D64C2" w:rsidP="00F162B3">
            <w:pPr>
              <w:pStyle w:val="Marginlie"/>
              <w:rPr>
                <w:spacing w:val="0"/>
              </w:rPr>
            </w:pPr>
            <w:r w:rsidRPr="00360DE3">
              <w:rPr>
                <w:spacing w:val="0"/>
              </w:rPr>
              <w:t xml:space="preserve">Míra zisku podniků v ubytování mírně rostla, naopak ve stravování a pohostinství dosáhla čtyřletého minima. </w:t>
            </w:r>
          </w:p>
          <w:p w:rsidR="006D64C2" w:rsidRPr="00360DE3" w:rsidRDefault="006D64C2" w:rsidP="00F162B3">
            <w:pPr>
              <w:pStyle w:val="Marginlie"/>
              <w:rPr>
                <w:spacing w:val="0"/>
              </w:rPr>
            </w:pPr>
          </w:p>
          <w:p w:rsidR="006D64C2" w:rsidRDefault="006D64C2" w:rsidP="00F162B3">
            <w:pPr>
              <w:pStyle w:val="Marginlie"/>
              <w:rPr>
                <w:spacing w:val="0"/>
              </w:rPr>
            </w:pPr>
          </w:p>
          <w:p w:rsidR="00A35142" w:rsidRPr="00360DE3" w:rsidRDefault="00A35142" w:rsidP="00F162B3">
            <w:pPr>
              <w:pStyle w:val="Marginlie"/>
              <w:rPr>
                <w:spacing w:val="0"/>
              </w:rPr>
            </w:pPr>
          </w:p>
          <w:p w:rsidR="006D64C2" w:rsidRPr="00360DE3" w:rsidRDefault="006D64C2" w:rsidP="00F162B3">
            <w:pPr>
              <w:pStyle w:val="Marginlie"/>
              <w:rPr>
                <w:spacing w:val="0"/>
              </w:rPr>
            </w:pPr>
            <w:r w:rsidRPr="00360DE3">
              <w:rPr>
                <w:spacing w:val="0"/>
              </w:rPr>
              <w:t>Přetrvávala nízká in</w:t>
            </w:r>
            <w:r w:rsidR="00D32F90">
              <w:rPr>
                <w:spacing w:val="0"/>
              </w:rPr>
              <w:t>vestiční aktivita související i</w:t>
            </w:r>
            <w:r w:rsidR="00D32F90" w:rsidRPr="00360DE3">
              <w:rPr>
                <w:spacing w:val="0"/>
              </w:rPr>
              <w:t> </w:t>
            </w:r>
            <w:r w:rsidRPr="00360DE3">
              <w:rPr>
                <w:spacing w:val="0"/>
              </w:rPr>
              <w:t>s husto</w:t>
            </w:r>
            <w:r w:rsidR="00D32F90">
              <w:rPr>
                <w:spacing w:val="0"/>
              </w:rPr>
              <w:t>u sítí zařízení (hotely, restaurace</w:t>
            </w:r>
            <w:r w:rsidRPr="00360DE3">
              <w:rPr>
                <w:spacing w:val="0"/>
              </w:rPr>
              <w:t>) vybudovanou v předchozích dekádách.</w:t>
            </w:r>
          </w:p>
        </w:tc>
        <w:tc>
          <w:tcPr>
            <w:tcW w:w="277" w:type="dxa"/>
          </w:tcPr>
          <w:p w:rsidR="006D64C2" w:rsidRPr="00360DE3" w:rsidRDefault="006D64C2" w:rsidP="00F162B3">
            <w:pPr>
              <w:pStyle w:val="Textpoznpodarou"/>
              <w:jc w:val="both"/>
            </w:pPr>
          </w:p>
        </w:tc>
        <w:tc>
          <w:tcPr>
            <w:tcW w:w="7391" w:type="dxa"/>
          </w:tcPr>
          <w:p w:rsidR="006D64C2" w:rsidRPr="00A35142" w:rsidRDefault="006D64C2" w:rsidP="00A35142">
            <w:pPr>
              <w:spacing w:after="0"/>
              <w:rPr>
                <w:spacing w:val="-2"/>
              </w:rPr>
            </w:pPr>
            <w:r w:rsidRPr="00A35142">
              <w:rPr>
                <w:spacing w:val="-2"/>
              </w:rPr>
              <w:t>Čtyři roky trvající růst míry zisku nefinančních podniků v ubytování, stravování a pohostinství se loni zastavil (na 39 %)</w:t>
            </w:r>
            <w:r w:rsidRPr="00A35142">
              <w:rPr>
                <w:rStyle w:val="Znakapoznpodarou"/>
                <w:spacing w:val="-2"/>
              </w:rPr>
              <w:footnoteReference w:id="104"/>
            </w:r>
            <w:r w:rsidRPr="00A35142">
              <w:rPr>
                <w:spacing w:val="-2"/>
              </w:rPr>
              <w:t>. Ziskovost tak zůs</w:t>
            </w:r>
            <w:r w:rsidR="00D32F90" w:rsidRPr="00A35142">
              <w:rPr>
                <w:spacing w:val="-2"/>
              </w:rPr>
              <w:t>tala</w:t>
            </w:r>
            <w:r w:rsidRPr="00A35142">
              <w:rPr>
                <w:spacing w:val="-2"/>
              </w:rPr>
              <w:t xml:space="preserve"> výrazně pod úrovní zaznamenanou před deseti lety a především na počátku tisíciletí (kdy citelně převyšovala 50 %). Lepší výsledky mají dlouhodobě podniky v ubytování, kde mírný růst ziskovosti pokračoval (na 47 %). Naopak ve stravování a pohostinství byl loni poměr mezi hrubým provozním přebytkem a HPH nejnižší za poslední čtyři roky (33 %). Pro celé odvětví je typická relativně nízká investiční aktivita</w:t>
            </w:r>
            <w:r w:rsidRPr="00A35142">
              <w:rPr>
                <w:rStyle w:val="Znakapoznpodarou"/>
                <w:spacing w:val="-2"/>
              </w:rPr>
              <w:footnoteReference w:id="105"/>
            </w:r>
            <w:r w:rsidRPr="00A35142">
              <w:rPr>
                <w:spacing w:val="-2"/>
              </w:rPr>
              <w:t>. Ta souvisí mj. i s hustou sítí ubytovacích i stravovacích zařízení vybudovanou v předchozích dekádách. V poměru k HPH tvořily loni investice do fixního kapitálu jen 13 %. Lépe na tom byl segment ubytování (21 %), naopak v pohostinství a stravování klesla míra investic pod 10 %. Z hlediska skladby investic směřoval loni v celém odvětví vysoký podíl do strojů a zařízení (72 %). V rámci nich vykázaly (ve srovnání s ostatními odvětvími) vyšší váhu jak investice do dopravních prostředků, tak i do ICT. Naproti tomu jen minimální pozornost dlouhodobě věnují subjekty v tomto odvětví produktům duševního vlastnictví.</w:t>
            </w:r>
          </w:p>
        </w:tc>
      </w:tr>
      <w:tr w:rsidR="006D64C2" w:rsidRPr="00360DE3" w:rsidTr="00DC37E3">
        <w:tc>
          <w:tcPr>
            <w:tcW w:w="1976" w:type="dxa"/>
            <w:vMerge w:val="restart"/>
          </w:tcPr>
          <w:p w:rsidR="006D64C2" w:rsidRPr="00360DE3" w:rsidRDefault="006D64C2" w:rsidP="00DC37E3">
            <w:pPr>
              <w:pStyle w:val="Marginlie"/>
              <w:rPr>
                <w:spacing w:val="0"/>
              </w:rPr>
            </w:pPr>
          </w:p>
        </w:tc>
        <w:tc>
          <w:tcPr>
            <w:tcW w:w="277" w:type="dxa"/>
            <w:vMerge w:val="restart"/>
          </w:tcPr>
          <w:p w:rsidR="006D64C2" w:rsidRPr="00360DE3" w:rsidRDefault="006D64C2" w:rsidP="00DC37E3">
            <w:pPr>
              <w:pStyle w:val="Textpoznpodarou"/>
              <w:jc w:val="both"/>
            </w:pPr>
          </w:p>
        </w:tc>
        <w:tc>
          <w:tcPr>
            <w:tcW w:w="7391" w:type="dxa"/>
          </w:tcPr>
          <w:p w:rsidR="006D64C2" w:rsidRPr="00360DE3" w:rsidRDefault="006D64C2" w:rsidP="00DC37E3">
            <w:pPr>
              <w:spacing w:after="0"/>
              <w:rPr>
                <w:b/>
              </w:rPr>
            </w:pPr>
            <w:r w:rsidRPr="00360DE3">
              <w:rPr>
                <w:b/>
              </w:rPr>
              <w:t xml:space="preserve">Graf 14.1  </w:t>
            </w:r>
            <w:r w:rsidRPr="00360DE3">
              <w:rPr>
                <w:b/>
                <w:bCs/>
              </w:rPr>
              <w:t xml:space="preserve">Zákl. </w:t>
            </w:r>
            <w:proofErr w:type="gramStart"/>
            <w:r w:rsidRPr="00360DE3">
              <w:rPr>
                <w:b/>
                <w:bCs/>
              </w:rPr>
              <w:t>ukazatele</w:t>
            </w:r>
            <w:proofErr w:type="gramEnd"/>
            <w:r w:rsidRPr="00360DE3">
              <w:rPr>
                <w:b/>
                <w:bCs/>
              </w:rPr>
              <w:t xml:space="preserve"> odvětví ubytování, stravování a pohostinství</w:t>
            </w:r>
          </w:p>
          <w:p w:rsidR="006D64C2" w:rsidRPr="00360DE3" w:rsidRDefault="006D64C2" w:rsidP="00DC37E3">
            <w:pPr>
              <w:spacing w:after="0"/>
              <w:rPr>
                <w:b/>
              </w:rPr>
            </w:pPr>
            <w:r w:rsidRPr="00360DE3">
              <w:rPr>
                <w:b/>
                <w:noProof/>
              </w:rPr>
              <w:drawing>
                <wp:inline distT="0" distB="0" distL="0" distR="0">
                  <wp:extent cx="4673191" cy="3584672"/>
                  <wp:effectExtent l="0" t="0" r="0" b="0"/>
                  <wp:docPr id="5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6D64C2" w:rsidRPr="00360DE3" w:rsidTr="00DC37E3">
        <w:trPr>
          <w:trHeight w:val="284"/>
        </w:trPr>
        <w:tc>
          <w:tcPr>
            <w:tcW w:w="1976" w:type="dxa"/>
            <w:vMerge/>
          </w:tcPr>
          <w:p w:rsidR="006D64C2" w:rsidRPr="00360DE3" w:rsidRDefault="006D64C2" w:rsidP="00DC37E3">
            <w:pPr>
              <w:pStyle w:val="Marginlie"/>
              <w:rPr>
                <w:spacing w:val="0"/>
              </w:rPr>
            </w:pPr>
          </w:p>
        </w:tc>
        <w:tc>
          <w:tcPr>
            <w:tcW w:w="277" w:type="dxa"/>
            <w:vMerge/>
          </w:tcPr>
          <w:p w:rsidR="006D64C2" w:rsidRPr="00360DE3" w:rsidRDefault="006D64C2" w:rsidP="00DC37E3">
            <w:pPr>
              <w:pStyle w:val="Textpoznpodarou"/>
              <w:jc w:val="both"/>
            </w:pPr>
          </w:p>
        </w:tc>
        <w:tc>
          <w:tcPr>
            <w:tcW w:w="7391" w:type="dxa"/>
          </w:tcPr>
          <w:p w:rsidR="006D64C2" w:rsidRPr="00360DE3" w:rsidRDefault="006D64C2" w:rsidP="00DC37E3">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6D64C2" w:rsidRPr="00360DE3" w:rsidTr="00DC37E3">
        <w:trPr>
          <w:trHeight w:val="170"/>
        </w:trPr>
        <w:tc>
          <w:tcPr>
            <w:tcW w:w="1976" w:type="dxa"/>
          </w:tcPr>
          <w:p w:rsidR="006D64C2" w:rsidRPr="00360DE3" w:rsidRDefault="006D64C2" w:rsidP="00DC37E3">
            <w:pPr>
              <w:pStyle w:val="Marginlie"/>
              <w:rPr>
                <w:spacing w:val="0"/>
              </w:rPr>
            </w:pPr>
            <w:r w:rsidRPr="00360DE3">
              <w:rPr>
                <w:spacing w:val="0"/>
              </w:rPr>
              <w:t xml:space="preserve">I přes prudký růst objemu vyplacených mezd v posledních třech letech setrvává průměrná mzda v odvětví hluboko pod úrovní celé ekonomiky. </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rPr>
                <w:color w:val="0D0D0D"/>
              </w:rPr>
            </w:pPr>
            <w:r w:rsidRPr="00360DE3">
              <w:rPr>
                <w:color w:val="0D0D0D"/>
              </w:rPr>
              <w:t>Vedle investiční aktivity charakterizuje odvětví i velmi nízká mzdová úroveň. Přestože objem vyplacených mezd za poslední tři roky prudce vzrostl (nominálně o</w:t>
            </w:r>
            <w:r w:rsidR="00274037" w:rsidRPr="00360DE3">
              <w:t> </w:t>
            </w:r>
            <w:r w:rsidRPr="00360DE3">
              <w:rPr>
                <w:color w:val="0D0D0D"/>
              </w:rPr>
              <w:t>více než čtvrtinu) – především zásluhou navyšování hranice minimální mzdy –, dosahovala zde průměrná mzda loni jen 62 % úrovně celé ekonomiky. V rámci odvětví na tom byli lépe zaměstnanci v ubytování (73 %). Se zlepšujícími se hospodářskými výsledky se v odvětví po roce 2014 pozvolna navyšuje i</w:t>
            </w:r>
            <w:r w:rsidR="00274037" w:rsidRPr="00360DE3">
              <w:t> </w:t>
            </w:r>
            <w:r w:rsidRPr="00360DE3">
              <w:rPr>
                <w:color w:val="0D0D0D"/>
              </w:rPr>
              <w:t>zaměstnanost. Loni zde pracovalo necelých 208 tis. osob (po přepočtu na celé úvazky). Na oživení se podílelo spíše stravování a pohostinství, kde vloni přibylo 7,5 ti</w:t>
            </w:r>
            <w:r w:rsidR="00D32F90">
              <w:rPr>
                <w:color w:val="0D0D0D"/>
              </w:rPr>
              <w:t>s. pracovníků (výhradně ve slupině</w:t>
            </w:r>
            <w:r w:rsidRPr="00360DE3">
              <w:rPr>
                <w:color w:val="0D0D0D"/>
              </w:rPr>
              <w:t xml:space="preserve"> </w:t>
            </w:r>
            <w:proofErr w:type="spellStart"/>
            <w:r w:rsidRPr="00360DE3">
              <w:rPr>
                <w:color w:val="0D0D0D"/>
              </w:rPr>
              <w:t>sebezaměstnaných</w:t>
            </w:r>
            <w:proofErr w:type="spellEnd"/>
            <w:r w:rsidRPr="00360DE3">
              <w:rPr>
                <w:color w:val="0D0D0D"/>
              </w:rPr>
              <w:t>). Navzdory tomu se nacházel loňský počet pracovníků v celém odvětví stále pod úrovní dosud rekordního roku 2009 (212 tis.).</w:t>
            </w:r>
          </w:p>
        </w:tc>
      </w:tr>
      <w:tr w:rsidR="006D64C2" w:rsidRPr="00360DE3" w:rsidTr="00DC37E3">
        <w:trPr>
          <w:trHeight w:val="170"/>
        </w:trPr>
        <w:tc>
          <w:tcPr>
            <w:tcW w:w="1976" w:type="dxa"/>
          </w:tcPr>
          <w:p w:rsidR="006D64C2" w:rsidRPr="00360DE3" w:rsidRDefault="006D64C2" w:rsidP="00F162B3">
            <w:pPr>
              <w:pStyle w:val="Marginlie"/>
              <w:rPr>
                <w:spacing w:val="0"/>
              </w:rPr>
            </w:pPr>
            <w:r w:rsidRPr="00360DE3">
              <w:rPr>
                <w:spacing w:val="0"/>
              </w:rPr>
              <w:t>Silný růst počtu návštěvníků v hromadných ubytovacích zařízeních v Česku pokračoval již třetím rokem.</w:t>
            </w:r>
          </w:p>
          <w:p w:rsidR="006D64C2" w:rsidRPr="00360DE3" w:rsidRDefault="006D64C2" w:rsidP="00F162B3">
            <w:pPr>
              <w:pStyle w:val="Marginlie"/>
              <w:rPr>
                <w:spacing w:val="0"/>
              </w:rPr>
            </w:pPr>
            <w:r w:rsidRPr="00360DE3">
              <w:rPr>
                <w:spacing w:val="0"/>
              </w:rPr>
              <w:t xml:space="preserve">Hostů přijelo loni meziročně více do všech krajů. Výrazná dominance Prahy u zahraniční klientely se mírně oslabila. </w:t>
            </w:r>
          </w:p>
          <w:p w:rsidR="006D64C2" w:rsidRPr="00360DE3" w:rsidRDefault="006D64C2" w:rsidP="00F162B3">
            <w:pPr>
              <w:pStyle w:val="Marginlie"/>
              <w:rPr>
                <w:spacing w:val="0"/>
              </w:rPr>
            </w:pPr>
          </w:p>
        </w:tc>
        <w:tc>
          <w:tcPr>
            <w:tcW w:w="277" w:type="dxa"/>
          </w:tcPr>
          <w:p w:rsidR="006D64C2" w:rsidRPr="00360DE3" w:rsidRDefault="006D64C2" w:rsidP="00F162B3">
            <w:pPr>
              <w:pStyle w:val="Textpoznpodarou"/>
              <w:jc w:val="both"/>
            </w:pPr>
          </w:p>
        </w:tc>
        <w:tc>
          <w:tcPr>
            <w:tcW w:w="7391" w:type="dxa"/>
          </w:tcPr>
          <w:p w:rsidR="006D64C2" w:rsidRPr="00360DE3" w:rsidRDefault="006D64C2" w:rsidP="0074369B">
            <w:pPr>
              <w:rPr>
                <w:color w:val="0D0D0D"/>
              </w:rPr>
            </w:pPr>
            <w:r w:rsidRPr="00360DE3">
              <w:rPr>
                <w:color w:val="0D0D0D"/>
              </w:rPr>
              <w:t>Česko si v konkurenci evropských států nadále udržuje vysokou atraktivitu pro cestovní ruch. Vedle v čase relativně stabilních faktorů (kulturně-historických i přírodních atraktivit, příhodné geografické polohy), působí i příznivý globální ekonomický vývoj, relativní cenová dostupnost nabízených služeb v tuzemsku a</w:t>
            </w:r>
            <w:r w:rsidR="00274037" w:rsidRPr="00360DE3">
              <w:t> </w:t>
            </w:r>
            <w:r w:rsidRPr="00360DE3">
              <w:rPr>
                <w:color w:val="0D0D0D"/>
              </w:rPr>
              <w:t>v posledních letech i vnímání Česka jako bezpečné destinace. Silný nárůst četnosti příjezdů hostů, kteří využili služeb hromadných ubytova</w:t>
            </w:r>
            <w:r w:rsidR="0074369B">
              <w:rPr>
                <w:color w:val="0D0D0D"/>
              </w:rPr>
              <w:t xml:space="preserve">cích zařízení (HUZ), </w:t>
            </w:r>
            <w:r w:rsidRPr="00360DE3">
              <w:rPr>
                <w:color w:val="0D0D0D"/>
              </w:rPr>
              <w:t>dle podnikových statistik</w:t>
            </w:r>
            <w:r w:rsidR="0074369B">
              <w:rPr>
                <w:color w:val="0D0D0D"/>
              </w:rPr>
              <w:t xml:space="preserve"> nadále pokračoval</w:t>
            </w:r>
            <w:r w:rsidRPr="00360DE3">
              <w:rPr>
                <w:color w:val="0D0D0D"/>
              </w:rPr>
              <w:t>. Loni počet hostů poprvé překročil 20mil. hranici (meziročně +8,8 %). Návštěvníků z tuzemska bylo nepatrně méně (9,84 mil.) než hostů s cizím státním občanstvím (10,16 mil.)</w:t>
            </w:r>
            <w:r w:rsidRPr="00360DE3">
              <w:rPr>
                <w:rStyle w:val="Znakapoznpodarou"/>
                <w:color w:val="0D0D0D"/>
              </w:rPr>
              <w:footnoteReference w:id="106"/>
            </w:r>
            <w:r w:rsidRPr="00360DE3">
              <w:rPr>
                <w:color w:val="0D0D0D"/>
              </w:rPr>
              <w:t xml:space="preserve">. Za vysokým růstem celkové návštěvnosti stál loni především dynamický vývoj v první polovině roku, nicméně i v dalších čtvrtletích převyšovalo meziroční tempo 5% hranici. Více </w:t>
            </w:r>
            <w:r w:rsidRPr="00360DE3">
              <w:rPr>
                <w:color w:val="0D0D0D"/>
              </w:rPr>
              <w:lastRenderedPageBreak/>
              <w:t>hostů přijelo loni do všech kategorií HUZ – zatímco v roce 2</w:t>
            </w:r>
            <w:r w:rsidR="006B4B7B">
              <w:rPr>
                <w:color w:val="0D0D0D"/>
              </w:rPr>
              <w:t>016 rostly nejrychleji čtyř</w:t>
            </w:r>
            <w:r w:rsidRPr="00360DE3">
              <w:rPr>
                <w:color w:val="0D0D0D"/>
              </w:rPr>
              <w:t>hvězdičko</w:t>
            </w:r>
            <w:r w:rsidR="006B4B7B">
              <w:rPr>
                <w:color w:val="0D0D0D"/>
              </w:rPr>
              <w:t>vé hotely (+10 %), loni to byly penziony (+15 %, n</w:t>
            </w:r>
            <w:r w:rsidRPr="00360DE3">
              <w:rPr>
                <w:color w:val="0D0D0D"/>
              </w:rPr>
              <w:t>a růstu celkové návštěvnosti ČR se podílely šestinou</w:t>
            </w:r>
            <w:r w:rsidR="006B4B7B">
              <w:rPr>
                <w:color w:val="0D0D0D"/>
              </w:rPr>
              <w:t>)</w:t>
            </w:r>
            <w:r w:rsidRPr="00360DE3">
              <w:rPr>
                <w:color w:val="0D0D0D"/>
              </w:rPr>
              <w:t xml:space="preserve">.  </w:t>
            </w:r>
          </w:p>
        </w:tc>
      </w:tr>
      <w:tr w:rsidR="006D64C2" w:rsidRPr="00360DE3" w:rsidTr="00DC37E3">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pPr>
            <w:r w:rsidRPr="00360DE3">
              <w:rPr>
                <w:b/>
              </w:rPr>
              <w:t>Graf 14.2  Příspěvky zahraničních návštěvníků dle zemí k meziroční změně počtu přenocování všech nerezidentů v </w:t>
            </w:r>
            <w:proofErr w:type="gramStart"/>
            <w:r w:rsidRPr="00360DE3">
              <w:rPr>
                <w:b/>
              </w:rPr>
              <w:t>HUZ</w:t>
            </w:r>
            <w:r w:rsidRPr="00360DE3">
              <w:t xml:space="preserve"> (v p .</w:t>
            </w:r>
            <w:proofErr w:type="spellStart"/>
            <w:r w:rsidRPr="00360DE3">
              <w:t>b</w:t>
            </w:r>
            <w:proofErr w:type="spellEnd"/>
            <w:r w:rsidRPr="00360DE3">
              <w:t>.)</w:t>
            </w:r>
            <w:r w:rsidR="00A35142">
              <w:rPr>
                <w:b/>
              </w:rPr>
              <w:t xml:space="preserve"> a průměrná</w:t>
            </w:r>
            <w:proofErr w:type="gramEnd"/>
            <w:r w:rsidRPr="00360DE3">
              <w:rPr>
                <w:b/>
              </w:rPr>
              <w:t xml:space="preserve"> délka pobytu zahraničních a tuzemských hostů v ČR </w:t>
            </w:r>
            <w:r w:rsidRPr="00360DE3">
              <w:t>(ve dnech, pravá osa)</w:t>
            </w:r>
          </w:p>
          <w:p w:rsidR="006D64C2" w:rsidRPr="00360DE3" w:rsidRDefault="006D64C2" w:rsidP="00DC37E3">
            <w:pPr>
              <w:spacing w:after="0"/>
              <w:rPr>
                <w:b/>
              </w:rPr>
            </w:pPr>
            <w:r w:rsidRPr="00360DE3">
              <w:rPr>
                <w:b/>
                <w:noProof/>
              </w:rPr>
              <w:drawing>
                <wp:inline distT="0" distB="0" distL="0" distR="0">
                  <wp:extent cx="4748893" cy="3467595"/>
                  <wp:effectExtent l="19050" t="0" r="0" b="0"/>
                  <wp:docPr id="6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6D64C2" w:rsidRPr="00360DE3" w:rsidTr="00DC37E3">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B4B7B" w:rsidRDefault="006D64C2" w:rsidP="006B4B7B">
            <w:pPr>
              <w:spacing w:after="0" w:line="240" w:lineRule="auto"/>
              <w:rPr>
                <w:rFonts w:ascii="Tahoma" w:hAnsi="Tahoma" w:cs="Tahoma"/>
                <w:color w:val="0D0D0D" w:themeColor="text1" w:themeTint="F2"/>
                <w:sz w:val="14"/>
                <w:szCs w:val="14"/>
              </w:rPr>
            </w:pPr>
            <w:r w:rsidRPr="00360DE3">
              <w:rPr>
                <w:rFonts w:cs="Arial"/>
                <w:color w:val="0D0D0D" w:themeColor="text1" w:themeTint="F2"/>
                <w:sz w:val="14"/>
                <w:szCs w:val="14"/>
              </w:rPr>
              <w:t xml:space="preserve"> Pozn.: HUZ – hromadná ubytovací zařízení. Jde o </w:t>
            </w:r>
            <w:r w:rsidRPr="00360DE3">
              <w:rPr>
                <w:rFonts w:ascii="Tahoma" w:hAnsi="Tahoma" w:cs="Tahoma"/>
                <w:color w:val="0D0D0D" w:themeColor="text1" w:themeTint="F2"/>
                <w:sz w:val="14"/>
                <w:szCs w:val="14"/>
              </w:rPr>
              <w:t>zařízení s minimálně pěti pokoji a zároveň deseti lůžky poskytující přechodné ubytování hostům za účelem dovolené, zájezdu, lázeňské péče, služební cesty, školení, kursu, kongresu, symposia, pobytu dětí ve škole v přírodě, v letních a zimních táborech apod.</w:t>
            </w:r>
          </w:p>
          <w:p w:rsidR="006D64C2" w:rsidRPr="006B4B7B" w:rsidRDefault="006D64C2" w:rsidP="00DC37E3">
            <w:pPr>
              <w:spacing w:after="200" w:line="240" w:lineRule="auto"/>
              <w:rPr>
                <w:rFonts w:ascii="Tahoma" w:hAnsi="Tahoma" w:cs="Tahoma"/>
                <w:color w:val="0D0D0D" w:themeColor="text1" w:themeTint="F2"/>
                <w:sz w:val="14"/>
                <w:szCs w:val="14"/>
              </w:rPr>
            </w:pPr>
            <w:r w:rsidRPr="00360DE3">
              <w:rPr>
                <w:rFonts w:cs="Arial"/>
                <w:color w:val="0D0D0D" w:themeColor="text1" w:themeTint="F2"/>
                <w:sz w:val="14"/>
                <w:szCs w:val="14"/>
              </w:rPr>
              <w:t xml:space="preserve">Zdroj: ČSÚ </w:t>
            </w:r>
          </w:p>
        </w:tc>
      </w:tr>
      <w:tr w:rsidR="006D64C2" w:rsidRPr="00360DE3" w:rsidTr="00DC37E3">
        <w:trPr>
          <w:trHeight w:val="170"/>
        </w:trPr>
        <w:tc>
          <w:tcPr>
            <w:tcW w:w="1976" w:type="dxa"/>
          </w:tcPr>
          <w:p w:rsidR="006D64C2" w:rsidRPr="00360DE3" w:rsidRDefault="006D64C2" w:rsidP="00DC37E3">
            <w:pPr>
              <w:pStyle w:val="Marginlie"/>
              <w:rPr>
                <w:spacing w:val="0"/>
              </w:rPr>
            </w:pPr>
            <w:r w:rsidRPr="00360DE3">
              <w:rPr>
                <w:spacing w:val="0"/>
              </w:rPr>
              <w:t>Průměrná doba pobytu zahraničních hostů nadále klesla. U hostů z tuzemska se délka v posledních letech stabilizovala.</w:t>
            </w:r>
          </w:p>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r w:rsidRPr="00360DE3">
              <w:rPr>
                <w:color w:val="0D0D0D"/>
              </w:rPr>
              <w:t xml:space="preserve">Hostů z tuzemska, ale i ze zahraničí, přibývalo ve všech krajích. V součtu za obě kategorie </w:t>
            </w:r>
            <w:r w:rsidR="006B4B7B">
              <w:rPr>
                <w:color w:val="0D0D0D"/>
              </w:rPr>
              <w:t xml:space="preserve">turistů </w:t>
            </w:r>
            <w:r w:rsidRPr="00360DE3">
              <w:rPr>
                <w:color w:val="0D0D0D"/>
              </w:rPr>
              <w:t>se návštěvnost nejvíce zvyšovala v Jihomoravském, Plzeňském a Ústeckém kraji (v pásmu 14,5 % až 12,3 %). I přes mí</w:t>
            </w:r>
            <w:r w:rsidR="006B4B7B">
              <w:rPr>
                <w:color w:val="0D0D0D"/>
              </w:rPr>
              <w:t>rné relativní oslabení pozice</w:t>
            </w:r>
            <w:r w:rsidRPr="00360DE3">
              <w:rPr>
                <w:color w:val="0D0D0D"/>
              </w:rPr>
              <w:t xml:space="preserve"> Prahy, zůstává její role v případě pobytu zahraničních návštěvníků nadále výrazně dominantní. Její podíl na celorepublikovém počtu zahraničních návštěvníků loni činil 64,6 %, u jejich přenocování 61,4 %. Negativním jevem zůstává také zkracující se průměrná doba pobytu, jež je u zahraniční klientely v ČR na rozdíl od té domácí dlouhodobým jevem. Lze to zčásti vysvětlit zvyšujícím se zastoupením hostů ze vzdálenějších (zejm. asijských) destinací, kteří v průměru pobývají v Česku kratší dobu.</w:t>
            </w:r>
          </w:p>
        </w:tc>
      </w:tr>
      <w:tr w:rsidR="006D64C2" w:rsidRPr="00360DE3" w:rsidTr="00DC37E3">
        <w:trPr>
          <w:trHeight w:val="170"/>
        </w:trPr>
        <w:tc>
          <w:tcPr>
            <w:tcW w:w="1976" w:type="dxa"/>
          </w:tcPr>
          <w:p w:rsidR="006D64C2" w:rsidRPr="00360DE3" w:rsidRDefault="006D64C2" w:rsidP="00DC37E3">
            <w:pPr>
              <w:pStyle w:val="Marginlie"/>
              <w:rPr>
                <w:spacing w:val="0"/>
              </w:rPr>
            </w:pPr>
            <w:r w:rsidRPr="00360DE3">
              <w:rPr>
                <w:spacing w:val="0"/>
              </w:rPr>
              <w:t>Meziroční změny celkové návštěvnosti ČR ovlivňují dlouhodobě nejvíce Rusové</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6B4B7B">
            <w:pPr>
              <w:spacing w:after="0"/>
              <w:rPr>
                <w:szCs w:val="20"/>
              </w:rPr>
            </w:pPr>
            <w:r w:rsidRPr="00360DE3">
              <w:rPr>
                <w:color w:val="0D0D0D"/>
              </w:rPr>
              <w:t xml:space="preserve">Zatímco v letech 2015 i 2016 přispívali k růstu </w:t>
            </w:r>
            <w:r w:rsidR="006B4B7B">
              <w:rPr>
                <w:color w:val="0D0D0D"/>
              </w:rPr>
              <w:t xml:space="preserve">počtu </w:t>
            </w:r>
            <w:r w:rsidRPr="00360DE3">
              <w:rPr>
                <w:color w:val="0D0D0D"/>
              </w:rPr>
              <w:t>přenocování zahraničních hostů v HUZ nejvíce Němci, loni to byli Rusové (jeji</w:t>
            </w:r>
            <w:r w:rsidR="006B4B7B">
              <w:rPr>
                <w:color w:val="0D0D0D"/>
              </w:rPr>
              <w:t>chž pobyty vzrostly meziročně o </w:t>
            </w:r>
            <w:r w:rsidRPr="00360DE3">
              <w:rPr>
                <w:color w:val="0D0D0D"/>
              </w:rPr>
              <w:t xml:space="preserve">35 %). Přestože hosté z Ruska tvoří </w:t>
            </w:r>
            <w:r w:rsidR="006B4B7B">
              <w:rPr>
                <w:color w:val="0D0D0D"/>
              </w:rPr>
              <w:t xml:space="preserve">z </w:t>
            </w:r>
            <w:r w:rsidRPr="00360DE3">
              <w:rPr>
                <w:color w:val="0D0D0D"/>
              </w:rPr>
              <w:t>hlediska váhy (9,8 % na celkovém počtu přenocování nerezidentů) až druhou nejvýznamnější skupinu (s výrazným odstupem za Německem 21,9 %), jsou to právě oni, kteří v poslední dekádě ovlivňovali (v kladném i záporném směru) celkovou návštěvnost v ČR nejvíce. Vyšší počet př</w:t>
            </w:r>
            <w:r w:rsidR="006B4B7B">
              <w:rPr>
                <w:color w:val="0D0D0D"/>
              </w:rPr>
              <w:t xml:space="preserve">enocování loni vykázali hosté ze </w:t>
            </w:r>
            <w:r w:rsidRPr="00360DE3">
              <w:rPr>
                <w:color w:val="0D0D0D"/>
              </w:rPr>
              <w:t xml:space="preserve">47 </w:t>
            </w:r>
            <w:r w:rsidR="006B4B7B">
              <w:rPr>
                <w:color w:val="0D0D0D"/>
              </w:rPr>
              <w:t>zemí (z 55 sledovaných</w:t>
            </w:r>
            <w:r w:rsidRPr="00360DE3">
              <w:rPr>
                <w:color w:val="0D0D0D"/>
              </w:rPr>
              <w:t xml:space="preserve">), z významnějších zdrojových států omezovaly v ČR pobyty jen Turci (-8 %) a hosté z Velké Británie (-1 %). Naopak </w:t>
            </w:r>
            <w:r w:rsidR="006B4B7B">
              <w:rPr>
                <w:color w:val="0D0D0D"/>
              </w:rPr>
              <w:t>pokračoval dynamický růst počtu přenocování hostů z Číny (+31</w:t>
            </w:r>
            <w:r w:rsidR="006B4B7B" w:rsidRPr="00360DE3">
              <w:rPr>
                <w:color w:val="0D0D0D"/>
              </w:rPr>
              <w:t> </w:t>
            </w:r>
            <w:r w:rsidRPr="00360DE3">
              <w:rPr>
                <w:color w:val="0D0D0D"/>
              </w:rPr>
              <w:t>%), Indie (+28 %), Jižní Kore</w:t>
            </w:r>
            <w:r w:rsidR="006B4B7B">
              <w:rPr>
                <w:color w:val="0D0D0D"/>
              </w:rPr>
              <w:t>y (+25 %), Tchaj-wanu (+15 %) i </w:t>
            </w:r>
            <w:r w:rsidRPr="00360DE3">
              <w:rPr>
                <w:color w:val="0D0D0D"/>
              </w:rPr>
              <w:t>zemí z Blízkého východu. Za poslední tři konjunkturní roky cestovního ruchu v ČR vz</w:t>
            </w:r>
            <w:r w:rsidR="006B4B7B">
              <w:rPr>
                <w:color w:val="0D0D0D"/>
              </w:rPr>
              <w:t xml:space="preserve">rostly absolutně nejvíce počty přenocování </w:t>
            </w:r>
            <w:r w:rsidRPr="00360DE3">
              <w:rPr>
                <w:color w:val="0D0D0D"/>
              </w:rPr>
              <w:t xml:space="preserve">hostů z Německa a Číny. </w:t>
            </w:r>
          </w:p>
        </w:tc>
      </w:tr>
      <w:tr w:rsidR="006D64C2" w:rsidRPr="00360DE3" w:rsidTr="00DC37E3">
        <w:trPr>
          <w:trHeight w:val="170"/>
        </w:trPr>
        <w:tc>
          <w:tcPr>
            <w:tcW w:w="1976" w:type="dxa"/>
          </w:tcPr>
          <w:p w:rsidR="006D64C2" w:rsidRPr="00360DE3" w:rsidRDefault="006D64C2" w:rsidP="00DC37E3">
            <w:pPr>
              <w:pStyle w:val="Marginlie"/>
              <w:rPr>
                <w:spacing w:val="0"/>
              </w:rPr>
            </w:pPr>
            <w:r w:rsidRPr="00360DE3">
              <w:rPr>
                <w:spacing w:val="0"/>
              </w:rPr>
              <w:lastRenderedPageBreak/>
              <w:t>Četnost hostů v lázeňských HUZ narůstala pomaleji nežli v jiných segmentech cestovního ruch. Růst obliby lázní byl loni tažen hlavně turisty z Německa.</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rPr>
                <w:szCs w:val="20"/>
              </w:rPr>
            </w:pPr>
            <w:r w:rsidRPr="00360DE3">
              <w:rPr>
                <w:szCs w:val="20"/>
              </w:rPr>
              <w:t>Do lázeňských HUZ</w:t>
            </w:r>
            <w:r w:rsidRPr="00360DE3">
              <w:rPr>
                <w:rStyle w:val="Znakapoznpodarou"/>
                <w:szCs w:val="20"/>
              </w:rPr>
              <w:footnoteReference w:id="107"/>
            </w:r>
            <w:r w:rsidR="00A35EA6">
              <w:rPr>
                <w:szCs w:val="20"/>
              </w:rPr>
              <w:t xml:space="preserve"> v Česku</w:t>
            </w:r>
            <w:r w:rsidRPr="00360DE3">
              <w:rPr>
                <w:szCs w:val="20"/>
              </w:rPr>
              <w:t xml:space="preserve"> loni zavítalo rekordních 839 tis. hostů. K meziročnímu růstu četnosti hostů (+7,6 %) přispě</w:t>
            </w:r>
            <w:r w:rsidR="00A35EA6">
              <w:rPr>
                <w:szCs w:val="20"/>
              </w:rPr>
              <w:t>la nejvíce německá klientela (v</w:t>
            </w:r>
            <w:r w:rsidR="00A35EA6" w:rsidRPr="00360DE3">
              <w:rPr>
                <w:szCs w:val="20"/>
              </w:rPr>
              <w:t> </w:t>
            </w:r>
            <w:r w:rsidRPr="00360DE3">
              <w:rPr>
                <w:szCs w:val="20"/>
              </w:rPr>
              <w:t xml:space="preserve">letech 2014-2016 to ale byli hosté z tuzemska). Zatímco hostů z ČR po roce 2012 plynule přibývá, </w:t>
            </w:r>
            <w:r w:rsidR="004B48DF">
              <w:rPr>
                <w:szCs w:val="20"/>
              </w:rPr>
              <w:t>u zahraničních byl v letech 2014 a 2015 zaznamenán pokles (v úhrnu o 15</w:t>
            </w:r>
            <w:r w:rsidRPr="00360DE3">
              <w:rPr>
                <w:szCs w:val="20"/>
              </w:rPr>
              <w:t xml:space="preserve"> %) vlivem odlivu na lázeňství více specializované ruské klientely</w:t>
            </w:r>
            <w:r w:rsidRPr="00360DE3">
              <w:rPr>
                <w:rStyle w:val="Znakapoznpodarou"/>
                <w:szCs w:val="20"/>
              </w:rPr>
              <w:footnoteReference w:id="108"/>
            </w:r>
            <w:r w:rsidRPr="00360DE3">
              <w:rPr>
                <w:szCs w:val="20"/>
              </w:rPr>
              <w:t>. Hosté z Ruska se od loňska do lázní v ČR postupně vrací, avšak s menší intenzitou než do segmentu městského cestovního ruchu. V tomto segmentu hraje specifickou roli kongresový cestovní ruch</w:t>
            </w:r>
            <w:r w:rsidRPr="00360DE3">
              <w:rPr>
                <w:rStyle w:val="Znakapoznpodarou"/>
                <w:szCs w:val="20"/>
              </w:rPr>
              <w:footnoteReference w:id="109"/>
            </w:r>
            <w:r w:rsidRPr="00360DE3">
              <w:rPr>
                <w:szCs w:val="20"/>
              </w:rPr>
              <w:t xml:space="preserve">. </w:t>
            </w:r>
          </w:p>
        </w:tc>
      </w:tr>
      <w:tr w:rsidR="006D64C2" w:rsidRPr="00360DE3" w:rsidTr="00DC37E3">
        <w:trPr>
          <w:trHeight w:val="170"/>
        </w:trPr>
        <w:tc>
          <w:tcPr>
            <w:tcW w:w="1976" w:type="dxa"/>
          </w:tcPr>
          <w:p w:rsidR="006D64C2" w:rsidRPr="00360DE3" w:rsidRDefault="006D64C2" w:rsidP="00DC37E3">
            <w:pPr>
              <w:pStyle w:val="Marginlie"/>
              <w:rPr>
                <w:spacing w:val="0"/>
              </w:rPr>
            </w:pPr>
            <w:r w:rsidRPr="00360DE3">
              <w:rPr>
                <w:spacing w:val="0"/>
              </w:rPr>
              <w:t>Tempo růstu počtu hostů ubytovaných v HUZ bylo v Česku za poslední tři roky vyšší než v EU.</w:t>
            </w: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rPr>
                <w:sz w:val="16"/>
                <w:szCs w:val="16"/>
              </w:rPr>
            </w:pPr>
            <w:r w:rsidRPr="00360DE3">
              <w:rPr>
                <w:szCs w:val="20"/>
              </w:rPr>
              <w:t xml:space="preserve">Počet všech hostů v HUZ v ČR roste po roce 2014 výrazně vyšším tempem než v EU (tu loni navštívilo meziročně o 5 % hostů více). Zatímco v roce 2016 </w:t>
            </w:r>
            <w:r w:rsidR="00785232">
              <w:rPr>
                <w:szCs w:val="20"/>
              </w:rPr>
              <w:t xml:space="preserve">se </w:t>
            </w:r>
            <w:r w:rsidRPr="00360DE3">
              <w:rPr>
                <w:szCs w:val="20"/>
              </w:rPr>
              <w:t>četnost hostů snižovala v šesti státech Unie, loni vykázaly mírný pokles jen Velká Británie a Lucembursko. Nejvíce se navyšovala ná</w:t>
            </w:r>
            <w:r w:rsidR="00785232">
              <w:rPr>
                <w:szCs w:val="20"/>
              </w:rPr>
              <w:t>vštěvnost ve Slovinsku, Maltě a</w:t>
            </w:r>
            <w:r w:rsidR="00785232" w:rsidRPr="00360DE3">
              <w:rPr>
                <w:szCs w:val="20"/>
              </w:rPr>
              <w:t> </w:t>
            </w:r>
            <w:r w:rsidRPr="00360DE3">
              <w:rPr>
                <w:szCs w:val="20"/>
              </w:rPr>
              <w:t>Chorvatsku (shodně o 13 %). Dařilo se i některým státům mimo EU</w:t>
            </w:r>
            <w:r w:rsidRPr="00360DE3">
              <w:rPr>
                <w:rStyle w:val="Znakapoznpodarou"/>
                <w:szCs w:val="20"/>
              </w:rPr>
              <w:footnoteReference w:id="110"/>
            </w:r>
            <w:r w:rsidRPr="00360DE3">
              <w:rPr>
                <w:szCs w:val="20"/>
              </w:rPr>
              <w:t>. Průměrná délka pobytu hostů v zemích EU loni činila 4,1 dny, o desetinu více než v ČR. Delší pobyty byly tradičně ve středomořských destinacích, ale i v Dánsku či Velké Británii (5 dní). Na Británii připadal i největší podíl celko</w:t>
            </w:r>
            <w:r w:rsidR="00785232">
              <w:rPr>
                <w:szCs w:val="20"/>
              </w:rPr>
              <w:t>vého počtu přenocování v EU (15</w:t>
            </w:r>
            <w:r w:rsidR="00785232" w:rsidRPr="00360DE3">
              <w:rPr>
                <w:szCs w:val="20"/>
              </w:rPr>
              <w:t> </w:t>
            </w:r>
            <w:r w:rsidRPr="00360DE3">
              <w:rPr>
                <w:szCs w:val="20"/>
              </w:rPr>
              <w:t>%) – spolu se Španělskem, Francií, Itálií a Německem tvořily 69 %. ČR se podílela 1,7 %a zároveň se loni umístila na chvostu první desítky států s nejvyšším růstem počtu přenocování (+7,1 %).</w:t>
            </w:r>
          </w:p>
          <w:p w:rsidR="006D64C2" w:rsidRPr="00360DE3" w:rsidRDefault="006D64C2" w:rsidP="00DC37E3">
            <w:pPr>
              <w:spacing w:after="0"/>
              <w:rPr>
                <w:sz w:val="16"/>
                <w:szCs w:val="16"/>
              </w:rPr>
            </w:pPr>
          </w:p>
        </w:tc>
      </w:tr>
      <w:tr w:rsidR="006D64C2" w:rsidRPr="00360DE3" w:rsidTr="00DC37E3">
        <w:trPr>
          <w:trHeight w:val="170"/>
        </w:trPr>
        <w:tc>
          <w:tcPr>
            <w:tcW w:w="1976" w:type="dxa"/>
          </w:tcPr>
          <w:p w:rsidR="006D64C2" w:rsidRPr="00360DE3" w:rsidRDefault="006D64C2" w:rsidP="00DC37E3">
            <w:pPr>
              <w:pStyle w:val="Marginlie"/>
              <w:rPr>
                <w:spacing w:val="0"/>
              </w:rPr>
            </w:pPr>
            <w:r w:rsidRPr="00360DE3">
              <w:rPr>
                <w:spacing w:val="0"/>
              </w:rPr>
              <w:t>Aktivity související s cestovním ruchem se podílely na HDP Česka necelými 3 %.</w:t>
            </w: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p>
          <w:p w:rsidR="006D64C2" w:rsidRPr="00360DE3" w:rsidRDefault="006D64C2" w:rsidP="00DC37E3">
            <w:pPr>
              <w:pStyle w:val="Marginlie"/>
              <w:rPr>
                <w:spacing w:val="0"/>
              </w:rPr>
            </w:pPr>
            <w:r w:rsidRPr="00360DE3">
              <w:rPr>
                <w:spacing w:val="0"/>
              </w:rPr>
              <w:t>Podíl čistých příjmů ČR z cestovního ruchu vztažených k HDP v posledních třech letech stagnoval.</w:t>
            </w:r>
          </w:p>
        </w:tc>
        <w:tc>
          <w:tcPr>
            <w:tcW w:w="277" w:type="dxa"/>
          </w:tcPr>
          <w:p w:rsidR="006D64C2" w:rsidRPr="00360DE3" w:rsidRDefault="006D64C2" w:rsidP="00DC37E3">
            <w:pPr>
              <w:pStyle w:val="Textpoznpodarou"/>
              <w:jc w:val="both"/>
            </w:pPr>
          </w:p>
        </w:tc>
        <w:tc>
          <w:tcPr>
            <w:tcW w:w="7391" w:type="dxa"/>
          </w:tcPr>
          <w:p w:rsidR="006D64C2" w:rsidRDefault="006D64C2" w:rsidP="00DC37E3">
            <w:pPr>
              <w:rPr>
                <w:color w:val="000000"/>
              </w:rPr>
            </w:pPr>
            <w:r w:rsidRPr="00360DE3">
              <w:rPr>
                <w:color w:val="000000"/>
              </w:rPr>
              <w:t xml:space="preserve">Makroekonomický přínos cestovního ruchu je zachycen v satelitním účtu cestovního ruchu. Dle něj dosáhl v roce 2016 podíl cestovního ruchu na </w:t>
            </w:r>
            <w:r w:rsidR="00785232">
              <w:rPr>
                <w:color w:val="000000"/>
              </w:rPr>
              <w:t xml:space="preserve">tvorbě </w:t>
            </w:r>
            <w:r w:rsidRPr="00360DE3">
              <w:rPr>
                <w:color w:val="000000"/>
              </w:rPr>
              <w:t xml:space="preserve">HDP 2,9 % (jeho váha za poslední dekádu stagnovala). Působilo v něm </w:t>
            </w:r>
            <w:r w:rsidR="00785232">
              <w:rPr>
                <w:color w:val="000000"/>
              </w:rPr>
              <w:t>přes 230</w:t>
            </w:r>
            <w:r w:rsidR="00785232" w:rsidRPr="00360DE3">
              <w:rPr>
                <w:szCs w:val="20"/>
              </w:rPr>
              <w:t> </w:t>
            </w:r>
            <w:r w:rsidRPr="00360DE3">
              <w:rPr>
                <w:color w:val="000000"/>
              </w:rPr>
              <w:t>tis. lidí (po přepočtu na plné úvazky). Počet pracovníků po roce 2014 opět mírně rostl. Poskytoval obživu 3,7 % mužů, resp. 5,4 % žen zaměstnaných v celé ekonomice. Bezmála polovina všech pracovníků v cestovním ruchu působila v</w:t>
            </w:r>
            <w:r w:rsidR="00785232" w:rsidRPr="00360DE3">
              <w:rPr>
                <w:szCs w:val="20"/>
              </w:rPr>
              <w:t> </w:t>
            </w:r>
            <w:r w:rsidRPr="00360DE3">
              <w:rPr>
                <w:color w:val="000000"/>
              </w:rPr>
              <w:t>ubytovacích či restauračních zařízeních. Význam cestovního ruchu odráží i</w:t>
            </w:r>
            <w:r w:rsidR="00785232" w:rsidRPr="00360DE3">
              <w:rPr>
                <w:szCs w:val="20"/>
              </w:rPr>
              <w:t> </w:t>
            </w:r>
            <w:r w:rsidRPr="00360DE3">
              <w:rPr>
                <w:color w:val="000000"/>
              </w:rPr>
              <w:t>statistika platební bilance, která zahrnuje mj. i údaje o výdajích rezidentů ČR v</w:t>
            </w:r>
            <w:r w:rsidR="00785232" w:rsidRPr="00360DE3">
              <w:rPr>
                <w:szCs w:val="20"/>
              </w:rPr>
              <w:t> </w:t>
            </w:r>
            <w:r w:rsidRPr="00360DE3">
              <w:rPr>
                <w:color w:val="000000"/>
              </w:rPr>
              <w:t xml:space="preserve">zahraničí. </w:t>
            </w:r>
          </w:p>
          <w:p w:rsidR="00785232" w:rsidRDefault="006D64C2" w:rsidP="00DC37E3">
            <w:pPr>
              <w:rPr>
                <w:color w:val="000000"/>
              </w:rPr>
            </w:pPr>
            <w:r w:rsidRPr="00360DE3">
              <w:rPr>
                <w:color w:val="000000"/>
              </w:rPr>
              <w:t xml:space="preserve">V roce 2017 převýšily příjmy z cestovního ruchu inkasované od nerezidentů výdaje na cestovní ruch placené rezidenty ČR o 35 mld. korun. Ve vztahu k nominálnímu HDP šlo o 0,70 % (podobnou relaci dosahovalo Česko i v letech 2014 a 2015). Zhoršení negativní bilance se státy EU (o téměř 7 mld., na </w:t>
            </w:r>
            <w:r w:rsidR="00785232">
              <w:rPr>
                <w:color w:val="000000"/>
              </w:rPr>
              <w:t>17 mld. korun) bylo kompenzováno</w:t>
            </w:r>
            <w:r w:rsidRPr="00360DE3">
              <w:rPr>
                <w:color w:val="000000"/>
              </w:rPr>
              <w:t xml:space="preserve"> posílením kladné pozice s Ruskem (o více než 2 mld., na 14 mld.) a dále i s asijskými státy. ČR patřila k devatenácti státům Unie, jež vloni dosáhly aktivního salda cestovního ruchu. Významnou roli </w:t>
            </w:r>
            <w:r w:rsidR="00785232">
              <w:rPr>
                <w:color w:val="000000"/>
              </w:rPr>
              <w:t xml:space="preserve">s pozitivním vlivem na rozpočet </w:t>
            </w:r>
            <w:r w:rsidRPr="00360DE3">
              <w:rPr>
                <w:color w:val="000000"/>
              </w:rPr>
              <w:t>má toto odvětví také v některých evropských zemích mimo EU (zejména v balkánských státech).</w:t>
            </w:r>
          </w:p>
          <w:p w:rsidR="00785232" w:rsidRPr="00785232" w:rsidRDefault="00785232" w:rsidP="00785232">
            <w:pPr>
              <w:spacing w:after="0"/>
              <w:rPr>
                <w:color w:val="000000"/>
              </w:rPr>
            </w:pPr>
          </w:p>
        </w:tc>
      </w:tr>
      <w:tr w:rsidR="006D64C2" w:rsidRPr="00360DE3" w:rsidTr="00DC37E3">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rPr>
                <w:b/>
              </w:rPr>
            </w:pPr>
            <w:r w:rsidRPr="00360DE3">
              <w:rPr>
                <w:b/>
              </w:rPr>
              <w:t xml:space="preserve">Graf </w:t>
            </w:r>
            <w:proofErr w:type="gramStart"/>
            <w:r w:rsidRPr="00360DE3">
              <w:rPr>
                <w:b/>
              </w:rPr>
              <w:t>14.3  Saldo</w:t>
            </w:r>
            <w:proofErr w:type="gramEnd"/>
            <w:r w:rsidRPr="00360DE3">
              <w:rPr>
                <w:b/>
              </w:rPr>
              <w:t xml:space="preserve"> příjmů a výdajů z cestovního ruchu k HDP </w:t>
            </w:r>
            <w:r w:rsidRPr="00360DE3">
              <w:t>(rok 2017, v %)</w:t>
            </w:r>
            <w:r w:rsidRPr="00360DE3">
              <w:rPr>
                <w:b/>
              </w:rPr>
              <w:t xml:space="preserve"> </w:t>
            </w:r>
          </w:p>
          <w:p w:rsidR="006D64C2" w:rsidRPr="00360DE3" w:rsidRDefault="006D64C2" w:rsidP="00DC37E3">
            <w:pPr>
              <w:spacing w:after="0"/>
            </w:pPr>
            <w:r w:rsidRPr="00360DE3">
              <w:rPr>
                <w:b/>
              </w:rPr>
              <w:t>a poměr příjmů z cestovního ruchu na HDP ve vybraných evropských státech</w:t>
            </w:r>
            <w:r w:rsidRPr="00360DE3">
              <w:t xml:space="preserve"> (změna mezi roky 2017 a 2013 v </w:t>
            </w:r>
            <w:proofErr w:type="spellStart"/>
            <w:proofErr w:type="gramStart"/>
            <w:r w:rsidRPr="00360DE3">
              <w:t>p.b</w:t>
            </w:r>
            <w:proofErr w:type="spellEnd"/>
            <w:r w:rsidRPr="00360DE3">
              <w:t>.)</w:t>
            </w:r>
            <w:proofErr w:type="gramEnd"/>
          </w:p>
          <w:p w:rsidR="006D64C2" w:rsidRPr="00360DE3" w:rsidRDefault="006D64C2" w:rsidP="00DC37E3">
            <w:pPr>
              <w:spacing w:after="0"/>
              <w:rPr>
                <w:sz w:val="16"/>
                <w:szCs w:val="16"/>
              </w:rPr>
            </w:pPr>
            <w:r w:rsidRPr="00360DE3">
              <w:rPr>
                <w:noProof/>
                <w:sz w:val="16"/>
                <w:szCs w:val="16"/>
              </w:rPr>
              <w:drawing>
                <wp:inline distT="0" distB="0" distL="0" distR="0">
                  <wp:extent cx="4675324" cy="3236026"/>
                  <wp:effectExtent l="19050" t="0" r="0" b="0"/>
                  <wp:docPr id="6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6D64C2" w:rsidRPr="00360DE3" w:rsidTr="00DC37E3">
        <w:trPr>
          <w:trHeight w:val="170"/>
        </w:trPr>
        <w:tc>
          <w:tcPr>
            <w:tcW w:w="1976" w:type="dxa"/>
          </w:tcPr>
          <w:p w:rsidR="006D64C2" w:rsidRPr="00360DE3" w:rsidRDefault="006D64C2" w:rsidP="00DC37E3">
            <w:pPr>
              <w:pStyle w:val="Marginlie"/>
              <w:rPr>
                <w:spacing w:val="0"/>
              </w:rPr>
            </w:pPr>
          </w:p>
        </w:tc>
        <w:tc>
          <w:tcPr>
            <w:tcW w:w="277" w:type="dxa"/>
          </w:tcPr>
          <w:p w:rsidR="006D64C2" w:rsidRPr="00360DE3" w:rsidRDefault="006D64C2" w:rsidP="00DC37E3">
            <w:pPr>
              <w:pStyle w:val="Textpoznpodarou"/>
              <w:jc w:val="both"/>
            </w:pPr>
          </w:p>
        </w:tc>
        <w:tc>
          <w:tcPr>
            <w:tcW w:w="7391" w:type="dxa"/>
          </w:tcPr>
          <w:p w:rsidR="006D64C2" w:rsidRPr="00360DE3" w:rsidRDefault="006D64C2" w:rsidP="00DC37E3">
            <w:pPr>
              <w:spacing w:after="0" w:line="240" w:lineRule="auto"/>
              <w:rPr>
                <w:sz w:val="16"/>
                <w:szCs w:val="16"/>
              </w:rPr>
            </w:pPr>
            <w:r w:rsidRPr="00360DE3">
              <w:rPr>
                <w:sz w:val="16"/>
                <w:szCs w:val="16"/>
              </w:rPr>
              <w:t xml:space="preserve">Pozn.: U salda z cestovního ruchu jsou za Irsko, Nizozemsko, Černou Horu, Kosovo, Bosnu a Hercegovinu a Turecko uvedeny nejaktuálnější údaje za rok 2016. U vývoje příjmů z cestovního ruchu se údaje za Irsko, Černou Horu a Turecko vztahují k období 2013-2016, u Švýcarska za 2014-2017. Za Nizozemsko, Kosovo, Bosnu a Hercegovinu nebyly údaje v reprezentativní časové řadě k dispozici.                  Zdroj: </w:t>
            </w:r>
            <w:proofErr w:type="spellStart"/>
            <w:r w:rsidRPr="00360DE3">
              <w:rPr>
                <w:sz w:val="16"/>
                <w:szCs w:val="16"/>
              </w:rPr>
              <w:t>Eurostat</w:t>
            </w:r>
            <w:proofErr w:type="spellEnd"/>
          </w:p>
          <w:p w:rsidR="006D64C2" w:rsidRPr="00360DE3" w:rsidRDefault="006D64C2" w:rsidP="00DC37E3">
            <w:pPr>
              <w:spacing w:after="0" w:line="240" w:lineRule="auto"/>
              <w:rPr>
                <w:sz w:val="16"/>
                <w:szCs w:val="16"/>
              </w:rPr>
            </w:pPr>
          </w:p>
        </w:tc>
      </w:tr>
    </w:tbl>
    <w:p w:rsidR="009540B7" w:rsidRPr="00360DE3" w:rsidRDefault="009540B7" w:rsidP="009540B7">
      <w:pPr>
        <w:spacing w:after="0"/>
        <w:rPr>
          <w:sz w:val="2"/>
          <w:szCs w:val="2"/>
        </w:rPr>
      </w:pPr>
    </w:p>
    <w:p w:rsidR="00C466D2" w:rsidRPr="00360DE3" w:rsidRDefault="00E212C9" w:rsidP="00141782">
      <w:pPr>
        <w:pStyle w:val="Nadpis1"/>
        <w:rPr>
          <w:lang w:eastAsia="en-US"/>
        </w:rPr>
      </w:pPr>
      <w:bookmarkStart w:id="32" w:name="_Toc527639487"/>
      <w:r w:rsidRPr="00360DE3">
        <w:rPr>
          <w:lang w:eastAsia="en-US"/>
        </w:rPr>
        <w:t>15</w:t>
      </w:r>
      <w:r w:rsidR="00141782" w:rsidRPr="00360DE3">
        <w:rPr>
          <w:lang w:eastAsia="en-US"/>
        </w:rPr>
        <w:t>. Informační a komunikační činnosti</w:t>
      </w:r>
      <w:bookmarkEnd w:id="32"/>
    </w:p>
    <w:tbl>
      <w:tblPr>
        <w:tblW w:w="9644" w:type="dxa"/>
        <w:tblInd w:w="-15" w:type="dxa"/>
        <w:tblLayout w:type="fixed"/>
        <w:tblCellMar>
          <w:left w:w="0" w:type="dxa"/>
          <w:right w:w="0" w:type="dxa"/>
        </w:tblCellMar>
        <w:tblLook w:val="00A0"/>
      </w:tblPr>
      <w:tblGrid>
        <w:gridCol w:w="1976"/>
        <w:gridCol w:w="277"/>
        <w:gridCol w:w="7391"/>
      </w:tblGrid>
      <w:tr w:rsidR="009540B7" w:rsidRPr="00360DE3" w:rsidTr="007C13A4">
        <w:trPr>
          <w:trHeight w:val="145"/>
        </w:trPr>
        <w:tc>
          <w:tcPr>
            <w:tcW w:w="1976" w:type="dxa"/>
          </w:tcPr>
          <w:p w:rsidR="009540B7" w:rsidRPr="00360DE3" w:rsidRDefault="009540B7" w:rsidP="00DC37E3">
            <w:pPr>
              <w:pStyle w:val="Marginlie"/>
              <w:rPr>
                <w:spacing w:val="0"/>
              </w:rPr>
            </w:pPr>
            <w:r w:rsidRPr="00360DE3">
              <w:rPr>
                <w:spacing w:val="0"/>
              </w:rPr>
              <w:t>Hrubá přidaná hodnota rostla v informačních a komunikačních činnostech vyšším tempem než v celé ekonomice již pátým rokem v řadě.</w:t>
            </w:r>
          </w:p>
          <w:p w:rsidR="009540B7" w:rsidRPr="00360DE3" w:rsidRDefault="009540B7" w:rsidP="00DC37E3">
            <w:pPr>
              <w:pStyle w:val="Marginlie"/>
              <w:rPr>
                <w:spacing w:val="0"/>
              </w:rPr>
            </w:pPr>
          </w:p>
          <w:p w:rsidR="009540B7" w:rsidRPr="00360DE3" w:rsidRDefault="009540B7" w:rsidP="00DC37E3">
            <w:pPr>
              <w:pStyle w:val="Marginlie"/>
              <w:rPr>
                <w:spacing w:val="0"/>
              </w:rPr>
            </w:pPr>
          </w:p>
          <w:p w:rsidR="009540B7" w:rsidRPr="00360DE3" w:rsidRDefault="009540B7" w:rsidP="00DC37E3">
            <w:pPr>
              <w:pStyle w:val="Marginlie"/>
              <w:rPr>
                <w:spacing w:val="0"/>
              </w:rPr>
            </w:pPr>
          </w:p>
          <w:p w:rsidR="009540B7" w:rsidRPr="00360DE3" w:rsidRDefault="009540B7" w:rsidP="00DC37E3">
            <w:pPr>
              <w:pStyle w:val="Marginlie"/>
              <w:rPr>
                <w:spacing w:val="0"/>
              </w:rPr>
            </w:pPr>
          </w:p>
          <w:p w:rsidR="00C21405" w:rsidRPr="00360DE3" w:rsidRDefault="00C21405" w:rsidP="00DC37E3">
            <w:pPr>
              <w:pStyle w:val="Marginlie"/>
              <w:rPr>
                <w:spacing w:val="0"/>
              </w:rPr>
            </w:pPr>
          </w:p>
          <w:p w:rsidR="009540B7" w:rsidRPr="00360DE3" w:rsidRDefault="009540B7" w:rsidP="00DC37E3">
            <w:pPr>
              <w:pStyle w:val="Marginlie"/>
              <w:rPr>
                <w:spacing w:val="0"/>
              </w:rPr>
            </w:pPr>
          </w:p>
          <w:p w:rsidR="009540B7" w:rsidRPr="00360DE3" w:rsidRDefault="009540B7" w:rsidP="00DC37E3">
            <w:pPr>
              <w:pStyle w:val="Marginlie"/>
              <w:rPr>
                <w:spacing w:val="0"/>
              </w:rPr>
            </w:pPr>
            <w:r w:rsidRPr="00360DE3">
              <w:rPr>
                <w:spacing w:val="0"/>
              </w:rPr>
              <w:t>I přes sílící mzdové náklady zůstává míra zisku podniků v tomto odvětví výrazně nadprůměrná, a to i v evropském srovnání.</w:t>
            </w:r>
          </w:p>
        </w:tc>
        <w:tc>
          <w:tcPr>
            <w:tcW w:w="277" w:type="dxa"/>
          </w:tcPr>
          <w:p w:rsidR="009540B7" w:rsidRPr="00360DE3" w:rsidRDefault="009540B7" w:rsidP="00DC37E3">
            <w:pPr>
              <w:pStyle w:val="Textpoznpodarou"/>
              <w:jc w:val="both"/>
            </w:pPr>
          </w:p>
        </w:tc>
        <w:tc>
          <w:tcPr>
            <w:tcW w:w="7391" w:type="dxa"/>
          </w:tcPr>
          <w:p w:rsidR="009540B7" w:rsidRPr="00360DE3" w:rsidRDefault="009540B7" w:rsidP="00DC37E3">
            <w:pPr>
              <w:rPr>
                <w:szCs w:val="20"/>
              </w:rPr>
            </w:pPr>
            <w:r w:rsidRPr="00360DE3">
              <w:t>Informační a komunikační činnosti</w:t>
            </w:r>
            <w:r w:rsidRPr="00360DE3">
              <w:rPr>
                <w:rStyle w:val="Znakapoznpodarou"/>
              </w:rPr>
              <w:footnoteReference w:id="111"/>
            </w:r>
            <w:r w:rsidRPr="00360DE3">
              <w:t xml:space="preserve"> představují dynamický segment služeb. Na rozdíl od většiny ostatních odvětví nezaznamenaly v posledních dvou obdobích recese výraznější útlum. Hrubá přidaná hodnota (HPH) v tomto odvětví vloni zrychlila svůj meziroční růst na 5,7 %. Zároveň zaznamenala vyšší tempo než v celé ekonomice (i službách jako celku) již pátým</w:t>
            </w:r>
            <w:r w:rsidR="00274037">
              <w:t xml:space="preserve"> rokem v řadě. To se odrazilo i</w:t>
            </w:r>
            <w:r w:rsidR="00274037" w:rsidRPr="00360DE3">
              <w:t> </w:t>
            </w:r>
            <w:r w:rsidRPr="00360DE3">
              <w:t>v míře zisku nefinančních podniků v informačních a komunikačních činnostech</w:t>
            </w:r>
            <w:r w:rsidRPr="00360DE3">
              <w:rPr>
                <w:rStyle w:val="Znakapoznpodarou"/>
              </w:rPr>
              <w:footnoteReference w:id="112"/>
            </w:r>
            <w:r w:rsidRPr="00360DE3">
              <w:t>. Ta loni činila 56</w:t>
            </w:r>
            <w:r w:rsidRPr="00360DE3">
              <w:rPr>
                <w:szCs w:val="20"/>
              </w:rPr>
              <w:t> </w:t>
            </w:r>
            <w:r w:rsidRPr="00360DE3">
              <w:t>% a patřila mezi odvětvími služeb k nejvyšším</w:t>
            </w:r>
            <w:r w:rsidRPr="00360DE3">
              <w:rPr>
                <w:rStyle w:val="Znakapoznpodarou"/>
              </w:rPr>
              <w:footnoteReference w:id="113"/>
            </w:r>
            <w:r w:rsidRPr="00360DE3">
              <w:t>. V posledníc</w:t>
            </w:r>
            <w:r w:rsidR="00775F45">
              <w:t>h deseti letech ale nelze přehlé</w:t>
            </w:r>
            <w:r w:rsidRPr="00360DE3">
              <w:t>dnout trend mírného snižování ziskovosti, její loňská hodnota tak byla zároveň minimem ve sledované řadě. V evropském srovnání však zůstává ziskovost odvětví výrazně nadprůměrná</w:t>
            </w:r>
            <w:r w:rsidR="007C13A4" w:rsidRPr="00360DE3">
              <w:t>.</w:t>
            </w:r>
            <w:r w:rsidRPr="00360DE3">
              <w:rPr>
                <w:szCs w:val="20"/>
              </w:rPr>
              <w:t xml:space="preserve"> Ovlivňují ji sílící mzdové náklady, které v tomto odvětví v letech v 2016 i 2017 rostly v Česku o více než 8 %. K jejich navyšování přispíval – více než v jiných odvětvích – dynamický růst zaměstnanosti. Oproti roku 2008 zde pracovalo o 13,6 % lidí více (po přepočtu na plné úvazky), zatímco ve službách jako celku o 4,7 % a v cel</w:t>
            </w:r>
            <w:r w:rsidR="00775F45">
              <w:rPr>
                <w:szCs w:val="20"/>
              </w:rPr>
              <w:t>é ekonomice dokonce pouze o</w:t>
            </w:r>
            <w:r w:rsidR="00775F45" w:rsidRPr="00360DE3">
              <w:rPr>
                <w:szCs w:val="20"/>
              </w:rPr>
              <w:t> </w:t>
            </w:r>
            <w:r w:rsidR="00775F45">
              <w:rPr>
                <w:szCs w:val="20"/>
              </w:rPr>
              <w:t>1,7</w:t>
            </w:r>
            <w:r w:rsidR="00775F45" w:rsidRPr="00360DE3">
              <w:rPr>
                <w:szCs w:val="20"/>
              </w:rPr>
              <w:t> </w:t>
            </w:r>
            <w:r w:rsidRPr="00360DE3">
              <w:rPr>
                <w:szCs w:val="20"/>
              </w:rPr>
              <w:t>%. Vyšší kvalifikační nároky míst</w:t>
            </w:r>
            <w:r w:rsidRPr="00360DE3">
              <w:rPr>
                <w:rStyle w:val="Znakapoznpodarou"/>
                <w:szCs w:val="20"/>
              </w:rPr>
              <w:footnoteReference w:id="114"/>
            </w:r>
            <w:r w:rsidRPr="00360DE3">
              <w:rPr>
                <w:szCs w:val="20"/>
              </w:rPr>
              <w:t xml:space="preserve"> společně s dlouhodobě neuspokojenou poptávkou po pracovnících (např. v oblasti programování) vedou k tomu, že </w:t>
            </w:r>
            <w:r w:rsidRPr="00360DE3">
              <w:rPr>
                <w:szCs w:val="20"/>
              </w:rPr>
              <w:lastRenderedPageBreak/>
              <w:t xml:space="preserve">průměrná mzda patří v tomto odvětví (spolu s finančnictvím) dlouhodobě k nejvyšším. Vloni přesahovala 51 tis. korun měsíčně. </w:t>
            </w:r>
          </w:p>
        </w:tc>
      </w:tr>
      <w:tr w:rsidR="009540B7" w:rsidRPr="00360DE3" w:rsidTr="007C13A4">
        <w:tc>
          <w:tcPr>
            <w:tcW w:w="1976" w:type="dxa"/>
            <w:vMerge w:val="restart"/>
          </w:tcPr>
          <w:p w:rsidR="009540B7" w:rsidRPr="00360DE3" w:rsidRDefault="009540B7" w:rsidP="00DC37E3">
            <w:pPr>
              <w:pStyle w:val="Marginlie"/>
              <w:rPr>
                <w:spacing w:val="0"/>
              </w:rPr>
            </w:pPr>
          </w:p>
        </w:tc>
        <w:tc>
          <w:tcPr>
            <w:tcW w:w="277" w:type="dxa"/>
            <w:vMerge w:val="restart"/>
          </w:tcPr>
          <w:p w:rsidR="009540B7" w:rsidRPr="00360DE3" w:rsidRDefault="009540B7" w:rsidP="00DC37E3">
            <w:pPr>
              <w:pStyle w:val="Textpoznpodarou"/>
              <w:jc w:val="both"/>
            </w:pPr>
          </w:p>
        </w:tc>
        <w:tc>
          <w:tcPr>
            <w:tcW w:w="7391" w:type="dxa"/>
          </w:tcPr>
          <w:p w:rsidR="009540B7" w:rsidRPr="00360DE3" w:rsidRDefault="009540B7" w:rsidP="00DC37E3">
            <w:pPr>
              <w:spacing w:after="0"/>
              <w:rPr>
                <w:b/>
              </w:rPr>
            </w:pPr>
            <w:r w:rsidRPr="00360DE3">
              <w:rPr>
                <w:b/>
              </w:rPr>
              <w:t xml:space="preserve">Graf </w:t>
            </w:r>
            <w:proofErr w:type="gramStart"/>
            <w:r w:rsidRPr="00360DE3">
              <w:rPr>
                <w:b/>
              </w:rPr>
              <w:t xml:space="preserve">15.1  </w:t>
            </w:r>
            <w:r w:rsidRPr="00360DE3">
              <w:rPr>
                <w:b/>
                <w:bCs/>
              </w:rPr>
              <w:t>Základní</w:t>
            </w:r>
            <w:proofErr w:type="gramEnd"/>
            <w:r w:rsidRPr="00360DE3">
              <w:rPr>
                <w:b/>
                <w:bCs/>
              </w:rPr>
              <w:t xml:space="preserve"> ukazatele odvětví informační a komunikační činnosti </w:t>
            </w:r>
            <w:r w:rsidRPr="00360DE3">
              <w:rPr>
                <w:b/>
              </w:rPr>
              <w:t>v ČR</w:t>
            </w:r>
          </w:p>
          <w:p w:rsidR="009540B7" w:rsidRPr="00360DE3" w:rsidRDefault="009540B7" w:rsidP="00DC37E3">
            <w:pPr>
              <w:spacing w:after="0"/>
              <w:rPr>
                <w:b/>
              </w:rPr>
            </w:pPr>
            <w:r w:rsidRPr="00360DE3">
              <w:rPr>
                <w:b/>
                <w:noProof/>
              </w:rPr>
              <w:drawing>
                <wp:inline distT="0" distB="0" distL="0" distR="0">
                  <wp:extent cx="4653890" cy="3645724"/>
                  <wp:effectExtent l="19050" t="0" r="0" b="0"/>
                  <wp:docPr id="9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9540B7" w:rsidRPr="00360DE3" w:rsidTr="007C13A4">
        <w:trPr>
          <w:trHeight w:val="284"/>
        </w:trPr>
        <w:tc>
          <w:tcPr>
            <w:tcW w:w="1976" w:type="dxa"/>
            <w:vMerge/>
          </w:tcPr>
          <w:p w:rsidR="009540B7" w:rsidRPr="00360DE3" w:rsidRDefault="009540B7" w:rsidP="00DC37E3">
            <w:pPr>
              <w:pStyle w:val="Marginlie"/>
              <w:rPr>
                <w:spacing w:val="0"/>
              </w:rPr>
            </w:pPr>
          </w:p>
        </w:tc>
        <w:tc>
          <w:tcPr>
            <w:tcW w:w="277" w:type="dxa"/>
            <w:vMerge/>
          </w:tcPr>
          <w:p w:rsidR="009540B7" w:rsidRPr="00360DE3" w:rsidRDefault="009540B7" w:rsidP="00DC37E3">
            <w:pPr>
              <w:pStyle w:val="Textpoznpodarou"/>
              <w:jc w:val="both"/>
            </w:pPr>
          </w:p>
        </w:tc>
        <w:tc>
          <w:tcPr>
            <w:tcW w:w="7391" w:type="dxa"/>
          </w:tcPr>
          <w:p w:rsidR="009540B7" w:rsidRPr="00360DE3" w:rsidRDefault="009540B7" w:rsidP="00DC37E3">
            <w:pPr>
              <w:pStyle w:val="Zhlav"/>
              <w:spacing w:before="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w:t>
            </w:r>
          </w:p>
          <w:p w:rsidR="009540B7" w:rsidRPr="00360DE3" w:rsidRDefault="009540B7" w:rsidP="00775F45">
            <w:pPr>
              <w:pStyle w:val="Zhlav"/>
              <w:spacing w:before="40" w:after="240" w:line="240" w:lineRule="auto"/>
              <w:rPr>
                <w:rFonts w:cs="Arial"/>
                <w:sz w:val="14"/>
                <w:szCs w:val="14"/>
                <w:lang w:eastAsia="cs-CZ"/>
              </w:rPr>
            </w:pPr>
            <w:r w:rsidRPr="00360DE3">
              <w:rPr>
                <w:rFonts w:cs="Arial"/>
                <w:sz w:val="14"/>
                <w:szCs w:val="14"/>
                <w:lang w:eastAsia="cs-CZ"/>
              </w:rPr>
              <w:t xml:space="preserve">Zdroj: ČSÚ (národní účty) </w:t>
            </w:r>
          </w:p>
        </w:tc>
      </w:tr>
      <w:tr w:rsidR="009540B7" w:rsidRPr="00360DE3" w:rsidTr="007C13A4">
        <w:trPr>
          <w:trHeight w:val="170"/>
        </w:trPr>
        <w:tc>
          <w:tcPr>
            <w:tcW w:w="1976" w:type="dxa"/>
          </w:tcPr>
          <w:p w:rsidR="009540B7" w:rsidRPr="00360DE3" w:rsidRDefault="009540B7" w:rsidP="00DC37E3">
            <w:pPr>
              <w:pStyle w:val="Marginlie"/>
              <w:rPr>
                <w:spacing w:val="0"/>
              </w:rPr>
            </w:pPr>
            <w:r w:rsidRPr="00360DE3">
              <w:rPr>
                <w:spacing w:val="0"/>
              </w:rPr>
              <w:t>Hodinová produktivita práce v odvětví převyšovala úrovně celé ekonomiky téměř dvojnásobně.</w:t>
            </w:r>
          </w:p>
        </w:tc>
        <w:tc>
          <w:tcPr>
            <w:tcW w:w="277" w:type="dxa"/>
          </w:tcPr>
          <w:p w:rsidR="009540B7" w:rsidRPr="00360DE3" w:rsidRDefault="009540B7" w:rsidP="00DC37E3">
            <w:pPr>
              <w:pStyle w:val="Textpoznpodarou"/>
              <w:jc w:val="both"/>
            </w:pPr>
          </w:p>
        </w:tc>
        <w:tc>
          <w:tcPr>
            <w:tcW w:w="7391" w:type="dxa"/>
          </w:tcPr>
          <w:p w:rsidR="009540B7" w:rsidRPr="00360DE3" w:rsidRDefault="007C13A4" w:rsidP="007C13A4">
            <w:pPr>
              <w:spacing w:after="220"/>
              <w:rPr>
                <w:szCs w:val="20"/>
              </w:rPr>
            </w:pPr>
            <w:r w:rsidRPr="00360DE3">
              <w:rPr>
                <w:szCs w:val="20"/>
              </w:rPr>
              <w:t>V rámci odvětví existovaly výrazné rozdíly, nejvyšší hrubou měsíční mzdu pobí</w:t>
            </w:r>
            <w:r w:rsidR="00775F45">
              <w:rPr>
                <w:szCs w:val="20"/>
              </w:rPr>
              <w:t xml:space="preserve">rali zaměstnanci v segmentech s </w:t>
            </w:r>
            <w:r w:rsidRPr="00360DE3">
              <w:rPr>
                <w:szCs w:val="20"/>
              </w:rPr>
              <w:t>vysokým podílem podniků pod zahraniční kontrolou</w:t>
            </w:r>
            <w:r w:rsidRPr="00360DE3">
              <w:rPr>
                <w:rStyle w:val="Znakapoznpodarou"/>
                <w:szCs w:val="20"/>
              </w:rPr>
              <w:footnoteReference w:id="115"/>
            </w:r>
            <w:r w:rsidRPr="00360DE3">
              <w:rPr>
                <w:szCs w:val="20"/>
              </w:rPr>
              <w:t xml:space="preserve">. </w:t>
            </w:r>
            <w:r w:rsidR="009540B7" w:rsidRPr="00360DE3">
              <w:rPr>
                <w:szCs w:val="20"/>
              </w:rPr>
              <w:t>Úroveň výdělků v informačních a komunikačních činnostech souvisí také s vysokou hodinovou produktivitou práce v tomto odvětví (ta byla vloni ve srovnání s národním hospodářstvím téměř dvojnásobná). Nadprůměrnou produktivitu si v rámci tohoto odvětví udržovaly všechny oddíly, vč. těch, kde nepřevládaly podniky pod zahraniční kontrolou. Silný růst reálné hodinové produktivity práce v celém odvětví se po roce 2015 zastavil. I tak loni převyšoval úroveň roku 2010 o 21 %, dvakrát více než v celé ekonomice.</w:t>
            </w:r>
          </w:p>
        </w:tc>
      </w:tr>
      <w:tr w:rsidR="009540B7" w:rsidRPr="00360DE3" w:rsidTr="007C13A4">
        <w:trPr>
          <w:trHeight w:val="136"/>
        </w:trPr>
        <w:tc>
          <w:tcPr>
            <w:tcW w:w="1976" w:type="dxa"/>
          </w:tcPr>
          <w:p w:rsidR="009540B7" w:rsidRPr="00360DE3" w:rsidRDefault="009540B7" w:rsidP="00DC37E3">
            <w:pPr>
              <w:pStyle w:val="Marginlie"/>
              <w:rPr>
                <w:spacing w:val="0"/>
              </w:rPr>
            </w:pPr>
            <w:r w:rsidRPr="00360DE3">
              <w:rPr>
                <w:spacing w:val="0"/>
              </w:rPr>
              <w:t xml:space="preserve">Na investice směřovalo v relaci k HPH nejvíce ve filmovém a hudebním průmyslu, nejméně ve vydavatelských činnostech. </w:t>
            </w:r>
          </w:p>
        </w:tc>
        <w:tc>
          <w:tcPr>
            <w:tcW w:w="277" w:type="dxa"/>
          </w:tcPr>
          <w:p w:rsidR="009540B7" w:rsidRPr="00360DE3" w:rsidRDefault="009540B7" w:rsidP="00DC37E3">
            <w:pPr>
              <w:pStyle w:val="Textpoznpodarou"/>
              <w:jc w:val="both"/>
            </w:pPr>
          </w:p>
        </w:tc>
        <w:tc>
          <w:tcPr>
            <w:tcW w:w="7391" w:type="dxa"/>
          </w:tcPr>
          <w:p w:rsidR="009540B7" w:rsidRPr="00360DE3" w:rsidRDefault="009540B7" w:rsidP="00DC37E3">
            <w:pPr>
              <w:spacing w:after="220"/>
              <w:rPr>
                <w:szCs w:val="20"/>
              </w:rPr>
            </w:pPr>
            <w:r w:rsidRPr="00360DE3">
              <w:rPr>
                <w:szCs w:val="20"/>
              </w:rPr>
              <w:t>Přestože se míra investic v informačních a komunikačních činnostech v letech 2016 i 2017 mírně snížila, stále svou úrovní (32 %) převyšovala jak celou ekonomiku, tak i drtivou většinu odvětví služeb</w:t>
            </w:r>
            <w:r w:rsidRPr="00360DE3">
              <w:rPr>
                <w:rStyle w:val="Znakapoznpodarou"/>
                <w:szCs w:val="20"/>
              </w:rPr>
              <w:footnoteReference w:id="116"/>
            </w:r>
            <w:r w:rsidRPr="00360DE3">
              <w:rPr>
                <w:szCs w:val="20"/>
              </w:rPr>
              <w:t>. In</w:t>
            </w:r>
            <w:r w:rsidR="00775F45">
              <w:rPr>
                <w:szCs w:val="20"/>
              </w:rPr>
              <w:t>vestiční aktivita byla vysoká i</w:t>
            </w:r>
            <w:r w:rsidR="00775F45" w:rsidRPr="00360DE3">
              <w:rPr>
                <w:szCs w:val="20"/>
              </w:rPr>
              <w:t> </w:t>
            </w:r>
            <w:r w:rsidR="00775F45">
              <w:rPr>
                <w:szCs w:val="20"/>
              </w:rPr>
              <w:t>v</w:t>
            </w:r>
            <w:r w:rsidR="00775F45" w:rsidRPr="00360DE3">
              <w:rPr>
                <w:szCs w:val="20"/>
              </w:rPr>
              <w:t>  </w:t>
            </w:r>
            <w:r w:rsidRPr="00360DE3">
              <w:rPr>
                <w:szCs w:val="20"/>
              </w:rPr>
              <w:t>evropském kontextu</w:t>
            </w:r>
            <w:r w:rsidRPr="00360DE3">
              <w:rPr>
                <w:rStyle w:val="Znakapoznpodarou"/>
                <w:szCs w:val="20"/>
              </w:rPr>
              <w:footnoteReference w:id="117"/>
            </w:r>
            <w:r w:rsidRPr="00360DE3">
              <w:rPr>
                <w:szCs w:val="20"/>
              </w:rPr>
              <w:t xml:space="preserve">. V rámci sledovaného odvětví věnoval na tvorbu fixního kapitálu v relaci k HPH nejvíce filmový a hudební průmysl (loni 55 %). Na opačné straně spektra pak tradičně figurovaly vydavatelské činnosti (16 %). Ve skladbě investic v odvětví informační a komunikační činnosti dominovaly produkty duševního vlastnictví (67 %), kde šlo hlavně o počítačové programové vybavení a databáze, ale také o originální umělecká díla (filmy, zvukové nahrávky) a z menší </w:t>
            </w:r>
            <w:r w:rsidRPr="00360DE3">
              <w:rPr>
                <w:szCs w:val="20"/>
              </w:rPr>
              <w:lastRenderedPageBreak/>
              <w:t>části i o výzkum a vývoj</w:t>
            </w:r>
            <w:r w:rsidRPr="00360DE3">
              <w:rPr>
                <w:rStyle w:val="Znakapoznpodarou"/>
                <w:szCs w:val="20"/>
              </w:rPr>
              <w:footnoteReference w:id="118"/>
            </w:r>
            <w:r w:rsidRPr="00360DE3">
              <w:rPr>
                <w:szCs w:val="20"/>
              </w:rPr>
              <w:t>. Odvětví informačních a komunikačních činností loni realizovalo čtvrtinu ze všech investic do duševního vlastnictví v celé ekonomice (200 mld. korun).</w:t>
            </w:r>
          </w:p>
        </w:tc>
      </w:tr>
      <w:tr w:rsidR="009540B7" w:rsidRPr="00360DE3" w:rsidTr="007C13A4">
        <w:tc>
          <w:tcPr>
            <w:tcW w:w="1976" w:type="dxa"/>
            <w:vMerge w:val="restart"/>
          </w:tcPr>
          <w:p w:rsidR="009540B7" w:rsidRPr="00360DE3" w:rsidRDefault="009540B7" w:rsidP="00DC37E3">
            <w:pPr>
              <w:pStyle w:val="Marginlie"/>
              <w:rPr>
                <w:spacing w:val="0"/>
              </w:rPr>
            </w:pPr>
          </w:p>
        </w:tc>
        <w:tc>
          <w:tcPr>
            <w:tcW w:w="277" w:type="dxa"/>
            <w:vMerge w:val="restart"/>
          </w:tcPr>
          <w:p w:rsidR="009540B7" w:rsidRPr="00360DE3" w:rsidRDefault="009540B7" w:rsidP="00DC37E3">
            <w:pPr>
              <w:pStyle w:val="Textpoznpodarou"/>
              <w:jc w:val="both"/>
            </w:pPr>
          </w:p>
        </w:tc>
        <w:tc>
          <w:tcPr>
            <w:tcW w:w="7391" w:type="dxa"/>
          </w:tcPr>
          <w:p w:rsidR="009540B7" w:rsidRPr="00360DE3" w:rsidRDefault="009540B7" w:rsidP="00DC37E3">
            <w:pPr>
              <w:spacing w:after="0"/>
              <w:jc w:val="left"/>
              <w:rPr>
                <w:b/>
              </w:rPr>
            </w:pPr>
            <w:r w:rsidRPr="00360DE3">
              <w:rPr>
                <w:b/>
              </w:rPr>
              <w:t xml:space="preserve">Graf </w:t>
            </w:r>
            <w:proofErr w:type="gramStart"/>
            <w:r w:rsidRPr="00360DE3">
              <w:rPr>
                <w:b/>
              </w:rPr>
              <w:t>15.2  Příspěvky</w:t>
            </w:r>
            <w:proofErr w:type="gramEnd"/>
            <w:r w:rsidRPr="00360DE3">
              <w:rPr>
                <w:b/>
              </w:rPr>
              <w:t xml:space="preserve"> odvětvových oddílů k meziroční změně HPH v uskupení </w:t>
            </w:r>
            <w:r w:rsidRPr="00360DE3">
              <w:rPr>
                <w:b/>
                <w:bCs/>
              </w:rPr>
              <w:t>informační a komunikační činnosti</w:t>
            </w:r>
            <w:r w:rsidRPr="00360DE3">
              <w:t xml:space="preserve"> </w:t>
            </w:r>
            <w:r w:rsidRPr="00360DE3">
              <w:rPr>
                <w:b/>
              </w:rPr>
              <w:t>v</w:t>
            </w:r>
            <w:r w:rsidR="00775F45">
              <w:rPr>
                <w:b/>
              </w:rPr>
              <w:t> </w:t>
            </w:r>
            <w:r w:rsidRPr="00360DE3">
              <w:rPr>
                <w:b/>
              </w:rPr>
              <w:t>ČR</w:t>
            </w:r>
            <w:r w:rsidR="00775F45">
              <w:rPr>
                <w:b/>
              </w:rPr>
              <w:t xml:space="preserve"> </w:t>
            </w:r>
            <w:r w:rsidRPr="00360DE3">
              <w:t>(reálně, v procentních bodech)</w:t>
            </w:r>
          </w:p>
          <w:p w:rsidR="009540B7" w:rsidRPr="00360DE3" w:rsidRDefault="009540B7" w:rsidP="00DC37E3">
            <w:pPr>
              <w:spacing w:after="0"/>
              <w:rPr>
                <w:b/>
              </w:rPr>
            </w:pPr>
            <w:r w:rsidRPr="00360DE3">
              <w:rPr>
                <w:b/>
                <w:noProof/>
              </w:rPr>
              <w:drawing>
                <wp:inline distT="0" distB="0" distL="0" distR="0">
                  <wp:extent cx="4672940" cy="3521034"/>
                  <wp:effectExtent l="0" t="0" r="0" b="0"/>
                  <wp:docPr id="9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9540B7" w:rsidRPr="00360DE3" w:rsidTr="007C13A4">
        <w:trPr>
          <w:trHeight w:val="284"/>
        </w:trPr>
        <w:tc>
          <w:tcPr>
            <w:tcW w:w="1976" w:type="dxa"/>
            <w:vMerge/>
          </w:tcPr>
          <w:p w:rsidR="009540B7" w:rsidRPr="00360DE3" w:rsidRDefault="009540B7" w:rsidP="00DC37E3">
            <w:pPr>
              <w:pStyle w:val="Marginlie"/>
              <w:rPr>
                <w:spacing w:val="0"/>
              </w:rPr>
            </w:pPr>
          </w:p>
        </w:tc>
        <w:tc>
          <w:tcPr>
            <w:tcW w:w="277" w:type="dxa"/>
            <w:vMerge/>
          </w:tcPr>
          <w:p w:rsidR="009540B7" w:rsidRPr="00360DE3" w:rsidRDefault="009540B7" w:rsidP="00DC37E3">
            <w:pPr>
              <w:pStyle w:val="Textpoznpodarou"/>
              <w:jc w:val="both"/>
            </w:pPr>
          </w:p>
        </w:tc>
        <w:tc>
          <w:tcPr>
            <w:tcW w:w="7391" w:type="dxa"/>
          </w:tcPr>
          <w:p w:rsidR="009540B7" w:rsidRPr="00360DE3" w:rsidRDefault="009540B7" w:rsidP="00775F45">
            <w:pPr>
              <w:pStyle w:val="Zhlav"/>
              <w:spacing w:before="40" w:after="240" w:line="240" w:lineRule="auto"/>
              <w:rPr>
                <w:rFonts w:cs="Arial"/>
                <w:sz w:val="14"/>
                <w:szCs w:val="14"/>
                <w:lang w:eastAsia="cs-CZ"/>
              </w:rPr>
            </w:pPr>
            <w:r w:rsidRPr="00360DE3">
              <w:rPr>
                <w:rFonts w:cs="Arial"/>
                <w:sz w:val="14"/>
                <w:szCs w:val="14"/>
                <w:lang w:eastAsia="cs-CZ"/>
              </w:rPr>
              <w:t xml:space="preserve">Zdroj: ČSÚ (národní účty) </w:t>
            </w:r>
          </w:p>
        </w:tc>
      </w:tr>
      <w:tr w:rsidR="009540B7" w:rsidRPr="00360DE3" w:rsidTr="007C13A4">
        <w:trPr>
          <w:trHeight w:val="170"/>
        </w:trPr>
        <w:tc>
          <w:tcPr>
            <w:tcW w:w="1976" w:type="dxa"/>
          </w:tcPr>
          <w:p w:rsidR="009540B7" w:rsidRPr="00360DE3" w:rsidRDefault="009540B7" w:rsidP="00DC37E3">
            <w:pPr>
              <w:pStyle w:val="Marginlie"/>
              <w:rPr>
                <w:spacing w:val="0"/>
              </w:rPr>
            </w:pPr>
            <w:r w:rsidRPr="00360DE3">
              <w:rPr>
                <w:spacing w:val="0"/>
              </w:rPr>
              <w:t>Na loňském růstu HPH v odvětví informačních a komunikačních činností se podílely všechny jeho segmenty vyjma filmového a hudebního průmyslu.</w:t>
            </w:r>
          </w:p>
        </w:tc>
        <w:tc>
          <w:tcPr>
            <w:tcW w:w="277" w:type="dxa"/>
          </w:tcPr>
          <w:p w:rsidR="009540B7" w:rsidRPr="00360DE3" w:rsidRDefault="009540B7" w:rsidP="00DC37E3">
            <w:pPr>
              <w:pStyle w:val="Textpoznpodarou"/>
              <w:jc w:val="both"/>
            </w:pPr>
          </w:p>
        </w:tc>
        <w:tc>
          <w:tcPr>
            <w:tcW w:w="7391" w:type="dxa"/>
          </w:tcPr>
          <w:p w:rsidR="009540B7" w:rsidRPr="00360DE3" w:rsidRDefault="009540B7" w:rsidP="00DC37E3">
            <w:pPr>
              <w:rPr>
                <w:szCs w:val="20"/>
              </w:rPr>
            </w:pPr>
            <w:r w:rsidRPr="00360DE3">
              <w:rPr>
                <w:szCs w:val="20"/>
              </w:rPr>
              <w:t xml:space="preserve">V odvětví informační a komunikační činnosti loni pracovalo 144 tis. lidí (po přepočtu na plné úvazky). </w:t>
            </w:r>
            <w:r w:rsidR="00775F45">
              <w:rPr>
                <w:szCs w:val="20"/>
              </w:rPr>
              <w:t>Největší váhu měl oddíl činností</w:t>
            </w:r>
            <w:r w:rsidRPr="00360DE3">
              <w:rPr>
                <w:szCs w:val="20"/>
              </w:rPr>
              <w:t xml:space="preserve"> v oblasti informačních technologií (56 %)</w:t>
            </w:r>
            <w:r w:rsidRPr="00360DE3">
              <w:rPr>
                <w:rStyle w:val="Znakapoznpodarou"/>
                <w:szCs w:val="20"/>
              </w:rPr>
              <w:footnoteReference w:id="119"/>
            </w:r>
            <w:r w:rsidRPr="00360DE3">
              <w:rPr>
                <w:szCs w:val="20"/>
              </w:rPr>
              <w:t>. Ten byl pro celé odvětví klíčový i z hlediska tvorby HPH (45 %). Čtvrtinou se dále podílely telekomunikační činnosti. Na loňském růstu HPH celého odvětví participovaly všechny jeho oddíly vyjma hudebního a filmového průmyslu, který nenavázal na příznivý vývoj z předchozích tří let</w:t>
            </w:r>
            <w:r w:rsidRPr="00360DE3">
              <w:rPr>
                <w:rStyle w:val="Znakapoznpodarou"/>
                <w:szCs w:val="20"/>
              </w:rPr>
              <w:footnoteReference w:id="120"/>
            </w:r>
            <w:r w:rsidRPr="00360DE3">
              <w:rPr>
                <w:szCs w:val="20"/>
              </w:rPr>
              <w:t>. Bezmála polovinu růstu HPH v odvětví zajistily činnosti v oblasti informačních technologií, třetinu pak vydavatelské činnosti, jež po slabším předchozím roku navázaly na silné oživení z let 2014 a 2015.</w:t>
            </w:r>
          </w:p>
        </w:tc>
      </w:tr>
      <w:tr w:rsidR="007C13A4" w:rsidRPr="00360DE3" w:rsidTr="007C13A4">
        <w:trPr>
          <w:trHeight w:val="170"/>
        </w:trPr>
        <w:tc>
          <w:tcPr>
            <w:tcW w:w="1976" w:type="dxa"/>
          </w:tcPr>
          <w:p w:rsidR="007C13A4" w:rsidRPr="00360DE3" w:rsidRDefault="007C13A4" w:rsidP="005D3386">
            <w:pPr>
              <w:pStyle w:val="Marginlie"/>
              <w:rPr>
                <w:spacing w:val="0"/>
              </w:rPr>
            </w:pPr>
            <w:r w:rsidRPr="00360DE3">
              <w:rPr>
                <w:spacing w:val="0"/>
              </w:rPr>
              <w:t>Nejsilnější váhu měly informační a komuni</w:t>
            </w:r>
            <w:r w:rsidR="00775F45">
              <w:rPr>
                <w:spacing w:val="0"/>
              </w:rPr>
              <w:t xml:space="preserve">kační činnosti v irské ekonomice </w:t>
            </w:r>
            <w:r w:rsidRPr="00360DE3">
              <w:rPr>
                <w:spacing w:val="0"/>
              </w:rPr>
              <w:t>a s odstupem i ve většině severských států Evropy.</w:t>
            </w:r>
          </w:p>
          <w:p w:rsidR="007C13A4" w:rsidRPr="00360DE3" w:rsidRDefault="007C13A4" w:rsidP="005D3386">
            <w:pPr>
              <w:pStyle w:val="Marginlie"/>
              <w:rPr>
                <w:spacing w:val="0"/>
              </w:rPr>
            </w:pPr>
          </w:p>
          <w:p w:rsidR="007C13A4" w:rsidRPr="00360DE3" w:rsidRDefault="007C13A4" w:rsidP="005D3386">
            <w:pPr>
              <w:pStyle w:val="Marginlie"/>
              <w:rPr>
                <w:spacing w:val="0"/>
              </w:rPr>
            </w:pPr>
            <w:r w:rsidRPr="00360DE3">
              <w:rPr>
                <w:spacing w:val="0"/>
              </w:rPr>
              <w:t xml:space="preserve">Česko patřilo loni do desítky zemí EU s nejvyšším podílem tohoto odvětví na HPH celé ekonomiky. Z pohledu </w:t>
            </w:r>
            <w:r w:rsidRPr="00360DE3">
              <w:rPr>
                <w:spacing w:val="0"/>
              </w:rPr>
              <w:lastRenderedPageBreak/>
              <w:t xml:space="preserve">podílu na zaměstnanosti ale zaostávalo. </w:t>
            </w:r>
          </w:p>
          <w:p w:rsidR="007C13A4" w:rsidRPr="00360DE3" w:rsidRDefault="007C13A4" w:rsidP="005D3386">
            <w:pPr>
              <w:pStyle w:val="Marginlie"/>
              <w:rPr>
                <w:spacing w:val="0"/>
              </w:rPr>
            </w:pPr>
          </w:p>
        </w:tc>
        <w:tc>
          <w:tcPr>
            <w:tcW w:w="277" w:type="dxa"/>
          </w:tcPr>
          <w:p w:rsidR="007C13A4" w:rsidRPr="00360DE3" w:rsidRDefault="007C13A4" w:rsidP="005D3386">
            <w:pPr>
              <w:pStyle w:val="Textpoznpodarou"/>
              <w:jc w:val="both"/>
            </w:pPr>
          </w:p>
        </w:tc>
        <w:tc>
          <w:tcPr>
            <w:tcW w:w="7391" w:type="dxa"/>
          </w:tcPr>
          <w:p w:rsidR="007C13A4" w:rsidRPr="00360DE3" w:rsidRDefault="007C13A4" w:rsidP="005D3386">
            <w:pPr>
              <w:rPr>
                <w:szCs w:val="20"/>
              </w:rPr>
            </w:pPr>
            <w:r w:rsidRPr="00360DE3">
              <w:rPr>
                <w:szCs w:val="20"/>
              </w:rPr>
              <w:t>Pozice odvětví informační a komunikační činnosti v tuzemské ekonomice dlouhodobě mírně posiluje. Zatímco v roku 2000 se na celkové tvorbě HPH podílelo 4,2 %, v roce 2017 přispělo již 5,3 %. Loňský výsledek zařadil Česko na konec první desítky zemí EU s nejvyšším podílem. Nejsilnější váhu dosahuje toto odvětví dlouhodobě v Irsku (loni vytvořilo desetinu HPH tamější ekonomiky), silné postavení má i ve většině severských států. Na informační a komunikační činnosti jsou více specializovány i některé malé ekonomiky (Lucembursko, Malta, Island). Téměř ve dvou třetinách unijních členů role tohoto odvětví (z pohledu HPH) mezi roky 2006 a 2017 posílila. Nejvíce to bylo patrné v </w:t>
            </w:r>
            <w:proofErr w:type="gramStart"/>
            <w:r w:rsidRPr="00360DE3">
              <w:rPr>
                <w:szCs w:val="20"/>
              </w:rPr>
              <w:t>Irsku (o 4 p .</w:t>
            </w:r>
            <w:proofErr w:type="spellStart"/>
            <w:r w:rsidRPr="00360DE3">
              <w:rPr>
                <w:szCs w:val="20"/>
              </w:rPr>
              <w:t>b</w:t>
            </w:r>
            <w:proofErr w:type="spellEnd"/>
            <w:r w:rsidRPr="00360DE3">
              <w:rPr>
                <w:szCs w:val="20"/>
              </w:rPr>
              <w:t>.), jenž</w:t>
            </w:r>
            <w:proofErr w:type="gramEnd"/>
            <w:r w:rsidRPr="00360DE3">
              <w:rPr>
                <w:szCs w:val="20"/>
              </w:rPr>
              <w:t xml:space="preserve"> díky svým </w:t>
            </w:r>
            <w:r w:rsidRPr="00360DE3">
              <w:rPr>
                <w:szCs w:val="20"/>
              </w:rPr>
              <w:lastRenderedPageBreak/>
              <w:t>silným transatlantickým obchodním vazbám i daňové politice aspiruje na pozici jednoho z klíčových technologických center Evropy. Ve všech hodnocených zemích disponovaly informační a komunikační silnějším postavením z pohledu HPH než v zaměstnanosti, což vypovídá o nadprůměrné produktivitě práce tohoto odvětví. Nejvyšší podíl nezaměstnanosti mělo toto odvětví i díky pokročilému stupni digitalizace ve veřejné sféře v Estonsku (4,8 %). Česko se s 2,8 % řadilo k podprůměrným, a to i v rámci novějších členských zemí EU. Nižšího podílu dosahovalo loni z našich sousedů jen Rakousko (2,6 %).</w:t>
            </w:r>
          </w:p>
        </w:tc>
      </w:tr>
      <w:tr w:rsidR="007C13A4" w:rsidRPr="00360DE3" w:rsidTr="007C13A4">
        <w:tc>
          <w:tcPr>
            <w:tcW w:w="1976" w:type="dxa"/>
            <w:vMerge w:val="restart"/>
          </w:tcPr>
          <w:p w:rsidR="007C13A4" w:rsidRPr="00360DE3" w:rsidRDefault="007C13A4" w:rsidP="00DC37E3">
            <w:pPr>
              <w:pStyle w:val="Marginlie"/>
              <w:rPr>
                <w:spacing w:val="0"/>
              </w:rPr>
            </w:pPr>
          </w:p>
        </w:tc>
        <w:tc>
          <w:tcPr>
            <w:tcW w:w="277" w:type="dxa"/>
            <w:vMerge w:val="restart"/>
          </w:tcPr>
          <w:p w:rsidR="007C13A4" w:rsidRPr="00360DE3" w:rsidRDefault="007C13A4" w:rsidP="00DC37E3">
            <w:pPr>
              <w:pStyle w:val="Textpoznpodarou"/>
              <w:jc w:val="both"/>
            </w:pPr>
          </w:p>
        </w:tc>
        <w:tc>
          <w:tcPr>
            <w:tcW w:w="7391" w:type="dxa"/>
          </w:tcPr>
          <w:p w:rsidR="007C13A4" w:rsidRPr="00360DE3" w:rsidRDefault="007C13A4" w:rsidP="00DC37E3">
            <w:pPr>
              <w:spacing w:after="0"/>
              <w:jc w:val="left"/>
              <w:rPr>
                <w:b/>
              </w:rPr>
            </w:pPr>
            <w:r w:rsidRPr="00360DE3">
              <w:rPr>
                <w:b/>
              </w:rPr>
              <w:t xml:space="preserve">Graf </w:t>
            </w:r>
            <w:proofErr w:type="gramStart"/>
            <w:r w:rsidRPr="00360DE3">
              <w:rPr>
                <w:b/>
              </w:rPr>
              <w:t>15.3  Podíl</w:t>
            </w:r>
            <w:proofErr w:type="gramEnd"/>
            <w:r w:rsidRPr="00360DE3">
              <w:rPr>
                <w:b/>
              </w:rPr>
              <w:t xml:space="preserve"> odvětví informačních a komunikačních činností na zaměstnanosti a hrubé přidané hodnotě v ekonomice</w:t>
            </w:r>
            <w:r w:rsidRPr="00360DE3">
              <w:t xml:space="preserve"> (v %, </w:t>
            </w:r>
            <w:proofErr w:type="spellStart"/>
            <w:r w:rsidRPr="00360DE3">
              <w:t>vybr</w:t>
            </w:r>
            <w:proofErr w:type="spellEnd"/>
            <w:r w:rsidRPr="00360DE3">
              <w:t>. státy Evropy)</w:t>
            </w:r>
          </w:p>
          <w:p w:rsidR="007C13A4" w:rsidRPr="00360DE3" w:rsidRDefault="00775F45" w:rsidP="00DC37E3">
            <w:pPr>
              <w:spacing w:after="0"/>
              <w:rPr>
                <w:b/>
              </w:rPr>
            </w:pPr>
            <w:r w:rsidRPr="00775F45">
              <w:rPr>
                <w:b/>
                <w:noProof/>
              </w:rPr>
              <w:drawing>
                <wp:inline distT="0" distB="0" distL="0" distR="0">
                  <wp:extent cx="4655528" cy="3562350"/>
                  <wp:effectExtent l="19050" t="0" r="0" b="0"/>
                  <wp:docPr id="39"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7C13A4" w:rsidRPr="00360DE3" w:rsidTr="007C13A4">
        <w:trPr>
          <w:trHeight w:val="284"/>
        </w:trPr>
        <w:tc>
          <w:tcPr>
            <w:tcW w:w="1976" w:type="dxa"/>
            <w:vMerge/>
          </w:tcPr>
          <w:p w:rsidR="007C13A4" w:rsidRPr="00360DE3" w:rsidRDefault="007C13A4" w:rsidP="00DC37E3">
            <w:pPr>
              <w:pStyle w:val="Marginlie"/>
              <w:rPr>
                <w:spacing w:val="0"/>
              </w:rPr>
            </w:pPr>
          </w:p>
        </w:tc>
        <w:tc>
          <w:tcPr>
            <w:tcW w:w="277" w:type="dxa"/>
            <w:vMerge/>
          </w:tcPr>
          <w:p w:rsidR="007C13A4" w:rsidRPr="00360DE3" w:rsidRDefault="007C13A4" w:rsidP="00DC37E3">
            <w:pPr>
              <w:pStyle w:val="Textpoznpodarou"/>
              <w:jc w:val="both"/>
            </w:pPr>
          </w:p>
        </w:tc>
        <w:tc>
          <w:tcPr>
            <w:tcW w:w="7391" w:type="dxa"/>
          </w:tcPr>
          <w:p w:rsidR="007C13A4" w:rsidRPr="00360DE3" w:rsidRDefault="00775F45" w:rsidP="00DC37E3">
            <w:pPr>
              <w:pStyle w:val="Zhlav"/>
              <w:spacing w:before="40" w:after="200" w:line="240" w:lineRule="auto"/>
              <w:rPr>
                <w:rFonts w:cs="Arial"/>
                <w:sz w:val="14"/>
                <w:szCs w:val="14"/>
                <w:lang w:eastAsia="cs-CZ"/>
              </w:rPr>
            </w:pPr>
            <w:r>
              <w:rPr>
                <w:rFonts w:cs="Arial"/>
                <w:sz w:val="14"/>
                <w:szCs w:val="14"/>
                <w:lang w:eastAsia="cs-CZ"/>
              </w:rPr>
              <w:t>Pozn.:Aktuáln</w:t>
            </w:r>
            <w:r w:rsidR="007C13A4" w:rsidRPr="00360DE3">
              <w:rPr>
                <w:rFonts w:cs="Arial"/>
                <w:sz w:val="14"/>
                <w:szCs w:val="14"/>
                <w:lang w:eastAsia="cs-CZ"/>
              </w:rPr>
              <w:t xml:space="preserve">í údaje o hrubé přidané hodnotě za Island a Černou Horu, Bosnu a Hercegovinu a také Turecko se vztahují k roku 2016. Údaje o zaměstnanosti nebyly za šest balkánských států k dispozici.                      Zdroj: </w:t>
            </w:r>
            <w:proofErr w:type="spellStart"/>
            <w:r w:rsidR="007C13A4" w:rsidRPr="00360DE3">
              <w:rPr>
                <w:rFonts w:cs="Arial"/>
                <w:sz w:val="14"/>
                <w:szCs w:val="14"/>
                <w:lang w:eastAsia="cs-CZ"/>
              </w:rPr>
              <w:t>Eurostat</w:t>
            </w:r>
            <w:proofErr w:type="spellEnd"/>
          </w:p>
        </w:tc>
      </w:tr>
    </w:tbl>
    <w:p w:rsidR="004C26B0" w:rsidRPr="00360DE3" w:rsidRDefault="00E212C9" w:rsidP="00141782">
      <w:pPr>
        <w:pStyle w:val="Nadpis1"/>
        <w:rPr>
          <w:lang w:eastAsia="en-US"/>
        </w:rPr>
      </w:pPr>
      <w:bookmarkStart w:id="33" w:name="_Toc527639488"/>
      <w:r w:rsidRPr="00360DE3">
        <w:rPr>
          <w:lang w:eastAsia="en-US"/>
        </w:rPr>
        <w:t>16</w:t>
      </w:r>
      <w:r w:rsidR="00141782" w:rsidRPr="00360DE3">
        <w:rPr>
          <w:lang w:eastAsia="en-US"/>
        </w:rPr>
        <w:t>. Pro</w:t>
      </w:r>
      <w:r w:rsidR="003B4331">
        <w:rPr>
          <w:lang w:eastAsia="en-US"/>
        </w:rPr>
        <w:t>fesní, vědecké, technické a administrativní</w:t>
      </w:r>
      <w:r w:rsidR="00141782" w:rsidRPr="00360DE3">
        <w:rPr>
          <w:lang w:eastAsia="en-US"/>
        </w:rPr>
        <w:t xml:space="preserve"> činnosti</w:t>
      </w:r>
      <w:bookmarkEnd w:id="33"/>
    </w:p>
    <w:tbl>
      <w:tblPr>
        <w:tblW w:w="9644" w:type="dxa"/>
        <w:tblInd w:w="-15" w:type="dxa"/>
        <w:tblLayout w:type="fixed"/>
        <w:tblCellMar>
          <w:left w:w="0" w:type="dxa"/>
          <w:right w:w="0" w:type="dxa"/>
        </w:tblCellMar>
        <w:tblLook w:val="00A0"/>
      </w:tblPr>
      <w:tblGrid>
        <w:gridCol w:w="1976"/>
        <w:gridCol w:w="277"/>
        <w:gridCol w:w="7391"/>
      </w:tblGrid>
      <w:tr w:rsidR="0063201A" w:rsidRPr="00360DE3" w:rsidTr="00DC37E3">
        <w:trPr>
          <w:trHeight w:val="145"/>
        </w:trPr>
        <w:tc>
          <w:tcPr>
            <w:tcW w:w="1976" w:type="dxa"/>
          </w:tcPr>
          <w:p w:rsidR="0063201A" w:rsidRPr="00360DE3" w:rsidRDefault="0063201A" w:rsidP="00DC37E3">
            <w:pPr>
              <w:pStyle w:val="Marginlie"/>
              <w:rPr>
                <w:spacing w:val="0"/>
              </w:rPr>
            </w:pPr>
            <w:r w:rsidRPr="00360DE3">
              <w:rPr>
                <w:spacing w:val="0"/>
              </w:rPr>
              <w:t>Profesní, vědecké, technické a administrativní činnosti mají značně různorodý charakter.</w:t>
            </w: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Default="0063201A" w:rsidP="00DC37E3">
            <w:pPr>
              <w:pStyle w:val="Marginlie"/>
              <w:rPr>
                <w:spacing w:val="0"/>
              </w:rPr>
            </w:pPr>
          </w:p>
          <w:p w:rsidR="001D70E9" w:rsidRDefault="001D70E9" w:rsidP="00DC37E3">
            <w:pPr>
              <w:pStyle w:val="Marginlie"/>
              <w:rPr>
                <w:spacing w:val="0"/>
              </w:rPr>
            </w:pPr>
          </w:p>
          <w:p w:rsidR="001D70E9" w:rsidRDefault="001D70E9" w:rsidP="00DC37E3">
            <w:pPr>
              <w:pStyle w:val="Marginlie"/>
              <w:rPr>
                <w:spacing w:val="0"/>
              </w:rPr>
            </w:pPr>
          </w:p>
          <w:p w:rsidR="001D70E9" w:rsidRPr="00360DE3" w:rsidRDefault="001D70E9" w:rsidP="00DC37E3">
            <w:pPr>
              <w:pStyle w:val="Marginlie"/>
              <w:rPr>
                <w:spacing w:val="0"/>
              </w:rPr>
            </w:pPr>
          </w:p>
          <w:p w:rsidR="0063201A" w:rsidRPr="00360DE3" w:rsidRDefault="0063201A" w:rsidP="00DC37E3">
            <w:pPr>
              <w:pStyle w:val="Marginlie"/>
              <w:rPr>
                <w:spacing w:val="0"/>
              </w:rPr>
            </w:pPr>
            <w:r w:rsidRPr="00360DE3">
              <w:rPr>
                <w:spacing w:val="0"/>
              </w:rPr>
              <w:t xml:space="preserve">Hrubá přidaná hodnota (HPH) rostla v tomto uskupení již sedmým </w:t>
            </w:r>
            <w:r w:rsidRPr="00360DE3">
              <w:rPr>
                <w:spacing w:val="0"/>
              </w:rPr>
              <w:lastRenderedPageBreak/>
              <w:t>rokem v řadě.</w:t>
            </w:r>
          </w:p>
        </w:tc>
        <w:tc>
          <w:tcPr>
            <w:tcW w:w="277" w:type="dxa"/>
          </w:tcPr>
          <w:p w:rsidR="0063201A" w:rsidRPr="00360DE3" w:rsidRDefault="0063201A" w:rsidP="00DC37E3">
            <w:pPr>
              <w:pStyle w:val="Textpoznpodarou"/>
              <w:jc w:val="both"/>
            </w:pPr>
          </w:p>
        </w:tc>
        <w:tc>
          <w:tcPr>
            <w:tcW w:w="7391" w:type="dxa"/>
          </w:tcPr>
          <w:p w:rsidR="0063201A" w:rsidRPr="00360DE3" w:rsidRDefault="0063201A" w:rsidP="00DC37E3">
            <w:pPr>
              <w:spacing w:after="200"/>
            </w:pPr>
            <w:r w:rsidRPr="00360DE3">
              <w:t>Uskupení odvětví profesní, vědecké, technické a administrativní činnosti</w:t>
            </w:r>
            <w:r w:rsidRPr="00360DE3">
              <w:rPr>
                <w:rStyle w:val="Znakapoznpodarou"/>
              </w:rPr>
              <w:footnoteReference w:id="121"/>
            </w:r>
            <w:r w:rsidRPr="00360DE3">
              <w:t>, poskytující služby především podnikové sféře, představuje značně různorodý celek. Jeho dílčí odvětví se liší jak z pohledu sofistikovanosti produkovaných služeb, nároků na lidské zdroje či výši jejich odměňování, tak i strukturou ekonomických subjektů v nich působících (zastoupením nefinančních podniků, drobných podnikatelů, vládních institucí, rolí zahraničního kapitálu aj.)</w:t>
            </w:r>
            <w:r w:rsidRPr="00360DE3">
              <w:rPr>
                <w:rStyle w:val="Znakapoznpodarou"/>
              </w:rPr>
              <w:footnoteReference w:id="122"/>
            </w:r>
            <w:r w:rsidRPr="00360DE3">
              <w:t xml:space="preserve">. Hrubá přidaná hodnota (HPH) </w:t>
            </w:r>
            <w:r w:rsidR="00A329DF">
              <w:t xml:space="preserve">se </w:t>
            </w:r>
            <w:r w:rsidRPr="00360DE3">
              <w:t>v tomto sledovaném usku</w:t>
            </w:r>
            <w:r w:rsidR="00A329DF">
              <w:t>pení odvětví loni zvýšila o</w:t>
            </w:r>
            <w:r w:rsidR="00A329DF" w:rsidRPr="00360DE3">
              <w:t> </w:t>
            </w:r>
            <w:r w:rsidR="00A329DF">
              <w:t>3,2</w:t>
            </w:r>
            <w:r w:rsidR="00A329DF" w:rsidRPr="00360DE3">
              <w:t> </w:t>
            </w:r>
            <w:r w:rsidRPr="00360DE3">
              <w:t xml:space="preserve">%. Výkon odvětví rostl již sedmým rokem v řadě, v posledních dvou letech bylo ale patrné oslabování jeho meziročních temp. Stály za tím rostoucí výrobní náklady, neboť loňské navýšení </w:t>
            </w:r>
            <w:proofErr w:type="spellStart"/>
            <w:r w:rsidRPr="00360DE3">
              <w:t>mezispotřeby</w:t>
            </w:r>
            <w:proofErr w:type="spellEnd"/>
            <w:r w:rsidRPr="00360DE3">
              <w:t xml:space="preserve"> dosáhlo téměř 9 %. Samotná produkce (mající silnou vazbu na celkové tržby) totiž loni vzrostla nejvíce za posledních deset let (o 6,5 %). Celkově dobrou ekonomickou situaci většiny </w:t>
            </w:r>
            <w:r w:rsidRPr="00360DE3">
              <w:lastRenderedPageBreak/>
              <w:t>podniků v tomto odvětví potvrzovaly i loňské výsledky konjunkturálních průzkumů</w:t>
            </w:r>
            <w:r w:rsidRPr="00360DE3">
              <w:rPr>
                <w:rStyle w:val="Znakapoznpodarou"/>
              </w:rPr>
              <w:footnoteReference w:id="123"/>
            </w:r>
            <w:r w:rsidRPr="00360DE3">
              <w:t>. Míra zisku nefinančních podniků</w:t>
            </w:r>
            <w:r w:rsidRPr="00360DE3">
              <w:rPr>
                <w:rStyle w:val="Znakapoznpodarou"/>
              </w:rPr>
              <w:footnoteReference w:id="124"/>
            </w:r>
            <w:r w:rsidRPr="00360DE3">
              <w:t xml:space="preserve"> ve sledovaném odvětvovém uskupení nedoznala v posledních třech letech výrazných změn a pohybovala se mezi 38 a 39 %. Blížila se tak úrovni z konjunktury minulé dekády. Pokles ziskovosti v obou následných fázích recese pak postihl odvětví s mnohem větší intenzitou než celou ekonomiku, což souviselo s redukcí podnikových výdajů na „zbytné“ aktivity (průzkum trhu, reklama, bezpečnost, poradenství, překladatelské činnosti), omezením náboru nových pracovníků či projektových prací (architektonické a inženýrské činnosti).</w:t>
            </w:r>
          </w:p>
        </w:tc>
      </w:tr>
      <w:tr w:rsidR="0063201A" w:rsidRPr="00360DE3" w:rsidTr="00DC37E3">
        <w:tc>
          <w:tcPr>
            <w:tcW w:w="1976" w:type="dxa"/>
            <w:vMerge w:val="restart"/>
          </w:tcPr>
          <w:p w:rsidR="0063201A" w:rsidRPr="00360DE3" w:rsidRDefault="0063201A" w:rsidP="00DC37E3">
            <w:pPr>
              <w:pStyle w:val="Marginlie"/>
              <w:rPr>
                <w:spacing w:val="0"/>
              </w:rPr>
            </w:pPr>
          </w:p>
        </w:tc>
        <w:tc>
          <w:tcPr>
            <w:tcW w:w="277" w:type="dxa"/>
            <w:vMerge w:val="restart"/>
          </w:tcPr>
          <w:p w:rsidR="0063201A" w:rsidRPr="00360DE3" w:rsidRDefault="0063201A" w:rsidP="00DC37E3">
            <w:pPr>
              <w:pStyle w:val="Textpoznpodarou"/>
              <w:jc w:val="both"/>
            </w:pPr>
          </w:p>
        </w:tc>
        <w:tc>
          <w:tcPr>
            <w:tcW w:w="7391" w:type="dxa"/>
          </w:tcPr>
          <w:p w:rsidR="0063201A" w:rsidRPr="00360DE3" w:rsidRDefault="0063201A" w:rsidP="00DC37E3">
            <w:pPr>
              <w:spacing w:after="0"/>
              <w:jc w:val="left"/>
              <w:rPr>
                <w:b/>
              </w:rPr>
            </w:pPr>
            <w:r w:rsidRPr="00360DE3">
              <w:rPr>
                <w:b/>
              </w:rPr>
              <w:t xml:space="preserve">Graf 16.1  </w:t>
            </w:r>
            <w:r w:rsidRPr="00360DE3">
              <w:rPr>
                <w:b/>
                <w:bCs/>
              </w:rPr>
              <w:t xml:space="preserve">Zákl. </w:t>
            </w:r>
            <w:proofErr w:type="gramStart"/>
            <w:r w:rsidRPr="00360DE3">
              <w:rPr>
                <w:b/>
                <w:bCs/>
              </w:rPr>
              <w:t>ukazatele</w:t>
            </w:r>
            <w:proofErr w:type="gramEnd"/>
            <w:r w:rsidRPr="00360DE3">
              <w:rPr>
                <w:b/>
                <w:bCs/>
              </w:rPr>
              <w:t xml:space="preserve"> odvětví profesní, věd. </w:t>
            </w:r>
            <w:proofErr w:type="spellStart"/>
            <w:r w:rsidRPr="00360DE3">
              <w:rPr>
                <w:b/>
                <w:bCs/>
              </w:rPr>
              <w:t>technic</w:t>
            </w:r>
            <w:proofErr w:type="spellEnd"/>
            <w:r w:rsidRPr="00360DE3">
              <w:rPr>
                <w:b/>
                <w:bCs/>
              </w:rPr>
              <w:t>. a administrativní čin.</w:t>
            </w:r>
          </w:p>
          <w:p w:rsidR="0063201A" w:rsidRPr="00360DE3" w:rsidRDefault="0063201A" w:rsidP="00DC37E3">
            <w:pPr>
              <w:spacing w:after="0"/>
              <w:rPr>
                <w:b/>
              </w:rPr>
            </w:pPr>
            <w:r w:rsidRPr="00360DE3">
              <w:rPr>
                <w:b/>
                <w:noProof/>
              </w:rPr>
              <w:drawing>
                <wp:inline distT="0" distB="0" distL="0" distR="0">
                  <wp:extent cx="4653890" cy="3526971"/>
                  <wp:effectExtent l="19050" t="0" r="0" b="0"/>
                  <wp:docPr id="10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63201A" w:rsidRPr="00360DE3" w:rsidTr="00DC37E3">
        <w:trPr>
          <w:trHeight w:val="284"/>
        </w:trPr>
        <w:tc>
          <w:tcPr>
            <w:tcW w:w="1976" w:type="dxa"/>
            <w:vMerge/>
          </w:tcPr>
          <w:p w:rsidR="0063201A" w:rsidRPr="00360DE3" w:rsidRDefault="0063201A" w:rsidP="00DC37E3">
            <w:pPr>
              <w:pStyle w:val="Marginlie"/>
              <w:rPr>
                <w:spacing w:val="0"/>
              </w:rPr>
            </w:pPr>
          </w:p>
        </w:tc>
        <w:tc>
          <w:tcPr>
            <w:tcW w:w="277" w:type="dxa"/>
            <w:vMerge/>
          </w:tcPr>
          <w:p w:rsidR="0063201A" w:rsidRPr="00360DE3" w:rsidRDefault="0063201A" w:rsidP="00DC37E3">
            <w:pPr>
              <w:pStyle w:val="Textpoznpodarou"/>
              <w:jc w:val="both"/>
            </w:pPr>
          </w:p>
        </w:tc>
        <w:tc>
          <w:tcPr>
            <w:tcW w:w="7391" w:type="dxa"/>
          </w:tcPr>
          <w:p w:rsidR="0063201A" w:rsidRPr="00360DE3" w:rsidRDefault="0063201A" w:rsidP="00A329DF">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63201A" w:rsidRPr="00360DE3" w:rsidTr="00DC37E3">
        <w:tc>
          <w:tcPr>
            <w:tcW w:w="1976" w:type="dxa"/>
          </w:tcPr>
          <w:p w:rsidR="0063201A" w:rsidRPr="00360DE3" w:rsidRDefault="0063201A" w:rsidP="00DC37E3">
            <w:pPr>
              <w:pStyle w:val="Marginlie"/>
              <w:rPr>
                <w:spacing w:val="0"/>
              </w:rPr>
            </w:pPr>
            <w:r w:rsidRPr="00360DE3">
              <w:rPr>
                <w:spacing w:val="0"/>
              </w:rPr>
              <w:t>Tempo růstu zaměstnanosti v odvětví loni zvolnilo na šestileté minimum.</w:t>
            </w: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p>
          <w:p w:rsidR="0063201A" w:rsidRPr="00360DE3" w:rsidRDefault="0063201A" w:rsidP="00DC37E3">
            <w:pPr>
              <w:pStyle w:val="Marginlie"/>
              <w:rPr>
                <w:spacing w:val="0"/>
              </w:rPr>
            </w:pPr>
            <w:r w:rsidRPr="00360DE3">
              <w:rPr>
                <w:spacing w:val="0"/>
              </w:rPr>
              <w:t>Hodinová produktivita mírně rostla. Za úrovní národního hospodářství však nadále skoro o pětinu zaostávala.</w:t>
            </w:r>
          </w:p>
        </w:tc>
        <w:tc>
          <w:tcPr>
            <w:tcW w:w="277" w:type="dxa"/>
          </w:tcPr>
          <w:p w:rsidR="0063201A" w:rsidRPr="00360DE3" w:rsidRDefault="0063201A" w:rsidP="00DC37E3">
            <w:pPr>
              <w:pStyle w:val="Textpoznpodarou"/>
              <w:jc w:val="both"/>
            </w:pPr>
          </w:p>
        </w:tc>
        <w:tc>
          <w:tcPr>
            <w:tcW w:w="7391" w:type="dxa"/>
          </w:tcPr>
          <w:p w:rsidR="0063201A" w:rsidRPr="00360DE3" w:rsidRDefault="0063201A" w:rsidP="00DC37E3">
            <w:r w:rsidRPr="00360DE3">
              <w:t>Podobně jako ve většině ostatních odvětví je další navyšování ziskovosti podniků limitováno sílícími mzdovými náklady. Ty loni vzrostly proti roku 2016 o 7,8 %. Většina z tohoto posílení se promítla přímo do výše průměrných výdělků, neboť stavy zaměstnanců se rozšířily jen o 1,9 %, nejméně za posledních šest let. K dynamizaci tempa průměrné mzdy přispěl jak nedostatek vhodných pracovníků na trhu (při velmi nízké úrovni nezaměstnanosti), tak navyšování hranice minimální mzdy, které však mělo podstatnější dopad jen v některých dílčích odvětvích. Loňské zpomalení růstu zaměstnanosti se odrazilo i v produktivitě práce. Ta vzrostla reálně o 2,4 %, mírně vyšším tempem nežli v celé ekonomice. I tak však loni produktivita ve sledovaném odvětvovém uskupení dosahovala jen 81 % úrovně národního hospodářství a za poslední dekádu svůj odstup nezmenšila. Míra investic ve sledovaném uskupení odvětví v posle</w:t>
            </w:r>
            <w:r w:rsidR="00A329DF">
              <w:t>dních třech letech stagnovala a</w:t>
            </w:r>
            <w:r w:rsidR="00A329DF" w:rsidRPr="00360DE3">
              <w:t> </w:t>
            </w:r>
            <w:r w:rsidRPr="00360DE3">
              <w:t xml:space="preserve">držela se těsně nad 25 %. Ve srovnání s celým terciárním sektorem v ČR </w:t>
            </w:r>
            <w:r w:rsidRPr="00360DE3">
              <w:lastRenderedPageBreak/>
              <w:t>dlouhodobě mírně zaostává. Ve vztahu s celou EU je tomu naopak</w:t>
            </w:r>
            <w:r w:rsidRPr="00360DE3">
              <w:rPr>
                <w:rStyle w:val="Znakapoznpodarou"/>
              </w:rPr>
              <w:footnoteReference w:id="125"/>
            </w:r>
            <w:r w:rsidRPr="00360DE3">
              <w:t>. Ve skladbě investic se projevuje různorodost celého uskupení. Z</w:t>
            </w:r>
            <w:r w:rsidR="00A329DF">
              <w:t xml:space="preserve">atímco v profesních, vědeckých a </w:t>
            </w:r>
            <w:r w:rsidRPr="00360DE3">
              <w:t xml:space="preserve">technických činnostech proudila loni skoro polovina investic do produktů duševního vlastnictví (31 % do výzkumu a vývoje, 14 % do programového vybavení a databází), v administrativních a podpůrných činnostech cílilo 55 % investic na dopravní prostředky a 34 % na zbývající kategorie strojů a zařízení. </w:t>
            </w:r>
          </w:p>
        </w:tc>
      </w:tr>
      <w:tr w:rsidR="0063201A" w:rsidRPr="00360DE3" w:rsidTr="00DC37E3">
        <w:tc>
          <w:tcPr>
            <w:tcW w:w="1976" w:type="dxa"/>
            <w:vMerge w:val="restart"/>
          </w:tcPr>
          <w:p w:rsidR="0063201A" w:rsidRPr="00360DE3" w:rsidRDefault="0063201A" w:rsidP="00DC37E3">
            <w:pPr>
              <w:pStyle w:val="Marginlie"/>
              <w:rPr>
                <w:spacing w:val="0"/>
              </w:rPr>
            </w:pPr>
          </w:p>
        </w:tc>
        <w:tc>
          <w:tcPr>
            <w:tcW w:w="277" w:type="dxa"/>
            <w:vMerge w:val="restart"/>
          </w:tcPr>
          <w:p w:rsidR="0063201A" w:rsidRPr="00360DE3" w:rsidRDefault="0063201A" w:rsidP="00DC37E3">
            <w:pPr>
              <w:pStyle w:val="Textpoznpodarou"/>
              <w:jc w:val="both"/>
            </w:pPr>
          </w:p>
        </w:tc>
        <w:tc>
          <w:tcPr>
            <w:tcW w:w="7391" w:type="dxa"/>
          </w:tcPr>
          <w:p w:rsidR="0063201A" w:rsidRPr="00360DE3" w:rsidRDefault="0063201A" w:rsidP="00DC37E3">
            <w:pPr>
              <w:spacing w:after="0"/>
              <w:jc w:val="left"/>
            </w:pPr>
            <w:r w:rsidRPr="00360DE3">
              <w:rPr>
                <w:b/>
              </w:rPr>
              <w:t xml:space="preserve">Graf </w:t>
            </w:r>
            <w:proofErr w:type="gramStart"/>
            <w:r w:rsidRPr="00360DE3">
              <w:rPr>
                <w:b/>
              </w:rPr>
              <w:t>16.2  Příspěvky</w:t>
            </w:r>
            <w:proofErr w:type="gramEnd"/>
            <w:r w:rsidRPr="00360DE3">
              <w:rPr>
                <w:b/>
              </w:rPr>
              <w:t xml:space="preserve"> odvětvových oddílů k meziroční změně HPH v uskupení </w:t>
            </w:r>
            <w:r w:rsidRPr="00360DE3">
              <w:rPr>
                <w:b/>
                <w:bCs/>
              </w:rPr>
              <w:t xml:space="preserve">profesní, vědecké, technické a </w:t>
            </w:r>
            <w:proofErr w:type="spellStart"/>
            <w:r w:rsidRPr="00360DE3">
              <w:rPr>
                <w:b/>
                <w:bCs/>
              </w:rPr>
              <w:t>administr</w:t>
            </w:r>
            <w:proofErr w:type="spellEnd"/>
            <w:r w:rsidRPr="00360DE3">
              <w:rPr>
                <w:b/>
                <w:bCs/>
              </w:rPr>
              <w:t>. i podpůrné činnosti</w:t>
            </w:r>
            <w:r w:rsidR="001D70E9">
              <w:t xml:space="preserve"> (reálně, v p. </w:t>
            </w:r>
            <w:proofErr w:type="spellStart"/>
            <w:r w:rsidRPr="00360DE3">
              <w:t>b</w:t>
            </w:r>
            <w:proofErr w:type="spellEnd"/>
            <w:r w:rsidRPr="00360DE3">
              <w:t>.)</w:t>
            </w:r>
          </w:p>
          <w:p w:rsidR="0063201A" w:rsidRPr="00360DE3" w:rsidRDefault="0063201A" w:rsidP="00DC37E3">
            <w:pPr>
              <w:spacing w:after="0"/>
              <w:rPr>
                <w:b/>
              </w:rPr>
            </w:pPr>
            <w:r w:rsidRPr="00360DE3">
              <w:rPr>
                <w:b/>
                <w:noProof/>
              </w:rPr>
              <w:drawing>
                <wp:inline distT="0" distB="0" distL="0" distR="0">
                  <wp:extent cx="4674578" cy="3552826"/>
                  <wp:effectExtent l="19050" t="0" r="0" b="0"/>
                  <wp:docPr id="10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63201A" w:rsidRPr="00360DE3" w:rsidTr="00DC37E3">
        <w:trPr>
          <w:trHeight w:val="284"/>
        </w:trPr>
        <w:tc>
          <w:tcPr>
            <w:tcW w:w="1976" w:type="dxa"/>
            <w:vMerge/>
          </w:tcPr>
          <w:p w:rsidR="0063201A" w:rsidRPr="00360DE3" w:rsidRDefault="0063201A" w:rsidP="00DC37E3">
            <w:pPr>
              <w:pStyle w:val="Marginlie"/>
              <w:rPr>
                <w:spacing w:val="0"/>
              </w:rPr>
            </w:pPr>
          </w:p>
        </w:tc>
        <w:tc>
          <w:tcPr>
            <w:tcW w:w="277" w:type="dxa"/>
            <w:vMerge/>
          </w:tcPr>
          <w:p w:rsidR="0063201A" w:rsidRPr="00360DE3" w:rsidRDefault="0063201A" w:rsidP="00DC37E3">
            <w:pPr>
              <w:pStyle w:val="Textpoznpodarou"/>
              <w:jc w:val="both"/>
            </w:pPr>
          </w:p>
        </w:tc>
        <w:tc>
          <w:tcPr>
            <w:tcW w:w="7391" w:type="dxa"/>
          </w:tcPr>
          <w:p w:rsidR="0063201A" w:rsidRPr="00360DE3" w:rsidRDefault="0063201A" w:rsidP="00DC37E3">
            <w:pPr>
              <w:pStyle w:val="Zhlav"/>
              <w:spacing w:before="40" w:after="240" w:line="240" w:lineRule="auto"/>
              <w:rPr>
                <w:rFonts w:cs="Arial"/>
                <w:sz w:val="14"/>
                <w:szCs w:val="14"/>
                <w:lang w:eastAsia="cs-CZ"/>
              </w:rPr>
            </w:pPr>
            <w:r w:rsidRPr="00360DE3">
              <w:rPr>
                <w:rFonts w:cs="Arial"/>
                <w:sz w:val="14"/>
                <w:szCs w:val="14"/>
                <w:lang w:eastAsia="cs-CZ"/>
              </w:rPr>
              <w:t xml:space="preserve"> Zdroj: ČSÚ (národní účty) </w:t>
            </w:r>
          </w:p>
        </w:tc>
      </w:tr>
      <w:tr w:rsidR="0063201A" w:rsidRPr="00360DE3" w:rsidTr="00DC37E3">
        <w:trPr>
          <w:trHeight w:val="170"/>
        </w:trPr>
        <w:tc>
          <w:tcPr>
            <w:tcW w:w="1976" w:type="dxa"/>
          </w:tcPr>
          <w:p w:rsidR="0063201A" w:rsidRPr="00360DE3" w:rsidRDefault="0063201A" w:rsidP="00DC37E3">
            <w:pPr>
              <w:pStyle w:val="Marginlie"/>
              <w:rPr>
                <w:spacing w:val="0"/>
              </w:rPr>
            </w:pPr>
            <w:r w:rsidRPr="00360DE3">
              <w:rPr>
                <w:spacing w:val="0"/>
              </w:rPr>
              <w:t>K meziročnímu růstu HPH vloni přispěla většina dílčích odvětví. Dříve silná role výzkumu a vývoje či právních a účetnických činností ustoupila do pozadí.</w:t>
            </w:r>
          </w:p>
        </w:tc>
        <w:tc>
          <w:tcPr>
            <w:tcW w:w="277" w:type="dxa"/>
          </w:tcPr>
          <w:p w:rsidR="0063201A" w:rsidRPr="00360DE3" w:rsidRDefault="0063201A" w:rsidP="00DC37E3">
            <w:pPr>
              <w:pStyle w:val="Textpoznpodarou"/>
              <w:jc w:val="both"/>
            </w:pPr>
          </w:p>
        </w:tc>
        <w:tc>
          <w:tcPr>
            <w:tcW w:w="7391" w:type="dxa"/>
          </w:tcPr>
          <w:p w:rsidR="0063201A" w:rsidRPr="00360DE3" w:rsidRDefault="0063201A" w:rsidP="00DC37E3">
            <w:pPr>
              <w:spacing w:after="200"/>
              <w:rPr>
                <w:color w:val="0D0D0D"/>
                <w:szCs w:val="20"/>
              </w:rPr>
            </w:pPr>
            <w:r w:rsidRPr="00360DE3">
              <w:rPr>
                <w:color w:val="0D0D0D"/>
                <w:szCs w:val="20"/>
              </w:rPr>
              <w:t>Tempo meziročního růstu hrubé přidané hodnoty ve sledovaném odvětví bylo loni nejslabší za poslední tři roky. K vyššímu HPH ale přispěla výrazná většina dílčích odvětví. Nejvýznamnější roli měly činnosti v oblasti pronájmu a operativního leasingu, které zajistily bezmála třetinu růstu HPH v celém sledovaném uskupení. Dařilo se i architektonickým a inženýrským činnostem, jež profitovaly z oživení ve stavebnictví. Pokračoval rozvoj ve váhově okrajovém,</w:t>
            </w:r>
            <w:r w:rsidR="00A329DF">
              <w:rPr>
                <w:color w:val="0D0D0D"/>
                <w:szCs w:val="20"/>
              </w:rPr>
              <w:t xml:space="preserve"> ale dynamickém odvětví činnosti</w:t>
            </w:r>
            <w:r w:rsidRPr="00360DE3">
              <w:rPr>
                <w:color w:val="0D0D0D"/>
                <w:szCs w:val="20"/>
              </w:rPr>
              <w:t xml:space="preserve"> související se zaměstnáním</w:t>
            </w:r>
            <w:r w:rsidR="00A329DF">
              <w:rPr>
                <w:color w:val="0D0D0D"/>
                <w:szCs w:val="20"/>
              </w:rPr>
              <w:t>, ve kterém se HPH za poslední</w:t>
            </w:r>
            <w:r w:rsidRPr="00360DE3">
              <w:rPr>
                <w:color w:val="0D0D0D"/>
                <w:szCs w:val="20"/>
              </w:rPr>
              <w:t xml:space="preserve"> tři roky téměř ztrojnásobila. Naopak </w:t>
            </w:r>
            <w:proofErr w:type="spellStart"/>
            <w:r w:rsidRPr="00360DE3">
              <w:rPr>
                <w:color w:val="0D0D0D"/>
                <w:szCs w:val="20"/>
              </w:rPr>
              <w:t>prorůstová</w:t>
            </w:r>
            <w:proofErr w:type="spellEnd"/>
            <w:r w:rsidRPr="00360DE3">
              <w:rPr>
                <w:color w:val="0D0D0D"/>
                <w:szCs w:val="20"/>
              </w:rPr>
              <w:t xml:space="preserve"> role výzkumu a vývoje</w:t>
            </w:r>
            <w:r w:rsidRPr="00360DE3">
              <w:rPr>
                <w:rStyle w:val="Znakapoznpodarou"/>
                <w:color w:val="0D0D0D"/>
                <w:szCs w:val="20"/>
              </w:rPr>
              <w:footnoteReference w:id="126"/>
            </w:r>
            <w:r w:rsidRPr="00360DE3">
              <w:rPr>
                <w:color w:val="0D0D0D"/>
                <w:szCs w:val="20"/>
              </w:rPr>
              <w:t xml:space="preserve"> či váhově významných právních a účetnických činností, jež stimulovaly celé odvětví v předchozích dvou až třech letech, se výrazně omezila. Podobně jako v roce 2016 táhly loni celé odvětví dolů bezpečnostní a pátrací činnosti, jejich příspěvek byl však vzhledem k malé váze tohoto dílčího odvětví nízký. </w:t>
            </w:r>
          </w:p>
        </w:tc>
      </w:tr>
      <w:tr w:rsidR="007C13A4" w:rsidRPr="00360DE3" w:rsidTr="00DC37E3">
        <w:trPr>
          <w:trHeight w:val="170"/>
        </w:trPr>
        <w:tc>
          <w:tcPr>
            <w:tcW w:w="1976" w:type="dxa"/>
          </w:tcPr>
          <w:p w:rsidR="007C13A4" w:rsidRPr="00360DE3" w:rsidRDefault="007C13A4" w:rsidP="005D3386">
            <w:pPr>
              <w:pStyle w:val="Marginlie"/>
              <w:rPr>
                <w:spacing w:val="0"/>
              </w:rPr>
            </w:pPr>
            <w:r w:rsidRPr="00360DE3">
              <w:rPr>
                <w:spacing w:val="0"/>
              </w:rPr>
              <w:t xml:space="preserve">V důležitých ekonomických ukazatelích si stály nejlépe aktivity v oblasti pronájmu a operativního leasingu, nejhůře bezpečnostní </w:t>
            </w:r>
            <w:r w:rsidRPr="00360DE3">
              <w:rPr>
                <w:spacing w:val="0"/>
              </w:rPr>
              <w:lastRenderedPageBreak/>
              <w:t>a pátrací služby.</w:t>
            </w:r>
          </w:p>
        </w:tc>
        <w:tc>
          <w:tcPr>
            <w:tcW w:w="277" w:type="dxa"/>
          </w:tcPr>
          <w:p w:rsidR="007C13A4" w:rsidRPr="00360DE3" w:rsidRDefault="007C13A4" w:rsidP="005D3386">
            <w:pPr>
              <w:pStyle w:val="Textpoznpodarou"/>
              <w:jc w:val="both"/>
            </w:pPr>
          </w:p>
        </w:tc>
        <w:tc>
          <w:tcPr>
            <w:tcW w:w="7391" w:type="dxa"/>
          </w:tcPr>
          <w:p w:rsidR="007C13A4" w:rsidRPr="00360DE3" w:rsidRDefault="007C13A4" w:rsidP="005D3386">
            <w:pPr>
              <w:spacing w:after="220"/>
            </w:pPr>
            <w:r w:rsidRPr="00360DE3">
              <w:rPr>
                <w:szCs w:val="20"/>
              </w:rPr>
              <w:t xml:space="preserve">Mezi dílčími odvětvími v </w:t>
            </w:r>
            <w:r w:rsidRPr="00360DE3">
              <w:t xml:space="preserve">profesních, vědeckých, technických a administrativních činnostech vynikají činnosti v oblasti pronájmu a operativního leasingu. Dlouhodobě vykazují silnou investiční aktivitu a </w:t>
            </w:r>
            <w:r w:rsidR="00274037">
              <w:t>produktivitu práce, vyčnívají i</w:t>
            </w:r>
            <w:r w:rsidR="00274037" w:rsidRPr="00360DE3">
              <w:t> </w:t>
            </w:r>
            <w:r w:rsidRPr="00360DE3">
              <w:t xml:space="preserve">v ziskovosti podniků. Jen u průměrného hrubého měsíčního výdělku dosahovaly </w:t>
            </w:r>
            <w:r w:rsidRPr="00360DE3">
              <w:lastRenderedPageBreak/>
              <w:t>lepšího postavení odvětví činnosti vedení podniků i p</w:t>
            </w:r>
            <w:r w:rsidR="00274037">
              <w:t>oradenství v oblasti řízení (47</w:t>
            </w:r>
            <w:r w:rsidR="00274037" w:rsidRPr="00360DE3">
              <w:t> </w:t>
            </w:r>
            <w:r w:rsidRPr="00360DE3">
              <w:t xml:space="preserve">tis.) a výzkum a vývoj (38 tis.). Naopak většina odvětví v rámci administrativních a podpůrných činností v důležitých ekonomických ukazatelích za celou ekonomikou zřetelně zaostávala. To </w:t>
            </w:r>
            <w:r w:rsidR="00A329DF">
              <w:t xml:space="preserve">se </w:t>
            </w:r>
            <w:r w:rsidR="00274037">
              <w:t>týkalo hlavně bezpečnostních a</w:t>
            </w:r>
            <w:r w:rsidR="00274037" w:rsidRPr="00360DE3">
              <w:t> </w:t>
            </w:r>
            <w:r w:rsidRPr="00360DE3">
              <w:t>pátracích činností, jež dosahovaly nejhorších výsledků ve všech sledovaných ukazatelích</w:t>
            </w:r>
            <w:r w:rsidRPr="00360DE3">
              <w:rPr>
                <w:rStyle w:val="Znakapoznpodarou"/>
              </w:rPr>
              <w:footnoteReference w:id="127"/>
            </w:r>
            <w:r w:rsidRPr="00360DE3">
              <w:t>. V odvětví činnosti související se zaměstnáním kontrastovala přetrvávající podprůměrná výše mezd se silným růstem ziskovosti podniků</w:t>
            </w:r>
            <w:r w:rsidRPr="00360DE3">
              <w:rPr>
                <w:rStyle w:val="Znakapoznpodarou"/>
              </w:rPr>
              <w:footnoteReference w:id="128"/>
            </w:r>
            <w:r w:rsidRPr="00360DE3">
              <w:t xml:space="preserve">. </w:t>
            </w:r>
          </w:p>
        </w:tc>
      </w:tr>
      <w:tr w:rsidR="007C13A4" w:rsidRPr="00360DE3" w:rsidTr="00DC37E3">
        <w:tc>
          <w:tcPr>
            <w:tcW w:w="1976" w:type="dxa"/>
            <w:vMerge w:val="restart"/>
          </w:tcPr>
          <w:p w:rsidR="007C13A4" w:rsidRPr="00360DE3" w:rsidRDefault="007C13A4" w:rsidP="00DC37E3">
            <w:pPr>
              <w:pStyle w:val="Marginlie"/>
              <w:rPr>
                <w:spacing w:val="0"/>
              </w:rPr>
            </w:pPr>
          </w:p>
        </w:tc>
        <w:tc>
          <w:tcPr>
            <w:tcW w:w="277" w:type="dxa"/>
            <w:vMerge w:val="restart"/>
          </w:tcPr>
          <w:p w:rsidR="007C13A4" w:rsidRPr="00360DE3" w:rsidRDefault="007C13A4" w:rsidP="00DC37E3">
            <w:pPr>
              <w:pStyle w:val="Textpoznpodarou"/>
              <w:jc w:val="both"/>
            </w:pPr>
          </w:p>
        </w:tc>
        <w:tc>
          <w:tcPr>
            <w:tcW w:w="7391" w:type="dxa"/>
          </w:tcPr>
          <w:p w:rsidR="007C13A4" w:rsidRPr="00360DE3" w:rsidRDefault="007C13A4" w:rsidP="00DC37E3">
            <w:pPr>
              <w:spacing w:after="0"/>
              <w:jc w:val="left"/>
            </w:pPr>
            <w:r w:rsidRPr="00360DE3">
              <w:rPr>
                <w:b/>
              </w:rPr>
              <w:t xml:space="preserve">Graf </w:t>
            </w:r>
            <w:proofErr w:type="gramStart"/>
            <w:r w:rsidRPr="00360DE3">
              <w:rPr>
                <w:b/>
              </w:rPr>
              <w:t xml:space="preserve">16.3  </w:t>
            </w:r>
            <w:r w:rsidRPr="00360DE3">
              <w:rPr>
                <w:b/>
                <w:bCs/>
              </w:rPr>
              <w:t>Základní</w:t>
            </w:r>
            <w:proofErr w:type="gramEnd"/>
            <w:r w:rsidRPr="00360DE3">
              <w:rPr>
                <w:b/>
                <w:bCs/>
              </w:rPr>
              <w:t xml:space="preserve"> ukazatele vybraných odvětvových oddílů služeb v roce 2017</w:t>
            </w:r>
            <w:r w:rsidRPr="00360DE3">
              <w:rPr>
                <w:bCs/>
              </w:rPr>
              <w:t xml:space="preserve"> (úroveň národního hospodářství = 100)</w:t>
            </w:r>
          </w:p>
          <w:p w:rsidR="007C13A4" w:rsidRPr="00360DE3" w:rsidRDefault="00A329DF" w:rsidP="00DC37E3">
            <w:pPr>
              <w:spacing w:after="0"/>
              <w:rPr>
                <w:b/>
              </w:rPr>
            </w:pPr>
            <w:r w:rsidRPr="00A329DF">
              <w:rPr>
                <w:b/>
                <w:noProof/>
              </w:rPr>
              <w:drawing>
                <wp:inline distT="0" distB="0" distL="0" distR="0">
                  <wp:extent cx="4717022" cy="3553200"/>
                  <wp:effectExtent l="0" t="0" r="0" b="0"/>
                  <wp:docPr id="3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7C13A4" w:rsidRPr="00360DE3" w:rsidTr="00DC37E3">
        <w:trPr>
          <w:trHeight w:val="284"/>
        </w:trPr>
        <w:tc>
          <w:tcPr>
            <w:tcW w:w="1976" w:type="dxa"/>
            <w:vMerge/>
          </w:tcPr>
          <w:p w:rsidR="007C13A4" w:rsidRPr="00360DE3" w:rsidRDefault="007C13A4" w:rsidP="00DC37E3">
            <w:pPr>
              <w:pStyle w:val="Marginlie"/>
              <w:rPr>
                <w:spacing w:val="0"/>
              </w:rPr>
            </w:pPr>
          </w:p>
        </w:tc>
        <w:tc>
          <w:tcPr>
            <w:tcW w:w="277" w:type="dxa"/>
            <w:vMerge/>
          </w:tcPr>
          <w:p w:rsidR="007C13A4" w:rsidRPr="00360DE3" w:rsidRDefault="007C13A4" w:rsidP="00DC37E3">
            <w:pPr>
              <w:pStyle w:val="Textpoznpodarou"/>
              <w:jc w:val="both"/>
            </w:pPr>
          </w:p>
        </w:tc>
        <w:tc>
          <w:tcPr>
            <w:tcW w:w="7391" w:type="dxa"/>
          </w:tcPr>
          <w:p w:rsidR="007C13A4" w:rsidRPr="00360DE3" w:rsidRDefault="007C13A4" w:rsidP="00DC37E3">
            <w:pPr>
              <w:pStyle w:val="Zhlav"/>
              <w:spacing w:before="40" w:line="240" w:lineRule="auto"/>
              <w:rPr>
                <w:rFonts w:cs="Arial"/>
                <w:sz w:val="14"/>
                <w:szCs w:val="14"/>
                <w:lang w:eastAsia="cs-CZ"/>
              </w:rPr>
            </w:pPr>
            <w:r w:rsidRPr="00360DE3">
              <w:rPr>
                <w:rFonts w:cs="Arial"/>
                <w:sz w:val="14"/>
                <w:szCs w:val="14"/>
                <w:lang w:eastAsia="cs-CZ"/>
              </w:rPr>
              <w:t>*Odvětví zahrnuje zejména specializované návrhářské činnosti, fotografické, překladatelské a tlumočnické činnosti.</w:t>
            </w:r>
          </w:p>
          <w:p w:rsidR="007C13A4" w:rsidRPr="00360DE3" w:rsidRDefault="007C13A4" w:rsidP="00DC37E3">
            <w:pPr>
              <w:pStyle w:val="Zhlav"/>
              <w:spacing w:line="240" w:lineRule="auto"/>
              <w:rPr>
                <w:rFonts w:cs="Arial"/>
                <w:sz w:val="14"/>
                <w:szCs w:val="14"/>
                <w:lang w:eastAsia="cs-CZ"/>
              </w:rPr>
            </w:pPr>
            <w:r w:rsidRPr="00360DE3">
              <w:rPr>
                <w:rFonts w:cs="Arial"/>
                <w:sz w:val="14"/>
                <w:szCs w:val="14"/>
                <w:lang w:eastAsia="cs-CZ"/>
              </w:rPr>
              <w:t xml:space="preserve">**Míra zisku se vztahuje pouze k nefinančním podnikům působícím v příslušném odvětví. </w:t>
            </w:r>
          </w:p>
          <w:p w:rsidR="007C13A4" w:rsidRPr="00360DE3" w:rsidRDefault="007C13A4" w:rsidP="00DC37E3">
            <w:pPr>
              <w:pStyle w:val="Zhlav"/>
              <w:spacing w:after="200" w:line="240" w:lineRule="auto"/>
              <w:rPr>
                <w:rFonts w:cs="Arial"/>
                <w:sz w:val="14"/>
                <w:szCs w:val="14"/>
                <w:lang w:eastAsia="cs-CZ"/>
              </w:rPr>
            </w:pPr>
            <w:r w:rsidRPr="00360DE3">
              <w:rPr>
                <w:rFonts w:cs="Arial"/>
                <w:sz w:val="14"/>
                <w:szCs w:val="14"/>
                <w:lang w:eastAsia="cs-CZ"/>
              </w:rPr>
              <w:t xml:space="preserve">Zdroj: ČSÚ (národní účty) </w:t>
            </w:r>
          </w:p>
        </w:tc>
      </w:tr>
      <w:tr w:rsidR="007C13A4" w:rsidRPr="00360DE3" w:rsidTr="00DC37E3">
        <w:trPr>
          <w:trHeight w:val="170"/>
        </w:trPr>
        <w:tc>
          <w:tcPr>
            <w:tcW w:w="1976" w:type="dxa"/>
          </w:tcPr>
          <w:p w:rsidR="007C13A4" w:rsidRPr="00360DE3" w:rsidRDefault="007C13A4" w:rsidP="00DC37E3">
            <w:pPr>
              <w:pStyle w:val="Marginlie"/>
              <w:rPr>
                <w:spacing w:val="0"/>
              </w:rPr>
            </w:pPr>
            <w:r w:rsidRPr="00360DE3">
              <w:rPr>
                <w:spacing w:val="0"/>
              </w:rPr>
              <w:t xml:space="preserve">Význam odvětví služeb pro podniky byl v tuzemské ekonomice podobně jako ve většině zemí střední </w:t>
            </w:r>
            <w:r w:rsidR="00A329DF">
              <w:rPr>
                <w:spacing w:val="0"/>
              </w:rPr>
              <w:t>a</w:t>
            </w:r>
            <w:r w:rsidR="00A329DF" w:rsidRPr="00360DE3">
              <w:rPr>
                <w:spacing w:val="0"/>
              </w:rPr>
              <w:t> </w:t>
            </w:r>
            <w:r w:rsidRPr="00360DE3">
              <w:rPr>
                <w:spacing w:val="0"/>
              </w:rPr>
              <w:t>východní Evropy ve srovnání s EU podprůměrný.</w:t>
            </w:r>
          </w:p>
        </w:tc>
        <w:tc>
          <w:tcPr>
            <w:tcW w:w="277" w:type="dxa"/>
          </w:tcPr>
          <w:p w:rsidR="007C13A4" w:rsidRPr="00360DE3" w:rsidRDefault="007C13A4" w:rsidP="00DC37E3">
            <w:pPr>
              <w:pStyle w:val="Textpoznpodarou"/>
              <w:jc w:val="both"/>
            </w:pPr>
          </w:p>
        </w:tc>
        <w:tc>
          <w:tcPr>
            <w:tcW w:w="7391" w:type="dxa"/>
          </w:tcPr>
          <w:p w:rsidR="007C13A4" w:rsidRPr="00360DE3" w:rsidRDefault="007C13A4" w:rsidP="00DC37E3">
            <w:r w:rsidRPr="00360DE3">
              <w:t>Odvětví profesní, vědecké, technické a administrativní činnosti loni vytvořilo 6,8 % HPH celé ekonomiky ČR, podíl u zaměstnanosti pak činil 8,6 %. V obou parametrech patřilo Česko v rámci EU k výrazně podprůměrným (v HPH čtvrtý, v zaměstnanosti osmý nejnižší podíl). Silné postavení měly (vyjma Řecka) starší členské státy (hlavně země Beneluxu, Francie či Velká Británie), kde se tyto služby podílely na HPH až kolem 15 % a na celkové zaměstnanosti šestinou až pětinou.</w:t>
            </w:r>
          </w:p>
        </w:tc>
      </w:tr>
    </w:tbl>
    <w:p w:rsidR="0063201A" w:rsidRPr="00360DE3" w:rsidRDefault="0063201A" w:rsidP="0063201A">
      <w:pPr>
        <w:spacing w:after="0"/>
        <w:rPr>
          <w:sz w:val="2"/>
          <w:szCs w:val="2"/>
        </w:rPr>
      </w:pPr>
    </w:p>
    <w:p w:rsidR="0060404F" w:rsidRDefault="0060404F">
      <w:pPr>
        <w:spacing w:after="0" w:line="240" w:lineRule="auto"/>
        <w:jc w:val="left"/>
        <w:rPr>
          <w:rFonts w:eastAsia="MS Gothic"/>
          <w:b/>
          <w:bCs/>
          <w:color w:val="71818C"/>
          <w:sz w:val="32"/>
          <w:szCs w:val="28"/>
          <w:lang w:eastAsia="en-US"/>
        </w:rPr>
      </w:pPr>
      <w:r>
        <w:rPr>
          <w:lang w:eastAsia="en-US"/>
        </w:rPr>
        <w:br w:type="page"/>
      </w:r>
    </w:p>
    <w:p w:rsidR="00141782" w:rsidRPr="00360DE3" w:rsidRDefault="00E212C9" w:rsidP="00141782">
      <w:pPr>
        <w:pStyle w:val="Nadpis1"/>
        <w:rPr>
          <w:lang w:eastAsia="en-US"/>
        </w:rPr>
      </w:pPr>
      <w:bookmarkStart w:id="34" w:name="_Toc527639489"/>
      <w:r w:rsidRPr="00360DE3">
        <w:rPr>
          <w:lang w:eastAsia="en-US"/>
        </w:rPr>
        <w:lastRenderedPageBreak/>
        <w:t>17</w:t>
      </w:r>
      <w:r w:rsidR="00141782" w:rsidRPr="00360DE3">
        <w:rPr>
          <w:lang w:eastAsia="en-US"/>
        </w:rPr>
        <w:t>. Veřejn</w:t>
      </w:r>
      <w:r w:rsidR="00082A55" w:rsidRPr="00360DE3">
        <w:rPr>
          <w:lang w:eastAsia="en-US"/>
        </w:rPr>
        <w:t>é služby</w:t>
      </w:r>
      <w:bookmarkEnd w:id="34"/>
    </w:p>
    <w:tbl>
      <w:tblPr>
        <w:tblW w:w="9644" w:type="dxa"/>
        <w:tblInd w:w="-15" w:type="dxa"/>
        <w:tblLayout w:type="fixed"/>
        <w:tblCellMar>
          <w:left w:w="0" w:type="dxa"/>
          <w:right w:w="0" w:type="dxa"/>
        </w:tblCellMar>
        <w:tblLook w:val="00A0"/>
      </w:tblPr>
      <w:tblGrid>
        <w:gridCol w:w="1976"/>
        <w:gridCol w:w="277"/>
        <w:gridCol w:w="7391"/>
      </w:tblGrid>
      <w:tr w:rsidR="00082A55" w:rsidRPr="00360DE3" w:rsidTr="00DC37E3">
        <w:trPr>
          <w:trHeight w:val="145"/>
        </w:trPr>
        <w:tc>
          <w:tcPr>
            <w:tcW w:w="1976" w:type="dxa"/>
          </w:tcPr>
          <w:p w:rsidR="00082A55" w:rsidRPr="00360DE3" w:rsidRDefault="00082A55" w:rsidP="00DC37E3">
            <w:pPr>
              <w:pStyle w:val="Marginlie"/>
              <w:rPr>
                <w:spacing w:val="0"/>
              </w:rPr>
            </w:pPr>
            <w:r w:rsidRPr="00360DE3">
              <w:rPr>
                <w:spacing w:val="0"/>
              </w:rPr>
              <w:t>Váha odvětví veřejných služeb v tuzemské ekonomice se dlouhodobě výrazně nemění.</w:t>
            </w: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60404F">
            <w:pPr>
              <w:spacing w:after="220"/>
            </w:pPr>
            <w:r w:rsidRPr="00360DE3">
              <w:t>Odvětví tzv. veřejných služeb</w:t>
            </w:r>
            <w:r w:rsidRPr="00360DE3">
              <w:rPr>
                <w:rStyle w:val="Znakapoznpodarou"/>
              </w:rPr>
              <w:footnoteReference w:id="129"/>
            </w:r>
            <w:r w:rsidRPr="00360DE3">
              <w:t xml:space="preserve"> představují významnou součást ekonomiky. Jejich klíčové poslání tkví v poskytování netržních služeb a rozdělování důchodu pomocí dotací či sociálních dávek. Odvětví spadající do veřejných služeb tvoří zároveň jádro sektoru vládních institucí. Veřejné služby se v Česku loni ve vztahu k celému národnímu hospodářství podílely 8,7 % na jeho produkci, 15,4 % na hrubé přidané hodnotě (HPH) a 18,7 % na zaměstnanosti. V kontextu historie samostatné ČR role veřejných služeb v ekonomice s menšími výkyvy spíše stagnuje.</w:t>
            </w:r>
          </w:p>
        </w:tc>
      </w:tr>
      <w:tr w:rsidR="00082A55" w:rsidRPr="00360DE3" w:rsidTr="00DC37E3">
        <w:tc>
          <w:tcPr>
            <w:tcW w:w="1976" w:type="dxa"/>
            <w:vMerge w:val="restart"/>
          </w:tcPr>
          <w:p w:rsidR="00082A55" w:rsidRPr="00360DE3" w:rsidRDefault="00082A55" w:rsidP="00DC37E3">
            <w:pPr>
              <w:pStyle w:val="Marginlie"/>
              <w:rPr>
                <w:spacing w:val="0"/>
              </w:rPr>
            </w:pPr>
          </w:p>
        </w:tc>
        <w:tc>
          <w:tcPr>
            <w:tcW w:w="277" w:type="dxa"/>
            <w:vMerge w:val="restart"/>
          </w:tcPr>
          <w:p w:rsidR="00082A55" w:rsidRPr="00360DE3" w:rsidRDefault="00082A55" w:rsidP="00DC37E3">
            <w:pPr>
              <w:pStyle w:val="Textpoznpodarou"/>
              <w:jc w:val="both"/>
            </w:pPr>
          </w:p>
        </w:tc>
        <w:tc>
          <w:tcPr>
            <w:tcW w:w="7391" w:type="dxa"/>
          </w:tcPr>
          <w:p w:rsidR="00082A55" w:rsidRPr="00360DE3" w:rsidRDefault="00082A55" w:rsidP="00DC37E3">
            <w:pPr>
              <w:spacing w:after="0"/>
              <w:rPr>
                <w:b/>
              </w:rPr>
            </w:pPr>
            <w:r w:rsidRPr="00360DE3">
              <w:rPr>
                <w:b/>
              </w:rPr>
              <w:t xml:space="preserve">Graf </w:t>
            </w:r>
            <w:proofErr w:type="gramStart"/>
            <w:r w:rsidRPr="00360DE3">
              <w:rPr>
                <w:b/>
              </w:rPr>
              <w:t xml:space="preserve">17.1  </w:t>
            </w:r>
            <w:r w:rsidRPr="00360DE3">
              <w:rPr>
                <w:b/>
                <w:bCs/>
              </w:rPr>
              <w:t>Základní</w:t>
            </w:r>
            <w:proofErr w:type="gramEnd"/>
            <w:r w:rsidRPr="00360DE3">
              <w:rPr>
                <w:b/>
                <w:bCs/>
              </w:rPr>
              <w:t xml:space="preserve"> ukazatele odvětví veřejných služeb</w:t>
            </w:r>
          </w:p>
          <w:p w:rsidR="00082A55" w:rsidRPr="00360DE3" w:rsidRDefault="00082A55" w:rsidP="00DC37E3">
            <w:pPr>
              <w:spacing w:after="0"/>
              <w:rPr>
                <w:b/>
              </w:rPr>
            </w:pPr>
            <w:r w:rsidRPr="00360DE3">
              <w:rPr>
                <w:b/>
                <w:noProof/>
              </w:rPr>
              <w:drawing>
                <wp:inline distT="0" distB="0" distL="0" distR="0">
                  <wp:extent cx="4692650" cy="3473450"/>
                  <wp:effectExtent l="19050" t="0" r="0" b="0"/>
                  <wp:docPr id="10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082A55" w:rsidRPr="00360DE3" w:rsidTr="00DC37E3">
        <w:trPr>
          <w:trHeight w:val="284"/>
        </w:trPr>
        <w:tc>
          <w:tcPr>
            <w:tcW w:w="1976" w:type="dxa"/>
            <w:vMerge/>
          </w:tcPr>
          <w:p w:rsidR="00082A55" w:rsidRPr="00360DE3" w:rsidRDefault="00082A55" w:rsidP="00DC37E3">
            <w:pPr>
              <w:pStyle w:val="Marginlie"/>
              <w:rPr>
                <w:spacing w:val="0"/>
              </w:rPr>
            </w:pPr>
          </w:p>
        </w:tc>
        <w:tc>
          <w:tcPr>
            <w:tcW w:w="277" w:type="dxa"/>
            <w:vMerge/>
          </w:tcPr>
          <w:p w:rsidR="00082A55" w:rsidRPr="00360DE3" w:rsidRDefault="00082A55" w:rsidP="00DC37E3">
            <w:pPr>
              <w:pStyle w:val="Textpoznpodarou"/>
              <w:jc w:val="both"/>
            </w:pPr>
          </w:p>
        </w:tc>
        <w:tc>
          <w:tcPr>
            <w:tcW w:w="7391" w:type="dxa"/>
          </w:tcPr>
          <w:p w:rsidR="00082A55" w:rsidRPr="00360DE3" w:rsidRDefault="00082A55" w:rsidP="0060404F">
            <w:pPr>
              <w:pStyle w:val="Zhlav"/>
              <w:spacing w:before="40" w:after="240" w:line="240" w:lineRule="auto"/>
              <w:rPr>
                <w:rFonts w:cs="Arial"/>
                <w:sz w:val="14"/>
                <w:szCs w:val="14"/>
                <w:lang w:eastAsia="cs-CZ"/>
              </w:rPr>
            </w:pPr>
            <w:r w:rsidRPr="00360DE3">
              <w:rPr>
                <w:rFonts w:cs="Arial"/>
                <w:sz w:val="14"/>
                <w:szCs w:val="14"/>
                <w:lang w:eastAsia="cs-CZ"/>
              </w:rPr>
              <w:t xml:space="preserve">*Do reálného vyjádření převedeno deflátorem výdajů na konečnou spotřebu domácností.      Zdroj: ČSÚ (národní účty) </w:t>
            </w:r>
          </w:p>
        </w:tc>
      </w:tr>
      <w:tr w:rsidR="0060404F" w:rsidRPr="00360DE3" w:rsidTr="00DC37E3">
        <w:trPr>
          <w:trHeight w:val="145"/>
        </w:trPr>
        <w:tc>
          <w:tcPr>
            <w:tcW w:w="1976" w:type="dxa"/>
          </w:tcPr>
          <w:p w:rsidR="0060404F" w:rsidRPr="00360DE3" w:rsidRDefault="0060404F" w:rsidP="00DC37E3">
            <w:pPr>
              <w:pStyle w:val="Marginlie"/>
              <w:rPr>
                <w:spacing w:val="0"/>
              </w:rPr>
            </w:pPr>
            <w:r w:rsidRPr="00360DE3">
              <w:rPr>
                <w:spacing w:val="0"/>
              </w:rPr>
              <w:t>I přes svou nezanedbatelnou váhu přispívají veřejné služby k růstu HPH v celé ekonomice spíše okrajově</w:t>
            </w:r>
          </w:p>
        </w:tc>
        <w:tc>
          <w:tcPr>
            <w:tcW w:w="277" w:type="dxa"/>
          </w:tcPr>
          <w:p w:rsidR="0060404F" w:rsidRPr="00360DE3" w:rsidRDefault="0060404F" w:rsidP="00DC37E3">
            <w:pPr>
              <w:pStyle w:val="Textpoznpodarou"/>
              <w:jc w:val="both"/>
            </w:pPr>
          </w:p>
        </w:tc>
        <w:tc>
          <w:tcPr>
            <w:tcW w:w="7391" w:type="dxa"/>
          </w:tcPr>
          <w:p w:rsidR="0060404F" w:rsidRPr="00360DE3" w:rsidRDefault="00DE4C19" w:rsidP="0060404F">
            <w:pPr>
              <w:spacing w:after="0"/>
            </w:pPr>
            <w:r>
              <w:t>HPH v odvětví veřejných služeb</w:t>
            </w:r>
            <w:r w:rsidR="0060404F" w:rsidRPr="00360DE3">
              <w:t xml:space="preserve"> </w:t>
            </w:r>
            <w:r w:rsidR="0060404F">
              <w:t xml:space="preserve">se </w:t>
            </w:r>
            <w:r w:rsidR="0060404F" w:rsidRPr="00360DE3">
              <w:t xml:space="preserve">navyšovala již šestým rokem v řadě, </w:t>
            </w:r>
            <w:r w:rsidR="0060404F">
              <w:t xml:space="preserve">růst však </w:t>
            </w:r>
            <w:r w:rsidR="0060404F" w:rsidRPr="00360DE3">
              <w:t xml:space="preserve">vyjma posledních dvou let </w:t>
            </w:r>
            <w:r w:rsidR="0060404F">
              <w:t xml:space="preserve">nepřekročil </w:t>
            </w:r>
            <w:r w:rsidR="0060404F" w:rsidRPr="00360DE3">
              <w:t>1 %. Za celé šestileté období činil průměrný roční příspěvek odvětví k růstu celé ekonomiky je</w:t>
            </w:r>
            <w:r w:rsidR="00274037">
              <w:t xml:space="preserve">n 0,1 p. </w:t>
            </w:r>
            <w:proofErr w:type="spellStart"/>
            <w:r w:rsidR="00274037">
              <w:t>b</w:t>
            </w:r>
            <w:proofErr w:type="spellEnd"/>
            <w:r w:rsidR="00274037">
              <w:t>. HPH v letech 2016 i</w:t>
            </w:r>
            <w:r w:rsidR="00274037" w:rsidRPr="00360DE3">
              <w:t> </w:t>
            </w:r>
            <w:r w:rsidR="0060404F" w:rsidRPr="00360DE3">
              <w:t>2017 ve všech dílčích odvětvích veřejných služeb posílila. K růstu celého odvětví loni z poloviny přispělo vzdělávání, ve dvou předešlých letech ho ale táhl nejvíce váhově dominantní oddíl veřejná správa, obrana a povinné sociální zabezpečení. Vzhledem k nižší materiálové i energetické náročnosti produkce</w:t>
            </w:r>
            <w:r w:rsidR="0060404F" w:rsidRPr="00360DE3">
              <w:rPr>
                <w:rStyle w:val="Znakapoznpodarou"/>
              </w:rPr>
              <w:footnoteReference w:id="130"/>
            </w:r>
            <w:r w:rsidR="0060404F" w:rsidRPr="00360DE3">
              <w:t xml:space="preserve"> i „neziskového“ charakteru</w:t>
            </w:r>
            <w:r w:rsidR="0060404F" w:rsidRPr="00360DE3">
              <w:rPr>
                <w:rStyle w:val="Znakapoznpodarou"/>
              </w:rPr>
              <w:footnoteReference w:id="131"/>
            </w:r>
            <w:r w:rsidR="0060404F" w:rsidRPr="00360DE3">
              <w:t xml:space="preserve"> většiny odvětví veřejných služeb je zde vývoj přidané hodnoty silněji provázaný s objemem výdajů na mzdy a platy.</w:t>
            </w:r>
          </w:p>
        </w:tc>
      </w:tr>
      <w:tr w:rsidR="00082A55" w:rsidRPr="00360DE3" w:rsidTr="00DC37E3">
        <w:trPr>
          <w:trHeight w:val="145"/>
        </w:trPr>
        <w:tc>
          <w:tcPr>
            <w:tcW w:w="1976" w:type="dxa"/>
          </w:tcPr>
          <w:p w:rsidR="00082A55" w:rsidRPr="00360DE3" w:rsidRDefault="00082A55" w:rsidP="00DC37E3">
            <w:pPr>
              <w:pStyle w:val="Marginlie"/>
              <w:rPr>
                <w:spacing w:val="0"/>
              </w:rPr>
            </w:pPr>
            <w:r w:rsidRPr="00360DE3">
              <w:rPr>
                <w:spacing w:val="0"/>
              </w:rPr>
              <w:lastRenderedPageBreak/>
              <w:t>Výdaje na mzdy a platy ve veřejných službách rostly již druhým rokem v řadě rychleji než v celé ekonomice.</w:t>
            </w: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r w:rsidRPr="00360DE3">
              <w:t>Tempo růstu výdajů na mzdy a platy (po zohlednění cenových vlivů) po roce 2012 zrychlovalo. Za loňský rok činilo již 7,4 % a druhým rokem převýšilo hodnotu v celé ekonomice. V úhrnu za celé období po roce 2010 však byl růst těchto výdajů s národním hospodářstvím srovnatelný</w:t>
            </w:r>
            <w:r w:rsidRPr="00360DE3">
              <w:rPr>
                <w:rStyle w:val="Znakapoznpodarou"/>
              </w:rPr>
              <w:footnoteReference w:id="132"/>
            </w:r>
            <w:r w:rsidRPr="00360DE3">
              <w:t>, neboť v období fiskální konsolidace (2011 a 2012) výdaje na mzdy a platy ve veřejných službách na rozdíl od ostatních částí ekonomiky klesaly. Růst počtu pracovníků veřejných služeb</w:t>
            </w:r>
            <w:r w:rsidRPr="00360DE3">
              <w:rPr>
                <w:rStyle w:val="Znakapoznpodarou"/>
              </w:rPr>
              <w:footnoteReference w:id="133"/>
            </w:r>
            <w:r w:rsidRPr="00360DE3">
              <w:t xml:space="preserve"> dosáhl po roce 2015 nejvyšších meziročních temp v historii v samostatné ČR. Přestože se zaměstnanost navyšovala plošně, mezi dílčími odvětvími loni vyčnívaly dosud relativně málo rozvinuté pobytové služby sociální péče (+6,3 %) i ambulantní nebo terénní sociální služby (+5,3 %). Růst zaměstnanosti výrazně zrychlil ve vzdělávání. </w:t>
            </w:r>
          </w:p>
        </w:tc>
      </w:tr>
      <w:tr w:rsidR="00082A55" w:rsidRPr="00360DE3" w:rsidTr="00DC37E3">
        <w:trPr>
          <w:trHeight w:val="170"/>
        </w:trPr>
        <w:tc>
          <w:tcPr>
            <w:tcW w:w="1976" w:type="dxa"/>
          </w:tcPr>
          <w:p w:rsidR="00082A55" w:rsidRPr="00360DE3" w:rsidRDefault="00082A55" w:rsidP="00DC37E3">
            <w:pPr>
              <w:pStyle w:val="Marginlie"/>
              <w:rPr>
                <w:spacing w:val="0"/>
              </w:rPr>
            </w:pPr>
            <w:r w:rsidRPr="00360DE3">
              <w:rPr>
                <w:spacing w:val="0"/>
              </w:rPr>
              <w:t>Hodinová produktivita práce ve veřejných službách klesala, její dosažená úroveň je ve srovnání s celou ekonomikou dlouhodobě nižší.</w:t>
            </w: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r w:rsidRPr="00360DE3">
              <w:t>Oživení zaměstnanosti při slabší dynamice HPH vyústilo v pokles hodinové produktivity práce. Ta byla vloni ve veřejných službách oproti roku 2010 p 5 % nižší (v celé ekonomice vzrostla o 11 %). Na této disproporci se nejvíce podílelo odvětví zdravotní péče. V roce 2017 dosahovala úroveň nominální hodinové produktivity práce ve veřejných službách 84 % výše národního hospodářství. Nad touto hladinou se udržovala jen v odvětví veřejné správy, obrany a sociálního zabezpečení.</w:t>
            </w:r>
          </w:p>
        </w:tc>
      </w:tr>
      <w:tr w:rsidR="00082A55" w:rsidRPr="00360DE3" w:rsidTr="00DC37E3">
        <w:trPr>
          <w:trHeight w:val="170"/>
        </w:trPr>
        <w:tc>
          <w:tcPr>
            <w:tcW w:w="1976" w:type="dxa"/>
          </w:tcPr>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pPr>
              <w:spacing w:after="0"/>
              <w:rPr>
                <w:bCs/>
              </w:rPr>
            </w:pPr>
            <w:r w:rsidRPr="00360DE3">
              <w:rPr>
                <w:b/>
              </w:rPr>
              <w:t xml:space="preserve">Graf 17.2  </w:t>
            </w:r>
            <w:r w:rsidRPr="00360DE3">
              <w:rPr>
                <w:b/>
                <w:bCs/>
              </w:rPr>
              <w:t xml:space="preserve">Investice* dle věcného členění </w:t>
            </w:r>
            <w:r w:rsidRPr="00360DE3">
              <w:rPr>
                <w:bCs/>
              </w:rPr>
              <w:t xml:space="preserve">(v mld. korun, běžné ceny) </w:t>
            </w:r>
            <w:r w:rsidRPr="00360DE3">
              <w:rPr>
                <w:b/>
                <w:bCs/>
              </w:rPr>
              <w:t xml:space="preserve">a celková výše investic* </w:t>
            </w:r>
            <w:r w:rsidRPr="00360DE3">
              <w:rPr>
                <w:bCs/>
              </w:rPr>
              <w:t xml:space="preserve">(stále ceny, rok 2010=100) </w:t>
            </w:r>
            <w:r w:rsidRPr="00360DE3">
              <w:rPr>
                <w:b/>
                <w:bCs/>
              </w:rPr>
              <w:t>v hlavních odvětvích veřejných služeb</w:t>
            </w:r>
          </w:p>
          <w:p w:rsidR="00082A55" w:rsidRPr="00360DE3" w:rsidRDefault="00082A55" w:rsidP="00DC37E3">
            <w:pPr>
              <w:spacing w:after="0"/>
              <w:rPr>
                <w:b/>
              </w:rPr>
            </w:pPr>
            <w:r w:rsidRPr="00360DE3">
              <w:rPr>
                <w:b/>
                <w:noProof/>
              </w:rPr>
              <w:drawing>
                <wp:inline distT="0" distB="0" distL="0" distR="0">
                  <wp:extent cx="4692650" cy="3600450"/>
                  <wp:effectExtent l="19050" t="0" r="0" b="0"/>
                  <wp:docPr id="10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082A55" w:rsidRPr="00360DE3" w:rsidTr="00DC37E3">
        <w:trPr>
          <w:trHeight w:val="170"/>
        </w:trPr>
        <w:tc>
          <w:tcPr>
            <w:tcW w:w="1976" w:type="dxa"/>
          </w:tcPr>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pPr>
              <w:pStyle w:val="Zhlav"/>
              <w:spacing w:before="40" w:line="240" w:lineRule="auto"/>
              <w:rPr>
                <w:rFonts w:cs="Arial"/>
                <w:sz w:val="14"/>
                <w:szCs w:val="14"/>
                <w:lang w:eastAsia="cs-CZ"/>
              </w:rPr>
            </w:pPr>
            <w:r w:rsidRPr="00360DE3">
              <w:rPr>
                <w:rFonts w:cs="Arial"/>
                <w:sz w:val="14"/>
                <w:szCs w:val="14"/>
                <w:lang w:eastAsia="cs-CZ"/>
              </w:rPr>
              <w:t xml:space="preserve">* Investicemi se rozumí </w:t>
            </w:r>
            <w:r w:rsidRPr="00360DE3">
              <w:rPr>
                <w:rFonts w:cs="Arial"/>
                <w:bCs/>
                <w:sz w:val="14"/>
                <w:szCs w:val="14"/>
              </w:rPr>
              <w:t>tvorba hrubého fixního kapitálu (THFK).</w:t>
            </w:r>
          </w:p>
          <w:p w:rsidR="00082A55" w:rsidRPr="00360DE3" w:rsidRDefault="00082A55" w:rsidP="00DC37E3">
            <w:pPr>
              <w:pStyle w:val="Zhlav"/>
              <w:spacing w:after="220" w:line="240" w:lineRule="auto"/>
              <w:rPr>
                <w:rFonts w:cs="Arial"/>
                <w:sz w:val="14"/>
                <w:szCs w:val="14"/>
                <w:lang w:eastAsia="cs-CZ"/>
              </w:rPr>
            </w:pPr>
            <w:r w:rsidRPr="00360DE3">
              <w:rPr>
                <w:rFonts w:cs="Arial"/>
                <w:sz w:val="14"/>
                <w:szCs w:val="14"/>
                <w:lang w:eastAsia="cs-CZ"/>
              </w:rPr>
              <w:t xml:space="preserve">Zdroj: ČSÚ (národní účty) </w:t>
            </w:r>
          </w:p>
        </w:tc>
      </w:tr>
      <w:tr w:rsidR="00082A55" w:rsidRPr="00360DE3" w:rsidTr="00DC37E3">
        <w:trPr>
          <w:trHeight w:val="170"/>
        </w:trPr>
        <w:tc>
          <w:tcPr>
            <w:tcW w:w="1976" w:type="dxa"/>
          </w:tcPr>
          <w:p w:rsidR="00082A55" w:rsidRPr="00360DE3" w:rsidRDefault="00082A55" w:rsidP="00DC37E3">
            <w:pPr>
              <w:pStyle w:val="Marginlie"/>
              <w:rPr>
                <w:spacing w:val="0"/>
              </w:rPr>
            </w:pPr>
            <w:r w:rsidRPr="00360DE3">
              <w:rPr>
                <w:spacing w:val="0"/>
              </w:rPr>
              <w:t xml:space="preserve">Výše průměrných výdělků se mezi dílčími odvětvími služeb výrazně odlišovala. </w:t>
            </w:r>
            <w:r w:rsidRPr="00360DE3">
              <w:rPr>
                <w:spacing w:val="0"/>
              </w:rPr>
              <w:lastRenderedPageBreak/>
              <w:t>Výrazně nepříznivé postavení sociálních služeb i péče či kultury nadále přetrvávalo.</w:t>
            </w: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r w:rsidRPr="00360DE3">
              <w:t>Objem mezd a platů v relaci na jednoho zaměstnance</w:t>
            </w:r>
            <w:r w:rsidRPr="00360DE3">
              <w:rPr>
                <w:vertAlign w:val="superscript"/>
              </w:rPr>
              <w:t>6</w:t>
            </w:r>
            <w:r w:rsidRPr="00360DE3">
              <w:t xml:space="preserve"> vzrostl ve veřejných službách během loňska o 6,7 %, podobným tempem jako v celé ekonomice. </w:t>
            </w:r>
            <w:r w:rsidRPr="00360DE3">
              <w:lastRenderedPageBreak/>
              <w:t>Růstová tempa se mezi dílčími odvětvími veřejných služeb zásadně nelišila, což však neplatilo o průměrné dosa</w:t>
            </w:r>
            <w:r w:rsidR="00DE4C19">
              <w:t>žené výši</w:t>
            </w:r>
            <w:r w:rsidRPr="00360DE3">
              <w:t xml:space="preserve"> výdělků. Ta </w:t>
            </w:r>
            <w:proofErr w:type="gramStart"/>
            <w:r w:rsidRPr="00360DE3">
              <w:t>se</w:t>
            </w:r>
            <w:proofErr w:type="gramEnd"/>
            <w:r w:rsidRPr="00360DE3">
              <w:t xml:space="preserve"> v tomto odvětví pohybovala </w:t>
            </w:r>
            <w:proofErr w:type="gramStart"/>
            <w:r w:rsidRPr="00360DE3">
              <w:t>desetinu</w:t>
            </w:r>
            <w:proofErr w:type="gramEnd"/>
            <w:r w:rsidRPr="00360DE3">
              <w:t xml:space="preserve"> nad úrovní národního hospodářství. Tuto hladinu ale dlouhodobě převyšuje jen ve veřejné správě, obraně a sociálním zabezpečení (loni o 31 %)</w:t>
            </w:r>
            <w:r w:rsidRPr="00360DE3">
              <w:rPr>
                <w:rStyle w:val="Znakapoznpodarou"/>
              </w:rPr>
              <w:footnoteReference w:id="134"/>
            </w:r>
            <w:r w:rsidRPr="00360DE3">
              <w:t xml:space="preserve"> a ve zdravotní péči (o 11 %). Naopak i přes dílčí zlepšení v roce 2017 setrvávaly průměrné výdělky v oblasti sociálních služeb i péče, podobně jako v oblasti kultury o pětinu až čtvrtinu pod úrovní celé ekonomiky. Těsně pod touto hladinou se nacházely (navzdory vysoké kvalifikační úrovni zaměstnanců)</w:t>
            </w:r>
            <w:r w:rsidRPr="00360DE3">
              <w:rPr>
                <w:rStyle w:val="Znakapoznpodarou"/>
              </w:rPr>
              <w:footnoteReference w:id="135"/>
            </w:r>
            <w:r w:rsidRPr="00360DE3">
              <w:t xml:space="preserve"> rovněž výdělky ve vzdělávání.</w:t>
            </w:r>
          </w:p>
        </w:tc>
      </w:tr>
      <w:tr w:rsidR="00082A55" w:rsidRPr="00360DE3" w:rsidTr="00DC37E3">
        <w:trPr>
          <w:trHeight w:val="170"/>
        </w:trPr>
        <w:tc>
          <w:tcPr>
            <w:tcW w:w="1976" w:type="dxa"/>
          </w:tcPr>
          <w:p w:rsidR="00082A55" w:rsidRPr="00360DE3" w:rsidRDefault="00082A55" w:rsidP="00DC37E3">
            <w:pPr>
              <w:pStyle w:val="Marginlie"/>
              <w:rPr>
                <w:spacing w:val="0"/>
              </w:rPr>
            </w:pPr>
            <w:r w:rsidRPr="00360DE3">
              <w:rPr>
                <w:spacing w:val="0"/>
              </w:rPr>
              <w:lastRenderedPageBreak/>
              <w:t>Míra investic ve veřejných službách za úrovní v celé ekonomice dlouhodobě zaostává. Výjimkou byl jen mimořádný rok 2015 ovlivněný silnými finančními toky z rozpočtu EU.</w:t>
            </w: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r w:rsidRPr="00360DE3">
              <w:t xml:space="preserve">Odvětví veřejných služeb plní funkci významného zaměstnavatele, nezanedbatelnou roli mají ale i v oblasti investic. Vloni vytvářely 11 % hrubého fixního kapitálu (THFK) v národním hospodářství, resp. více než šestinu v rámci celého terciárního sektoru. Míru investic (podíl THFK na HPH) ve veřejných službách ovlivňují vedle hospodářského cyklu i výrazné nepravidelnosti v čerpání prostředků z rozpočtu EU, což je dobře patrné na lokálních extrémech v letech 2013, 2015 i 2016. Relativní investiční aktivita ve veřejných službách za hodnotami v celé ekonomice (i zbývající části služeb) dlouhodobě zaostává (těsně se k nim přiblížila jen v mimořádném roce 2015). Po prudkém propadu v roce 2016, kdy zde míra investic sestoupila nejníže od měnové krize z konce 90. let, došlo loni k dílčímu oživení (nárůst o 2 p. </w:t>
            </w:r>
            <w:proofErr w:type="spellStart"/>
            <w:r w:rsidRPr="00360DE3">
              <w:t>b</w:t>
            </w:r>
            <w:proofErr w:type="spellEnd"/>
            <w:r w:rsidRPr="00360DE3">
              <w:t xml:space="preserve">. </w:t>
            </w:r>
            <w:proofErr w:type="gramStart"/>
            <w:r w:rsidRPr="00360DE3">
              <w:t>na</w:t>
            </w:r>
            <w:proofErr w:type="gramEnd"/>
            <w:r w:rsidRPr="00360DE3">
              <w:t xml:space="preserve"> 19 %).</w:t>
            </w:r>
          </w:p>
        </w:tc>
      </w:tr>
      <w:tr w:rsidR="00082A55" w:rsidRPr="00360DE3" w:rsidTr="00DC37E3">
        <w:trPr>
          <w:trHeight w:val="170"/>
        </w:trPr>
        <w:tc>
          <w:tcPr>
            <w:tcW w:w="1976" w:type="dxa"/>
          </w:tcPr>
          <w:p w:rsidR="00082A55" w:rsidRPr="00360DE3" w:rsidRDefault="00082A55" w:rsidP="00DC37E3">
            <w:pPr>
              <w:pStyle w:val="Marginlie"/>
              <w:rPr>
                <w:spacing w:val="0"/>
              </w:rPr>
            </w:pPr>
            <w:r w:rsidRPr="00360DE3">
              <w:rPr>
                <w:spacing w:val="0"/>
              </w:rPr>
              <w:t>Investiční náročnost i věcná skladba investic se v rámci veřejných služeb výrazně odlišují.</w:t>
            </w: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r w:rsidRPr="00360DE3">
              <w:rPr>
                <w:spacing w:val="0"/>
              </w:rPr>
              <w:t xml:space="preserve">Navzdory dílčímu oživení setrvala loňská výše investic (v nominálním i reálním vyjádření) ve všech odvětvích veřejných služeb pod úrovní roku 2015. </w:t>
            </w:r>
          </w:p>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pPr>
              <w:spacing w:after="230"/>
            </w:pPr>
            <w:r w:rsidRPr="00360DE3">
              <w:t>Z pohledu investiční náročnosti se dílčí odvětví veřejných služeb výrazně odlišují. Vyšší je tradičně ve veřejné správě, obraně a sociálním zabezpečení a také v malém odvětví činnosti knihoven, archivů, muzeí a jiných kulturních zařízení (v obou odvětvích činila loni míra investic shodn</w:t>
            </w:r>
            <w:r w:rsidR="00274037">
              <w:t>ě 29 %). Naopak ve vzdělávání i</w:t>
            </w:r>
            <w:r w:rsidR="00274037" w:rsidRPr="00360DE3">
              <w:t> </w:t>
            </w:r>
            <w:r w:rsidRPr="00360DE3">
              <w:t xml:space="preserve">celé oblasti zdravotnictví nedosahovalo ani poloviny úrovně národního hospodářství. Jednotlivé segmenty sevřených služeb jsou také dlouhodobě „specializované“ na různé oblasti investic. Ve váhově dominantním segmentu veřejné správy, obrany a sociálního zabezpečení tvořily loni budovy a stavby 73 % všech investic (THFK). Jednalo se z velké části i výstavbu či údržbu dopravní infrastruktury. Tato oblast byla také v roce 2016 nejvíce poznamenána pomalým náběhem čerpání evropských fondů na počátku nového programového období. Ve vzdělávání dlouhodobě převládají investice do duševního vlastnictví (zejména vědy a výzkumu). I v tomto odvětví došlo po roce 2015 investičnímu útlumu, týkal se však převážně váhově okrajových oblastí investic do budov, strojů a zařízení. Ty naopak mají typicky nejvýznamnější roli ve zdravotnictví. Celková výše investic – jak v nominálním, tak i reálném vyjádření – ve všech třech hlavních odvětvích veřejných služeb loni za úrovní z roku 2015 stále zaostávala. </w:t>
            </w:r>
          </w:p>
        </w:tc>
      </w:tr>
      <w:tr w:rsidR="00082A55" w:rsidRPr="00360DE3" w:rsidTr="00DC37E3">
        <w:trPr>
          <w:trHeight w:val="170"/>
        </w:trPr>
        <w:tc>
          <w:tcPr>
            <w:tcW w:w="1976" w:type="dxa"/>
          </w:tcPr>
          <w:p w:rsidR="00082A55" w:rsidRPr="00360DE3" w:rsidRDefault="00082A55" w:rsidP="00DC37E3">
            <w:pPr>
              <w:pStyle w:val="Marginlie"/>
              <w:rPr>
                <w:spacing w:val="0"/>
              </w:rPr>
            </w:pPr>
            <w:r w:rsidRPr="00360DE3">
              <w:rPr>
                <w:spacing w:val="0"/>
              </w:rPr>
              <w:t>I přes silný pokles v roce 2016 zůstává investiční aktivita veřejných služeb v Česku vyšší než v EU.</w:t>
            </w: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pPr>
              <w:spacing w:after="230"/>
            </w:pPr>
            <w:r w:rsidRPr="00360DE3">
              <w:t>Navzdory silnému propadu v roce 2016 zůstává míra investic ve veřejných službách</w:t>
            </w:r>
            <w:r w:rsidRPr="00360DE3">
              <w:rPr>
                <w:rStyle w:val="Znakapoznpodarou"/>
              </w:rPr>
              <w:footnoteReference w:id="136"/>
            </w:r>
            <w:r w:rsidRPr="00360DE3">
              <w:t xml:space="preserve">  stále nad úrovní EU (v tomto roce či</w:t>
            </w:r>
            <w:r w:rsidR="00274037">
              <w:t>nila v Česku 17 %, v celé EU 14</w:t>
            </w:r>
            <w:r w:rsidR="00274037" w:rsidRPr="00360DE3">
              <w:t> </w:t>
            </w:r>
            <w:r w:rsidRPr="00360DE3">
              <w:t xml:space="preserve">%). Česku tak v roce 2016 mezi unijními členy patřilo dvanácté místo, lépe si z našich sousedů vedlo jen Německo. Nejvyšší investiční aktivitou v Unii se dlouhodobě vyznačuje Rumunsko (2 až 2,5 vyšší než ČR). Relativně více než v Česku investují veřejné služby také v pobaltských státech, naopak nejnižší </w:t>
            </w:r>
            <w:r w:rsidRPr="00360DE3">
              <w:lastRenderedPageBreak/>
              <w:t>hodnoty mezi novějšími členy EU zaznamenává dlouhodobě Polsko. V drtivé většině států EU investiční aktivita ve veřejných službách za úrovní v ostatních částech ekonomiky tradičně zaostává. Opačně je tomu dlouho</w:t>
            </w:r>
            <w:r w:rsidR="00DE4C19">
              <w:t>době v Rumunsku, Litvě, Lotyšsku</w:t>
            </w:r>
            <w:r w:rsidRPr="00360DE3">
              <w:t>, Lucembursku a v posledních třech letech také v Řecku.</w:t>
            </w:r>
          </w:p>
        </w:tc>
      </w:tr>
      <w:tr w:rsidR="00082A55" w:rsidRPr="00360DE3" w:rsidTr="00DC37E3">
        <w:trPr>
          <w:trHeight w:val="170"/>
        </w:trPr>
        <w:tc>
          <w:tcPr>
            <w:tcW w:w="1976" w:type="dxa"/>
          </w:tcPr>
          <w:p w:rsidR="00082A55" w:rsidRPr="00360DE3" w:rsidRDefault="00082A55" w:rsidP="00DC37E3">
            <w:pPr>
              <w:pStyle w:val="Marginlie"/>
              <w:rPr>
                <w:spacing w:val="0"/>
              </w:rPr>
            </w:pPr>
            <w:r w:rsidRPr="00360DE3">
              <w:rPr>
                <w:spacing w:val="0"/>
              </w:rPr>
              <w:lastRenderedPageBreak/>
              <w:t>Odvětví veřejných služeb hrají významnou roli v ekonomikách severských států i většiny zemí Beneluxu.</w:t>
            </w: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60404F">
            <w:pPr>
              <w:spacing w:after="220"/>
            </w:pPr>
            <w:r w:rsidRPr="00360DE3">
              <w:t>Význam veřejných služeb v celé ekonomice lze dobře ilustrovat jejich podílem na zaměstnanosti a přidané hodnotě. V roce 2016 zřetelně převyšovala v obou těchto kritériích průměr celé EU šestice zemí – Švédsko, Dánsko, Finsko, Belgie, Nizozemsko a Francie. Silná role státu v těchto ekonomikách souvisí s robustními příjmy veřejných rozpočtů podpořenými i vyšším zdaněním práce. V opačné pozici byla většina států střední a východní Evropy</w:t>
            </w:r>
            <w:r w:rsidRPr="00360DE3">
              <w:rPr>
                <w:rStyle w:val="Znakapoznpodarou"/>
              </w:rPr>
              <w:footnoteReference w:id="137"/>
            </w:r>
            <w:r w:rsidRPr="00360DE3">
              <w:t xml:space="preserve"> a též Lucembursko a země z jižního křídla </w:t>
            </w:r>
            <w:proofErr w:type="spellStart"/>
            <w:r w:rsidRPr="00360DE3">
              <w:t>Eurozóny</w:t>
            </w:r>
            <w:proofErr w:type="spellEnd"/>
            <w:r w:rsidRPr="00360DE3">
              <w:t xml:space="preserve">. Zatímco v Rumunsku tvořila odvětví veřejných služeb méně než sedminu všech obsazených pracovních míst, ve Švédsku to bylo 2,5krát více. </w:t>
            </w:r>
          </w:p>
        </w:tc>
      </w:tr>
      <w:tr w:rsidR="00082A55" w:rsidRPr="00360DE3" w:rsidTr="00DC37E3">
        <w:trPr>
          <w:trHeight w:val="170"/>
        </w:trPr>
        <w:tc>
          <w:tcPr>
            <w:tcW w:w="1976" w:type="dxa"/>
          </w:tcPr>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pPr>
              <w:spacing w:after="0"/>
              <w:rPr>
                <w:b/>
              </w:rPr>
            </w:pPr>
            <w:r w:rsidRPr="00360DE3">
              <w:rPr>
                <w:b/>
              </w:rPr>
              <w:t xml:space="preserve">Graf </w:t>
            </w:r>
            <w:proofErr w:type="gramStart"/>
            <w:r w:rsidRPr="00360DE3">
              <w:rPr>
                <w:b/>
              </w:rPr>
              <w:t>17.3  Podíl</w:t>
            </w:r>
            <w:proofErr w:type="gramEnd"/>
            <w:r w:rsidRPr="00360DE3">
              <w:rPr>
                <w:b/>
              </w:rPr>
              <w:t xml:space="preserve"> veřejných služeb* na celkové zaměstnanosti (ve </w:t>
            </w:r>
            <w:proofErr w:type="spellStart"/>
            <w:r w:rsidRPr="00360DE3">
              <w:rPr>
                <w:b/>
              </w:rPr>
              <w:t>fyz</w:t>
            </w:r>
            <w:proofErr w:type="spellEnd"/>
            <w:r w:rsidRPr="00360DE3">
              <w:rPr>
                <w:b/>
              </w:rPr>
              <w:t>. osobách)</w:t>
            </w:r>
            <w:r w:rsidRPr="00360DE3">
              <w:t xml:space="preserve"> </w:t>
            </w:r>
            <w:r w:rsidRPr="00360DE3">
              <w:rPr>
                <w:b/>
              </w:rPr>
              <w:t>a hrubé přidané hodnotě</w:t>
            </w:r>
            <w:r w:rsidRPr="00360DE3">
              <w:t xml:space="preserve"> (vybrané evropské státy, v %)</w:t>
            </w:r>
          </w:p>
          <w:p w:rsidR="00082A55" w:rsidRPr="00360DE3" w:rsidRDefault="00082A55" w:rsidP="00DC37E3">
            <w:pPr>
              <w:spacing w:after="0"/>
            </w:pPr>
            <w:r w:rsidRPr="00360DE3">
              <w:rPr>
                <w:noProof/>
              </w:rPr>
              <w:drawing>
                <wp:inline distT="0" distB="0" distL="0" distR="0">
                  <wp:extent cx="4631564" cy="3678288"/>
                  <wp:effectExtent l="19050" t="0" r="0" b="0"/>
                  <wp:docPr id="10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082A55" w:rsidRPr="00360DE3" w:rsidTr="00DC37E3">
        <w:trPr>
          <w:trHeight w:val="170"/>
        </w:trPr>
        <w:tc>
          <w:tcPr>
            <w:tcW w:w="1976" w:type="dxa"/>
          </w:tcPr>
          <w:p w:rsidR="00082A55" w:rsidRPr="00360DE3" w:rsidRDefault="00082A55" w:rsidP="00DC37E3">
            <w:pPr>
              <w:pStyle w:val="Marginlie"/>
              <w:rPr>
                <w:spacing w:val="0"/>
              </w:rPr>
            </w:pPr>
          </w:p>
        </w:tc>
        <w:tc>
          <w:tcPr>
            <w:tcW w:w="277" w:type="dxa"/>
          </w:tcPr>
          <w:p w:rsidR="00082A55" w:rsidRPr="00360DE3" w:rsidRDefault="00082A55" w:rsidP="00DC37E3">
            <w:pPr>
              <w:pStyle w:val="Textpoznpodarou"/>
              <w:jc w:val="both"/>
            </w:pPr>
          </w:p>
        </w:tc>
        <w:tc>
          <w:tcPr>
            <w:tcW w:w="7391" w:type="dxa"/>
          </w:tcPr>
          <w:p w:rsidR="00082A55" w:rsidRPr="00360DE3" w:rsidRDefault="00082A55" w:rsidP="00DC37E3">
            <w:pPr>
              <w:spacing w:after="0" w:line="240" w:lineRule="auto"/>
              <w:rPr>
                <w:sz w:val="14"/>
                <w:szCs w:val="14"/>
              </w:rPr>
            </w:pPr>
            <w:r w:rsidRPr="00360DE3">
              <w:rPr>
                <w:sz w:val="14"/>
                <w:szCs w:val="14"/>
              </w:rPr>
              <w:t xml:space="preserve">*Pro účely mezinárodního srovnání zahrnuje odvětví: O - Veřejná správa a obrana, povinné sociální zabezpečení, </w:t>
            </w:r>
          </w:p>
          <w:p w:rsidR="00082A55" w:rsidRPr="00360DE3" w:rsidRDefault="00082A55" w:rsidP="00DC37E3">
            <w:pPr>
              <w:spacing w:after="0" w:line="240" w:lineRule="auto"/>
              <w:rPr>
                <w:sz w:val="14"/>
                <w:szCs w:val="14"/>
              </w:rPr>
            </w:pPr>
            <w:r w:rsidRPr="00360DE3">
              <w:rPr>
                <w:sz w:val="14"/>
                <w:szCs w:val="14"/>
              </w:rPr>
              <w:t>P – Vzdělávání, Q 86 – Zdravotní péče, Q 87 až 89 – Pobytové služby sociální péče, Ambulantní nebo terénní sociální služby. R90 až 92 – Tvůrčí, umělecké a zábavní činnosti, činnosti knihoven, archivů, muzeí a jiných kulturních zařízení, činnosti heren, kasin a sázkových kanceláří.</w:t>
            </w:r>
          </w:p>
          <w:p w:rsidR="003B4331" w:rsidRDefault="00082A55" w:rsidP="003B4331">
            <w:pPr>
              <w:spacing w:after="0" w:line="240" w:lineRule="auto"/>
              <w:rPr>
                <w:sz w:val="14"/>
                <w:szCs w:val="14"/>
              </w:rPr>
            </w:pPr>
            <w:r w:rsidRPr="00360DE3">
              <w:rPr>
                <w:sz w:val="14"/>
                <w:szCs w:val="14"/>
              </w:rPr>
              <w:t>Pozn.: Za Norsko odpovídají nejaktuálnější údaje stavu z roku 2015. Za Švýcarsko a Maltu není v údajích o HPH zahrnuto odvětví R90 až 92. U Lichtenštejnska nebyly údaje o HPH dostupné.</w:t>
            </w:r>
          </w:p>
          <w:p w:rsidR="00082A55" w:rsidRPr="00360DE3" w:rsidRDefault="00082A55" w:rsidP="00DC37E3">
            <w:pPr>
              <w:spacing w:after="200" w:line="240" w:lineRule="auto"/>
              <w:rPr>
                <w:sz w:val="14"/>
                <w:szCs w:val="14"/>
              </w:rPr>
            </w:pPr>
            <w:r w:rsidRPr="00360DE3">
              <w:rPr>
                <w:sz w:val="14"/>
                <w:szCs w:val="14"/>
              </w:rPr>
              <w:t xml:space="preserve">Zdroj: </w:t>
            </w:r>
            <w:proofErr w:type="spellStart"/>
            <w:r w:rsidRPr="00360DE3">
              <w:rPr>
                <w:sz w:val="14"/>
                <w:szCs w:val="14"/>
              </w:rPr>
              <w:t>Eurostat</w:t>
            </w:r>
            <w:proofErr w:type="spellEnd"/>
          </w:p>
        </w:tc>
      </w:tr>
      <w:tr w:rsidR="0060404F" w:rsidRPr="00360DE3" w:rsidTr="00DC37E3">
        <w:trPr>
          <w:trHeight w:val="170"/>
        </w:trPr>
        <w:tc>
          <w:tcPr>
            <w:tcW w:w="1976" w:type="dxa"/>
          </w:tcPr>
          <w:p w:rsidR="0060404F" w:rsidRPr="00360DE3" w:rsidRDefault="0060404F" w:rsidP="00F162B3">
            <w:pPr>
              <w:pStyle w:val="Marginlie"/>
              <w:rPr>
                <w:spacing w:val="0"/>
              </w:rPr>
            </w:pPr>
            <w:r w:rsidRPr="00360DE3">
              <w:rPr>
                <w:spacing w:val="0"/>
              </w:rPr>
              <w:t>Výrazné rozdíly v podílu zdravotní a hlavně sociální péče a služeb mezi státy EU souvisí s jejich ekonomickou vyspělostí i demografickým stárnutím.</w:t>
            </w:r>
          </w:p>
          <w:p w:rsidR="0060404F" w:rsidRPr="00360DE3" w:rsidRDefault="0060404F" w:rsidP="00F162B3">
            <w:pPr>
              <w:pStyle w:val="Marginlie"/>
              <w:rPr>
                <w:spacing w:val="0"/>
              </w:rPr>
            </w:pPr>
          </w:p>
          <w:p w:rsidR="0060404F" w:rsidRPr="00360DE3" w:rsidRDefault="0060404F" w:rsidP="00F162B3">
            <w:pPr>
              <w:pStyle w:val="Marginlie"/>
              <w:rPr>
                <w:spacing w:val="0"/>
              </w:rPr>
            </w:pPr>
          </w:p>
          <w:p w:rsidR="0060404F" w:rsidRPr="00360DE3" w:rsidRDefault="0060404F" w:rsidP="00F162B3">
            <w:pPr>
              <w:pStyle w:val="Marginlie"/>
              <w:rPr>
                <w:spacing w:val="0"/>
              </w:rPr>
            </w:pPr>
            <w:r w:rsidRPr="00360DE3">
              <w:rPr>
                <w:spacing w:val="0"/>
              </w:rPr>
              <w:lastRenderedPageBreak/>
              <w:t>Zaměstnanost ve veřejných službách zůstává v Česku podprůměrná, a to i ve srovnání se státy střední a východní Evropy.</w:t>
            </w:r>
          </w:p>
        </w:tc>
        <w:tc>
          <w:tcPr>
            <w:tcW w:w="277" w:type="dxa"/>
          </w:tcPr>
          <w:p w:rsidR="0060404F" w:rsidRPr="00360DE3" w:rsidRDefault="0060404F" w:rsidP="00F162B3">
            <w:pPr>
              <w:pStyle w:val="Textpoznpodarou"/>
              <w:jc w:val="both"/>
            </w:pPr>
          </w:p>
        </w:tc>
        <w:tc>
          <w:tcPr>
            <w:tcW w:w="7391" w:type="dxa"/>
          </w:tcPr>
          <w:p w:rsidR="0060404F" w:rsidRPr="00360DE3" w:rsidRDefault="0060404F" w:rsidP="00F162B3">
            <w:pPr>
              <w:spacing w:after="220"/>
            </w:pPr>
            <w:r w:rsidRPr="00360DE3">
              <w:t>V pozadí obrovských rozdílů mezi státy stojí především odvětví zdravotní a sociální péče, jenž v ekonomicky nejvyspělejších státech EU obvykle tvoří převažující část zaměstnanosti ve veřejných službách. To souvisí nejen s celkovou ekono</w:t>
            </w:r>
            <w:r w:rsidR="00DE4C19">
              <w:t xml:space="preserve">mickou vyspělostí států, ale i s </w:t>
            </w:r>
            <w:r w:rsidRPr="00360DE3">
              <w:t xml:space="preserve">úrovní a dynamikou demografického stárnutí. I ve vzdělávání vévodí z pohledu zaměstnanosti Evropě většina severských států či Velká Británie, silné postavení má rovněž Pobaltí. Naopak relativní velikost </w:t>
            </w:r>
            <w:r w:rsidRPr="00360DE3">
              <w:lastRenderedPageBreak/>
              <w:t>odvětví veřejné správy, obrany a sociálního zabezpečení s celkovou ekonomickou vyspělostí nesouvisí. Roli hraje složitost organizace veřejné správy (např. územně-správní uspořádání), ale i různá velikost silových složek státu (armáda, policie). Ve všech pěti dílčích odvětvích veřejných služeb byl v roce 2016 jejich podíl na celkové zaměstnanosti v ČR nižší než v EU a vyjma zdravotní péče i slabší než v zemích, jež vstoupily do EU po roce 2000.</w:t>
            </w:r>
          </w:p>
        </w:tc>
      </w:tr>
      <w:tr w:rsidR="0060404F" w:rsidRPr="00360DE3" w:rsidTr="00DC37E3">
        <w:trPr>
          <w:trHeight w:val="170"/>
        </w:trPr>
        <w:tc>
          <w:tcPr>
            <w:tcW w:w="1976" w:type="dxa"/>
          </w:tcPr>
          <w:p w:rsidR="0060404F" w:rsidRPr="00360DE3" w:rsidRDefault="0060404F" w:rsidP="00DC37E3">
            <w:pPr>
              <w:pStyle w:val="Marginlie"/>
              <w:rPr>
                <w:spacing w:val="0"/>
              </w:rPr>
            </w:pPr>
            <w:r w:rsidRPr="00360DE3">
              <w:rPr>
                <w:spacing w:val="0"/>
              </w:rPr>
              <w:lastRenderedPageBreak/>
              <w:t xml:space="preserve">Význam odvětví veřejných služeb za posledních deset let ve výrazné většině evropských států vzrostl. </w:t>
            </w: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r w:rsidRPr="00360DE3">
              <w:t xml:space="preserve">Produktivita práce ve veřejných službách byla v rámci všech sledovaných států pod úrovní ostatních odvětví ekonomiky, byť v Řecku, Kypru a Rumunsku šlo o minimální rozdíl. Mezi roky 2006 a 2016 klesl podíl veřejných služeb na národním HPH jen v šesti státech EU (významněji jen v Irsku a Portugalsku). V ČR podobně jako v Maďarsku stagnoval, nejvíce vzrostl v Estonsku (o </w:t>
            </w:r>
            <w:proofErr w:type="gramStart"/>
            <w:r w:rsidRPr="00360DE3">
              <w:t>3,4 p .</w:t>
            </w:r>
            <w:proofErr w:type="spellStart"/>
            <w:r w:rsidRPr="00360DE3">
              <w:t>b</w:t>
            </w:r>
            <w:proofErr w:type="spellEnd"/>
            <w:r w:rsidRPr="00360DE3">
              <w:t>.) a Španělsku</w:t>
            </w:r>
            <w:proofErr w:type="gramEnd"/>
            <w:r w:rsidRPr="00360DE3">
              <w:t xml:space="preserve"> (2,5 p. b).</w:t>
            </w:r>
          </w:p>
        </w:tc>
      </w:tr>
      <w:tr w:rsidR="0060404F" w:rsidRPr="00360DE3" w:rsidTr="00DC37E3">
        <w:trPr>
          <w:trHeight w:val="170"/>
        </w:trPr>
        <w:tc>
          <w:tcPr>
            <w:tcW w:w="1976" w:type="dxa"/>
          </w:tcPr>
          <w:p w:rsidR="0060404F" w:rsidRPr="00360DE3" w:rsidRDefault="0060404F" w:rsidP="00DC37E3">
            <w:pPr>
              <w:pStyle w:val="Marginlie"/>
              <w:rPr>
                <w:spacing w:val="0"/>
              </w:rPr>
            </w:pP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pPr>
              <w:spacing w:after="0"/>
            </w:pPr>
            <w:r w:rsidRPr="00360DE3">
              <w:rPr>
                <w:b/>
              </w:rPr>
              <w:t xml:space="preserve">Graf </w:t>
            </w:r>
            <w:proofErr w:type="gramStart"/>
            <w:r w:rsidRPr="00360DE3">
              <w:rPr>
                <w:b/>
              </w:rPr>
              <w:t>17.4</w:t>
            </w:r>
            <w:r w:rsidRPr="00360DE3">
              <w:t xml:space="preserve">  </w:t>
            </w:r>
            <w:r w:rsidRPr="00360DE3">
              <w:rPr>
                <w:b/>
              </w:rPr>
              <w:t>Výdaje</w:t>
            </w:r>
            <w:proofErr w:type="gramEnd"/>
            <w:r w:rsidRPr="00360DE3">
              <w:rPr>
                <w:b/>
              </w:rPr>
              <w:t xml:space="preserve"> na zdravotnictví v ČR podle druhu péče</w:t>
            </w:r>
            <w:r w:rsidRPr="00360DE3">
              <w:t xml:space="preserve"> (v mld. korun, </w:t>
            </w:r>
            <w:proofErr w:type="spellStart"/>
            <w:r w:rsidRPr="00360DE3">
              <w:t>b.c</w:t>
            </w:r>
            <w:proofErr w:type="spellEnd"/>
            <w:r w:rsidRPr="00360DE3">
              <w:t>.)</w:t>
            </w:r>
          </w:p>
          <w:p w:rsidR="0060404F" w:rsidRPr="00360DE3" w:rsidRDefault="0060404F" w:rsidP="00DC37E3">
            <w:pPr>
              <w:spacing w:after="0"/>
            </w:pPr>
            <w:r w:rsidRPr="00360DE3">
              <w:rPr>
                <w:noProof/>
              </w:rPr>
              <w:drawing>
                <wp:inline distT="0" distB="0" distL="0" distR="0">
                  <wp:extent cx="4690753" cy="3669476"/>
                  <wp:effectExtent l="0" t="0" r="0" b="0"/>
                  <wp:docPr id="6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60404F" w:rsidRPr="00360DE3" w:rsidTr="00DC37E3">
        <w:trPr>
          <w:trHeight w:val="170"/>
        </w:trPr>
        <w:tc>
          <w:tcPr>
            <w:tcW w:w="1976" w:type="dxa"/>
          </w:tcPr>
          <w:p w:rsidR="0060404F" w:rsidRPr="00360DE3" w:rsidRDefault="0060404F" w:rsidP="00DC37E3">
            <w:pPr>
              <w:pStyle w:val="Marginlie"/>
              <w:rPr>
                <w:spacing w:val="0"/>
              </w:rPr>
            </w:pP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pPr>
              <w:spacing w:after="220"/>
              <w:rPr>
                <w:sz w:val="16"/>
                <w:szCs w:val="16"/>
              </w:rPr>
            </w:pPr>
            <w:r w:rsidRPr="00360DE3">
              <w:rPr>
                <w:sz w:val="16"/>
                <w:szCs w:val="16"/>
              </w:rPr>
              <w:t>*Zahrnují laboratorní služby, zobrazovací metody a dopravu pacientů.                                    Zdroj: ČSÚ</w:t>
            </w:r>
          </w:p>
        </w:tc>
      </w:tr>
      <w:tr w:rsidR="0060404F" w:rsidRPr="00360DE3" w:rsidTr="00DC37E3">
        <w:trPr>
          <w:trHeight w:val="170"/>
        </w:trPr>
        <w:tc>
          <w:tcPr>
            <w:tcW w:w="1976" w:type="dxa"/>
          </w:tcPr>
          <w:p w:rsidR="0060404F" w:rsidRPr="00360DE3" w:rsidRDefault="0060404F" w:rsidP="00DC37E3">
            <w:pPr>
              <w:pStyle w:val="Marginlie"/>
              <w:rPr>
                <w:spacing w:val="0"/>
              </w:rPr>
            </w:pPr>
            <w:r w:rsidRPr="00360DE3">
              <w:rPr>
                <w:spacing w:val="0"/>
              </w:rPr>
              <w:t>Tempo růstu celkových výdajů na zdravotní péči v roce 2016 zrychlilo. Na růstu se podílely všechny hlavní zdroje financování.</w:t>
            </w: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r w:rsidRPr="00360DE3">
              <w:rPr>
                <w:szCs w:val="20"/>
              </w:rPr>
              <w:t>Z mezinárodního srovnání plyne, že zdravotní péče, vč. navazující sociální péče a</w:t>
            </w:r>
            <w:r w:rsidRPr="00360DE3">
              <w:t> </w:t>
            </w:r>
            <w:r w:rsidRPr="00360DE3">
              <w:rPr>
                <w:szCs w:val="20"/>
              </w:rPr>
              <w:t xml:space="preserve">služeb představují v rámci veřejných služeb v Česku odvětví s největší růstovým potenciálem. </w:t>
            </w:r>
            <w:r w:rsidRPr="00360DE3">
              <w:t>Celkové výdaje na zdravotní péči dosáhly v roce 2016 v ČR 362 mld. korun</w:t>
            </w:r>
            <w:r w:rsidRPr="00360DE3">
              <w:rPr>
                <w:rStyle w:val="Znakapoznpodarou"/>
              </w:rPr>
              <w:footnoteReference w:id="138"/>
            </w:r>
            <w:r w:rsidRPr="00360DE3">
              <w:t xml:space="preserve"> a meziročně posílily o 2,7 % (nejvyšším tempem ve srovnatelné řadě od roku 2010). Na růstu se podílely všechny hlavní zdroje financování, nejvíce váhově dominantní výdaje ze státního rozpočtu, které meziročně posílily o 3,3 mld. korun. </w:t>
            </w:r>
          </w:p>
        </w:tc>
      </w:tr>
      <w:tr w:rsidR="0060404F" w:rsidRPr="00360DE3" w:rsidTr="00DC37E3">
        <w:trPr>
          <w:trHeight w:val="170"/>
        </w:trPr>
        <w:tc>
          <w:tcPr>
            <w:tcW w:w="1976" w:type="dxa"/>
          </w:tcPr>
          <w:p w:rsidR="003B4331" w:rsidRDefault="003B4331" w:rsidP="00DC37E3">
            <w:pPr>
              <w:pStyle w:val="Marginlie"/>
              <w:rPr>
                <w:spacing w:val="0"/>
              </w:rPr>
            </w:pPr>
          </w:p>
          <w:p w:rsidR="003B4331" w:rsidRDefault="003B4331" w:rsidP="00DC37E3">
            <w:pPr>
              <w:pStyle w:val="Marginlie"/>
              <w:rPr>
                <w:spacing w:val="0"/>
              </w:rPr>
            </w:pPr>
          </w:p>
          <w:p w:rsidR="003B4331" w:rsidRDefault="003B4331" w:rsidP="00DC37E3">
            <w:pPr>
              <w:pStyle w:val="Marginlie"/>
              <w:rPr>
                <w:spacing w:val="0"/>
              </w:rPr>
            </w:pPr>
          </w:p>
          <w:p w:rsidR="0060404F" w:rsidRPr="00360DE3" w:rsidRDefault="0060404F" w:rsidP="00DC37E3">
            <w:pPr>
              <w:pStyle w:val="Marginlie"/>
              <w:rPr>
                <w:spacing w:val="0"/>
              </w:rPr>
            </w:pPr>
            <w:r w:rsidRPr="00360DE3">
              <w:rPr>
                <w:spacing w:val="0"/>
              </w:rPr>
              <w:lastRenderedPageBreak/>
              <w:t>Nejrychleji se v posledních letech zvyšují výdaje na dlouhodobou péči pro chronicky nemocné.</w:t>
            </w: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r w:rsidRPr="00360DE3">
              <w:rPr>
                <w:spacing w:val="0"/>
              </w:rPr>
              <w:t>Sedmina všech výdajů na zdravotní péči šla přímo z kapes domácností. Míra jejich spoluúčastí mírně rostla již třetím rokem v řadě.</w:t>
            </w: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pPr>
              <w:rPr>
                <w:szCs w:val="20"/>
              </w:rPr>
            </w:pPr>
            <w:r w:rsidRPr="00360DE3">
              <w:t>Z hlediska druhu táhla celkové výdaje hlavně dlouhodobá péče</w:t>
            </w:r>
            <w:r w:rsidRPr="00360DE3">
              <w:rPr>
                <w:rStyle w:val="Znakapoznpodarou"/>
              </w:rPr>
              <w:footnoteReference w:id="139"/>
            </w:r>
            <w:r w:rsidRPr="00360DE3">
              <w:t xml:space="preserve">, jež v roce 2016 tvořila již 18,1 % všech nákladů na zdravotní péči. Podobného podílu dosáhla </w:t>
            </w:r>
            <w:r w:rsidRPr="00360DE3">
              <w:lastRenderedPageBreak/>
              <w:t>i ambulantní léčebná péče. Naopak u v minulosti dominantní lůžkové léčebné péče pokračovala redukce a objem výdajů se přiblížil 50 mld. korun</w:t>
            </w:r>
            <w:r w:rsidRPr="00360DE3">
              <w:rPr>
                <w:rStyle w:val="Znakapoznpodarou"/>
              </w:rPr>
              <w:footnoteReference w:id="140"/>
            </w:r>
            <w:r w:rsidRPr="00360DE3">
              <w:t>. Přestože stomatologická péče tvoří v posledních letech stabilně jen 5 % výdajů na zdravotní péči, zaujímá zvláštní postavení, neboť od roku 2015 hradí většinu nákladů na tuto péči přímo domácnosti (v roce 2016 činil podíl nákladů domácností již 53 %). Domácnosti hradily také necelou čtvrtinu celkových nákladů rehabilitační péče (především lázeňská péče) i výdajů na léky na předpis. Více než ze tří pětin si pak přispívaly na terapeutické pomůcky (z toho u dioptrických brýlí a jiných výrobků oční optiky přesáhla spoluúčast 90 %). Celkově se domácnosti na financování veškeré zdravotní péče v roce 2016 podílely 14,2 %, spoluúčast po roce 2013 mírně rostla. Téměř polovina všech výdajů domácností na zdravotní péči (51 mld. korun v roce 2016) směřovala na léky i zdravotnický materiál, pětina na stomatologickou péči, sedmina na ostatní ambulantní péči, osmina na terapeutické pomůcky. Dle statistky rodinných účtů se výdaje na zdraví na celkových spotřebních vydáních domácností v roce 2016 podílely 2,6 %.</w:t>
            </w:r>
          </w:p>
        </w:tc>
      </w:tr>
      <w:tr w:rsidR="0060404F" w:rsidRPr="00360DE3" w:rsidTr="00DC37E3">
        <w:trPr>
          <w:trHeight w:val="170"/>
        </w:trPr>
        <w:tc>
          <w:tcPr>
            <w:tcW w:w="1976" w:type="dxa"/>
          </w:tcPr>
          <w:p w:rsidR="0060404F" w:rsidRPr="00360DE3" w:rsidRDefault="0060404F" w:rsidP="00DC37E3">
            <w:pPr>
              <w:pStyle w:val="Marginlie"/>
              <w:rPr>
                <w:spacing w:val="0"/>
              </w:rPr>
            </w:pP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pPr>
              <w:spacing w:after="0"/>
              <w:rPr>
                <w:szCs w:val="20"/>
              </w:rPr>
            </w:pPr>
            <w:r w:rsidRPr="00360DE3">
              <w:rPr>
                <w:b/>
                <w:szCs w:val="20"/>
              </w:rPr>
              <w:t xml:space="preserve">Graf </w:t>
            </w:r>
            <w:proofErr w:type="gramStart"/>
            <w:r w:rsidRPr="00360DE3">
              <w:rPr>
                <w:b/>
                <w:szCs w:val="20"/>
              </w:rPr>
              <w:t>17.5</w:t>
            </w:r>
            <w:r w:rsidRPr="00360DE3">
              <w:rPr>
                <w:szCs w:val="20"/>
              </w:rPr>
              <w:t xml:space="preserve">  </w:t>
            </w:r>
            <w:r w:rsidRPr="00360DE3">
              <w:rPr>
                <w:b/>
                <w:szCs w:val="20"/>
              </w:rPr>
              <w:t>Dočasná</w:t>
            </w:r>
            <w:proofErr w:type="gramEnd"/>
            <w:r w:rsidRPr="00360DE3">
              <w:rPr>
                <w:b/>
                <w:szCs w:val="20"/>
              </w:rPr>
              <w:t xml:space="preserve"> pracovní neschopnost*</w:t>
            </w:r>
            <w:r w:rsidRPr="00360DE3">
              <w:rPr>
                <w:szCs w:val="20"/>
              </w:rPr>
              <w:t xml:space="preserve"> (v %), </w:t>
            </w:r>
            <w:r w:rsidRPr="00360DE3">
              <w:rPr>
                <w:b/>
                <w:szCs w:val="20"/>
              </w:rPr>
              <w:t xml:space="preserve">její doba </w:t>
            </w:r>
            <w:r w:rsidR="00DE4C19">
              <w:rPr>
                <w:b/>
                <w:szCs w:val="20"/>
              </w:rPr>
              <w:t xml:space="preserve">průměrná </w:t>
            </w:r>
            <w:r w:rsidRPr="00360DE3">
              <w:rPr>
                <w:b/>
                <w:szCs w:val="20"/>
              </w:rPr>
              <w:t>trvání</w:t>
            </w:r>
            <w:r w:rsidRPr="00360DE3">
              <w:rPr>
                <w:szCs w:val="20"/>
              </w:rPr>
              <w:t xml:space="preserve"> (ve dnech) </w:t>
            </w:r>
            <w:r w:rsidRPr="00360DE3">
              <w:rPr>
                <w:b/>
                <w:szCs w:val="20"/>
              </w:rPr>
              <w:t>a</w:t>
            </w:r>
            <w:r w:rsidRPr="00360DE3">
              <w:rPr>
                <w:szCs w:val="20"/>
              </w:rPr>
              <w:t xml:space="preserve"> </w:t>
            </w:r>
            <w:r w:rsidRPr="00360DE3">
              <w:rPr>
                <w:b/>
                <w:szCs w:val="20"/>
              </w:rPr>
              <w:t>vyplacené dávky nemocenského pojištění ze státního rozpočtu ČR</w:t>
            </w:r>
            <w:r w:rsidRPr="00360DE3">
              <w:rPr>
                <w:szCs w:val="20"/>
              </w:rPr>
              <w:t xml:space="preserve"> (mld. korun)</w:t>
            </w:r>
          </w:p>
          <w:p w:rsidR="0060404F" w:rsidRPr="00360DE3" w:rsidRDefault="0060404F" w:rsidP="00DC37E3">
            <w:pPr>
              <w:spacing w:after="0"/>
              <w:rPr>
                <w:szCs w:val="20"/>
              </w:rPr>
            </w:pPr>
            <w:r w:rsidRPr="00360DE3">
              <w:rPr>
                <w:noProof/>
                <w:szCs w:val="20"/>
              </w:rPr>
              <w:drawing>
                <wp:inline distT="0" distB="0" distL="0" distR="0">
                  <wp:extent cx="4722001" cy="3690544"/>
                  <wp:effectExtent l="19050" t="0" r="2399" b="0"/>
                  <wp:docPr id="6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60404F" w:rsidRPr="00360DE3" w:rsidTr="00DC37E3">
        <w:trPr>
          <w:trHeight w:val="170"/>
        </w:trPr>
        <w:tc>
          <w:tcPr>
            <w:tcW w:w="1976" w:type="dxa"/>
          </w:tcPr>
          <w:p w:rsidR="0060404F" w:rsidRPr="00360DE3" w:rsidRDefault="0060404F" w:rsidP="00DC37E3">
            <w:pPr>
              <w:pStyle w:val="Marginlie"/>
              <w:rPr>
                <w:spacing w:val="0"/>
              </w:rPr>
            </w:pP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pPr>
              <w:spacing w:after="0" w:line="240" w:lineRule="auto"/>
              <w:rPr>
                <w:rFonts w:cs="Arial"/>
                <w:sz w:val="16"/>
                <w:szCs w:val="16"/>
              </w:rPr>
            </w:pPr>
            <w:r w:rsidRPr="00360DE3">
              <w:rPr>
                <w:rFonts w:cs="Arial"/>
                <w:sz w:val="16"/>
                <w:szCs w:val="16"/>
              </w:rPr>
              <w:t>*Udává, kolik ze 100 pojištěnců je průměrně každý den v pracovní neschopnosti pro nemoc či úraz.</w:t>
            </w:r>
          </w:p>
          <w:p w:rsidR="0060404F" w:rsidRPr="00360DE3" w:rsidRDefault="0060404F" w:rsidP="00DC37E3">
            <w:pPr>
              <w:spacing w:after="200"/>
              <w:rPr>
                <w:rFonts w:cs="Arial"/>
                <w:sz w:val="16"/>
                <w:szCs w:val="16"/>
              </w:rPr>
            </w:pPr>
            <w:r w:rsidRPr="00360DE3">
              <w:rPr>
                <w:rFonts w:cs="Arial"/>
                <w:sz w:val="16"/>
                <w:szCs w:val="16"/>
              </w:rPr>
              <w:t>Zdroj: ČSÚ, ČSSZ, MF ČR</w:t>
            </w:r>
          </w:p>
        </w:tc>
      </w:tr>
      <w:tr w:rsidR="0060404F" w:rsidRPr="00360DE3" w:rsidTr="00DC37E3">
        <w:trPr>
          <w:trHeight w:val="170"/>
        </w:trPr>
        <w:tc>
          <w:tcPr>
            <w:tcW w:w="1976" w:type="dxa"/>
          </w:tcPr>
          <w:p w:rsidR="0060404F" w:rsidRPr="00360DE3" w:rsidRDefault="0060404F" w:rsidP="00F162B3">
            <w:pPr>
              <w:pStyle w:val="Marginlie"/>
              <w:rPr>
                <w:spacing w:val="0"/>
              </w:rPr>
            </w:pPr>
            <w:r w:rsidRPr="00360DE3">
              <w:rPr>
                <w:spacing w:val="0"/>
              </w:rPr>
              <w:t xml:space="preserve">Podíl běžných výdajů na zdravotní péči vztažený k HDP řadil Česko v EU až na konec druhé desítky. </w:t>
            </w:r>
          </w:p>
          <w:p w:rsidR="0060404F" w:rsidRPr="00360DE3" w:rsidRDefault="0060404F" w:rsidP="00F162B3">
            <w:pPr>
              <w:pStyle w:val="Marginlie"/>
              <w:rPr>
                <w:spacing w:val="0"/>
              </w:rPr>
            </w:pPr>
          </w:p>
          <w:p w:rsidR="0060404F" w:rsidRPr="00360DE3" w:rsidRDefault="0060404F" w:rsidP="00F162B3">
            <w:pPr>
              <w:pStyle w:val="Marginlie"/>
              <w:rPr>
                <w:spacing w:val="0"/>
              </w:rPr>
            </w:pPr>
          </w:p>
          <w:p w:rsidR="0060404F" w:rsidRPr="00360DE3" w:rsidRDefault="0060404F" w:rsidP="00F162B3">
            <w:pPr>
              <w:pStyle w:val="Marginlie"/>
              <w:rPr>
                <w:spacing w:val="0"/>
              </w:rPr>
            </w:pPr>
          </w:p>
          <w:p w:rsidR="0060404F" w:rsidRPr="00360DE3" w:rsidRDefault="0060404F" w:rsidP="00F162B3">
            <w:pPr>
              <w:pStyle w:val="Marginlie"/>
              <w:rPr>
                <w:spacing w:val="0"/>
              </w:rPr>
            </w:pPr>
            <w:r w:rsidRPr="00360DE3">
              <w:rPr>
                <w:spacing w:val="0"/>
              </w:rPr>
              <w:lastRenderedPageBreak/>
              <w:t xml:space="preserve">ČR mezi nejvyspělejšími státy vyniká vysokým podílem veřejných zdrojů na celkovém financování </w:t>
            </w:r>
            <w:r w:rsidR="00DE4C19">
              <w:rPr>
                <w:spacing w:val="0"/>
              </w:rPr>
              <w:t xml:space="preserve">zdravotní </w:t>
            </w:r>
            <w:r w:rsidRPr="00360DE3">
              <w:rPr>
                <w:spacing w:val="0"/>
              </w:rPr>
              <w:t xml:space="preserve">péče i nízkou přímou spoluúčastí domácností </w:t>
            </w:r>
          </w:p>
        </w:tc>
        <w:tc>
          <w:tcPr>
            <w:tcW w:w="277" w:type="dxa"/>
          </w:tcPr>
          <w:p w:rsidR="0060404F" w:rsidRPr="00360DE3" w:rsidRDefault="0060404F" w:rsidP="00F162B3">
            <w:pPr>
              <w:pStyle w:val="Textpoznpodarou"/>
              <w:jc w:val="both"/>
            </w:pPr>
          </w:p>
        </w:tc>
        <w:tc>
          <w:tcPr>
            <w:tcW w:w="7391" w:type="dxa"/>
          </w:tcPr>
          <w:p w:rsidR="0060404F" w:rsidRPr="00360DE3" w:rsidRDefault="0060404F" w:rsidP="00F162B3">
            <w:pPr>
              <w:spacing w:after="220"/>
              <w:rPr>
                <w:szCs w:val="20"/>
              </w:rPr>
            </w:pPr>
            <w:r w:rsidRPr="00360DE3">
              <w:rPr>
                <w:szCs w:val="20"/>
              </w:rPr>
              <w:t xml:space="preserve">Podíl celkových běžných výdajů na zdravotní péči mezi lety 2010 a 2013 stagnoval (na 8,4 %). V dalším období ale již tyto výdaje nestačily držet tempo se svižným růstem ekonomiky a v roce 2016 činil jejich podíl jen 7,6 %. Ten řadil Česko mezi státy EU až na konec druhé desítky. Podobnou pozici měly i Chorvatsko a Maďarsko, lépe na tom z novějších členů Unie byly jen Slovinsko a Bulharsko. Celé EU v roce 2015 vévodily Francie, Německo a Švédsko (s podílem mírně přes </w:t>
            </w:r>
            <w:r w:rsidRPr="00360DE3">
              <w:rPr>
                <w:szCs w:val="20"/>
              </w:rPr>
              <w:lastRenderedPageBreak/>
              <w:t>11 %)</w:t>
            </w:r>
            <w:r w:rsidRPr="00360DE3">
              <w:rPr>
                <w:rStyle w:val="Znakapoznpodarou"/>
                <w:szCs w:val="20"/>
              </w:rPr>
              <w:footnoteReference w:id="141"/>
            </w:r>
            <w:r w:rsidRPr="00360DE3">
              <w:rPr>
                <w:szCs w:val="20"/>
              </w:rPr>
              <w:t>. Z pohledu celkových výdajů (vyjádřených v paritě kupní síly) na obyvatele patřilo Česku v rámci EU 15. místo (těsně z</w:t>
            </w:r>
            <w:r w:rsidR="00274037">
              <w:rPr>
                <w:szCs w:val="20"/>
              </w:rPr>
              <w:t>a Slovinskem, ale před Řeckem i</w:t>
            </w:r>
            <w:r w:rsidR="00274037" w:rsidRPr="00360DE3">
              <w:t> </w:t>
            </w:r>
            <w:r w:rsidRPr="00360DE3">
              <w:rPr>
                <w:szCs w:val="20"/>
              </w:rPr>
              <w:t>Portugalskem). Česko naopak vyniká strukturou financování zdravotní péče – vysokým podílem veřejných zdrojů (83 %, po Německu, Dánsku a Švédsku čtvrtým nejvyšším v EU) a relativně nízkou spoluúčastí domácností, vč. soukromého pojištění (po Německu druhou nejnižší v EU).</w:t>
            </w:r>
          </w:p>
        </w:tc>
      </w:tr>
      <w:tr w:rsidR="0060404F" w:rsidRPr="00360DE3" w:rsidTr="00DC37E3">
        <w:trPr>
          <w:trHeight w:val="170"/>
        </w:trPr>
        <w:tc>
          <w:tcPr>
            <w:tcW w:w="1976" w:type="dxa"/>
          </w:tcPr>
          <w:p w:rsidR="0060404F" w:rsidRPr="00360DE3" w:rsidRDefault="0060404F" w:rsidP="00DC37E3">
            <w:pPr>
              <w:pStyle w:val="Marginlie"/>
              <w:rPr>
                <w:spacing w:val="0"/>
              </w:rPr>
            </w:pPr>
            <w:r w:rsidRPr="00360DE3">
              <w:rPr>
                <w:spacing w:val="0"/>
              </w:rPr>
              <w:lastRenderedPageBreak/>
              <w:t>Průměrné procento dočasné pracovní neschopnosti se navyšovalo již pátým rokem v řadě, růstové tempo ale sláblo.</w:t>
            </w: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C37E3">
            <w:pPr>
              <w:pStyle w:val="Marginlie"/>
              <w:rPr>
                <w:spacing w:val="0"/>
              </w:rPr>
            </w:pPr>
          </w:p>
          <w:p w:rsidR="0060404F" w:rsidRPr="00360DE3" w:rsidRDefault="0060404F" w:rsidP="00DE4C19">
            <w:pPr>
              <w:pStyle w:val="Marginlie"/>
              <w:rPr>
                <w:spacing w:val="0"/>
              </w:rPr>
            </w:pPr>
            <w:r w:rsidRPr="00360DE3">
              <w:rPr>
                <w:spacing w:val="0"/>
              </w:rPr>
              <w:t xml:space="preserve">Navzdory plynulému růstu státem </w:t>
            </w:r>
            <w:r w:rsidR="00DE4C19" w:rsidRPr="00360DE3">
              <w:rPr>
                <w:spacing w:val="0"/>
              </w:rPr>
              <w:t xml:space="preserve">vyplacených </w:t>
            </w:r>
            <w:r w:rsidRPr="00360DE3">
              <w:rPr>
                <w:spacing w:val="0"/>
              </w:rPr>
              <w:t>dávek nemocenského pojištění zůstal tento účet v přebytku.</w:t>
            </w:r>
          </w:p>
        </w:tc>
        <w:tc>
          <w:tcPr>
            <w:tcW w:w="277" w:type="dxa"/>
          </w:tcPr>
          <w:p w:rsidR="0060404F" w:rsidRPr="00360DE3" w:rsidRDefault="0060404F" w:rsidP="00DC37E3">
            <w:pPr>
              <w:pStyle w:val="Textpoznpodarou"/>
              <w:jc w:val="both"/>
            </w:pPr>
          </w:p>
        </w:tc>
        <w:tc>
          <w:tcPr>
            <w:tcW w:w="7391" w:type="dxa"/>
          </w:tcPr>
          <w:p w:rsidR="0060404F" w:rsidRPr="00360DE3" w:rsidRDefault="0060404F" w:rsidP="00DC37E3">
            <w:pPr>
              <w:spacing w:after="0"/>
              <w:rPr>
                <w:szCs w:val="20"/>
              </w:rPr>
            </w:pPr>
            <w:r w:rsidRPr="00360DE3">
              <w:rPr>
                <w:szCs w:val="20"/>
              </w:rPr>
              <w:t xml:space="preserve">Výdaje na zdravotní péči souvisí také se zdravotním stavem obyvatelstva. Přestože významná část výdajů je spojena se seniorskou populací, v roce 2016 směřovalo 51 % všech výdajů zdravotních pojišťoven na péči na osoby v produktivním věku (20 až 64 let). Vyšší nemocnost není jen zátěží pro veřejné finance, ale ovlivňuje i výrobní kapacity a konkurenceschopnost podniků. Průměrné procento </w:t>
            </w:r>
            <w:r w:rsidR="00A537F0">
              <w:rPr>
                <w:szCs w:val="20"/>
              </w:rPr>
              <w:t xml:space="preserve">celkové dočasné </w:t>
            </w:r>
            <w:r w:rsidRPr="00360DE3">
              <w:rPr>
                <w:szCs w:val="20"/>
              </w:rPr>
              <w:t>pracovní neschopnosti, jehož vývoj nebyl na rozdíl od předchozí dekády výrazněji ovlivněn změ</w:t>
            </w:r>
            <w:r w:rsidR="00DE4C19">
              <w:rPr>
                <w:szCs w:val="20"/>
              </w:rPr>
              <w:t>nami legislativy, činilo vloni 4,26</w:t>
            </w:r>
            <w:r w:rsidRPr="00360DE3">
              <w:rPr>
                <w:szCs w:val="20"/>
              </w:rPr>
              <w:t xml:space="preserve"> % a rostlo již pátým rokem v řadě (tempo růstu však ochabovalo)</w:t>
            </w:r>
            <w:r w:rsidR="00A537F0">
              <w:rPr>
                <w:rStyle w:val="Znakapoznpodarou"/>
                <w:szCs w:val="20"/>
              </w:rPr>
              <w:footnoteReference w:id="142"/>
            </w:r>
            <w:r w:rsidRPr="00360DE3">
              <w:rPr>
                <w:szCs w:val="20"/>
              </w:rPr>
              <w:t xml:space="preserve">. Plynule se naopak zvyšovaly vyplacené dávky nemocenského pojištění, </w:t>
            </w:r>
            <w:proofErr w:type="spellStart"/>
            <w:r w:rsidRPr="00360DE3">
              <w:rPr>
                <w:szCs w:val="20"/>
              </w:rPr>
              <w:t>mj</w:t>
            </w:r>
            <w:proofErr w:type="spellEnd"/>
            <w:r w:rsidRPr="00360DE3">
              <w:rPr>
                <w:szCs w:val="20"/>
              </w:rPr>
              <w:t xml:space="preserve"> i vlivem vyššího počtu pojištěnců a růstu mezd (s dopadem na vyměřovací základy). Účet nemocenského pojištění zůstal nadále v mírném přebytku (vloni +3,1 mld. korun). Pracovní neschopnost tradičně vykazuje významné rozdíly mezi regiony i odvětvími</w:t>
            </w:r>
            <w:r w:rsidRPr="00360DE3">
              <w:rPr>
                <w:rStyle w:val="Znakapoznpodarou"/>
                <w:szCs w:val="20"/>
              </w:rPr>
              <w:footnoteReference w:id="143"/>
            </w:r>
            <w:r w:rsidRPr="00360DE3">
              <w:rPr>
                <w:szCs w:val="20"/>
              </w:rPr>
              <w:t xml:space="preserve">. </w:t>
            </w:r>
          </w:p>
        </w:tc>
      </w:tr>
    </w:tbl>
    <w:p w:rsidR="00F46502" w:rsidRPr="00360DE3" w:rsidRDefault="00F46502" w:rsidP="00BE6186"/>
    <w:sectPr w:rsidR="00F46502" w:rsidRPr="00360DE3" w:rsidSect="006F5416">
      <w:headerReference w:type="even" r:id="rId77"/>
      <w:headerReference w:type="default" r:id="rId78"/>
      <w:footerReference w:type="even" r:id="rId79"/>
      <w:footerReference w:type="default" r:id="rId80"/>
      <w:pgSz w:w="11906" w:h="16838" w:code="9"/>
      <w:pgMar w:top="1134" w:right="1134" w:bottom="1418"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A7A" w:rsidRDefault="00162A7A" w:rsidP="00E71A58">
      <w:r>
        <w:separator/>
      </w:r>
    </w:p>
  </w:endnote>
  <w:endnote w:type="continuationSeparator" w:id="0">
    <w:p w:rsidR="00162A7A" w:rsidRDefault="00162A7A"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00000003" w:usb1="00000000" w:usb2="00000000" w:usb3="00000000" w:csb0="00000001" w:csb1="00000000"/>
  </w:font>
  <w:font w:name="Times New Roman CE obyèejné">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Pr="00932443" w:rsidRDefault="00C805DC" w:rsidP="00A418BC">
    <w:pPr>
      <w:pStyle w:val="Zpat"/>
      <w:rPr>
        <w:szCs w:val="16"/>
      </w:rPr>
    </w:pPr>
    <w:r>
      <w:rPr>
        <w:szCs w:val="16"/>
        <w:lang w:eastAsia="cs-CZ"/>
      </w:rPr>
      <w:drawing>
        <wp:anchor distT="0" distB="0" distL="114300" distR="114300" simplePos="0" relativeHeight="251658240" behindDoc="0" locked="0" layoutInCell="1" allowOverlap="1">
          <wp:simplePos x="0" y="0"/>
          <wp:positionH relativeFrom="column">
            <wp:align>right</wp:align>
          </wp:positionH>
          <wp:positionV relativeFrom="paragraph">
            <wp:posOffset>-64770</wp:posOffset>
          </wp:positionV>
          <wp:extent cx="428625" cy="201295"/>
          <wp:effectExtent l="0" t="0" r="3175" b="1905"/>
          <wp:wrapNone/>
          <wp:docPr id="15" name="Picture 15"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anchor>
      </w:drawing>
    </w:r>
    <w:r w:rsidR="00783C17" w:rsidRPr="00932443">
      <w:rPr>
        <w:szCs w:val="16"/>
      </w:rPr>
      <w:fldChar w:fldCharType="begin"/>
    </w:r>
    <w:r w:rsidRPr="00932443">
      <w:rPr>
        <w:szCs w:val="16"/>
      </w:rPr>
      <w:instrText>PAGE   \* MERGEFORMAT</w:instrText>
    </w:r>
    <w:r w:rsidR="00783C17" w:rsidRPr="00932443">
      <w:rPr>
        <w:szCs w:val="16"/>
      </w:rPr>
      <w:fldChar w:fldCharType="separate"/>
    </w:r>
    <w:r w:rsidR="00D279B8">
      <w:rPr>
        <w:szCs w:val="16"/>
      </w:rPr>
      <w:t>4</w:t>
    </w:r>
    <w:r w:rsidR="00783C17" w:rsidRPr="00932443">
      <w:rPr>
        <w:szCs w:val="16"/>
      </w:rPr>
      <w:fldChar w:fldCharType="end"/>
    </w:r>
    <w:r w:rsidRPr="00932443">
      <w:rPr>
        <w:szCs w:val="16"/>
      </w:rPr>
      <w:tab/>
    </w:r>
    <w:r>
      <w:rPr>
        <w:szCs w:val="16"/>
      </w:rPr>
      <w:t>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Pr="00932443" w:rsidRDefault="00C805DC" w:rsidP="00A418BC">
    <w:pPr>
      <w:pStyle w:val="Zpat"/>
      <w:rPr>
        <w:szCs w:val="16"/>
      </w:rPr>
    </w:pPr>
    <w:r>
      <w:rPr>
        <w:szCs w:val="16"/>
        <w:lang w:eastAsia="cs-CZ"/>
      </w:rPr>
      <w:drawing>
        <wp:anchor distT="0" distB="0" distL="114300" distR="114300" simplePos="0" relativeHeight="251657216" behindDoc="0" locked="0" layoutInCell="1" allowOverlap="1">
          <wp:simplePos x="0" y="0"/>
          <wp:positionH relativeFrom="column">
            <wp:align>left</wp:align>
          </wp:positionH>
          <wp:positionV relativeFrom="paragraph">
            <wp:posOffset>-122555</wp:posOffset>
          </wp:positionV>
          <wp:extent cx="510540" cy="272415"/>
          <wp:effectExtent l="0" t="0" r="0" b="6985"/>
          <wp:wrapNone/>
          <wp:docPr id="16" name="Picture 16"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anchor>
      </w:drawing>
    </w:r>
    <w:r w:rsidRPr="00932443">
      <w:rPr>
        <w:szCs w:val="16"/>
      </w:rPr>
      <w:tab/>
    </w:r>
    <w:r>
      <w:rPr>
        <w:rStyle w:val="ZpatChar"/>
        <w:szCs w:val="16"/>
      </w:rPr>
      <w:t>2017</w:t>
    </w:r>
    <w:r w:rsidRPr="00932443">
      <w:rPr>
        <w:szCs w:val="16"/>
      </w:rPr>
      <w:tab/>
    </w:r>
    <w:r w:rsidR="00783C17" w:rsidRPr="00932443">
      <w:rPr>
        <w:rStyle w:val="ZpatChar"/>
        <w:szCs w:val="16"/>
      </w:rPr>
      <w:fldChar w:fldCharType="begin"/>
    </w:r>
    <w:r w:rsidRPr="00932443">
      <w:rPr>
        <w:rStyle w:val="ZpatChar"/>
        <w:szCs w:val="16"/>
      </w:rPr>
      <w:instrText>PAGE   \* MERGEFORMAT</w:instrText>
    </w:r>
    <w:r w:rsidR="00783C17" w:rsidRPr="00932443">
      <w:rPr>
        <w:rStyle w:val="ZpatChar"/>
        <w:szCs w:val="16"/>
      </w:rPr>
      <w:fldChar w:fldCharType="separate"/>
    </w:r>
    <w:r w:rsidR="00D279B8">
      <w:rPr>
        <w:rStyle w:val="ZpatChar"/>
        <w:szCs w:val="16"/>
      </w:rPr>
      <w:t>3</w:t>
    </w:r>
    <w:r w:rsidR="00783C17" w:rsidRPr="00932443">
      <w:rPr>
        <w:rStyle w:val="ZpatChar"/>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A7A" w:rsidRDefault="00162A7A" w:rsidP="00E71A58">
      <w:r>
        <w:separator/>
      </w:r>
    </w:p>
  </w:footnote>
  <w:footnote w:type="continuationSeparator" w:id="0">
    <w:p w:rsidR="00162A7A" w:rsidRDefault="00162A7A" w:rsidP="00E71A58">
      <w:r>
        <w:continuationSeparator/>
      </w:r>
    </w:p>
  </w:footnote>
  <w:footnote w:id="1">
    <w:p w:rsidR="00C805DC" w:rsidRPr="002E4A56" w:rsidRDefault="00C805DC" w:rsidP="00F46502">
      <w:pPr>
        <w:pStyle w:val="Textpoznpodarou"/>
        <w:rPr>
          <w:sz w:val="16"/>
          <w:szCs w:val="16"/>
        </w:rPr>
      </w:pPr>
      <w:r w:rsidRPr="002E4A56">
        <w:rPr>
          <w:rStyle w:val="Znakapoznpodarou"/>
          <w:sz w:val="16"/>
          <w:szCs w:val="16"/>
        </w:rPr>
        <w:footnoteRef/>
      </w:r>
      <w:r w:rsidRPr="002E4A56">
        <w:rPr>
          <w:sz w:val="16"/>
          <w:szCs w:val="16"/>
        </w:rPr>
        <w:t xml:space="preserve"> Po vyloučení dovozu pro konečné užití</w:t>
      </w:r>
    </w:p>
  </w:footnote>
  <w:footnote w:id="2">
    <w:p w:rsidR="00C805DC" w:rsidRPr="00A74D5A" w:rsidRDefault="00C805DC" w:rsidP="00F46502">
      <w:pPr>
        <w:pStyle w:val="Textpoznpodarou"/>
        <w:rPr>
          <w:sz w:val="16"/>
          <w:szCs w:val="16"/>
        </w:rPr>
      </w:pPr>
      <w:r w:rsidRPr="00A74D5A">
        <w:rPr>
          <w:rStyle w:val="Znakapoznpodarou"/>
          <w:sz w:val="16"/>
          <w:szCs w:val="16"/>
        </w:rPr>
        <w:footnoteRef/>
      </w:r>
      <w:r w:rsidRPr="00A74D5A">
        <w:rPr>
          <w:sz w:val="16"/>
          <w:szCs w:val="16"/>
        </w:rPr>
        <w:t xml:space="preserve"> Investiční aktivitu tehdy ovlivnilo rychlé dočerpávání prostředků z evropských fondů.</w:t>
      </w:r>
    </w:p>
  </w:footnote>
  <w:footnote w:id="3">
    <w:p w:rsidR="00B30358" w:rsidRPr="00B30358" w:rsidRDefault="00B30358">
      <w:pPr>
        <w:pStyle w:val="Textpoznpodarou"/>
        <w:rPr>
          <w:rFonts w:cs="Arial"/>
          <w:sz w:val="16"/>
          <w:szCs w:val="16"/>
        </w:rPr>
      </w:pPr>
      <w:r w:rsidRPr="00B30358">
        <w:rPr>
          <w:rStyle w:val="Znakapoznpodarou"/>
          <w:rFonts w:cs="Arial"/>
          <w:sz w:val="16"/>
          <w:szCs w:val="16"/>
        </w:rPr>
        <w:footnoteRef/>
      </w:r>
      <w:r w:rsidRPr="00B30358">
        <w:rPr>
          <w:rFonts w:cs="Arial"/>
          <w:sz w:val="16"/>
          <w:szCs w:val="16"/>
        </w:rPr>
        <w:t xml:space="preserve"> Jde o odvětví </w:t>
      </w:r>
      <w:r w:rsidRPr="00B30358">
        <w:rPr>
          <w:rFonts w:cs="Arial"/>
          <w:bCs/>
          <w:sz w:val="16"/>
          <w:szCs w:val="16"/>
        </w:rPr>
        <w:t>Veřejná správa a obrana, vzdělávání, zdravotní a sociální péče</w:t>
      </w:r>
      <w:r>
        <w:rPr>
          <w:rFonts w:cs="Arial"/>
          <w:bCs/>
          <w:sz w:val="16"/>
          <w:szCs w:val="16"/>
        </w:rPr>
        <w:t>.</w:t>
      </w:r>
    </w:p>
  </w:footnote>
  <w:footnote w:id="4">
    <w:p w:rsidR="00B30358" w:rsidRPr="0065379C" w:rsidRDefault="00B30358" w:rsidP="00F46502">
      <w:pPr>
        <w:pStyle w:val="Textpoznpodarou"/>
        <w:rPr>
          <w:sz w:val="16"/>
          <w:szCs w:val="16"/>
        </w:rPr>
      </w:pPr>
      <w:r w:rsidRPr="0065379C">
        <w:rPr>
          <w:rStyle w:val="Znakapoznpodarou"/>
          <w:sz w:val="16"/>
          <w:szCs w:val="16"/>
        </w:rPr>
        <w:footnoteRef/>
      </w:r>
      <w:r w:rsidRPr="0065379C">
        <w:rPr>
          <w:sz w:val="16"/>
          <w:szCs w:val="16"/>
        </w:rPr>
        <w:t xml:space="preserve"> Zemi často využívají velké technologické firmy jako své daňové sídlo (např. </w:t>
      </w:r>
      <w:proofErr w:type="spellStart"/>
      <w:r w:rsidRPr="0065379C">
        <w:rPr>
          <w:sz w:val="16"/>
          <w:szCs w:val="16"/>
        </w:rPr>
        <w:t>Google</w:t>
      </w:r>
      <w:proofErr w:type="spellEnd"/>
      <w:r w:rsidRPr="0065379C">
        <w:rPr>
          <w:sz w:val="16"/>
          <w:szCs w:val="16"/>
        </w:rPr>
        <w:t xml:space="preserve">, </w:t>
      </w:r>
      <w:proofErr w:type="spellStart"/>
      <w:r w:rsidRPr="0065379C">
        <w:rPr>
          <w:sz w:val="16"/>
          <w:szCs w:val="16"/>
        </w:rPr>
        <w:t>Facebook</w:t>
      </w:r>
      <w:proofErr w:type="spellEnd"/>
      <w:r w:rsidRPr="0065379C">
        <w:rPr>
          <w:sz w:val="16"/>
          <w:szCs w:val="16"/>
        </w:rPr>
        <w:t>, atd.). Přesuny vychylují jednotlivé ukazatele národních účtů</w:t>
      </w:r>
      <w:r>
        <w:rPr>
          <w:sz w:val="16"/>
          <w:szCs w:val="16"/>
        </w:rPr>
        <w:t xml:space="preserve"> (příkladem může být 25,1% růst HDP v roce 2015)</w:t>
      </w:r>
      <w:r w:rsidRPr="0065379C">
        <w:rPr>
          <w:sz w:val="16"/>
          <w:szCs w:val="16"/>
        </w:rPr>
        <w:t>.</w:t>
      </w:r>
      <w:r>
        <w:rPr>
          <w:sz w:val="16"/>
          <w:szCs w:val="16"/>
        </w:rPr>
        <w:t xml:space="preserve"> </w:t>
      </w:r>
    </w:p>
  </w:footnote>
  <w:footnote w:id="5">
    <w:p w:rsidR="00C805DC" w:rsidRPr="009034CA" w:rsidRDefault="00C805DC" w:rsidP="00F46502">
      <w:pPr>
        <w:pStyle w:val="Textpoznpodarou"/>
        <w:rPr>
          <w:sz w:val="16"/>
          <w:szCs w:val="16"/>
        </w:rPr>
      </w:pPr>
      <w:r w:rsidRPr="009034CA">
        <w:rPr>
          <w:rStyle w:val="Znakapoznpodarou"/>
          <w:sz w:val="16"/>
          <w:szCs w:val="16"/>
        </w:rPr>
        <w:footnoteRef/>
      </w:r>
      <w:r w:rsidRPr="009034CA">
        <w:rPr>
          <w:sz w:val="16"/>
          <w:szCs w:val="16"/>
        </w:rPr>
        <w:t xml:space="preserve"> Příčiny lze hledat v nepříznivých </w:t>
      </w:r>
      <w:r>
        <w:rPr>
          <w:sz w:val="16"/>
          <w:szCs w:val="16"/>
        </w:rPr>
        <w:t xml:space="preserve">povětrnostních </w:t>
      </w:r>
      <w:r w:rsidRPr="009034CA">
        <w:rPr>
          <w:sz w:val="16"/>
          <w:szCs w:val="16"/>
        </w:rPr>
        <w:t xml:space="preserve">podmínkách loňského jara, které ovlivnily úrodu ovoce v celém středoevropském prostoru. Výsledkem bylo zdražení jablek o 44,1 % (průmyslová o 71,7 %), broskví o 37,5 % a ostatního ovoce o 22,9 %. </w:t>
      </w:r>
    </w:p>
  </w:footnote>
  <w:footnote w:id="6">
    <w:p w:rsidR="00C805DC" w:rsidRPr="001802AA" w:rsidRDefault="00C805DC" w:rsidP="00BE6186">
      <w:pPr>
        <w:pStyle w:val="Textpoznpodarou"/>
        <w:rPr>
          <w:rFonts w:cs="Arial"/>
          <w:sz w:val="16"/>
          <w:szCs w:val="16"/>
        </w:rPr>
      </w:pPr>
      <w:r w:rsidRPr="001802AA">
        <w:rPr>
          <w:rStyle w:val="Znakapoznpodarou"/>
          <w:rFonts w:cs="Arial"/>
          <w:sz w:val="16"/>
          <w:szCs w:val="16"/>
        </w:rPr>
        <w:footnoteRef/>
      </w:r>
      <w:r>
        <w:rPr>
          <w:rFonts w:cs="Arial"/>
          <w:sz w:val="16"/>
          <w:szCs w:val="16"/>
        </w:rPr>
        <w:t xml:space="preserve"> Č</w:t>
      </w:r>
      <w:r w:rsidRPr="001802AA">
        <w:rPr>
          <w:rFonts w:cs="Arial"/>
          <w:sz w:val="16"/>
          <w:szCs w:val="16"/>
        </w:rPr>
        <w:t>asové řady čtvrtletních sektorových účtů</w:t>
      </w:r>
    </w:p>
  </w:footnote>
  <w:footnote w:id="7">
    <w:p w:rsidR="00C805DC" w:rsidRPr="001802AA" w:rsidRDefault="00C805DC" w:rsidP="00BE6186">
      <w:pPr>
        <w:pStyle w:val="Textpoznpodarou"/>
        <w:rPr>
          <w:rFonts w:cs="Arial"/>
          <w:sz w:val="16"/>
          <w:szCs w:val="16"/>
        </w:rPr>
      </w:pPr>
      <w:r w:rsidRPr="001802AA">
        <w:rPr>
          <w:rStyle w:val="Znakapoznpodarou"/>
          <w:rFonts w:cs="Arial"/>
          <w:sz w:val="16"/>
          <w:szCs w:val="16"/>
        </w:rPr>
        <w:footnoteRef/>
      </w:r>
      <w:r w:rsidRPr="001802AA">
        <w:rPr>
          <w:rFonts w:cs="Arial"/>
          <w:sz w:val="16"/>
          <w:szCs w:val="16"/>
        </w:rPr>
        <w:t xml:space="preserve"> </w:t>
      </w:r>
      <w:proofErr w:type="spellStart"/>
      <w:r w:rsidRPr="001802AA">
        <w:rPr>
          <w:rStyle w:val="odkaz-style-wrapper"/>
          <w:rFonts w:cs="Arial"/>
          <w:bCs/>
          <w:sz w:val="16"/>
          <w:szCs w:val="16"/>
        </w:rPr>
        <w:t>Nerezidenti</w:t>
      </w:r>
      <w:proofErr w:type="spellEnd"/>
      <w:r w:rsidRPr="001802AA">
        <w:rPr>
          <w:rStyle w:val="odkaz-style-wrapper"/>
          <w:rFonts w:cs="Arial"/>
          <w:bCs/>
          <w:sz w:val="16"/>
          <w:szCs w:val="16"/>
        </w:rPr>
        <w:t xml:space="preserve"> </w:t>
      </w:r>
      <w:r w:rsidRPr="001802AA">
        <w:rPr>
          <w:rStyle w:val="odkaz-style-wrapper"/>
          <w:rFonts w:cs="Arial"/>
          <w:sz w:val="16"/>
          <w:szCs w:val="16"/>
        </w:rPr>
        <w:t>představují seskupení jednotek bez ohledu na charakteristiku jejich funkcí a zdrojů. Jsou to např. zastupitelské úřady cizích států nebo mezinárodní organizace, které byly založeny a fungují na základě mezinárodních dohod nebo oddělené části mateřských společností (např. pobočky výrobních podniků, bank a pojišťovacích společností).</w:t>
      </w:r>
    </w:p>
  </w:footnote>
  <w:footnote w:id="8">
    <w:p w:rsidR="00C805DC" w:rsidRPr="001802AA" w:rsidRDefault="00C805DC" w:rsidP="00C466D2">
      <w:pPr>
        <w:pStyle w:val="Textpoznpodarou"/>
        <w:rPr>
          <w:rFonts w:cs="Arial"/>
          <w:sz w:val="16"/>
          <w:szCs w:val="16"/>
        </w:rPr>
      </w:pPr>
      <w:r w:rsidRPr="001802AA">
        <w:rPr>
          <w:rStyle w:val="Znakapoznpodarou"/>
          <w:rFonts w:cs="Arial"/>
          <w:sz w:val="16"/>
          <w:szCs w:val="16"/>
        </w:rPr>
        <w:footnoteRef/>
      </w:r>
      <w:r w:rsidRPr="001802AA">
        <w:rPr>
          <w:rFonts w:cs="Arial"/>
          <w:sz w:val="16"/>
          <w:szCs w:val="16"/>
        </w:rPr>
        <w:t xml:space="preserve"> Údaje statistiky zahraničního obchodu v národním pojetí v nominálním vyjádření. Hodnota vývozu je zachycena v cenách FOB, tj. včetně nákladů souvisejících s dopravou na hranice ČR. Dovoz uvedený níže v této kapitole je v cenách CIF, tj. včetně nákladů souvisejících s dopravou v zahraničí na hranice ČR.</w:t>
      </w:r>
    </w:p>
  </w:footnote>
  <w:footnote w:id="9">
    <w:p w:rsidR="00C805DC" w:rsidRPr="0089525B" w:rsidRDefault="00C805DC" w:rsidP="005D3386">
      <w:pPr>
        <w:pStyle w:val="Textpoznpodarou"/>
        <w:rPr>
          <w:sz w:val="16"/>
          <w:szCs w:val="16"/>
        </w:rPr>
      </w:pPr>
      <w:r w:rsidRPr="0089525B">
        <w:rPr>
          <w:rStyle w:val="Znakapoznpodarou"/>
          <w:sz w:val="16"/>
          <w:szCs w:val="16"/>
        </w:rPr>
        <w:footnoteRef/>
      </w:r>
      <w:r w:rsidRPr="0089525B">
        <w:rPr>
          <w:sz w:val="16"/>
          <w:szCs w:val="16"/>
        </w:rPr>
        <w:t xml:space="preserve"> Pokud není uvedeno jinak, vychází všechny údaje o zaměstnanosti v této kapitole z údajů národních účtů.</w:t>
      </w:r>
    </w:p>
  </w:footnote>
  <w:footnote w:id="10">
    <w:p w:rsidR="00C805DC" w:rsidRPr="00783594" w:rsidRDefault="00C805DC" w:rsidP="005D3386">
      <w:pPr>
        <w:pStyle w:val="Textpoznpodarou"/>
        <w:jc w:val="both"/>
        <w:rPr>
          <w:spacing w:val="-2"/>
          <w:sz w:val="16"/>
          <w:szCs w:val="16"/>
        </w:rPr>
      </w:pPr>
      <w:r w:rsidRPr="00783594">
        <w:rPr>
          <w:rStyle w:val="Znakapoznpodarou"/>
          <w:spacing w:val="-2"/>
          <w:sz w:val="16"/>
          <w:szCs w:val="16"/>
        </w:rPr>
        <w:footnoteRef/>
      </w:r>
      <w:r w:rsidRPr="00783594">
        <w:rPr>
          <w:spacing w:val="-2"/>
          <w:sz w:val="16"/>
          <w:szCs w:val="16"/>
        </w:rPr>
        <w:t xml:space="preserve"> Ze 13 zemí střední a východní Evropy, jež vstoupily do EU po roce 2000, zaznamenaly loni slabší tempo zaměstnanosti jen </w:t>
      </w:r>
      <w:r>
        <w:rPr>
          <w:spacing w:val="-2"/>
          <w:sz w:val="16"/>
          <w:szCs w:val="16"/>
        </w:rPr>
        <w:t>Polsko (+1,4</w:t>
      </w:r>
      <w:r w:rsidRPr="0089525B">
        <w:rPr>
          <w:sz w:val="16"/>
          <w:szCs w:val="16"/>
        </w:rPr>
        <w:t> </w:t>
      </w:r>
      <w:r w:rsidRPr="00783594">
        <w:rPr>
          <w:spacing w:val="-2"/>
          <w:sz w:val="16"/>
          <w:szCs w:val="16"/>
        </w:rPr>
        <w:t>%), Lotyško (+0,6 %) a Litva (-0,5 %).  Na Slovensku a Maďarsku zaměstnanost posílila mírně přes 2 %, ve Slovinsku téměř o 3 %.</w:t>
      </w:r>
    </w:p>
  </w:footnote>
  <w:footnote w:id="11">
    <w:p w:rsidR="00C805DC" w:rsidRPr="0063116B" w:rsidRDefault="00C805DC" w:rsidP="005D3386">
      <w:pPr>
        <w:pStyle w:val="Textpoznpodarou"/>
        <w:rPr>
          <w:sz w:val="16"/>
          <w:szCs w:val="16"/>
        </w:rPr>
      </w:pPr>
      <w:r w:rsidRPr="0063116B">
        <w:rPr>
          <w:rStyle w:val="Znakapoznpodarou"/>
          <w:sz w:val="16"/>
          <w:szCs w:val="16"/>
        </w:rPr>
        <w:footnoteRef/>
      </w:r>
      <w:r w:rsidRPr="0063116B">
        <w:rPr>
          <w:sz w:val="16"/>
          <w:szCs w:val="16"/>
        </w:rPr>
        <w:t xml:space="preserve"> Dle sezónně očištěných údajů. Dosavadní rekord z konce konjunkturního roku 2008 byl překonán o více než 130 tis. osob.</w:t>
      </w:r>
    </w:p>
  </w:footnote>
  <w:footnote w:id="12">
    <w:p w:rsidR="00C805DC" w:rsidRPr="001D0752" w:rsidRDefault="00C805DC" w:rsidP="00360DE3">
      <w:pPr>
        <w:pStyle w:val="Textpoznpodarou"/>
        <w:rPr>
          <w:sz w:val="16"/>
          <w:szCs w:val="16"/>
        </w:rPr>
      </w:pPr>
      <w:r w:rsidRPr="001D0752">
        <w:rPr>
          <w:rStyle w:val="Znakapoznpodarou"/>
          <w:sz w:val="16"/>
          <w:szCs w:val="16"/>
        </w:rPr>
        <w:footnoteRef/>
      </w:r>
      <w:r w:rsidRPr="001D0752">
        <w:rPr>
          <w:sz w:val="16"/>
          <w:szCs w:val="16"/>
        </w:rPr>
        <w:t xml:space="preserve"> Naopak pokles počtu drobných podnikatelů (</w:t>
      </w:r>
      <w:proofErr w:type="spellStart"/>
      <w:r w:rsidRPr="001D0752">
        <w:rPr>
          <w:sz w:val="16"/>
          <w:szCs w:val="16"/>
        </w:rPr>
        <w:t>sebezaměstnaných</w:t>
      </w:r>
      <w:proofErr w:type="spellEnd"/>
      <w:r w:rsidRPr="001D0752">
        <w:rPr>
          <w:sz w:val="16"/>
          <w:szCs w:val="16"/>
        </w:rPr>
        <w:t xml:space="preserve">) </w:t>
      </w:r>
      <w:r>
        <w:rPr>
          <w:sz w:val="16"/>
          <w:szCs w:val="16"/>
        </w:rPr>
        <w:t xml:space="preserve">se loni ve stavebnictví </w:t>
      </w:r>
      <w:r w:rsidRPr="001D0752">
        <w:rPr>
          <w:sz w:val="16"/>
          <w:szCs w:val="16"/>
        </w:rPr>
        <w:t xml:space="preserve">po pěti letech zastavil. </w:t>
      </w:r>
    </w:p>
  </w:footnote>
  <w:footnote w:id="13">
    <w:p w:rsidR="00C805DC" w:rsidRPr="008754A3" w:rsidRDefault="00C805DC" w:rsidP="005D3386">
      <w:pPr>
        <w:pStyle w:val="Textpoznpodarou"/>
        <w:rPr>
          <w:sz w:val="16"/>
          <w:szCs w:val="16"/>
        </w:rPr>
      </w:pPr>
      <w:r w:rsidRPr="008754A3">
        <w:rPr>
          <w:rStyle w:val="Znakapoznpodarou"/>
          <w:sz w:val="16"/>
          <w:szCs w:val="16"/>
        </w:rPr>
        <w:footnoteRef/>
      </w:r>
      <w:r w:rsidRPr="008754A3">
        <w:rPr>
          <w:sz w:val="16"/>
          <w:szCs w:val="16"/>
        </w:rPr>
        <w:t xml:space="preserve"> Ve srovnání se státy Evropského sdružení volného obchodu, však již bylo </w:t>
      </w:r>
      <w:r>
        <w:rPr>
          <w:sz w:val="16"/>
          <w:szCs w:val="16"/>
        </w:rPr>
        <w:t xml:space="preserve">loni </w:t>
      </w:r>
      <w:r w:rsidRPr="008754A3">
        <w:rPr>
          <w:sz w:val="16"/>
          <w:szCs w:val="16"/>
        </w:rPr>
        <w:t>postavení Če</w:t>
      </w:r>
      <w:r>
        <w:rPr>
          <w:sz w:val="16"/>
          <w:szCs w:val="16"/>
        </w:rPr>
        <w:t>ska méně impozantní. Vyšší parti</w:t>
      </w:r>
      <w:r w:rsidRPr="008754A3">
        <w:rPr>
          <w:sz w:val="16"/>
          <w:szCs w:val="16"/>
        </w:rPr>
        <w:t>cipace dosahovali muži na Islandu (90,5 %) i ve Švýcarsku (86,8 %).</w:t>
      </w:r>
    </w:p>
  </w:footnote>
  <w:footnote w:id="14">
    <w:p w:rsidR="00C805DC" w:rsidRPr="00BA302E" w:rsidRDefault="00C805DC" w:rsidP="005D3386">
      <w:pPr>
        <w:pStyle w:val="Textpoznpodarou"/>
        <w:jc w:val="both"/>
        <w:rPr>
          <w:sz w:val="16"/>
          <w:szCs w:val="16"/>
        </w:rPr>
      </w:pPr>
      <w:r w:rsidRPr="00BA302E">
        <w:rPr>
          <w:rStyle w:val="Znakapoznpodarou"/>
          <w:sz w:val="16"/>
          <w:szCs w:val="16"/>
        </w:rPr>
        <w:footnoteRef/>
      </w:r>
      <w:r>
        <w:rPr>
          <w:sz w:val="16"/>
          <w:szCs w:val="16"/>
        </w:rPr>
        <w:t xml:space="preserve"> N</w:t>
      </w:r>
      <w:r w:rsidRPr="00BA302E">
        <w:rPr>
          <w:sz w:val="16"/>
          <w:szCs w:val="16"/>
        </w:rPr>
        <w:t>ecelých 44 % žen ve věku 20-49 let s nejmladším dítětem do 6 let byla loni v ČR zaměstnána. Nižší</w:t>
      </w:r>
      <w:r>
        <w:rPr>
          <w:sz w:val="16"/>
          <w:szCs w:val="16"/>
        </w:rPr>
        <w:t xml:space="preserve">ch hodnot </w:t>
      </w:r>
      <w:r w:rsidRPr="00BA302E">
        <w:rPr>
          <w:sz w:val="16"/>
          <w:szCs w:val="16"/>
        </w:rPr>
        <w:t xml:space="preserve">dosahovaly </w:t>
      </w:r>
      <w:r>
        <w:rPr>
          <w:sz w:val="16"/>
          <w:szCs w:val="16"/>
        </w:rPr>
        <w:t xml:space="preserve">v EU </w:t>
      </w:r>
      <w:r w:rsidRPr="00BA302E">
        <w:rPr>
          <w:sz w:val="16"/>
          <w:szCs w:val="16"/>
        </w:rPr>
        <w:t xml:space="preserve">jen Polsko a Maďarsko (shodně 42 %). V některých severských státech či zemích Beneluxu, ale také např. ve Slovinsku </w:t>
      </w:r>
      <w:r>
        <w:rPr>
          <w:sz w:val="16"/>
          <w:szCs w:val="16"/>
        </w:rPr>
        <w:t>i</w:t>
      </w:r>
      <w:r w:rsidRPr="00BA302E">
        <w:rPr>
          <w:sz w:val="16"/>
          <w:szCs w:val="16"/>
        </w:rPr>
        <w:t xml:space="preserve"> Portugalsku </w:t>
      </w:r>
      <w:r>
        <w:rPr>
          <w:sz w:val="16"/>
          <w:szCs w:val="16"/>
        </w:rPr>
        <w:t>takto pracovaly</w:t>
      </w:r>
      <w:r w:rsidRPr="00BA302E">
        <w:rPr>
          <w:sz w:val="16"/>
          <w:szCs w:val="16"/>
        </w:rPr>
        <w:t xml:space="preserve"> až o tři čtvrtiny žen.</w:t>
      </w:r>
    </w:p>
  </w:footnote>
  <w:footnote w:id="15">
    <w:p w:rsidR="00C805DC" w:rsidRPr="00F673C3" w:rsidRDefault="00C805DC" w:rsidP="005D3386">
      <w:pPr>
        <w:pStyle w:val="Textpoznpodarou"/>
        <w:rPr>
          <w:sz w:val="16"/>
          <w:szCs w:val="16"/>
        </w:rPr>
      </w:pPr>
      <w:r w:rsidRPr="00F673C3">
        <w:rPr>
          <w:rStyle w:val="Znakapoznpodarou"/>
          <w:sz w:val="16"/>
          <w:szCs w:val="16"/>
        </w:rPr>
        <w:footnoteRef/>
      </w:r>
      <w:r w:rsidRPr="00F673C3">
        <w:rPr>
          <w:sz w:val="16"/>
          <w:szCs w:val="16"/>
        </w:rPr>
        <w:t xml:space="preserve"> Podíl 20-49letých žen (s nejmladším dítětem ve věku do 6 let) pracujících na zkrácené úvazky se mezi roky 2014 a 2017 zvýšil z 19 na 23 %, obdobně u žen pracujících z domova ze 7 na 13 %.</w:t>
      </w:r>
    </w:p>
  </w:footnote>
  <w:footnote w:id="16">
    <w:p w:rsidR="00C805DC" w:rsidRPr="004634A9" w:rsidRDefault="00C805DC" w:rsidP="005D3386">
      <w:pPr>
        <w:pStyle w:val="Textpoznpodarou"/>
        <w:rPr>
          <w:sz w:val="16"/>
          <w:szCs w:val="16"/>
        </w:rPr>
      </w:pPr>
      <w:r w:rsidRPr="004634A9">
        <w:rPr>
          <w:rStyle w:val="Znakapoznpodarou"/>
          <w:sz w:val="16"/>
          <w:szCs w:val="16"/>
        </w:rPr>
        <w:footnoteRef/>
      </w:r>
      <w:r w:rsidRPr="004634A9">
        <w:rPr>
          <w:sz w:val="16"/>
          <w:szCs w:val="16"/>
        </w:rPr>
        <w:t xml:space="preserve"> Ze 129 tis. nezaměstnaných (dle metodiky ILO) jich ve 4. čtvrtletí 2017</w:t>
      </w:r>
      <w:r>
        <w:rPr>
          <w:sz w:val="16"/>
          <w:szCs w:val="16"/>
        </w:rPr>
        <w:t xml:space="preserve"> bylo bez práce méně než dva měsíce 38 tis. méně než půl rok pak v kumulaci 62 tis.</w:t>
      </w:r>
    </w:p>
  </w:footnote>
  <w:footnote w:id="17">
    <w:p w:rsidR="00C805DC" w:rsidRPr="003F10B3" w:rsidRDefault="00C805DC" w:rsidP="005D3386">
      <w:pPr>
        <w:pStyle w:val="Textpoznpodarou"/>
        <w:jc w:val="both"/>
        <w:rPr>
          <w:sz w:val="16"/>
          <w:szCs w:val="16"/>
        </w:rPr>
      </w:pPr>
      <w:r w:rsidRPr="003F10B3">
        <w:rPr>
          <w:rStyle w:val="Znakapoznpodarou"/>
          <w:sz w:val="16"/>
          <w:szCs w:val="16"/>
        </w:rPr>
        <w:footnoteRef/>
      </w:r>
      <w:r w:rsidRPr="003F10B3">
        <w:rPr>
          <w:sz w:val="16"/>
          <w:szCs w:val="16"/>
        </w:rPr>
        <w:t xml:space="preserve"> Česko se ve všech pětiletých skupinách pohybovalo v první dvojici zemí s nejnižší mírou nezaměstnanosti. O primát se „přetahovalo“ s Německem, Velkou Británií, Rumunskem či Maltou.</w:t>
      </w:r>
    </w:p>
  </w:footnote>
  <w:footnote w:id="18">
    <w:p w:rsidR="00C805DC" w:rsidRPr="001F3A0A" w:rsidRDefault="00C805DC" w:rsidP="005D3386">
      <w:pPr>
        <w:pStyle w:val="Textpoznpodarou"/>
        <w:jc w:val="both"/>
        <w:rPr>
          <w:sz w:val="16"/>
          <w:szCs w:val="16"/>
        </w:rPr>
      </w:pPr>
      <w:r w:rsidRPr="001F3A0A">
        <w:rPr>
          <w:rStyle w:val="Znakapoznpodarou"/>
          <w:sz w:val="16"/>
          <w:szCs w:val="16"/>
        </w:rPr>
        <w:footnoteRef/>
      </w:r>
      <w:r w:rsidRPr="001F3A0A">
        <w:rPr>
          <w:sz w:val="16"/>
          <w:szCs w:val="16"/>
        </w:rPr>
        <w:t xml:space="preserve"> Česko se tak přiblížilo zemím (severské státy, Velká Británie) s flexibilnějším trhem práce, kde významnou část nezaměstnanosti tvoří obvykle její frikční složka. Naopak v Řecku (73 %) či Itálii (59 %) zůstával podíl nezaměstnaných déle než rok na celkové nezaměstnanosti vysoký. To platilo i pro Slovensko (62 %), třebaže jeho pokles celkové míry nezaměstnanosti byl v posledních třech letech dynamický (z 13,2 % na 8,2 %).</w:t>
      </w:r>
    </w:p>
  </w:footnote>
  <w:footnote w:id="19">
    <w:p w:rsidR="00C805DC" w:rsidRPr="00AA5EA1" w:rsidRDefault="00C805DC" w:rsidP="005D3386">
      <w:pPr>
        <w:pStyle w:val="Textpoznpodarou"/>
        <w:rPr>
          <w:sz w:val="16"/>
          <w:szCs w:val="16"/>
        </w:rPr>
      </w:pPr>
      <w:r w:rsidRPr="00AA5EA1">
        <w:rPr>
          <w:rStyle w:val="Znakapoznpodarou"/>
          <w:sz w:val="16"/>
          <w:szCs w:val="16"/>
        </w:rPr>
        <w:footnoteRef/>
      </w:r>
      <w:r w:rsidRPr="00AA5EA1">
        <w:rPr>
          <w:sz w:val="16"/>
          <w:szCs w:val="16"/>
        </w:rPr>
        <w:t xml:space="preserve"> Cekem šlo o 103 tis. míst, v drtivé většině byly určeny pro </w:t>
      </w:r>
      <w:proofErr w:type="spellStart"/>
      <w:r w:rsidRPr="00AA5EA1">
        <w:rPr>
          <w:sz w:val="16"/>
          <w:szCs w:val="16"/>
        </w:rPr>
        <w:t>nízkokvalifikované</w:t>
      </w:r>
      <w:proofErr w:type="spellEnd"/>
      <w:r w:rsidRPr="00AA5EA1">
        <w:rPr>
          <w:sz w:val="16"/>
          <w:szCs w:val="16"/>
        </w:rPr>
        <w:t xml:space="preserve"> zaměstnance (55 % spadalo do kategorie </w:t>
      </w:r>
      <w:r w:rsidRPr="00AA5EA1">
        <w:rPr>
          <w:rFonts w:eastAsia="Times New Roman" w:cs="Arial"/>
          <w:color w:val="000000"/>
          <w:sz w:val="16"/>
          <w:szCs w:val="16"/>
        </w:rPr>
        <w:t>obsluhy strojů a zařízen</w:t>
      </w:r>
      <w:r>
        <w:rPr>
          <w:rFonts w:eastAsia="Times New Roman" w:cs="Arial"/>
          <w:color w:val="000000"/>
          <w:sz w:val="16"/>
          <w:szCs w:val="16"/>
        </w:rPr>
        <w:t>í</w:t>
      </w:r>
      <w:r w:rsidRPr="00AA5EA1">
        <w:rPr>
          <w:rFonts w:eastAsia="Times New Roman" w:cs="Arial"/>
          <w:color w:val="000000"/>
          <w:sz w:val="16"/>
          <w:szCs w:val="16"/>
        </w:rPr>
        <w:t xml:space="preserve"> či pomocné a nekvalifikované pracovníky, dalších 22 % do skupiny řemeslníci a opraváři</w:t>
      </w:r>
      <w:r>
        <w:rPr>
          <w:rFonts w:eastAsia="Times New Roman" w:cs="Arial"/>
          <w:color w:val="000000"/>
          <w:sz w:val="16"/>
          <w:szCs w:val="16"/>
        </w:rPr>
        <w:t>)</w:t>
      </w:r>
      <w:r w:rsidRPr="00AA5EA1">
        <w:rPr>
          <w:rFonts w:eastAsia="Times New Roman" w:cs="Arial"/>
          <w:color w:val="000000"/>
          <w:sz w:val="16"/>
          <w:szCs w:val="16"/>
        </w:rPr>
        <w:t xml:space="preserve">. </w:t>
      </w:r>
    </w:p>
  </w:footnote>
  <w:footnote w:id="20">
    <w:p w:rsidR="00C805DC" w:rsidRDefault="00C805DC" w:rsidP="005D3386">
      <w:pPr>
        <w:pStyle w:val="Textpoznpodarou"/>
        <w:jc w:val="both"/>
      </w:pPr>
      <w:r>
        <w:rPr>
          <w:rStyle w:val="Znakapoznpodarou"/>
        </w:rPr>
        <w:footnoteRef/>
      </w:r>
      <w:r>
        <w:t xml:space="preserve"> </w:t>
      </w:r>
      <w:r>
        <w:rPr>
          <w:sz w:val="16"/>
          <w:szCs w:val="16"/>
        </w:rPr>
        <w:t>Dle kvalifikovaných odhadů MPSV</w:t>
      </w:r>
      <w:r w:rsidRPr="00577979">
        <w:rPr>
          <w:sz w:val="16"/>
          <w:szCs w:val="16"/>
        </w:rPr>
        <w:t xml:space="preserve"> vzrostl během roku 2017 poče</w:t>
      </w:r>
      <w:r>
        <w:rPr>
          <w:sz w:val="16"/>
          <w:szCs w:val="16"/>
        </w:rPr>
        <w:t xml:space="preserve">t cizinců v pozici zaměstnanců </w:t>
      </w:r>
      <w:r w:rsidRPr="00577979">
        <w:rPr>
          <w:sz w:val="16"/>
          <w:szCs w:val="16"/>
        </w:rPr>
        <w:t>o 87 tis.</w:t>
      </w:r>
      <w:r>
        <w:rPr>
          <w:sz w:val="16"/>
          <w:szCs w:val="16"/>
        </w:rPr>
        <w:t xml:space="preserve"> Téměř třetinu z tohoto nárůstu tvořili občané Ukrajiny.</w:t>
      </w:r>
      <w:r w:rsidRPr="00577979">
        <w:rPr>
          <w:sz w:val="16"/>
          <w:szCs w:val="16"/>
        </w:rPr>
        <w:t xml:space="preserve"> Na konci roku 2017 tak v zaměs</w:t>
      </w:r>
      <w:r>
        <w:rPr>
          <w:sz w:val="16"/>
          <w:szCs w:val="16"/>
        </w:rPr>
        <w:t>tnaneckých pozicích v ČR</w:t>
      </w:r>
      <w:r w:rsidRPr="00577979">
        <w:rPr>
          <w:sz w:val="16"/>
          <w:szCs w:val="16"/>
        </w:rPr>
        <w:t xml:space="preserve"> pracovalo </w:t>
      </w:r>
      <w:r>
        <w:rPr>
          <w:sz w:val="16"/>
          <w:szCs w:val="16"/>
        </w:rPr>
        <w:t xml:space="preserve">celkem </w:t>
      </w:r>
      <w:r w:rsidRPr="00577979">
        <w:rPr>
          <w:sz w:val="16"/>
          <w:szCs w:val="16"/>
        </w:rPr>
        <w:t>472 ti</w:t>
      </w:r>
      <w:r>
        <w:rPr>
          <w:sz w:val="16"/>
          <w:szCs w:val="16"/>
        </w:rPr>
        <w:t xml:space="preserve">s. cizích státních příslušníků (70 % z nich byli občany EU). Bezmála třetina cizinců působila ve zpracovatelském průmyslu a spolu s odvětvím administrativních a podpůrných činností (kam patří z velké části agenturní pracovníci) to byla skoro polovina. Z pohledu kvalifikací byla třetina cizinců řazena jako pomocní a nekvalifikovaní pracovníci, pětina pak v kategorii </w:t>
      </w:r>
      <w:r w:rsidRPr="005C57CC">
        <w:rPr>
          <w:sz w:val="16"/>
          <w:szCs w:val="16"/>
        </w:rPr>
        <w:t>obsluha strojů a zařízení, montéři.</w:t>
      </w:r>
      <w:r>
        <w:rPr>
          <w:sz w:val="16"/>
          <w:szCs w:val="16"/>
        </w:rPr>
        <w:t xml:space="preserve"> Do celkového počtu pracujících cizinců v ČR je třeba ještě připočítat osoby s</w:t>
      </w:r>
      <w:r w:rsidRPr="00DE086E">
        <w:rPr>
          <w:sz w:val="16"/>
          <w:szCs w:val="16"/>
        </w:rPr>
        <w:t xml:space="preserve"> platným živnostenským oprávněním</w:t>
      </w:r>
      <w:r>
        <w:rPr>
          <w:sz w:val="16"/>
          <w:szCs w:val="16"/>
        </w:rPr>
        <w:t xml:space="preserve"> (87 tis.), jejichž četnost však v posledních dvou letech rostla jen velmi pozvolna. Polovinu podnikajících cizinců tvořili v součtu občané Ukrajiny a Vietnamu. </w:t>
      </w:r>
    </w:p>
  </w:footnote>
  <w:footnote w:id="21">
    <w:p w:rsidR="00C805DC" w:rsidRPr="00E93575" w:rsidRDefault="00C805DC" w:rsidP="00EA0840">
      <w:pPr>
        <w:pStyle w:val="Textpoznpodarou"/>
        <w:jc w:val="both"/>
        <w:rPr>
          <w:spacing w:val="-2"/>
          <w:sz w:val="16"/>
          <w:szCs w:val="16"/>
        </w:rPr>
      </w:pPr>
      <w:r w:rsidRPr="00E93575">
        <w:rPr>
          <w:rStyle w:val="Znakapoznpodarou"/>
          <w:spacing w:val="-2"/>
          <w:sz w:val="16"/>
          <w:szCs w:val="16"/>
        </w:rPr>
        <w:footnoteRef/>
      </w:r>
      <w:r w:rsidRPr="00E93575">
        <w:rPr>
          <w:spacing w:val="-2"/>
          <w:sz w:val="16"/>
          <w:szCs w:val="16"/>
        </w:rPr>
        <w:t xml:space="preserve"> Míra nezaměstnanosti je zde z důvodu datové dosažitelnosti nahrazena ukazatelem „podíl registrovaných uchazečů o práci na bydlícím obyvatelstvu ve věku 15-64 let“. Z hodnocených území obvodů pověřených obecních úřadů jich mez</w:t>
      </w:r>
      <w:r>
        <w:rPr>
          <w:spacing w:val="-2"/>
          <w:sz w:val="16"/>
          <w:szCs w:val="16"/>
        </w:rPr>
        <w:t>iroční pokles nezaměstnanosti o</w:t>
      </w:r>
      <w:r w:rsidRPr="00E93575">
        <w:rPr>
          <w:spacing w:val="-2"/>
          <w:sz w:val="16"/>
          <w:szCs w:val="16"/>
        </w:rPr>
        <w:t xml:space="preserve"> alespoň 0,5 p. </w:t>
      </w:r>
      <w:proofErr w:type="spellStart"/>
      <w:r w:rsidRPr="00E93575">
        <w:rPr>
          <w:spacing w:val="-2"/>
          <w:sz w:val="16"/>
          <w:szCs w:val="16"/>
        </w:rPr>
        <w:t>b</w:t>
      </w:r>
      <w:proofErr w:type="spellEnd"/>
      <w:r w:rsidRPr="00E93575">
        <w:rPr>
          <w:spacing w:val="-2"/>
          <w:sz w:val="16"/>
          <w:szCs w:val="16"/>
        </w:rPr>
        <w:t xml:space="preserve">. </w:t>
      </w:r>
      <w:proofErr w:type="gramStart"/>
      <w:r w:rsidRPr="00E93575">
        <w:rPr>
          <w:spacing w:val="-2"/>
          <w:sz w:val="16"/>
          <w:szCs w:val="16"/>
        </w:rPr>
        <w:t>loni</w:t>
      </w:r>
      <w:proofErr w:type="gramEnd"/>
      <w:r w:rsidRPr="00E93575">
        <w:rPr>
          <w:spacing w:val="-2"/>
          <w:sz w:val="16"/>
          <w:szCs w:val="16"/>
        </w:rPr>
        <w:t xml:space="preserve"> zaznamenalo 95 %.</w:t>
      </w:r>
    </w:p>
  </w:footnote>
  <w:footnote w:id="22">
    <w:p w:rsidR="00C805DC" w:rsidRPr="00E93575" w:rsidRDefault="00C805DC" w:rsidP="005D3386">
      <w:pPr>
        <w:pStyle w:val="Textpoznpodarou"/>
        <w:jc w:val="both"/>
        <w:rPr>
          <w:spacing w:val="-4"/>
          <w:sz w:val="16"/>
          <w:szCs w:val="16"/>
        </w:rPr>
      </w:pPr>
      <w:r w:rsidRPr="00E93575">
        <w:rPr>
          <w:rStyle w:val="Znakapoznpodarou"/>
          <w:spacing w:val="-4"/>
          <w:sz w:val="16"/>
          <w:szCs w:val="16"/>
        </w:rPr>
        <w:footnoteRef/>
      </w:r>
      <w:r w:rsidRPr="00E93575">
        <w:rPr>
          <w:spacing w:val="-4"/>
          <w:sz w:val="16"/>
          <w:szCs w:val="16"/>
        </w:rPr>
        <w:t xml:space="preserve"> Není-li uvedeno jinak, pochází údaje o mzdách v této kapitole z údajů národních účtů. </w:t>
      </w:r>
      <w:r w:rsidRPr="00E93575">
        <w:rPr>
          <w:iCs/>
          <w:color w:val="0D0D0D" w:themeColor="text1" w:themeTint="F2"/>
          <w:spacing w:val="-4"/>
          <w:sz w:val="16"/>
          <w:szCs w:val="16"/>
        </w:rPr>
        <w:t>Zahrnují veškeré příjmy ze zaměst</w:t>
      </w:r>
      <w:r>
        <w:rPr>
          <w:iCs/>
          <w:color w:val="0D0D0D" w:themeColor="text1" w:themeTint="F2"/>
          <w:spacing w:val="-4"/>
          <w:sz w:val="16"/>
          <w:szCs w:val="16"/>
        </w:rPr>
        <w:t>nání, a to v peněžní i</w:t>
      </w:r>
      <w:r w:rsidRPr="00E93575">
        <w:rPr>
          <w:spacing w:val="-2"/>
          <w:sz w:val="16"/>
          <w:szCs w:val="16"/>
        </w:rPr>
        <w:t> </w:t>
      </w:r>
      <w:r w:rsidRPr="00E93575">
        <w:rPr>
          <w:iCs/>
          <w:color w:val="0D0D0D" w:themeColor="text1" w:themeTint="F2"/>
          <w:spacing w:val="-4"/>
          <w:sz w:val="16"/>
          <w:szCs w:val="16"/>
        </w:rPr>
        <w:t xml:space="preserve">naturální podobě (zaměstnanecké </w:t>
      </w:r>
      <w:proofErr w:type="spellStart"/>
      <w:r w:rsidRPr="00E93575">
        <w:rPr>
          <w:iCs/>
          <w:color w:val="0D0D0D" w:themeColor="text1" w:themeTint="F2"/>
          <w:spacing w:val="-4"/>
          <w:sz w:val="16"/>
          <w:szCs w:val="16"/>
        </w:rPr>
        <w:t>benefity</w:t>
      </w:r>
      <w:proofErr w:type="spellEnd"/>
      <w:r w:rsidRPr="00E93575">
        <w:rPr>
          <w:iCs/>
          <w:color w:val="0D0D0D" w:themeColor="text1" w:themeTint="F2"/>
          <w:spacing w:val="-4"/>
          <w:sz w:val="16"/>
          <w:szCs w:val="16"/>
        </w:rPr>
        <w:t>). Na rozdíl od podnikových statistik je v údajích promítnut i odhad vlivu šedé ekonomiky.</w:t>
      </w:r>
    </w:p>
  </w:footnote>
  <w:footnote w:id="23">
    <w:p w:rsidR="00C805DC" w:rsidRPr="0010367D" w:rsidRDefault="00C805DC" w:rsidP="00360DE3">
      <w:pPr>
        <w:pStyle w:val="Textpoznpodarou"/>
        <w:jc w:val="both"/>
        <w:rPr>
          <w:sz w:val="16"/>
          <w:szCs w:val="16"/>
        </w:rPr>
      </w:pPr>
      <w:r w:rsidRPr="0010367D">
        <w:rPr>
          <w:rStyle w:val="Znakapoznpodarou"/>
          <w:sz w:val="16"/>
          <w:szCs w:val="16"/>
        </w:rPr>
        <w:footnoteRef/>
      </w:r>
      <w:r w:rsidRPr="0010367D">
        <w:rPr>
          <w:sz w:val="16"/>
          <w:szCs w:val="16"/>
        </w:rPr>
        <w:t xml:space="preserve"> Z definitivních údajů o úplných nákladech práce za rok 2016 vyplývá, že sociální požitky (tvoří</w:t>
      </w:r>
      <w:r>
        <w:rPr>
          <w:sz w:val="16"/>
          <w:szCs w:val="16"/>
        </w:rPr>
        <w:t>cí</w:t>
      </w:r>
      <w:r w:rsidRPr="0010367D">
        <w:rPr>
          <w:sz w:val="16"/>
          <w:szCs w:val="16"/>
        </w:rPr>
        <w:t xml:space="preserve"> významnou část </w:t>
      </w:r>
      <w:proofErr w:type="spellStart"/>
      <w:r w:rsidRPr="0010367D">
        <w:rPr>
          <w:sz w:val="16"/>
          <w:szCs w:val="16"/>
        </w:rPr>
        <w:t>benefitů</w:t>
      </w:r>
      <w:proofErr w:type="spellEnd"/>
      <w:r w:rsidRPr="0010367D">
        <w:rPr>
          <w:sz w:val="16"/>
          <w:szCs w:val="16"/>
        </w:rPr>
        <w:t xml:space="preserve"> zachycenou v nepřímých nákladech práce) dále navýšily přímé náklady práce (obsahují</w:t>
      </w:r>
      <w:r>
        <w:rPr>
          <w:sz w:val="16"/>
          <w:szCs w:val="16"/>
        </w:rPr>
        <w:t>cí</w:t>
      </w:r>
      <w:r w:rsidRPr="0010367D">
        <w:rPr>
          <w:sz w:val="16"/>
          <w:szCs w:val="16"/>
        </w:rPr>
        <w:t xml:space="preserve"> mzdy a platy za vykonanou práci a také náhrady mezd placené zaměstnavatelem) v celé ekonomice o 1,5 %, v peněžnictví a pojišťovnictví </w:t>
      </w:r>
      <w:r>
        <w:rPr>
          <w:sz w:val="16"/>
          <w:szCs w:val="16"/>
        </w:rPr>
        <w:t xml:space="preserve">pak </w:t>
      </w:r>
      <w:r w:rsidRPr="0010367D">
        <w:rPr>
          <w:sz w:val="16"/>
          <w:szCs w:val="16"/>
        </w:rPr>
        <w:t xml:space="preserve">o 2,6 %. Významnou roli měly též v odvětví </w:t>
      </w:r>
      <w:r>
        <w:rPr>
          <w:sz w:val="16"/>
          <w:szCs w:val="16"/>
        </w:rPr>
        <w:t>v</w:t>
      </w:r>
      <w:r w:rsidRPr="0010367D">
        <w:rPr>
          <w:sz w:val="16"/>
          <w:szCs w:val="16"/>
        </w:rPr>
        <w:t xml:space="preserve">ýroba a rozvod elektřiny, plynu, tepla a klimatizovaného vzduchu (4,7 %), </w:t>
      </w:r>
      <w:r>
        <w:rPr>
          <w:sz w:val="16"/>
          <w:szCs w:val="16"/>
        </w:rPr>
        <w:t>z</w:t>
      </w:r>
      <w:r w:rsidRPr="0010367D">
        <w:rPr>
          <w:sz w:val="16"/>
          <w:szCs w:val="16"/>
        </w:rPr>
        <w:t xml:space="preserve">ásobování vodou; činnosti související s odpadními vodami, odpady a sanacemi (2,6 %), </w:t>
      </w:r>
      <w:r>
        <w:rPr>
          <w:sz w:val="16"/>
          <w:szCs w:val="16"/>
        </w:rPr>
        <w:t>v</w:t>
      </w:r>
      <w:r w:rsidRPr="0010367D">
        <w:rPr>
          <w:sz w:val="16"/>
          <w:szCs w:val="16"/>
        </w:rPr>
        <w:t>eřejná správa a obrana; povinné sociální zabezpečení</w:t>
      </w:r>
      <w:r>
        <w:rPr>
          <w:sz w:val="16"/>
          <w:szCs w:val="16"/>
        </w:rPr>
        <w:t xml:space="preserve"> (2,5 %) a t</w:t>
      </w:r>
      <w:r w:rsidRPr="0010367D">
        <w:rPr>
          <w:sz w:val="16"/>
          <w:szCs w:val="16"/>
        </w:rPr>
        <w:t xml:space="preserve">ěžba a dobývání (2,3 %). </w:t>
      </w:r>
      <w:r>
        <w:rPr>
          <w:sz w:val="16"/>
          <w:szCs w:val="16"/>
        </w:rPr>
        <w:t xml:space="preserve">V rozšířeném pojetí </w:t>
      </w:r>
      <w:proofErr w:type="spellStart"/>
      <w:r>
        <w:rPr>
          <w:sz w:val="16"/>
          <w:szCs w:val="16"/>
        </w:rPr>
        <w:t>benefitů</w:t>
      </w:r>
      <w:proofErr w:type="spellEnd"/>
      <w:r>
        <w:rPr>
          <w:sz w:val="16"/>
          <w:szCs w:val="16"/>
        </w:rPr>
        <w:t xml:space="preserve"> (zahrnujících vedle sociálních požitků i náklady na školení, ošatné, </w:t>
      </w:r>
      <w:r w:rsidRPr="0010367D">
        <w:rPr>
          <w:sz w:val="16"/>
          <w:szCs w:val="16"/>
        </w:rPr>
        <w:t>nadstandardní programy sociálního zabezpečení</w:t>
      </w:r>
      <w:r>
        <w:rPr>
          <w:sz w:val="16"/>
          <w:szCs w:val="16"/>
        </w:rPr>
        <w:t xml:space="preserve"> či odstupné) jejich poměr (vztažený k přímým nákladům práce) v peněžnictví a pojišťovnictví přesáhl 6 %.</w:t>
      </w:r>
      <w:r w:rsidR="00336E03">
        <w:rPr>
          <w:sz w:val="16"/>
          <w:szCs w:val="16"/>
        </w:rPr>
        <w:t xml:space="preserve"> </w:t>
      </w:r>
      <w:r>
        <w:rPr>
          <w:sz w:val="16"/>
          <w:szCs w:val="16"/>
        </w:rPr>
        <w:t>Ve výrobě</w:t>
      </w:r>
      <w:r w:rsidRPr="0010367D">
        <w:rPr>
          <w:sz w:val="16"/>
          <w:szCs w:val="16"/>
        </w:rPr>
        <w:t xml:space="preserve"> a rozvod</w:t>
      </w:r>
      <w:r>
        <w:rPr>
          <w:sz w:val="16"/>
          <w:szCs w:val="16"/>
        </w:rPr>
        <w:t>u</w:t>
      </w:r>
      <w:r w:rsidRPr="0010367D">
        <w:rPr>
          <w:sz w:val="16"/>
          <w:szCs w:val="16"/>
        </w:rPr>
        <w:t xml:space="preserve"> elektřiny, plynu, tepla a klimatizovaného vzduchu</w:t>
      </w:r>
      <w:r>
        <w:rPr>
          <w:sz w:val="16"/>
          <w:szCs w:val="16"/>
        </w:rPr>
        <w:t xml:space="preserve"> se </w:t>
      </w:r>
      <w:r w:rsidR="00336E03">
        <w:rPr>
          <w:sz w:val="16"/>
          <w:szCs w:val="16"/>
        </w:rPr>
        <w:t xml:space="preserve">pak </w:t>
      </w:r>
      <w:r>
        <w:rPr>
          <w:sz w:val="16"/>
          <w:szCs w:val="16"/>
        </w:rPr>
        <w:t>dokonce blížil 10 %.</w:t>
      </w:r>
    </w:p>
  </w:footnote>
  <w:footnote w:id="24">
    <w:p w:rsidR="00C805DC" w:rsidRPr="00960B76" w:rsidRDefault="00C805DC" w:rsidP="005D3386">
      <w:pPr>
        <w:pStyle w:val="Normlnweb"/>
        <w:spacing w:before="120" w:beforeAutospacing="0" w:after="0" w:afterAutospacing="0"/>
        <w:jc w:val="both"/>
        <w:rPr>
          <w:rFonts w:ascii="Arial" w:hAnsi="Arial" w:cs="Arial"/>
          <w:sz w:val="16"/>
          <w:szCs w:val="16"/>
        </w:rPr>
      </w:pPr>
      <w:r w:rsidRPr="003B03BB">
        <w:rPr>
          <w:rStyle w:val="Znakapoznpodarou"/>
          <w:rFonts w:ascii="Arial" w:hAnsi="Arial" w:cs="Arial"/>
          <w:sz w:val="16"/>
          <w:szCs w:val="16"/>
        </w:rPr>
        <w:footnoteRef/>
      </w:r>
      <w:r w:rsidRPr="003B03BB">
        <w:rPr>
          <w:rFonts w:ascii="Arial" w:hAnsi="Arial" w:cs="Arial"/>
          <w:sz w:val="16"/>
          <w:szCs w:val="16"/>
        </w:rPr>
        <w:t xml:space="preserve"> </w:t>
      </w:r>
      <w:r>
        <w:rPr>
          <w:rFonts w:ascii="Arial" w:hAnsi="Arial" w:cs="Arial"/>
          <w:color w:val="0D0D0D" w:themeColor="text1" w:themeTint="F2"/>
          <w:spacing w:val="-2"/>
          <w:sz w:val="16"/>
          <w:szCs w:val="16"/>
        </w:rPr>
        <w:t>Ta vychází z</w:t>
      </w:r>
      <w:r w:rsidRPr="003B03BB">
        <w:rPr>
          <w:rFonts w:ascii="Arial" w:hAnsi="Arial" w:cs="Arial"/>
          <w:color w:val="0D0D0D" w:themeColor="text1" w:themeTint="F2"/>
          <w:spacing w:val="-2"/>
          <w:sz w:val="16"/>
          <w:szCs w:val="16"/>
        </w:rPr>
        <w:t xml:space="preserve"> </w:t>
      </w:r>
      <w:r>
        <w:rPr>
          <w:rFonts w:ascii="Arial" w:hAnsi="Arial" w:cs="Arial"/>
          <w:sz w:val="16"/>
          <w:szCs w:val="16"/>
        </w:rPr>
        <w:t>údajů</w:t>
      </w:r>
      <w:r w:rsidRPr="003B03BB">
        <w:rPr>
          <w:rFonts w:ascii="Arial" w:hAnsi="Arial" w:cs="Arial"/>
          <w:sz w:val="16"/>
          <w:szCs w:val="16"/>
        </w:rPr>
        <w:t xml:space="preserve"> o</w:t>
      </w:r>
      <w:r>
        <w:rPr>
          <w:rFonts w:ascii="Arial" w:hAnsi="Arial" w:cs="Arial"/>
          <w:sz w:val="16"/>
          <w:szCs w:val="16"/>
        </w:rPr>
        <w:t xml:space="preserve"> výdělcích (doplněných dalšími </w:t>
      </w:r>
      <w:proofErr w:type="spellStart"/>
      <w:r>
        <w:rPr>
          <w:rFonts w:ascii="Arial" w:hAnsi="Arial" w:cs="Arial"/>
          <w:sz w:val="16"/>
          <w:szCs w:val="16"/>
        </w:rPr>
        <w:t>sociodemografickými</w:t>
      </w:r>
      <w:proofErr w:type="spellEnd"/>
      <w:r>
        <w:rPr>
          <w:rFonts w:ascii="Arial" w:hAnsi="Arial" w:cs="Arial"/>
          <w:sz w:val="16"/>
          <w:szCs w:val="16"/>
        </w:rPr>
        <w:t xml:space="preserve"> charakteristikami) jednotlivých zaměstnanců</w:t>
      </w:r>
      <w:r w:rsidRPr="003B03BB">
        <w:rPr>
          <w:rFonts w:ascii="Arial" w:hAnsi="Arial" w:cs="Arial"/>
          <w:sz w:val="16"/>
          <w:szCs w:val="16"/>
        </w:rPr>
        <w:t xml:space="preserve">. </w:t>
      </w:r>
      <w:r>
        <w:rPr>
          <w:rFonts w:ascii="Arial" w:hAnsi="Arial" w:cs="Arial"/>
          <w:sz w:val="16"/>
          <w:szCs w:val="16"/>
        </w:rPr>
        <w:t>Průměrná mzda ze strukturálního šetření</w:t>
      </w:r>
      <w:r w:rsidRPr="003B03BB">
        <w:rPr>
          <w:rFonts w:ascii="Arial" w:hAnsi="Arial" w:cs="Arial"/>
          <w:sz w:val="16"/>
          <w:szCs w:val="16"/>
        </w:rPr>
        <w:t xml:space="preserve"> je vypočtena poměřením s placenou dobou zaměstnance (nezahrnuje se neplacená nepřítomnos</w:t>
      </w:r>
      <w:r>
        <w:rPr>
          <w:rFonts w:ascii="Arial" w:hAnsi="Arial" w:cs="Arial"/>
          <w:sz w:val="16"/>
          <w:szCs w:val="16"/>
        </w:rPr>
        <w:t>t v práci, např. pro nemoc), nezapočítávají</w:t>
      </w:r>
      <w:r w:rsidRPr="003B03BB">
        <w:rPr>
          <w:rFonts w:ascii="Arial" w:hAnsi="Arial" w:cs="Arial"/>
          <w:sz w:val="16"/>
          <w:szCs w:val="16"/>
        </w:rPr>
        <w:t xml:space="preserve"> se ale zaměstnanci s týdenním úvazkem kratším než 30 hodin</w:t>
      </w:r>
      <w:r>
        <w:rPr>
          <w:rFonts w:ascii="Arial" w:hAnsi="Arial" w:cs="Arial"/>
          <w:sz w:val="16"/>
          <w:szCs w:val="16"/>
        </w:rPr>
        <w:t>. Oproti tomu v podnikových zjišťováních</w:t>
      </w:r>
      <w:r w:rsidRPr="003B03BB">
        <w:rPr>
          <w:rFonts w:ascii="Arial" w:hAnsi="Arial" w:cs="Arial"/>
          <w:sz w:val="16"/>
          <w:szCs w:val="16"/>
        </w:rPr>
        <w:t xml:space="preserve"> je </w:t>
      </w:r>
      <w:r>
        <w:rPr>
          <w:rFonts w:ascii="Arial" w:hAnsi="Arial" w:cs="Arial"/>
          <w:sz w:val="16"/>
          <w:szCs w:val="16"/>
        </w:rPr>
        <w:t xml:space="preserve">mzda </w:t>
      </w:r>
      <w:r w:rsidRPr="003B03BB">
        <w:rPr>
          <w:rFonts w:ascii="Arial" w:hAnsi="Arial" w:cs="Arial"/>
          <w:sz w:val="16"/>
          <w:szCs w:val="16"/>
        </w:rPr>
        <w:t xml:space="preserve">vypočtena poměřením s evidenčním počtem zaměstnanců </w:t>
      </w:r>
      <w:r>
        <w:rPr>
          <w:rFonts w:ascii="Arial" w:hAnsi="Arial" w:cs="Arial"/>
          <w:sz w:val="16"/>
          <w:szCs w:val="16"/>
        </w:rPr>
        <w:t xml:space="preserve">za celý ekonomický subjekt </w:t>
      </w:r>
      <w:r w:rsidRPr="003B03BB">
        <w:rPr>
          <w:rFonts w:ascii="Arial" w:hAnsi="Arial" w:cs="Arial"/>
          <w:sz w:val="16"/>
          <w:szCs w:val="16"/>
        </w:rPr>
        <w:t>(zaměstnanci s krátkodobou neplacenou nepřítomností jsou zahrnuti) bez ohledu na délku jejich týdenního úvazku.</w:t>
      </w:r>
    </w:p>
  </w:footnote>
  <w:footnote w:id="25">
    <w:p w:rsidR="00C805DC" w:rsidRPr="00735B7D" w:rsidRDefault="00C805DC" w:rsidP="005D3386">
      <w:pPr>
        <w:pStyle w:val="Textpoznpodarou"/>
        <w:jc w:val="both"/>
        <w:rPr>
          <w:sz w:val="16"/>
          <w:szCs w:val="16"/>
        </w:rPr>
      </w:pPr>
      <w:r w:rsidRPr="00735B7D">
        <w:rPr>
          <w:rStyle w:val="Znakapoznpodarou"/>
          <w:sz w:val="16"/>
          <w:szCs w:val="16"/>
        </w:rPr>
        <w:footnoteRef/>
      </w:r>
      <w:r w:rsidRPr="00735B7D">
        <w:rPr>
          <w:sz w:val="16"/>
          <w:szCs w:val="16"/>
        </w:rPr>
        <w:t xml:space="preserve"> </w:t>
      </w:r>
      <w:r w:rsidRPr="00735B7D">
        <w:rPr>
          <w:rFonts w:cs="Arial"/>
          <w:color w:val="000000"/>
          <w:sz w:val="16"/>
          <w:szCs w:val="16"/>
        </w:rPr>
        <w:t>Představuje rozdíl mezi průměrnými hrubými hodinovými výdělky mužských a ženských zaměstnanců vyjádřený jako procento průměrných hrubých hodinových výdělků mužských zaměstnanců. Populace zahrnuje všechny výdělečně činné zaměstnance v podnicích s 10 a více zaměstnanci a zařazen</w:t>
      </w:r>
      <w:r>
        <w:rPr>
          <w:rFonts w:cs="Arial"/>
          <w:color w:val="000000"/>
          <w:sz w:val="16"/>
          <w:szCs w:val="16"/>
        </w:rPr>
        <w:t xml:space="preserve">é </w:t>
      </w:r>
      <w:r w:rsidRPr="00735B7D">
        <w:rPr>
          <w:rFonts w:cs="Arial"/>
          <w:color w:val="000000"/>
          <w:sz w:val="16"/>
          <w:szCs w:val="16"/>
        </w:rPr>
        <w:t xml:space="preserve">dle </w:t>
      </w:r>
      <w:r>
        <w:rPr>
          <w:rFonts w:cs="Arial"/>
          <w:color w:val="000000"/>
          <w:sz w:val="16"/>
          <w:szCs w:val="16"/>
        </w:rPr>
        <w:t xml:space="preserve">klasifikace </w:t>
      </w:r>
      <w:r w:rsidRPr="00735B7D">
        <w:rPr>
          <w:rFonts w:cs="Arial"/>
          <w:color w:val="000000"/>
          <w:sz w:val="16"/>
          <w:szCs w:val="16"/>
        </w:rPr>
        <w:t>NACE</w:t>
      </w:r>
      <w:r>
        <w:rPr>
          <w:rFonts w:cs="Arial"/>
          <w:color w:val="000000"/>
          <w:sz w:val="16"/>
          <w:szCs w:val="16"/>
        </w:rPr>
        <w:t xml:space="preserve"> do sekcí B až S (s výjimkou sekce</w:t>
      </w:r>
      <w:r w:rsidRPr="00735B7D">
        <w:rPr>
          <w:rFonts w:cs="Arial"/>
          <w:color w:val="000000"/>
          <w:sz w:val="16"/>
          <w:szCs w:val="16"/>
        </w:rPr>
        <w:t xml:space="preserve"> O). Ukazatel vychází z metodiky šetření o struktuře výdělků.</w:t>
      </w:r>
    </w:p>
  </w:footnote>
  <w:footnote w:id="26">
    <w:p w:rsidR="00C805DC" w:rsidRPr="005332F0" w:rsidRDefault="00C805DC" w:rsidP="005D3386">
      <w:pPr>
        <w:pStyle w:val="Textpoznpodarou"/>
        <w:jc w:val="both"/>
        <w:rPr>
          <w:sz w:val="16"/>
          <w:szCs w:val="16"/>
        </w:rPr>
      </w:pPr>
      <w:r w:rsidRPr="005332F0">
        <w:rPr>
          <w:rStyle w:val="Znakapoznpodarou"/>
          <w:sz w:val="16"/>
          <w:szCs w:val="16"/>
        </w:rPr>
        <w:footnoteRef/>
      </w:r>
      <w:r w:rsidRPr="005332F0">
        <w:rPr>
          <w:sz w:val="16"/>
          <w:szCs w:val="16"/>
        </w:rPr>
        <w:t xml:space="preserve"> Z podrobnějšího členění je patrné, že v rámci těchto dvou skupin si loni relativně nejvíce </w:t>
      </w:r>
      <w:r>
        <w:rPr>
          <w:sz w:val="16"/>
          <w:szCs w:val="16"/>
        </w:rPr>
        <w:t xml:space="preserve">v průměru </w:t>
      </w:r>
      <w:r w:rsidRPr="005332F0">
        <w:rPr>
          <w:sz w:val="16"/>
          <w:szCs w:val="16"/>
        </w:rPr>
        <w:t>polepši</w:t>
      </w:r>
      <w:r>
        <w:rPr>
          <w:sz w:val="16"/>
          <w:szCs w:val="16"/>
        </w:rPr>
        <w:t>li montážní dělníci (+9,0</w:t>
      </w:r>
      <w:r w:rsidRPr="005332F0">
        <w:rPr>
          <w:sz w:val="16"/>
          <w:szCs w:val="16"/>
        </w:rPr>
        <w:t> </w:t>
      </w:r>
      <w:r>
        <w:rPr>
          <w:sz w:val="16"/>
          <w:szCs w:val="16"/>
        </w:rPr>
        <w:t>%) a</w:t>
      </w:r>
      <w:r>
        <w:rPr>
          <w:rFonts w:cs="Arial"/>
          <w:sz w:val="16"/>
          <w:szCs w:val="16"/>
        </w:rPr>
        <w:t> </w:t>
      </w:r>
      <w:r w:rsidRPr="005332F0">
        <w:rPr>
          <w:sz w:val="16"/>
          <w:szCs w:val="16"/>
        </w:rPr>
        <w:t xml:space="preserve">zpracovatelé potravin, dřeva a textilu (+8,7 %). </w:t>
      </w:r>
    </w:p>
  </w:footnote>
  <w:footnote w:id="27">
    <w:p w:rsidR="00C805DC" w:rsidRPr="00F2433F" w:rsidRDefault="00C805DC" w:rsidP="005D3386">
      <w:pPr>
        <w:pStyle w:val="Textpoznpodarou"/>
        <w:rPr>
          <w:sz w:val="16"/>
          <w:szCs w:val="16"/>
        </w:rPr>
      </w:pPr>
      <w:r w:rsidRPr="00F2433F">
        <w:rPr>
          <w:rStyle w:val="Znakapoznpodarou"/>
          <w:sz w:val="16"/>
          <w:szCs w:val="16"/>
        </w:rPr>
        <w:footnoteRef/>
      </w:r>
      <w:r w:rsidRPr="00F2433F">
        <w:rPr>
          <w:sz w:val="16"/>
          <w:szCs w:val="16"/>
        </w:rPr>
        <w:t xml:space="preserve"> Z pohledu průměrné mzdy si polepšili především pomocní pracovníci při přípravě jídla (+11,1 %)</w:t>
      </w:r>
      <w:r>
        <w:rPr>
          <w:sz w:val="16"/>
          <w:szCs w:val="16"/>
        </w:rPr>
        <w:t>. Uklízečům a pomocníkům vzrostly výdělky o necelých 8 %, jejich hrubá měsíční výše ale ani poté nepřesáhla 15 tis. korun a patřila vůbec k nejnižším v celé ekonomice.</w:t>
      </w:r>
    </w:p>
  </w:footnote>
  <w:footnote w:id="28">
    <w:p w:rsidR="00C805DC" w:rsidRPr="0026743D" w:rsidRDefault="00C805DC" w:rsidP="005D3386">
      <w:pPr>
        <w:pStyle w:val="Textpoznpodarou"/>
        <w:jc w:val="both"/>
        <w:rPr>
          <w:spacing w:val="-2"/>
          <w:sz w:val="16"/>
          <w:szCs w:val="16"/>
        </w:rPr>
      </w:pPr>
      <w:r w:rsidRPr="0026743D">
        <w:rPr>
          <w:rStyle w:val="Znakapoznpodarou"/>
          <w:spacing w:val="-2"/>
          <w:sz w:val="16"/>
          <w:szCs w:val="16"/>
        </w:rPr>
        <w:footnoteRef/>
      </w:r>
      <w:r w:rsidRPr="0026743D">
        <w:rPr>
          <w:spacing w:val="-2"/>
          <w:sz w:val="16"/>
          <w:szCs w:val="16"/>
        </w:rPr>
        <w:t xml:space="preserve"> V roce 2017 disponovalo vysokoško</w:t>
      </w:r>
      <w:r w:rsidR="0026743D" w:rsidRPr="0026743D">
        <w:rPr>
          <w:spacing w:val="-2"/>
          <w:sz w:val="16"/>
          <w:szCs w:val="16"/>
        </w:rPr>
        <w:t>lským vzděláním (magisterského či</w:t>
      </w:r>
      <w:r w:rsidRPr="0026743D">
        <w:rPr>
          <w:spacing w:val="-2"/>
          <w:sz w:val="16"/>
          <w:szCs w:val="16"/>
        </w:rPr>
        <w:t xml:space="preserve"> doktorského stupně) 61 % zaměstnanců v kategorii specialistů, 51 % u zákonodárců, vedoucích a řídících pracovníků a pětina u technických a odborných pracovníků (více než dvě třetiny zaměstnanců v této kategorii mělo středoškolské vzdělání s maturitou, popř. vyšší odborné vzdělání či vysokoškolské vzdělání v bakalářském stupni).</w:t>
      </w:r>
    </w:p>
  </w:footnote>
  <w:footnote w:id="29">
    <w:p w:rsidR="00C805DC" w:rsidRPr="005B1D68" w:rsidRDefault="00C805DC" w:rsidP="009C03C8">
      <w:pPr>
        <w:pStyle w:val="Textpoznpodarou"/>
        <w:jc w:val="both"/>
        <w:rPr>
          <w:sz w:val="16"/>
          <w:szCs w:val="16"/>
        </w:rPr>
      </w:pPr>
      <w:r w:rsidRPr="005B1D68">
        <w:rPr>
          <w:rStyle w:val="Znakapoznpodarou"/>
          <w:sz w:val="16"/>
          <w:szCs w:val="16"/>
        </w:rPr>
        <w:footnoteRef/>
      </w:r>
      <w:r w:rsidRPr="005B1D68">
        <w:rPr>
          <w:sz w:val="16"/>
          <w:szCs w:val="16"/>
        </w:rPr>
        <w:t xml:space="preserve"> Z dvaceti hlavních odvětvových sekcí absentují pouze v peněžnictví a pojišťovnictví (kde výrazně dominuje sektor finančních institucí), veřejné, správě, obraně a sociálním zabezpečení (vládní sektor) a ve váhově téměř zanedbatelném odvětví činností domácností jako zaměstnavatelů (domácího personálu) a producentů blíže neurčených výrobků a služeb pro vlastní spotřebu. Naopak klíčová je role nefinančních podniků v průmyslu (v roce 2017 vytvářely 93 % přidané hodnoty tohoto odvětví), informačních a komunikačních činnostech (92 %), obchodu (85 %) a administrativních a podpůrných </w:t>
      </w:r>
      <w:proofErr w:type="gramStart"/>
      <w:r w:rsidRPr="005B1D68">
        <w:rPr>
          <w:sz w:val="16"/>
          <w:szCs w:val="16"/>
        </w:rPr>
        <w:t>činnostech</w:t>
      </w:r>
      <w:proofErr w:type="gramEnd"/>
      <w:r w:rsidRPr="005B1D68">
        <w:rPr>
          <w:sz w:val="16"/>
          <w:szCs w:val="16"/>
        </w:rPr>
        <w:t xml:space="preserve"> (83 %).</w:t>
      </w:r>
    </w:p>
  </w:footnote>
  <w:footnote w:id="30">
    <w:p w:rsidR="00C805DC" w:rsidRDefault="00C805DC" w:rsidP="009C03C8">
      <w:pPr>
        <w:pStyle w:val="Textpoznpodarou"/>
      </w:pPr>
      <w:r w:rsidRPr="005B1D68">
        <w:rPr>
          <w:rStyle w:val="Znakapoznpodarou"/>
          <w:sz w:val="16"/>
          <w:szCs w:val="16"/>
        </w:rPr>
        <w:footnoteRef/>
      </w:r>
      <w:r w:rsidRPr="005B1D68">
        <w:rPr>
          <w:sz w:val="16"/>
          <w:szCs w:val="16"/>
        </w:rPr>
        <w:t xml:space="preserve"> Zaměstnanost je uvedena v pojetí národních účtů.</w:t>
      </w:r>
    </w:p>
  </w:footnote>
  <w:footnote w:id="31">
    <w:p w:rsidR="00C805DC" w:rsidRPr="00624848" w:rsidRDefault="00C805DC" w:rsidP="009C03C8">
      <w:pPr>
        <w:pStyle w:val="Textpoznpodarou"/>
        <w:rPr>
          <w:sz w:val="16"/>
          <w:szCs w:val="16"/>
        </w:rPr>
      </w:pPr>
      <w:r w:rsidRPr="00624848">
        <w:rPr>
          <w:rStyle w:val="Znakapoznpodarou"/>
          <w:sz w:val="16"/>
          <w:szCs w:val="16"/>
        </w:rPr>
        <w:footnoteRef/>
      </w:r>
      <w:r w:rsidRPr="00624848">
        <w:rPr>
          <w:sz w:val="16"/>
          <w:szCs w:val="16"/>
        </w:rPr>
        <w:t xml:space="preserve"> Ne zdaleka všechny rozdělované důchody společností v sektoru nefinančních podniků náleží nerezidentům (např. dividendy plynoucí z veřejných nefinančních podniků mohou být později i příjmem státního rozpočtu).</w:t>
      </w:r>
      <w:r>
        <w:rPr>
          <w:sz w:val="16"/>
          <w:szCs w:val="16"/>
        </w:rPr>
        <w:t xml:space="preserve"> V roce 2016 dosáhl čistý odliv dividend z tohoto sektoru 405 mld. korun, z toho odliv z nefinančních podniků pod zahraniční kontrolou se rovnal „jen“ 236 mld. korun.</w:t>
      </w:r>
    </w:p>
  </w:footnote>
  <w:footnote w:id="32">
    <w:p w:rsidR="00C805DC" w:rsidRPr="00E6155C" w:rsidRDefault="00C805DC" w:rsidP="009C03C8">
      <w:pPr>
        <w:pStyle w:val="Textpoznpodarou"/>
        <w:rPr>
          <w:sz w:val="16"/>
          <w:szCs w:val="16"/>
        </w:rPr>
      </w:pPr>
      <w:r w:rsidRPr="00E6155C">
        <w:rPr>
          <w:rStyle w:val="Znakapoznpodarou"/>
          <w:sz w:val="16"/>
          <w:szCs w:val="16"/>
        </w:rPr>
        <w:footnoteRef/>
      </w:r>
      <w:r w:rsidRPr="00E6155C">
        <w:rPr>
          <w:sz w:val="16"/>
          <w:szCs w:val="16"/>
        </w:rPr>
        <w:t xml:space="preserve"> Vyjadřuje podíl hrubých úspor na hrubé přidané hodnotě.</w:t>
      </w:r>
    </w:p>
  </w:footnote>
  <w:footnote w:id="33">
    <w:p w:rsidR="00C805DC" w:rsidRPr="00436F65" w:rsidRDefault="00C805DC" w:rsidP="0026743D">
      <w:pPr>
        <w:pStyle w:val="Textpoznpodarou"/>
        <w:jc w:val="both"/>
        <w:rPr>
          <w:sz w:val="16"/>
          <w:szCs w:val="16"/>
        </w:rPr>
      </w:pPr>
      <w:r w:rsidRPr="00436F65">
        <w:rPr>
          <w:rStyle w:val="Znakapoznpodarou"/>
          <w:sz w:val="16"/>
          <w:szCs w:val="16"/>
        </w:rPr>
        <w:footnoteRef/>
      </w:r>
      <w:r w:rsidRPr="00436F65">
        <w:rPr>
          <w:sz w:val="16"/>
          <w:szCs w:val="16"/>
        </w:rPr>
        <w:t xml:space="preserve"> Investice v širším pojetí (prostřednictvím tvorby hrubého kapitálu) vzrostly loni svižněji – o necelých 5 %.</w:t>
      </w:r>
      <w:r>
        <w:rPr>
          <w:sz w:val="16"/>
          <w:szCs w:val="16"/>
        </w:rPr>
        <w:t xml:space="preserve"> </w:t>
      </w:r>
      <w:r w:rsidR="0026743D">
        <w:rPr>
          <w:sz w:val="16"/>
          <w:szCs w:val="16"/>
        </w:rPr>
        <w:t>Meziroční z</w:t>
      </w:r>
      <w:r>
        <w:rPr>
          <w:sz w:val="16"/>
          <w:szCs w:val="16"/>
        </w:rPr>
        <w:t>měna stavu zásob čítala 42</w:t>
      </w:r>
      <w:r w:rsidRPr="00436F65">
        <w:rPr>
          <w:sz w:val="16"/>
          <w:szCs w:val="16"/>
        </w:rPr>
        <w:t> </w:t>
      </w:r>
      <w:r>
        <w:rPr>
          <w:sz w:val="16"/>
          <w:szCs w:val="16"/>
        </w:rPr>
        <w:t>mld. korun, nejvíce za posledních devět let.</w:t>
      </w:r>
    </w:p>
  </w:footnote>
  <w:footnote w:id="34">
    <w:p w:rsidR="00C805DC" w:rsidRPr="005B327D" w:rsidRDefault="00C805DC" w:rsidP="009C03C8">
      <w:pPr>
        <w:pStyle w:val="Textpoznpodarou"/>
        <w:rPr>
          <w:sz w:val="16"/>
          <w:szCs w:val="16"/>
        </w:rPr>
      </w:pPr>
      <w:r w:rsidRPr="005B327D">
        <w:rPr>
          <w:rStyle w:val="Znakapoznpodarou"/>
          <w:sz w:val="16"/>
          <w:szCs w:val="16"/>
        </w:rPr>
        <w:footnoteRef/>
      </w:r>
      <w:r w:rsidRPr="005B327D">
        <w:rPr>
          <w:sz w:val="16"/>
          <w:szCs w:val="16"/>
        </w:rPr>
        <w:t xml:space="preserve"> Bez chybějících aktuálních údajů za Maďarsko, Chorvatsko a Maltu.</w:t>
      </w:r>
    </w:p>
  </w:footnote>
  <w:footnote w:id="35">
    <w:p w:rsidR="00C805DC" w:rsidRPr="00BE2C39" w:rsidRDefault="00C805DC" w:rsidP="009C03C8">
      <w:pPr>
        <w:pStyle w:val="Textpoznpodarou"/>
        <w:rPr>
          <w:sz w:val="16"/>
          <w:szCs w:val="16"/>
        </w:rPr>
      </w:pPr>
      <w:r w:rsidRPr="00BE2C39">
        <w:rPr>
          <w:rStyle w:val="Znakapoznpodarou"/>
          <w:sz w:val="16"/>
          <w:szCs w:val="16"/>
        </w:rPr>
        <w:footnoteRef/>
      </w:r>
      <w:r w:rsidRPr="00BE2C39">
        <w:rPr>
          <w:sz w:val="16"/>
          <w:szCs w:val="16"/>
        </w:rPr>
        <w:t xml:space="preserve"> </w:t>
      </w:r>
      <w:r w:rsidRPr="00BE2C39">
        <w:rPr>
          <w:rFonts w:cs="Arial"/>
          <w:spacing w:val="-4"/>
          <w:sz w:val="16"/>
          <w:szCs w:val="16"/>
        </w:rPr>
        <w:t>To zčásti souvisí se specifickou odvětvovou skladbou (</w:t>
      </w:r>
      <w:r>
        <w:rPr>
          <w:rFonts w:cs="Arial"/>
          <w:spacing w:val="-4"/>
          <w:sz w:val="16"/>
          <w:szCs w:val="16"/>
        </w:rPr>
        <w:t xml:space="preserve">se silnějším </w:t>
      </w:r>
      <w:r w:rsidRPr="00BE2C39">
        <w:rPr>
          <w:rFonts w:cs="Arial"/>
          <w:spacing w:val="-4"/>
          <w:sz w:val="16"/>
          <w:szCs w:val="16"/>
        </w:rPr>
        <w:t>zastoupení</w:t>
      </w:r>
      <w:r>
        <w:rPr>
          <w:rFonts w:cs="Arial"/>
          <w:spacing w:val="-4"/>
          <w:sz w:val="16"/>
          <w:szCs w:val="16"/>
        </w:rPr>
        <w:t>m</w:t>
      </w:r>
      <w:r w:rsidRPr="00BE2C39">
        <w:rPr>
          <w:rFonts w:cs="Arial"/>
          <w:spacing w:val="-4"/>
          <w:sz w:val="16"/>
          <w:szCs w:val="16"/>
        </w:rPr>
        <w:t xml:space="preserve"> veřejných podniků v investičně náročných oborech</w:t>
      </w:r>
      <w:r>
        <w:rPr>
          <w:rFonts w:cs="Arial"/>
          <w:spacing w:val="-4"/>
          <w:sz w:val="16"/>
          <w:szCs w:val="16"/>
        </w:rPr>
        <w:t xml:space="preserve"> – energetiky, dopravy a skladování či výzkumu a vývoje).</w:t>
      </w:r>
    </w:p>
  </w:footnote>
  <w:footnote w:id="36">
    <w:p w:rsidR="00C805DC" w:rsidRPr="00631300" w:rsidRDefault="00C805DC" w:rsidP="00C96D08">
      <w:pPr>
        <w:pStyle w:val="Textpoznpodarou"/>
        <w:rPr>
          <w:sz w:val="16"/>
          <w:szCs w:val="16"/>
        </w:rPr>
      </w:pPr>
      <w:r w:rsidRPr="00631300">
        <w:rPr>
          <w:rStyle w:val="Znakapoznpodarou"/>
          <w:sz w:val="16"/>
          <w:szCs w:val="16"/>
        </w:rPr>
        <w:footnoteRef/>
      </w:r>
      <w:r w:rsidRPr="00631300">
        <w:rPr>
          <w:sz w:val="16"/>
          <w:szCs w:val="16"/>
        </w:rPr>
        <w:t xml:space="preserve"> Z</w:t>
      </w:r>
      <w:r w:rsidRPr="00631300">
        <w:rPr>
          <w:rStyle w:val="odkaz-style-wrapper"/>
          <w:rFonts w:ascii="Arial CE" w:hAnsi="Arial CE"/>
          <w:sz w:val="16"/>
          <w:szCs w:val="16"/>
        </w:rPr>
        <w:t>ákladní činností finančních institucí je finanční zprostředkování nebo finanční pomocná činnost; jsou to např. banky, úvěrová družstva, investiční fondy a společnosti, finančně leasingové společnosti, holdingové finanční společnosti, burzy n</w:t>
      </w:r>
      <w:r>
        <w:rPr>
          <w:rStyle w:val="odkaz-style-wrapper"/>
          <w:rFonts w:ascii="Arial CE" w:hAnsi="Arial CE"/>
          <w:sz w:val="16"/>
          <w:szCs w:val="16"/>
        </w:rPr>
        <w:t>ebo pojišťovny a penzijní fondy. Kromě komerčních subjektů je do sektoru finančních institucí zahrnuta i centrální banka, její podíl na HPH celého sektoru tvoří přibližně 1 %.</w:t>
      </w:r>
    </w:p>
  </w:footnote>
  <w:footnote w:id="37">
    <w:p w:rsidR="00C805DC" w:rsidRPr="001A7ADD" w:rsidRDefault="00C805DC" w:rsidP="00C96D08">
      <w:pPr>
        <w:pStyle w:val="Textpoznpodarou"/>
        <w:rPr>
          <w:sz w:val="16"/>
          <w:szCs w:val="16"/>
        </w:rPr>
      </w:pPr>
      <w:r w:rsidRPr="001A7ADD">
        <w:rPr>
          <w:rStyle w:val="Znakapoznpodarou"/>
          <w:sz w:val="16"/>
          <w:szCs w:val="16"/>
        </w:rPr>
        <w:footnoteRef/>
      </w:r>
      <w:r w:rsidRPr="001A7ADD">
        <w:rPr>
          <w:sz w:val="16"/>
          <w:szCs w:val="16"/>
        </w:rPr>
        <w:t xml:space="preserve"> Podíl hrubého provozního přebytku na hrubé přidané hodnotě.</w:t>
      </w:r>
    </w:p>
  </w:footnote>
  <w:footnote w:id="38">
    <w:p w:rsidR="00C805DC" w:rsidRPr="003F0B1D" w:rsidRDefault="00C805DC" w:rsidP="00C96D08">
      <w:pPr>
        <w:pStyle w:val="Textpoznpodarou"/>
        <w:rPr>
          <w:sz w:val="16"/>
          <w:szCs w:val="16"/>
        </w:rPr>
      </w:pPr>
      <w:r w:rsidRPr="003F0B1D">
        <w:rPr>
          <w:rStyle w:val="Znakapoznpodarou"/>
          <w:sz w:val="16"/>
          <w:szCs w:val="16"/>
        </w:rPr>
        <w:footnoteRef/>
      </w:r>
      <w:r w:rsidRPr="003F0B1D">
        <w:rPr>
          <w:sz w:val="16"/>
          <w:szCs w:val="16"/>
        </w:rPr>
        <w:t xml:space="preserve"> Podíl výdajů na tvorbu hrubého fixního kapitálu a hrubé přidané hodnoty.</w:t>
      </w:r>
    </w:p>
  </w:footnote>
  <w:footnote w:id="39">
    <w:p w:rsidR="00C805DC" w:rsidRPr="00351C06" w:rsidRDefault="00C805DC" w:rsidP="00C96D08">
      <w:pPr>
        <w:pStyle w:val="Textpoznpodarou"/>
        <w:rPr>
          <w:sz w:val="16"/>
          <w:szCs w:val="16"/>
        </w:rPr>
      </w:pPr>
      <w:r w:rsidRPr="00351C06">
        <w:rPr>
          <w:rStyle w:val="Znakapoznpodarou"/>
          <w:sz w:val="16"/>
          <w:szCs w:val="16"/>
        </w:rPr>
        <w:footnoteRef/>
      </w:r>
      <w:r w:rsidRPr="00351C06">
        <w:rPr>
          <w:sz w:val="16"/>
          <w:szCs w:val="16"/>
        </w:rPr>
        <w:t xml:space="preserve"> Počet úvazků na plnou pracovní dobu.</w:t>
      </w:r>
    </w:p>
  </w:footnote>
  <w:footnote w:id="40">
    <w:p w:rsidR="00C805DC" w:rsidRPr="00C814FC" w:rsidRDefault="00C805DC" w:rsidP="00C466D2">
      <w:pPr>
        <w:pStyle w:val="Textpoznpodarou"/>
        <w:rPr>
          <w:sz w:val="16"/>
          <w:szCs w:val="16"/>
        </w:rPr>
      </w:pPr>
      <w:r w:rsidRPr="00C814FC">
        <w:rPr>
          <w:rStyle w:val="Znakapoznpodarou"/>
          <w:sz w:val="16"/>
          <w:szCs w:val="16"/>
        </w:rPr>
        <w:footnoteRef/>
      </w:r>
      <w:r w:rsidRPr="00C814FC">
        <w:rPr>
          <w:sz w:val="16"/>
          <w:szCs w:val="16"/>
        </w:rPr>
        <w:t xml:space="preserve"> Průměrná hrubá měsíční mzda na přepočtené počty zaměstnanců</w:t>
      </w:r>
      <w:r>
        <w:rPr>
          <w:sz w:val="16"/>
          <w:szCs w:val="16"/>
        </w:rPr>
        <w:t>, kumulace ze čtvrtletního zjišťování</w:t>
      </w:r>
      <w:r w:rsidRPr="00C814FC">
        <w:rPr>
          <w:sz w:val="16"/>
          <w:szCs w:val="16"/>
        </w:rPr>
        <w:t xml:space="preserve">. </w:t>
      </w:r>
    </w:p>
  </w:footnote>
  <w:footnote w:id="41">
    <w:p w:rsidR="00C805DC" w:rsidRPr="00552C2D" w:rsidRDefault="00C805DC" w:rsidP="00C96D08">
      <w:pPr>
        <w:pStyle w:val="Textpoznpodarou"/>
        <w:rPr>
          <w:sz w:val="16"/>
          <w:szCs w:val="16"/>
        </w:rPr>
      </w:pPr>
      <w:r w:rsidRPr="00552C2D">
        <w:rPr>
          <w:rStyle w:val="Znakapoznpodarou"/>
          <w:sz w:val="16"/>
          <w:szCs w:val="16"/>
        </w:rPr>
        <w:footnoteRef/>
      </w:r>
      <w:r w:rsidRPr="00552C2D">
        <w:rPr>
          <w:sz w:val="16"/>
          <w:szCs w:val="16"/>
        </w:rPr>
        <w:t xml:space="preserve"> Režim využívající úrokových sazeb k dosažení stanoveného cíle měnové politiky.</w:t>
      </w:r>
      <w:r>
        <w:rPr>
          <w:sz w:val="16"/>
          <w:szCs w:val="16"/>
        </w:rPr>
        <w:t xml:space="preserve"> Pokles </w:t>
      </w:r>
      <w:proofErr w:type="spellStart"/>
      <w:r>
        <w:rPr>
          <w:sz w:val="16"/>
          <w:szCs w:val="16"/>
        </w:rPr>
        <w:t>měnověpolitických</w:t>
      </w:r>
      <w:proofErr w:type="spellEnd"/>
      <w:r>
        <w:rPr>
          <w:sz w:val="16"/>
          <w:szCs w:val="16"/>
        </w:rPr>
        <w:t xml:space="preserve"> úrokových sazeb na tzv. technickou nulu v mnoha zemích znemožňoval tuto standardní cestu. Jedním z možných řešení bylo využití kurzu jako alternativního měnového nástroje.</w:t>
      </w:r>
    </w:p>
  </w:footnote>
  <w:footnote w:id="42">
    <w:p w:rsidR="00C805DC" w:rsidRPr="00202B22" w:rsidRDefault="00C805DC" w:rsidP="00C96D08">
      <w:pPr>
        <w:pStyle w:val="Textpoznpodarou"/>
        <w:rPr>
          <w:sz w:val="16"/>
          <w:szCs w:val="16"/>
        </w:rPr>
      </w:pPr>
      <w:r w:rsidRPr="00202B22">
        <w:rPr>
          <w:rStyle w:val="Znakapoznpodarou"/>
          <w:sz w:val="16"/>
          <w:szCs w:val="16"/>
        </w:rPr>
        <w:footnoteRef/>
      </w:r>
      <w:r w:rsidRPr="00202B22">
        <w:rPr>
          <w:sz w:val="16"/>
          <w:szCs w:val="16"/>
        </w:rPr>
        <w:t xml:space="preserve"> </w:t>
      </w:r>
      <w:r>
        <w:rPr>
          <w:sz w:val="16"/>
          <w:szCs w:val="16"/>
        </w:rPr>
        <w:t xml:space="preserve">Reálný růst vypočítán </w:t>
      </w:r>
      <w:r w:rsidRPr="00202B22">
        <w:rPr>
          <w:sz w:val="16"/>
          <w:szCs w:val="16"/>
        </w:rPr>
        <w:t>pomocí deflátoru výdajů na spotřebu domácností.</w:t>
      </w:r>
    </w:p>
  </w:footnote>
  <w:footnote w:id="43">
    <w:p w:rsidR="00C805DC" w:rsidRPr="00406F21" w:rsidRDefault="00C805DC" w:rsidP="00C96D08">
      <w:pPr>
        <w:pStyle w:val="Textpoznpodarou"/>
        <w:rPr>
          <w:sz w:val="16"/>
          <w:szCs w:val="16"/>
        </w:rPr>
      </w:pPr>
      <w:r w:rsidRPr="00406F21">
        <w:rPr>
          <w:rStyle w:val="Znakapoznpodarou"/>
          <w:sz w:val="16"/>
          <w:szCs w:val="16"/>
        </w:rPr>
        <w:footnoteRef/>
      </w:r>
      <w:r w:rsidRPr="00406F21">
        <w:rPr>
          <w:sz w:val="16"/>
          <w:szCs w:val="16"/>
        </w:rPr>
        <w:t xml:space="preserve"> Obecně jsou trvanlivé statky ty, které lze používat opakovaně nebo kontinuálně po časové období jednoho roku a více. </w:t>
      </w:r>
      <w:r>
        <w:rPr>
          <w:sz w:val="16"/>
          <w:szCs w:val="16"/>
        </w:rPr>
        <w:t>Dělíme je na statky</w:t>
      </w:r>
      <w:r w:rsidRPr="00406F21">
        <w:rPr>
          <w:sz w:val="16"/>
          <w:szCs w:val="16"/>
        </w:rPr>
        <w:t xml:space="preserve"> dlouhodobé spotřeby</w:t>
      </w:r>
      <w:r>
        <w:rPr>
          <w:sz w:val="16"/>
          <w:szCs w:val="16"/>
        </w:rPr>
        <w:t xml:space="preserve">, kam se </w:t>
      </w:r>
      <w:r w:rsidRPr="00406F21">
        <w:rPr>
          <w:sz w:val="16"/>
          <w:szCs w:val="16"/>
        </w:rPr>
        <w:t>řadí mimo jiné motorová vozidla, nábytek, ledničky, pračky, hudební vybavení, počítačové vybavení či šperky</w:t>
      </w:r>
      <w:r>
        <w:rPr>
          <w:sz w:val="16"/>
          <w:szCs w:val="16"/>
        </w:rPr>
        <w:t xml:space="preserve"> a s</w:t>
      </w:r>
      <w:r w:rsidRPr="00406F21">
        <w:rPr>
          <w:sz w:val="16"/>
          <w:szCs w:val="16"/>
        </w:rPr>
        <w:t>třednědob</w:t>
      </w:r>
      <w:r>
        <w:rPr>
          <w:sz w:val="16"/>
          <w:szCs w:val="16"/>
        </w:rPr>
        <w:t>é spotřeby, která</w:t>
      </w:r>
      <w:r w:rsidRPr="00406F21">
        <w:rPr>
          <w:sz w:val="16"/>
          <w:szCs w:val="16"/>
        </w:rPr>
        <w:t xml:space="preserve"> zahrnuje oblečení, obuv, potřeby v domácnosti, vybavení pro sport a knihy.</w:t>
      </w:r>
    </w:p>
  </w:footnote>
  <w:footnote w:id="44">
    <w:p w:rsidR="00C805DC" w:rsidRPr="00406F21" w:rsidRDefault="00C805DC" w:rsidP="00C96D08">
      <w:pPr>
        <w:pStyle w:val="Textpoznpodarou"/>
        <w:rPr>
          <w:sz w:val="16"/>
          <w:szCs w:val="16"/>
        </w:rPr>
      </w:pPr>
      <w:r w:rsidRPr="00406F21">
        <w:rPr>
          <w:rStyle w:val="Znakapoznpodarou"/>
          <w:sz w:val="16"/>
          <w:szCs w:val="16"/>
        </w:rPr>
        <w:footnoteRef/>
      </w:r>
      <w:r w:rsidRPr="00406F21">
        <w:rPr>
          <w:sz w:val="16"/>
          <w:szCs w:val="16"/>
        </w:rPr>
        <w:t xml:space="preserve"> Údaje o spotřebě podle trvanlivosti i účelové struktuře výdajů jsou v národním pojetí</w:t>
      </w:r>
    </w:p>
  </w:footnote>
  <w:footnote w:id="45">
    <w:p w:rsidR="00C805DC" w:rsidRPr="00406F21" w:rsidRDefault="00C805DC" w:rsidP="00C96D08">
      <w:pPr>
        <w:pStyle w:val="Textpoznpodarou"/>
        <w:rPr>
          <w:sz w:val="16"/>
          <w:szCs w:val="16"/>
        </w:rPr>
      </w:pPr>
      <w:r w:rsidRPr="00406F21">
        <w:rPr>
          <w:rStyle w:val="Znakapoznpodarou"/>
          <w:sz w:val="16"/>
          <w:szCs w:val="16"/>
        </w:rPr>
        <w:footnoteRef/>
      </w:r>
      <w:r w:rsidRPr="00406F21">
        <w:rPr>
          <w:sz w:val="16"/>
          <w:szCs w:val="16"/>
        </w:rPr>
        <w:t xml:space="preserve"> Jedná se o potraviny, nápoje, tabák, farmaceutické výrobky, pohonné hmoty, kosmetiku apod.</w:t>
      </w:r>
    </w:p>
  </w:footnote>
  <w:footnote w:id="46">
    <w:p w:rsidR="00C805DC" w:rsidRDefault="00C805DC" w:rsidP="00C96D08">
      <w:pPr>
        <w:pStyle w:val="Normlnweb"/>
        <w:spacing w:before="0" w:beforeAutospacing="0"/>
      </w:pPr>
      <w:r w:rsidRPr="002F08C0">
        <w:rPr>
          <w:rStyle w:val="Znakapoznpodarou"/>
          <w:rFonts w:ascii="Arial" w:hAnsi="Arial" w:cs="Arial"/>
          <w:sz w:val="16"/>
          <w:szCs w:val="16"/>
        </w:rPr>
        <w:footnoteRef/>
      </w:r>
      <w:r w:rsidRPr="002F08C0">
        <w:rPr>
          <w:rFonts w:ascii="Arial" w:hAnsi="Arial" w:cs="Arial"/>
          <w:sz w:val="16"/>
          <w:szCs w:val="16"/>
        </w:rPr>
        <w:t xml:space="preserve"> </w:t>
      </w:r>
      <w:r>
        <w:rPr>
          <w:rFonts w:ascii="Arial" w:hAnsi="Arial" w:cs="Arial"/>
          <w:sz w:val="16"/>
          <w:szCs w:val="16"/>
        </w:rPr>
        <w:t>Jde o transfery od vládních institucí nebo NISD. P</w:t>
      </w:r>
      <w:r w:rsidRPr="002F08C0">
        <w:rPr>
          <w:rFonts w:ascii="Arial" w:hAnsi="Arial" w:cs="Arial"/>
          <w:sz w:val="16"/>
          <w:szCs w:val="16"/>
        </w:rPr>
        <w:t>ředstavují hodnotu zboží a služeb poskytnutých zejména ve formě zdravotní a sociální péče, vzdělání, bydlení.</w:t>
      </w:r>
    </w:p>
  </w:footnote>
  <w:footnote w:id="47">
    <w:p w:rsidR="00C805DC" w:rsidRPr="00233DA3" w:rsidRDefault="00C805DC" w:rsidP="00C96D08">
      <w:pPr>
        <w:pStyle w:val="Textpoznpodarou"/>
        <w:rPr>
          <w:sz w:val="16"/>
          <w:szCs w:val="16"/>
        </w:rPr>
      </w:pPr>
      <w:r w:rsidRPr="00233DA3">
        <w:rPr>
          <w:rStyle w:val="Znakapoznpodarou"/>
          <w:sz w:val="16"/>
          <w:szCs w:val="16"/>
        </w:rPr>
        <w:footnoteRef/>
      </w:r>
      <w:r w:rsidRPr="00233DA3">
        <w:rPr>
          <w:sz w:val="16"/>
          <w:szCs w:val="16"/>
        </w:rPr>
        <w:t xml:space="preserve"> Zahrnuje především zdravotní pojišťovny.</w:t>
      </w:r>
    </w:p>
  </w:footnote>
  <w:footnote w:id="48">
    <w:p w:rsidR="00C805DC" w:rsidRDefault="00C805DC" w:rsidP="004C5FBF">
      <w:pPr>
        <w:pStyle w:val="Textpoznpodarou"/>
        <w:jc w:val="both"/>
      </w:pPr>
      <w:r w:rsidRPr="00E35053">
        <w:rPr>
          <w:rStyle w:val="Znakapoznpodarou"/>
          <w:sz w:val="16"/>
          <w:szCs w:val="16"/>
        </w:rPr>
        <w:footnoteRef/>
      </w:r>
      <w:r w:rsidRPr="00E35053">
        <w:rPr>
          <w:sz w:val="16"/>
          <w:szCs w:val="16"/>
        </w:rPr>
        <w:t xml:space="preserve"> </w:t>
      </w:r>
      <w:r>
        <w:rPr>
          <w:spacing w:val="-2"/>
          <w:sz w:val="16"/>
          <w:szCs w:val="16"/>
        </w:rPr>
        <w:t>P</w:t>
      </w:r>
      <w:r w:rsidRPr="00E35053">
        <w:rPr>
          <w:spacing w:val="-2"/>
          <w:sz w:val="16"/>
          <w:szCs w:val="16"/>
        </w:rPr>
        <w:t xml:space="preserve">rimární sektor </w:t>
      </w:r>
      <w:r>
        <w:rPr>
          <w:spacing w:val="-2"/>
          <w:sz w:val="16"/>
          <w:szCs w:val="16"/>
        </w:rPr>
        <w:t xml:space="preserve">je zde </w:t>
      </w:r>
      <w:r w:rsidRPr="00E35053">
        <w:rPr>
          <w:spacing w:val="-2"/>
          <w:sz w:val="16"/>
          <w:szCs w:val="16"/>
        </w:rPr>
        <w:t>pojímán v užším vymezení. Zahrnuje odvětvové oddíly rostlinná, živočišná výroba, myslivost</w:t>
      </w:r>
      <w:r w:rsidRPr="00E35053">
        <w:rPr>
          <w:spacing w:val="-2"/>
          <w:sz w:val="16"/>
          <w:szCs w:val="16"/>
          <w:lang w:val="en-US"/>
        </w:rPr>
        <w:t xml:space="preserve">; </w:t>
      </w:r>
      <w:r w:rsidRPr="00E35053">
        <w:rPr>
          <w:spacing w:val="-2"/>
          <w:sz w:val="16"/>
          <w:szCs w:val="16"/>
        </w:rPr>
        <w:t>lesnictví a těžba dřeva</w:t>
      </w:r>
      <w:r w:rsidRPr="00E35053">
        <w:rPr>
          <w:spacing w:val="-2"/>
          <w:sz w:val="16"/>
          <w:szCs w:val="16"/>
          <w:lang w:val="en-US"/>
        </w:rPr>
        <w:t>;</w:t>
      </w:r>
      <w:r w:rsidRPr="00E35053">
        <w:rPr>
          <w:spacing w:val="-2"/>
          <w:sz w:val="16"/>
          <w:szCs w:val="16"/>
        </w:rPr>
        <w:t xml:space="preserve"> rybolov a akvakultura. Není zde naopak zahrnuto odvětví těžby a dobývání, jehož vývoj je </w:t>
      </w:r>
      <w:r>
        <w:rPr>
          <w:spacing w:val="-2"/>
          <w:sz w:val="16"/>
          <w:szCs w:val="16"/>
        </w:rPr>
        <w:t>stručně nastíněn</w:t>
      </w:r>
      <w:r w:rsidRPr="00E35053">
        <w:rPr>
          <w:spacing w:val="-2"/>
          <w:sz w:val="16"/>
          <w:szCs w:val="16"/>
        </w:rPr>
        <w:t xml:space="preserve"> v kap. 3.2 (Průmysl).</w:t>
      </w:r>
    </w:p>
  </w:footnote>
  <w:footnote w:id="49">
    <w:p w:rsidR="00C805DC" w:rsidRPr="00E35053" w:rsidRDefault="00C805DC" w:rsidP="004C5FBF">
      <w:pPr>
        <w:pStyle w:val="Textpoznpodarou"/>
        <w:jc w:val="both"/>
        <w:rPr>
          <w:sz w:val="16"/>
          <w:szCs w:val="16"/>
        </w:rPr>
      </w:pPr>
      <w:r w:rsidRPr="00E35053">
        <w:rPr>
          <w:rStyle w:val="Znakapoznpodarou"/>
          <w:sz w:val="16"/>
          <w:szCs w:val="16"/>
        </w:rPr>
        <w:footnoteRef/>
      </w:r>
      <w:r w:rsidRPr="00E35053">
        <w:rPr>
          <w:sz w:val="16"/>
          <w:szCs w:val="16"/>
        </w:rPr>
        <w:t xml:space="preserve"> </w:t>
      </w:r>
      <w:r w:rsidRPr="00E35053">
        <w:rPr>
          <w:spacing w:val="-2"/>
          <w:sz w:val="16"/>
          <w:szCs w:val="16"/>
        </w:rPr>
        <w:t xml:space="preserve">Pokud není uvedeno jinak, vychází všechny údaje v této </w:t>
      </w:r>
      <w:r>
        <w:rPr>
          <w:spacing w:val="-2"/>
          <w:sz w:val="16"/>
          <w:szCs w:val="16"/>
        </w:rPr>
        <w:t>kapitole z dat národních účtů. K</w:t>
      </w:r>
      <w:r w:rsidRPr="00E35053">
        <w:rPr>
          <w:spacing w:val="-2"/>
          <w:sz w:val="16"/>
          <w:szCs w:val="16"/>
        </w:rPr>
        <w:t>de je to relevantní, jsou očištěny o cenové vlivy.</w:t>
      </w:r>
    </w:p>
  </w:footnote>
  <w:footnote w:id="50">
    <w:p w:rsidR="00C805DC" w:rsidRPr="00CB5EF1" w:rsidRDefault="00C805DC" w:rsidP="004C5FBF">
      <w:pPr>
        <w:pStyle w:val="Textpoznpodarou"/>
        <w:jc w:val="both"/>
        <w:rPr>
          <w:sz w:val="16"/>
          <w:szCs w:val="16"/>
        </w:rPr>
      </w:pPr>
      <w:r w:rsidRPr="00CB5EF1">
        <w:rPr>
          <w:rStyle w:val="Znakapoznpodarou"/>
          <w:sz w:val="16"/>
          <w:szCs w:val="16"/>
        </w:rPr>
        <w:footnoteRef/>
      </w:r>
      <w:r w:rsidRPr="00CB5EF1">
        <w:rPr>
          <w:sz w:val="16"/>
          <w:szCs w:val="16"/>
        </w:rPr>
        <w:t xml:space="preserve"> Primární</w:t>
      </w:r>
      <w:r>
        <w:rPr>
          <w:sz w:val="16"/>
          <w:szCs w:val="16"/>
        </w:rPr>
        <w:t xml:space="preserve"> sektor s</w:t>
      </w:r>
      <w:r w:rsidRPr="00CB5EF1">
        <w:rPr>
          <w:sz w:val="16"/>
          <w:szCs w:val="16"/>
        </w:rPr>
        <w:t xml:space="preserve">e na rozdíl od drtivé většiny </w:t>
      </w:r>
      <w:r>
        <w:rPr>
          <w:sz w:val="16"/>
          <w:szCs w:val="16"/>
        </w:rPr>
        <w:t>ostatních odvětví ekonomiky vyznačuje výrazně nižší dominací nefinančních podniků ve prospěch vyšší role drobných podnikatelů (v národním účetnictví zařazených do sektoru domácností). Tato skutečnost je ještě více než v Česku patrná ve starších členských státech EU. V ČR vytvářely vloni nefinanční podniky jak v zemědělství, tak i v lesnictví necelých 60 % HPH těchto dílčích odvětví. Dominovaly (94 %) jen v tuzemských podmínkách zcela okrajovém segmentu rybářství (podílejícího se na přidané hodnotě celého primárního sektoru jen 0,5 %).</w:t>
      </w:r>
    </w:p>
  </w:footnote>
  <w:footnote w:id="51">
    <w:p w:rsidR="00C805DC" w:rsidRPr="002D1580" w:rsidRDefault="00C805DC" w:rsidP="001A0D6B">
      <w:pPr>
        <w:pStyle w:val="Textpoznpodarou"/>
        <w:rPr>
          <w:sz w:val="16"/>
          <w:szCs w:val="16"/>
        </w:rPr>
      </w:pPr>
      <w:r w:rsidRPr="002D1580">
        <w:rPr>
          <w:rStyle w:val="Znakapoznpodarou"/>
          <w:sz w:val="16"/>
          <w:szCs w:val="16"/>
        </w:rPr>
        <w:footnoteRef/>
      </w:r>
      <w:r w:rsidRPr="002D1580">
        <w:rPr>
          <w:sz w:val="16"/>
          <w:szCs w:val="16"/>
        </w:rPr>
        <w:t xml:space="preserve"> Loňská míra investic byla v primárním sektoru čtvrtá nejvyšší v historii samostatné ČR a za dosud rekordní úrovní z roku 2012 (41 %) zaostala jen nepatrně. </w:t>
      </w:r>
      <w:r>
        <w:rPr>
          <w:sz w:val="16"/>
          <w:szCs w:val="16"/>
        </w:rPr>
        <w:t>Na relativně vysoké investiční aktivitě celého sektoru se podílela většina dílčích odvětví, vyjma lesnictví a těžby dřeva, ve které i přes pokračující růst loni dosahovala jen 17 % (a patřila naopak v rámci celé ekonomiky k výrazně podprůměrným).</w:t>
      </w:r>
    </w:p>
  </w:footnote>
  <w:footnote w:id="52">
    <w:p w:rsidR="00C805DC" w:rsidRPr="00D5293C" w:rsidRDefault="00C805DC" w:rsidP="001A0D6B">
      <w:pPr>
        <w:pStyle w:val="Textpoznpodarou"/>
        <w:rPr>
          <w:sz w:val="16"/>
          <w:szCs w:val="16"/>
        </w:rPr>
      </w:pPr>
      <w:r w:rsidRPr="00D5293C">
        <w:rPr>
          <w:rStyle w:val="Znakapoznpodarou"/>
          <w:sz w:val="16"/>
          <w:szCs w:val="16"/>
        </w:rPr>
        <w:footnoteRef/>
      </w:r>
      <w:r w:rsidRPr="00D5293C">
        <w:rPr>
          <w:sz w:val="16"/>
          <w:szCs w:val="16"/>
        </w:rPr>
        <w:t xml:space="preserve"> Menší podíl měly vloni na úrovní 22 odvětvových sekcí ekonomiky jen činnosti v oblasti nemovitostí.</w:t>
      </w:r>
    </w:p>
  </w:footnote>
  <w:footnote w:id="53">
    <w:p w:rsidR="00C805DC" w:rsidRPr="000B3B41" w:rsidRDefault="00C805DC" w:rsidP="004C5FBF">
      <w:pPr>
        <w:pStyle w:val="Textpoznpodarou"/>
        <w:rPr>
          <w:spacing w:val="-2"/>
          <w:sz w:val="16"/>
          <w:szCs w:val="16"/>
        </w:rPr>
      </w:pPr>
      <w:r w:rsidRPr="000B3B41">
        <w:rPr>
          <w:rStyle w:val="Znakapoznpodarou"/>
          <w:spacing w:val="-2"/>
          <w:sz w:val="16"/>
          <w:szCs w:val="16"/>
        </w:rPr>
        <w:footnoteRef/>
      </w:r>
      <w:r w:rsidRPr="000B3B41">
        <w:rPr>
          <w:spacing w:val="-2"/>
          <w:sz w:val="16"/>
          <w:szCs w:val="16"/>
        </w:rPr>
        <w:t xml:space="preserve"> Údajů týkajících se trhu práce (zaměstnanost, mzdy) vychází z národních účtů a jsou přepočteny na plné úvazky.</w:t>
      </w:r>
    </w:p>
  </w:footnote>
  <w:footnote w:id="54">
    <w:p w:rsidR="00C805DC" w:rsidRPr="004637D6" w:rsidRDefault="00C805DC" w:rsidP="004C5FBF">
      <w:pPr>
        <w:pStyle w:val="Textpoznpodarou"/>
        <w:rPr>
          <w:spacing w:val="-2"/>
          <w:sz w:val="16"/>
          <w:szCs w:val="16"/>
        </w:rPr>
      </w:pPr>
      <w:r w:rsidRPr="004637D6">
        <w:rPr>
          <w:rStyle w:val="Znakapoznpodarou"/>
          <w:spacing w:val="-2"/>
          <w:sz w:val="16"/>
          <w:szCs w:val="16"/>
        </w:rPr>
        <w:footnoteRef/>
      </w:r>
      <w:r w:rsidRPr="004637D6">
        <w:rPr>
          <w:spacing w:val="-2"/>
          <w:sz w:val="16"/>
          <w:szCs w:val="16"/>
        </w:rPr>
        <w:t xml:space="preserve"> Dle výsledků Strukturálního šetření v zemědělství v roce 2016 bylo z celkového počtu pravidelně zaměstnaných osob v zemědělství v ČR (130 tis</w:t>
      </w:r>
      <w:r>
        <w:rPr>
          <w:spacing w:val="-2"/>
          <w:sz w:val="16"/>
          <w:szCs w:val="16"/>
        </w:rPr>
        <w:t>.</w:t>
      </w:r>
      <w:r w:rsidRPr="004637D6">
        <w:rPr>
          <w:spacing w:val="-2"/>
          <w:sz w:val="16"/>
          <w:szCs w:val="16"/>
        </w:rPr>
        <w:t xml:space="preserve">) 36 % ve věku 55 a více let (v Jihomoravském a Zlínském kraji téměř 40 %). Naopak do 35 let bylo v ČR </w:t>
      </w:r>
      <w:r>
        <w:rPr>
          <w:spacing w:val="-2"/>
          <w:sz w:val="16"/>
          <w:szCs w:val="16"/>
        </w:rPr>
        <w:t xml:space="preserve">jen 18 % </w:t>
      </w:r>
      <w:r w:rsidRPr="004637D6">
        <w:rPr>
          <w:spacing w:val="-2"/>
          <w:sz w:val="16"/>
          <w:szCs w:val="16"/>
        </w:rPr>
        <w:t>pracovníků.</w:t>
      </w:r>
    </w:p>
  </w:footnote>
  <w:footnote w:id="55">
    <w:p w:rsidR="00C805DC" w:rsidRPr="000B3B41" w:rsidRDefault="00C805DC" w:rsidP="004C5FBF">
      <w:pPr>
        <w:pStyle w:val="Textpoznpodarou"/>
        <w:rPr>
          <w:spacing w:val="-2"/>
          <w:sz w:val="16"/>
          <w:szCs w:val="16"/>
        </w:rPr>
      </w:pPr>
      <w:r w:rsidRPr="000B3B41">
        <w:rPr>
          <w:rStyle w:val="Znakapoznpodarou"/>
          <w:spacing w:val="-2"/>
          <w:sz w:val="16"/>
          <w:szCs w:val="16"/>
        </w:rPr>
        <w:footnoteRef/>
      </w:r>
      <w:r w:rsidRPr="000B3B41">
        <w:rPr>
          <w:spacing w:val="-2"/>
          <w:sz w:val="16"/>
          <w:szCs w:val="16"/>
        </w:rPr>
        <w:t xml:space="preserve"> Zahrnují veškeré příjmy ze zaměstnání – jak v peněžní, tak i </w:t>
      </w:r>
      <w:r>
        <w:rPr>
          <w:spacing w:val="-2"/>
          <w:sz w:val="16"/>
          <w:szCs w:val="16"/>
        </w:rPr>
        <w:t xml:space="preserve">v </w:t>
      </w:r>
      <w:r w:rsidRPr="000B3B41">
        <w:rPr>
          <w:spacing w:val="-2"/>
          <w:sz w:val="16"/>
          <w:szCs w:val="16"/>
        </w:rPr>
        <w:t>naturální podobě.</w:t>
      </w:r>
    </w:p>
  </w:footnote>
  <w:footnote w:id="56">
    <w:p w:rsidR="00C805DC" w:rsidRPr="000B3B41" w:rsidRDefault="00C805DC" w:rsidP="004C5FBF">
      <w:pPr>
        <w:pStyle w:val="Textpoznpodarou"/>
        <w:rPr>
          <w:spacing w:val="-2"/>
          <w:sz w:val="16"/>
          <w:szCs w:val="16"/>
        </w:rPr>
      </w:pPr>
      <w:r w:rsidRPr="000B3B41">
        <w:rPr>
          <w:rStyle w:val="Znakapoznpodarou"/>
          <w:spacing w:val="-2"/>
          <w:sz w:val="16"/>
          <w:szCs w:val="16"/>
        </w:rPr>
        <w:footnoteRef/>
      </w:r>
      <w:r w:rsidRPr="000B3B41">
        <w:rPr>
          <w:spacing w:val="-2"/>
          <w:sz w:val="16"/>
          <w:szCs w:val="16"/>
        </w:rPr>
        <w:t xml:space="preserve"> Ve váhově dominantním odvětví primárního sektoru – rostlinné a živočišné výrobě i myslivosti – dosahovala vloni hodinová produktivita práce 60 % úrovně národního hospodářství.</w:t>
      </w:r>
    </w:p>
  </w:footnote>
  <w:footnote w:id="57">
    <w:p w:rsidR="00C805DC" w:rsidRPr="000B3B41" w:rsidRDefault="00C805DC" w:rsidP="004C5FBF">
      <w:pPr>
        <w:pStyle w:val="Zkladntext"/>
        <w:spacing w:before="0" w:line="240" w:lineRule="auto"/>
        <w:rPr>
          <w:rFonts w:ascii="Arial" w:hAnsi="Arial" w:cs="Arial"/>
          <w:spacing w:val="-4"/>
          <w:sz w:val="16"/>
          <w:szCs w:val="16"/>
        </w:rPr>
      </w:pPr>
      <w:r w:rsidRPr="000B3B41">
        <w:rPr>
          <w:rStyle w:val="Znakapoznpodarou"/>
          <w:rFonts w:ascii="Arial" w:hAnsi="Arial" w:cs="Arial"/>
          <w:spacing w:val="-4"/>
          <w:sz w:val="16"/>
          <w:szCs w:val="16"/>
        </w:rPr>
        <w:footnoteRef/>
      </w:r>
      <w:r w:rsidRPr="000B3B41">
        <w:rPr>
          <w:rFonts w:ascii="Arial" w:hAnsi="Arial" w:cs="Arial"/>
          <w:spacing w:val="-4"/>
          <w:sz w:val="16"/>
          <w:szCs w:val="16"/>
        </w:rPr>
        <w:t xml:space="preserve"> Souhrnný zemědělský účet (SZÚ) nezahrnuje jednotky produkující jen pro vlastní spotřebu (zahrádky a chov hospodářských zvířat u domácností). Zemědělská produkce pro vlastní spotřebu rolníků, jejichž hospodářství překročí spodní prahovou hodnotu, je ale součástí SZÚ.</w:t>
      </w:r>
    </w:p>
  </w:footnote>
  <w:footnote w:id="58">
    <w:p w:rsidR="00C805DC" w:rsidRPr="002B3B69" w:rsidRDefault="00C805DC" w:rsidP="004C5FBF">
      <w:pPr>
        <w:pStyle w:val="Textpoznpodarou"/>
        <w:jc w:val="both"/>
        <w:rPr>
          <w:sz w:val="16"/>
          <w:szCs w:val="16"/>
        </w:rPr>
      </w:pPr>
      <w:r w:rsidRPr="002B3B69">
        <w:rPr>
          <w:rStyle w:val="Znakapoznpodarou"/>
          <w:sz w:val="16"/>
          <w:szCs w:val="16"/>
        </w:rPr>
        <w:footnoteRef/>
      </w:r>
      <w:r w:rsidRPr="002B3B69">
        <w:rPr>
          <w:sz w:val="16"/>
          <w:szCs w:val="16"/>
        </w:rPr>
        <w:t xml:space="preserve"> To v roce 2017 platilo pro patnáct států EU. Šlo většinou o novějších členské státy a </w:t>
      </w:r>
      <w:r>
        <w:rPr>
          <w:sz w:val="16"/>
          <w:szCs w:val="16"/>
        </w:rPr>
        <w:t xml:space="preserve">dále </w:t>
      </w:r>
      <w:r w:rsidRPr="002B3B69">
        <w:rPr>
          <w:sz w:val="16"/>
          <w:szCs w:val="16"/>
        </w:rPr>
        <w:t>také o většinu středomořských států.</w:t>
      </w:r>
      <w:r>
        <w:rPr>
          <w:sz w:val="16"/>
          <w:szCs w:val="16"/>
        </w:rPr>
        <w:t xml:space="preserve"> Ze zemí, které vstoupily do EU</w:t>
      </w:r>
      <w:r w:rsidRPr="002B3B69">
        <w:rPr>
          <w:sz w:val="16"/>
          <w:szCs w:val="16"/>
        </w:rPr>
        <w:t xml:space="preserve"> po roce 2000</w:t>
      </w:r>
      <w:r>
        <w:rPr>
          <w:sz w:val="16"/>
          <w:szCs w:val="16"/>
        </w:rPr>
        <w:t>,</w:t>
      </w:r>
      <w:r w:rsidRPr="002B3B69">
        <w:rPr>
          <w:sz w:val="16"/>
          <w:szCs w:val="16"/>
        </w:rPr>
        <w:t xml:space="preserve"> </w:t>
      </w:r>
      <w:r>
        <w:rPr>
          <w:sz w:val="16"/>
          <w:szCs w:val="16"/>
        </w:rPr>
        <w:t>vykazovaly</w:t>
      </w:r>
      <w:r w:rsidRPr="002B3B69">
        <w:rPr>
          <w:sz w:val="16"/>
          <w:szCs w:val="16"/>
        </w:rPr>
        <w:t xml:space="preserve"> vyšší specializaci zemědělství na ži</w:t>
      </w:r>
      <w:r>
        <w:rPr>
          <w:sz w:val="16"/>
          <w:szCs w:val="16"/>
        </w:rPr>
        <w:t>vočišnou výrobu jen</w:t>
      </w:r>
      <w:r w:rsidRPr="002B3B69">
        <w:rPr>
          <w:sz w:val="16"/>
          <w:szCs w:val="16"/>
        </w:rPr>
        <w:t xml:space="preserve"> Polsko</w:t>
      </w:r>
      <w:r>
        <w:rPr>
          <w:sz w:val="16"/>
          <w:szCs w:val="16"/>
        </w:rPr>
        <w:t xml:space="preserve"> (53 %) a také některé malé ekonomiky (Malty, Kypr, Estonsko).</w:t>
      </w:r>
    </w:p>
  </w:footnote>
  <w:footnote w:id="59">
    <w:p w:rsidR="00C805DC" w:rsidRPr="00C83B8F" w:rsidRDefault="00C805DC" w:rsidP="004C5FBF">
      <w:pPr>
        <w:pStyle w:val="Textpoznpodarou"/>
        <w:jc w:val="both"/>
        <w:rPr>
          <w:sz w:val="16"/>
          <w:szCs w:val="16"/>
        </w:rPr>
      </w:pPr>
      <w:r w:rsidRPr="00C83B8F">
        <w:rPr>
          <w:rStyle w:val="Znakapoznpodarou"/>
          <w:sz w:val="16"/>
          <w:szCs w:val="16"/>
        </w:rPr>
        <w:footnoteRef/>
      </w:r>
      <w:r w:rsidRPr="00C83B8F">
        <w:rPr>
          <w:sz w:val="16"/>
          <w:szCs w:val="16"/>
        </w:rPr>
        <w:t xml:space="preserve"> Sklizeň obilovin (8,60 mil. tun) byla čtvrtá nejvyšší v historii sledování (od roku 1918), u samotné pšenic</w:t>
      </w:r>
      <w:r>
        <w:rPr>
          <w:sz w:val="16"/>
          <w:szCs w:val="16"/>
        </w:rPr>
        <w:t>e (5,45 mil, tun) se dokonce jednalo o</w:t>
      </w:r>
      <w:r w:rsidRPr="002B3B69">
        <w:rPr>
          <w:sz w:val="16"/>
          <w:szCs w:val="16"/>
        </w:rPr>
        <w:t> </w:t>
      </w:r>
      <w:r w:rsidRPr="00C83B8F">
        <w:rPr>
          <w:sz w:val="16"/>
          <w:szCs w:val="16"/>
        </w:rPr>
        <w:t xml:space="preserve">absolutní rekord. </w:t>
      </w:r>
    </w:p>
  </w:footnote>
  <w:footnote w:id="60">
    <w:p w:rsidR="00C805DC" w:rsidRPr="006C2210" w:rsidRDefault="00C805DC" w:rsidP="004C5FBF">
      <w:pPr>
        <w:pStyle w:val="Textpoznpodarou"/>
        <w:jc w:val="both"/>
        <w:rPr>
          <w:sz w:val="16"/>
          <w:szCs w:val="16"/>
        </w:rPr>
      </w:pPr>
      <w:r w:rsidRPr="006C2210">
        <w:rPr>
          <w:rStyle w:val="Znakapoznpodarou"/>
          <w:sz w:val="16"/>
          <w:szCs w:val="16"/>
        </w:rPr>
        <w:footnoteRef/>
      </w:r>
      <w:r w:rsidRPr="006C2210">
        <w:rPr>
          <w:sz w:val="16"/>
          <w:szCs w:val="16"/>
        </w:rPr>
        <w:t xml:space="preserve"> Nižší skli</w:t>
      </w:r>
      <w:r>
        <w:rPr>
          <w:sz w:val="16"/>
          <w:szCs w:val="16"/>
        </w:rPr>
        <w:t>zeň obilovin se týkala hlavně</w:t>
      </w:r>
      <w:r w:rsidRPr="006C2210">
        <w:rPr>
          <w:sz w:val="16"/>
          <w:szCs w:val="16"/>
        </w:rPr>
        <w:t xml:space="preserve"> kukuřice na zrno (-25 %), žita (-22 %), ječmene (-7 %) a ovsa (</w:t>
      </w:r>
      <w:r>
        <w:rPr>
          <w:sz w:val="16"/>
          <w:szCs w:val="16"/>
        </w:rPr>
        <w:t>-6 %). Byla důsledkem</w:t>
      </w:r>
      <w:r w:rsidRPr="006C2210">
        <w:rPr>
          <w:sz w:val="16"/>
          <w:szCs w:val="16"/>
        </w:rPr>
        <w:t xml:space="preserve"> významného poklesu produkčních ploch. Naopak u </w:t>
      </w:r>
      <w:r>
        <w:rPr>
          <w:sz w:val="16"/>
          <w:szCs w:val="16"/>
        </w:rPr>
        <w:t xml:space="preserve">pšenice, jakožto </w:t>
      </w:r>
      <w:r w:rsidRPr="006C2210">
        <w:rPr>
          <w:sz w:val="16"/>
          <w:szCs w:val="16"/>
        </w:rPr>
        <w:t xml:space="preserve">váhově </w:t>
      </w:r>
      <w:r>
        <w:rPr>
          <w:sz w:val="16"/>
          <w:szCs w:val="16"/>
        </w:rPr>
        <w:t>dominantní obiloviny (tvořící v roce 2017 téměř dvě třetiny objemu sklizených obilovin),</w:t>
      </w:r>
      <w:r w:rsidRPr="006C2210">
        <w:rPr>
          <w:sz w:val="16"/>
          <w:szCs w:val="16"/>
        </w:rPr>
        <w:t xml:space="preserve"> </w:t>
      </w:r>
      <w:r>
        <w:rPr>
          <w:sz w:val="16"/>
          <w:szCs w:val="16"/>
        </w:rPr>
        <w:t>zůstaly loni jak produkční plocha, tak i hektarové výnosy oproti desetiletému průměru nezměněny.</w:t>
      </w:r>
    </w:p>
  </w:footnote>
  <w:footnote w:id="61">
    <w:p w:rsidR="00C805DC" w:rsidRPr="003D0C02" w:rsidRDefault="00C805DC" w:rsidP="004C5FBF">
      <w:pPr>
        <w:pStyle w:val="Textpoznpodarou"/>
        <w:jc w:val="both"/>
        <w:rPr>
          <w:sz w:val="16"/>
          <w:szCs w:val="16"/>
        </w:rPr>
      </w:pPr>
      <w:r w:rsidRPr="003D0C02">
        <w:rPr>
          <w:rStyle w:val="Znakapoznpodarou"/>
          <w:sz w:val="16"/>
          <w:szCs w:val="16"/>
        </w:rPr>
        <w:footnoteRef/>
      </w:r>
      <w:r w:rsidRPr="003D0C02">
        <w:rPr>
          <w:sz w:val="16"/>
          <w:szCs w:val="16"/>
        </w:rPr>
        <w:t xml:space="preserve"> K poklesu hektarových výnosů oproti dlouhodobému průměru došlo loni především u váhově dominantní olejniny – řepky (o 8</w:t>
      </w:r>
      <w:r>
        <w:rPr>
          <w:sz w:val="16"/>
          <w:szCs w:val="16"/>
        </w:rPr>
        <w:t xml:space="preserve"> %) a</w:t>
      </w:r>
      <w:r w:rsidRPr="003D0C02">
        <w:rPr>
          <w:sz w:val="16"/>
          <w:szCs w:val="16"/>
        </w:rPr>
        <w:t xml:space="preserve"> dále také u máku (o 14 %). </w:t>
      </w:r>
      <w:r>
        <w:rPr>
          <w:sz w:val="16"/>
          <w:szCs w:val="16"/>
        </w:rPr>
        <w:t>U obou těchto plodin přitom patří Česko dlouhodobě k nejvýznamnějším producentům v EU. V roce 2016 vytvářela řepka v tuzemsku 10,7 % celkové produkce zemědělského odvětví – nejvíce ze všech států celé EU (1,8 %). S výraznějším odstupem následovaly Lotyško (7,6 %), Slovensko (</w:t>
      </w:r>
      <w:proofErr w:type="gramStart"/>
      <w:r>
        <w:rPr>
          <w:sz w:val="16"/>
          <w:szCs w:val="16"/>
        </w:rPr>
        <w:t>6,4 % ) a dále</w:t>
      </w:r>
      <w:proofErr w:type="gramEnd"/>
      <w:r>
        <w:rPr>
          <w:sz w:val="16"/>
          <w:szCs w:val="16"/>
        </w:rPr>
        <w:t xml:space="preserve"> pak ostatní státy Pobaltí.  </w:t>
      </w:r>
    </w:p>
  </w:footnote>
  <w:footnote w:id="62">
    <w:p w:rsidR="00C805DC" w:rsidRPr="00056A87" w:rsidRDefault="00C805DC" w:rsidP="004C5FBF">
      <w:pPr>
        <w:pStyle w:val="Textpoznpodarou"/>
        <w:rPr>
          <w:sz w:val="16"/>
          <w:szCs w:val="16"/>
        </w:rPr>
      </w:pPr>
      <w:r w:rsidRPr="00056A87">
        <w:rPr>
          <w:rStyle w:val="Znakapoznpodarou"/>
          <w:sz w:val="16"/>
          <w:szCs w:val="16"/>
        </w:rPr>
        <w:footnoteRef/>
      </w:r>
      <w:r w:rsidRPr="00056A87">
        <w:rPr>
          <w:sz w:val="16"/>
          <w:szCs w:val="16"/>
        </w:rPr>
        <w:t xml:space="preserve"> Zatímco hodnota produkce (ve stálých cenách) klesla v ovocnářství meziročně o téměř pětinu, u čerstvé zeleniny o necelá 3 %. </w:t>
      </w:r>
    </w:p>
  </w:footnote>
  <w:footnote w:id="63">
    <w:p w:rsidR="00C805DC" w:rsidRPr="00443C7A" w:rsidRDefault="00C805DC" w:rsidP="004C5FBF">
      <w:pPr>
        <w:pStyle w:val="Textpoznpodarou"/>
        <w:jc w:val="both"/>
        <w:rPr>
          <w:sz w:val="16"/>
          <w:szCs w:val="16"/>
        </w:rPr>
      </w:pPr>
      <w:r w:rsidRPr="00443C7A">
        <w:rPr>
          <w:rStyle w:val="Znakapoznpodarou"/>
          <w:sz w:val="16"/>
          <w:szCs w:val="16"/>
        </w:rPr>
        <w:footnoteRef/>
      </w:r>
      <w:r w:rsidRPr="00443C7A">
        <w:rPr>
          <w:sz w:val="16"/>
          <w:szCs w:val="16"/>
        </w:rPr>
        <w:t xml:space="preserve"> V roce 2016 šlo o 52 % sklizně ovoce, 24 % konzumní zeleniny a 16 % brambor (z celkové sklizně zemědělského </w:t>
      </w:r>
      <w:r>
        <w:rPr>
          <w:sz w:val="16"/>
          <w:szCs w:val="16"/>
        </w:rPr>
        <w:t>sektoru i</w:t>
      </w:r>
      <w:r w:rsidRPr="00443C7A">
        <w:rPr>
          <w:sz w:val="16"/>
          <w:szCs w:val="16"/>
        </w:rPr>
        <w:t> </w:t>
      </w:r>
      <w:r>
        <w:rPr>
          <w:sz w:val="16"/>
          <w:szCs w:val="16"/>
        </w:rPr>
        <w:t>domácností stojících mimo</w:t>
      </w:r>
      <w:r w:rsidRPr="00443C7A">
        <w:rPr>
          <w:sz w:val="16"/>
          <w:szCs w:val="16"/>
        </w:rPr>
        <w:t xml:space="preserve"> něj).</w:t>
      </w:r>
    </w:p>
  </w:footnote>
  <w:footnote w:id="64">
    <w:p w:rsidR="00C805DC" w:rsidRPr="00455262" w:rsidRDefault="00C805DC" w:rsidP="004C5FBF">
      <w:pPr>
        <w:pStyle w:val="Textpoznpodarou"/>
        <w:jc w:val="both"/>
        <w:rPr>
          <w:color w:val="0D0D0D" w:themeColor="text1" w:themeTint="F2"/>
          <w:sz w:val="16"/>
          <w:szCs w:val="16"/>
        </w:rPr>
      </w:pPr>
      <w:r w:rsidRPr="00455262">
        <w:rPr>
          <w:rStyle w:val="Znakapoznpodarou"/>
          <w:color w:val="0D0D0D" w:themeColor="text1" w:themeTint="F2"/>
          <w:sz w:val="16"/>
          <w:szCs w:val="16"/>
        </w:rPr>
        <w:footnoteRef/>
      </w:r>
      <w:r w:rsidRPr="00455262">
        <w:rPr>
          <w:color w:val="0D0D0D" w:themeColor="text1" w:themeTint="F2"/>
          <w:sz w:val="16"/>
          <w:szCs w:val="16"/>
        </w:rPr>
        <w:t xml:space="preserve"> Dle údajů ze soupisu hospodářských zvířat (k 1. dubnu 2018) vzrostl meziročně počet prasat o 4,5 % (na 1,56 mil. kusů, i tak šlo ale o druhou nejnižší četnost v historii). Posilovaly především stavy selat a mladých prasat. Souběžně došlo také k významnému zvýšení stavu drůbeže (o desetinu, na 23,57 mil. kusů, nejvyšší stavy za posledních osm let). Relativně nejvíce přibývalo slepic (+17 %) a z méně četných podkategorií pak kachen (+42 %). V případě skotu se počty meziročně významně nezměnily (1,42 mil. kusů). </w:t>
      </w:r>
    </w:p>
  </w:footnote>
  <w:footnote w:id="65">
    <w:p w:rsidR="00C805DC" w:rsidRPr="00455262" w:rsidRDefault="00C805DC" w:rsidP="004C5FBF">
      <w:pPr>
        <w:pStyle w:val="Textpoznpodarou"/>
        <w:jc w:val="both"/>
        <w:rPr>
          <w:color w:val="0D0D0D" w:themeColor="text1" w:themeTint="F2"/>
          <w:spacing w:val="-4"/>
          <w:sz w:val="16"/>
          <w:szCs w:val="16"/>
        </w:rPr>
      </w:pPr>
      <w:r w:rsidRPr="00455262">
        <w:rPr>
          <w:rStyle w:val="Znakapoznpodarou"/>
          <w:color w:val="0D0D0D" w:themeColor="text1" w:themeTint="F2"/>
          <w:sz w:val="16"/>
          <w:szCs w:val="16"/>
        </w:rPr>
        <w:footnoteRef/>
      </w:r>
      <w:r w:rsidRPr="00455262">
        <w:rPr>
          <w:color w:val="0D0D0D" w:themeColor="text1" w:themeTint="F2"/>
          <w:sz w:val="16"/>
          <w:szCs w:val="16"/>
        </w:rPr>
        <w:t xml:space="preserve"> V posledním čtvrtletí 2017 </w:t>
      </w:r>
      <w:r w:rsidRPr="00455262">
        <w:rPr>
          <w:color w:val="0D0D0D" w:themeColor="text1" w:themeTint="F2"/>
          <w:spacing w:val="-4"/>
          <w:sz w:val="16"/>
          <w:szCs w:val="16"/>
        </w:rPr>
        <w:t>prodávali zemědělci mléko (v jakost</w:t>
      </w:r>
      <w:r>
        <w:rPr>
          <w:color w:val="0D0D0D" w:themeColor="text1" w:themeTint="F2"/>
          <w:spacing w:val="-4"/>
          <w:sz w:val="16"/>
          <w:szCs w:val="16"/>
        </w:rPr>
        <w:t xml:space="preserve">ní třídě Q) v průměru za 9,11 korun za litr. </w:t>
      </w:r>
      <w:r w:rsidRPr="00455262">
        <w:rPr>
          <w:color w:val="0D0D0D" w:themeColor="text1" w:themeTint="F2"/>
          <w:spacing w:val="-4"/>
          <w:sz w:val="16"/>
          <w:szCs w:val="16"/>
        </w:rPr>
        <w:t xml:space="preserve">To bylo o bezmála polovinu více než ve 3. čtvrtletí 2016, </w:t>
      </w:r>
      <w:r>
        <w:rPr>
          <w:color w:val="0D0D0D" w:themeColor="text1" w:themeTint="F2"/>
          <w:spacing w:val="-4"/>
          <w:sz w:val="16"/>
          <w:szCs w:val="16"/>
        </w:rPr>
        <w:t>kdy rekordně nízká cena (6,15 korun</w:t>
      </w:r>
      <w:r w:rsidRPr="00455262">
        <w:rPr>
          <w:color w:val="0D0D0D" w:themeColor="text1" w:themeTint="F2"/>
          <w:spacing w:val="-4"/>
          <w:sz w:val="16"/>
          <w:szCs w:val="16"/>
        </w:rPr>
        <w:t xml:space="preserve"> za litr, nejnižší od roku 2009) odrážela primárně přetlak produkce v zemích EU (vlivem restrikcí uvalených na dovoz zemědělských produktů i potravin do Ruska umocněných dále zrušením dlouhodobě platných mléčných kvót v EU v dubnu 2015)</w:t>
      </w:r>
    </w:p>
  </w:footnote>
  <w:footnote w:id="66">
    <w:p w:rsidR="00C805DC" w:rsidRPr="00E332ED" w:rsidRDefault="00C805DC" w:rsidP="004C5FBF">
      <w:pPr>
        <w:pStyle w:val="Textpoznpodarou"/>
        <w:rPr>
          <w:sz w:val="16"/>
          <w:szCs w:val="16"/>
        </w:rPr>
      </w:pPr>
      <w:r w:rsidRPr="00455262">
        <w:rPr>
          <w:rStyle w:val="Znakapoznpodarou"/>
          <w:color w:val="0D0D0D" w:themeColor="text1" w:themeTint="F2"/>
          <w:sz w:val="16"/>
          <w:szCs w:val="16"/>
        </w:rPr>
        <w:footnoteRef/>
      </w:r>
      <w:r w:rsidRPr="00455262">
        <w:rPr>
          <w:color w:val="0D0D0D" w:themeColor="text1" w:themeTint="F2"/>
          <w:sz w:val="16"/>
          <w:szCs w:val="16"/>
        </w:rPr>
        <w:t xml:space="preserve"> Průměrná dojivost připadající na 1 krávu dosáhla 8,22 tis litrů za rok. Proti roku 2007 se zvýšila o čtvrtinu.</w:t>
      </w:r>
    </w:p>
  </w:footnote>
  <w:footnote w:id="67">
    <w:p w:rsidR="00C805DC" w:rsidRPr="00C6152B" w:rsidRDefault="00C805DC">
      <w:pPr>
        <w:pStyle w:val="Textpoznpodarou"/>
        <w:rPr>
          <w:spacing w:val="-2"/>
          <w:sz w:val="16"/>
          <w:szCs w:val="16"/>
        </w:rPr>
      </w:pPr>
      <w:r w:rsidRPr="00C6152B">
        <w:rPr>
          <w:rStyle w:val="Znakapoznpodarou"/>
          <w:spacing w:val="-2"/>
          <w:sz w:val="16"/>
          <w:szCs w:val="16"/>
        </w:rPr>
        <w:footnoteRef/>
      </w:r>
      <w:r w:rsidRPr="00C6152B">
        <w:rPr>
          <w:spacing w:val="-2"/>
          <w:sz w:val="16"/>
          <w:szCs w:val="16"/>
        </w:rPr>
        <w:t xml:space="preserve"> Významná část snášky vajec je realizovaná mimo zemědělský sektor (v domácn</w:t>
      </w:r>
      <w:r>
        <w:rPr>
          <w:spacing w:val="-2"/>
          <w:sz w:val="16"/>
          <w:szCs w:val="16"/>
        </w:rPr>
        <w:t>ostech). Při jejich zahnutí</w:t>
      </w:r>
      <w:r w:rsidRPr="00C6152B">
        <w:rPr>
          <w:spacing w:val="-2"/>
          <w:sz w:val="16"/>
          <w:szCs w:val="16"/>
        </w:rPr>
        <w:t xml:space="preserve"> by </w:t>
      </w:r>
      <w:r>
        <w:rPr>
          <w:spacing w:val="-2"/>
          <w:sz w:val="16"/>
          <w:szCs w:val="16"/>
        </w:rPr>
        <w:t xml:space="preserve">celkový růst </w:t>
      </w:r>
      <w:r w:rsidRPr="00C6152B">
        <w:rPr>
          <w:spacing w:val="-2"/>
          <w:sz w:val="16"/>
          <w:szCs w:val="16"/>
        </w:rPr>
        <w:t>činil jen 5,7 %.</w:t>
      </w:r>
    </w:p>
  </w:footnote>
  <w:footnote w:id="68">
    <w:p w:rsidR="00C805DC" w:rsidRPr="00E8198F" w:rsidRDefault="00C805DC" w:rsidP="004C5FBF">
      <w:pPr>
        <w:pStyle w:val="Textpoznpodarou"/>
        <w:rPr>
          <w:spacing w:val="-2"/>
          <w:sz w:val="16"/>
          <w:szCs w:val="16"/>
        </w:rPr>
      </w:pPr>
      <w:r w:rsidRPr="00E8198F">
        <w:rPr>
          <w:rStyle w:val="Znakapoznpodarou"/>
          <w:spacing w:val="-2"/>
          <w:sz w:val="16"/>
          <w:szCs w:val="16"/>
        </w:rPr>
        <w:footnoteRef/>
      </w:r>
      <w:r w:rsidRPr="00E8198F">
        <w:rPr>
          <w:spacing w:val="-2"/>
          <w:sz w:val="16"/>
          <w:szCs w:val="16"/>
        </w:rPr>
        <w:t xml:space="preserve"> Údaje z národního poje kdy rekordně nízká cena (</w:t>
      </w:r>
      <w:proofErr w:type="spellStart"/>
      <w:r w:rsidRPr="00E8198F">
        <w:rPr>
          <w:spacing w:val="-2"/>
          <w:sz w:val="16"/>
          <w:szCs w:val="16"/>
        </w:rPr>
        <w:t>tí</w:t>
      </w:r>
      <w:proofErr w:type="spellEnd"/>
      <w:r w:rsidRPr="00E8198F">
        <w:rPr>
          <w:spacing w:val="-2"/>
          <w:sz w:val="16"/>
          <w:szCs w:val="16"/>
        </w:rPr>
        <w:t xml:space="preserve"> zahraničního obchodu věcně členěného dle klasifikace produkce (CZ-CPA).</w:t>
      </w:r>
    </w:p>
  </w:footnote>
  <w:footnote w:id="69">
    <w:p w:rsidR="00C805DC" w:rsidRPr="00E8198F" w:rsidRDefault="00C805DC" w:rsidP="004C5FBF">
      <w:pPr>
        <w:pStyle w:val="Textpoznpodarou"/>
        <w:rPr>
          <w:spacing w:val="-3"/>
          <w:sz w:val="16"/>
          <w:szCs w:val="16"/>
        </w:rPr>
      </w:pPr>
      <w:r w:rsidRPr="00E8198F">
        <w:rPr>
          <w:rStyle w:val="Znakapoznpodarou"/>
          <w:spacing w:val="-3"/>
          <w:sz w:val="16"/>
          <w:szCs w:val="16"/>
        </w:rPr>
        <w:footnoteRef/>
      </w:r>
      <w:r w:rsidRPr="00E8198F">
        <w:rPr>
          <w:spacing w:val="-3"/>
          <w:sz w:val="16"/>
          <w:szCs w:val="16"/>
        </w:rPr>
        <w:t xml:space="preserve"> Vedle zemědělské prvovýroby zahrnuje i většinu produktů zpracovatelského průmyslu (ty ještě více prohlubovaly negativní saldo obchodu).</w:t>
      </w:r>
    </w:p>
  </w:footnote>
  <w:footnote w:id="70">
    <w:p w:rsidR="00C805DC" w:rsidRPr="00E8198F" w:rsidRDefault="00C805DC" w:rsidP="004C5FBF">
      <w:pPr>
        <w:pStyle w:val="Textpoznpodarou"/>
        <w:jc w:val="both"/>
        <w:rPr>
          <w:spacing w:val="-2"/>
          <w:sz w:val="16"/>
          <w:szCs w:val="16"/>
        </w:rPr>
      </w:pPr>
      <w:r w:rsidRPr="00E8198F">
        <w:rPr>
          <w:rStyle w:val="Znakapoznpodarou"/>
          <w:spacing w:val="-2"/>
          <w:sz w:val="16"/>
          <w:szCs w:val="16"/>
        </w:rPr>
        <w:footnoteRef/>
      </w:r>
      <w:r w:rsidRPr="00E8198F">
        <w:rPr>
          <w:spacing w:val="-2"/>
          <w:sz w:val="16"/>
          <w:szCs w:val="16"/>
        </w:rPr>
        <w:t xml:space="preserve"> Loňská těžba dřeva byla nejvyšší v historii samostatné ČR (19,4 mil. m</w:t>
      </w:r>
      <w:r w:rsidRPr="00E8198F">
        <w:rPr>
          <w:spacing w:val="-2"/>
          <w:sz w:val="16"/>
          <w:szCs w:val="16"/>
          <w:vertAlign w:val="superscript"/>
        </w:rPr>
        <w:t>3</w:t>
      </w:r>
      <w:r w:rsidRPr="00E8198F">
        <w:rPr>
          <w:spacing w:val="-2"/>
          <w:sz w:val="16"/>
          <w:szCs w:val="16"/>
        </w:rPr>
        <w:t xml:space="preserve"> bez kůry). Meziročně vzrostla o desetinu, výhradně vlivem vysokého objemu nahodilé těžby (61 % veškeré těžby, šlo nejvyšší podíl za posledních devět let). Nárůst těžby se týkal jen jehličnatých stromů, u listnatých v úhrnu došlo k meziročnímu poklesu o 2,4 %. Z celkového objemu nahodilé těžby dřeva v ČR připadala loni polovina na těžbu hmyzovou, více než třetina</w:t>
      </w:r>
      <w:r>
        <w:rPr>
          <w:spacing w:val="-2"/>
          <w:sz w:val="16"/>
          <w:szCs w:val="16"/>
        </w:rPr>
        <w:t xml:space="preserve"> pak</w:t>
      </w:r>
      <w:r w:rsidRPr="00E8198F">
        <w:rPr>
          <w:spacing w:val="-2"/>
          <w:sz w:val="16"/>
          <w:szCs w:val="16"/>
        </w:rPr>
        <w:t xml:space="preserve"> souvisela s nepříznivými vlivy počasí. Rozložení těžby podle krajů</w:t>
      </w:r>
      <w:r>
        <w:rPr>
          <w:spacing w:val="-2"/>
          <w:sz w:val="16"/>
          <w:szCs w:val="16"/>
        </w:rPr>
        <w:t xml:space="preserve"> </w:t>
      </w:r>
      <w:r w:rsidRPr="00E8198F">
        <w:rPr>
          <w:spacing w:val="-2"/>
          <w:sz w:val="16"/>
          <w:szCs w:val="16"/>
        </w:rPr>
        <w:t>spíše než jejich celkovou lesnatost odráželo četnost a intenzitu výskytu kalamitních situací. Téměř 30 % celorepublikové těžby bylo realizováno v Moravskoslezském a Olomouckém kraji, v nichž drtivou většinu tvořila těžba nahodilá (více než 90 %).</w:t>
      </w:r>
    </w:p>
  </w:footnote>
  <w:footnote w:id="71">
    <w:p w:rsidR="00C805DC" w:rsidRPr="00D44265" w:rsidRDefault="00C805DC" w:rsidP="004C5FBF">
      <w:pPr>
        <w:pStyle w:val="Textpoznpodarou"/>
        <w:jc w:val="both"/>
        <w:rPr>
          <w:sz w:val="16"/>
          <w:szCs w:val="16"/>
        </w:rPr>
      </w:pPr>
      <w:r w:rsidRPr="00D44265">
        <w:rPr>
          <w:rStyle w:val="Znakapoznpodarou"/>
          <w:sz w:val="16"/>
          <w:szCs w:val="16"/>
        </w:rPr>
        <w:footnoteRef/>
      </w:r>
      <w:r w:rsidRPr="00D44265">
        <w:rPr>
          <w:sz w:val="16"/>
          <w:szCs w:val="16"/>
        </w:rPr>
        <w:t xml:space="preserve"> Z pohledu fyzického objemu (v m</w:t>
      </w:r>
      <w:r w:rsidRPr="00D44265">
        <w:rPr>
          <w:sz w:val="16"/>
          <w:szCs w:val="16"/>
          <w:vertAlign w:val="superscript"/>
        </w:rPr>
        <w:t>3</w:t>
      </w:r>
      <w:r w:rsidRPr="00D44265">
        <w:rPr>
          <w:sz w:val="16"/>
          <w:szCs w:val="16"/>
        </w:rPr>
        <w:t>) bylo v roce 2015 Česko pátým největším vývozcem dřeva mezi státy EU (po Švédsku, Finsku, Německu a Rakousku). Na celkovém exportu 28 zemí EU se podílelo 6,5 %.</w:t>
      </w:r>
    </w:p>
  </w:footnote>
  <w:footnote w:id="72">
    <w:p w:rsidR="00C805DC" w:rsidRDefault="00C805DC" w:rsidP="003F3890">
      <w:pPr>
        <w:pStyle w:val="Textpoznpodarou"/>
      </w:pPr>
      <w:r>
        <w:rPr>
          <w:rStyle w:val="Znakapoznpodarou"/>
        </w:rPr>
        <w:footnoteRef/>
      </w:r>
      <w:r>
        <w:t xml:space="preserve"> </w:t>
      </w:r>
      <w:r w:rsidRPr="00A918BF">
        <w:rPr>
          <w:spacing w:val="-2"/>
          <w:sz w:val="16"/>
          <w:szCs w:val="16"/>
        </w:rPr>
        <w:t>Pokud není uvedeno jinak, vychází všechny údaje v této kapitole z dat národních účtů a kde je to relevantní, jsou očištěny o cenové vlivy.</w:t>
      </w:r>
    </w:p>
  </w:footnote>
  <w:footnote w:id="73">
    <w:p w:rsidR="00C805DC" w:rsidRPr="00A232D0" w:rsidRDefault="00C805DC" w:rsidP="003F3890">
      <w:pPr>
        <w:pStyle w:val="Textpoznpodarou"/>
        <w:jc w:val="both"/>
        <w:rPr>
          <w:sz w:val="16"/>
          <w:szCs w:val="16"/>
        </w:rPr>
      </w:pPr>
      <w:r w:rsidRPr="00A232D0">
        <w:rPr>
          <w:rStyle w:val="Znakapoznpodarou"/>
          <w:sz w:val="16"/>
          <w:szCs w:val="16"/>
        </w:rPr>
        <w:footnoteRef/>
      </w:r>
      <w:r w:rsidRPr="00A232D0">
        <w:rPr>
          <w:sz w:val="16"/>
          <w:szCs w:val="16"/>
        </w:rPr>
        <w:t xml:space="preserve"> Poměr </w:t>
      </w:r>
      <w:proofErr w:type="spellStart"/>
      <w:r w:rsidRPr="00A232D0">
        <w:rPr>
          <w:sz w:val="16"/>
          <w:szCs w:val="16"/>
        </w:rPr>
        <w:t>mezispotřeby</w:t>
      </w:r>
      <w:proofErr w:type="spellEnd"/>
      <w:r w:rsidRPr="00A232D0">
        <w:rPr>
          <w:sz w:val="16"/>
          <w:szCs w:val="16"/>
        </w:rPr>
        <w:t xml:space="preserve"> k HPH (v běžných cenách) </w:t>
      </w:r>
      <w:r>
        <w:rPr>
          <w:sz w:val="16"/>
          <w:szCs w:val="16"/>
        </w:rPr>
        <w:t>dosáhl vloni v průmyslu 0,72 (v celé ekonomice 0,61). V samotném zpracovatelském průmyslu činila obdobná relace dokonce 0,73 a byla nejvyšší ze všech 19 hodnocených odvětvových sekcí ekonomiky. Vysokou náročností vstupů na finální produkt (0,64) se vyznačovala také energetika.</w:t>
      </w:r>
    </w:p>
  </w:footnote>
  <w:footnote w:id="74">
    <w:p w:rsidR="00C805DC" w:rsidRPr="001D4736" w:rsidRDefault="00C805DC" w:rsidP="001A0D6B">
      <w:pPr>
        <w:pStyle w:val="Textpoznpodarou"/>
        <w:jc w:val="both"/>
        <w:rPr>
          <w:sz w:val="16"/>
          <w:szCs w:val="16"/>
        </w:rPr>
      </w:pPr>
      <w:r w:rsidRPr="001D4736">
        <w:rPr>
          <w:rStyle w:val="Znakapoznpodarou"/>
          <w:sz w:val="16"/>
          <w:szCs w:val="16"/>
        </w:rPr>
        <w:footnoteRef/>
      </w:r>
      <w:r w:rsidRPr="001D4736">
        <w:rPr>
          <w:sz w:val="16"/>
          <w:szCs w:val="16"/>
        </w:rPr>
        <w:t xml:space="preserve"> Zatímco hodnota </w:t>
      </w:r>
      <w:r>
        <w:rPr>
          <w:sz w:val="16"/>
          <w:szCs w:val="16"/>
        </w:rPr>
        <w:t xml:space="preserve">nových </w:t>
      </w:r>
      <w:r w:rsidRPr="001D4736">
        <w:rPr>
          <w:sz w:val="16"/>
          <w:szCs w:val="16"/>
        </w:rPr>
        <w:t>průmyslových zakázek ze zahraničí loni posílila o 4,5 %, růst tuzemských zak</w:t>
      </w:r>
      <w:r>
        <w:rPr>
          <w:sz w:val="16"/>
          <w:szCs w:val="16"/>
        </w:rPr>
        <w:t>ázek (po slabších letech 2015 i</w:t>
      </w:r>
      <w:r w:rsidRPr="00A918BF">
        <w:rPr>
          <w:spacing w:val="-2"/>
          <w:sz w:val="16"/>
          <w:szCs w:val="16"/>
        </w:rPr>
        <w:t> </w:t>
      </w:r>
      <w:r w:rsidRPr="001D4736">
        <w:rPr>
          <w:sz w:val="16"/>
          <w:szCs w:val="16"/>
        </w:rPr>
        <w:t>2016) akceleroval na 14,6 %</w:t>
      </w:r>
      <w:r>
        <w:rPr>
          <w:sz w:val="16"/>
          <w:szCs w:val="16"/>
        </w:rPr>
        <w:t xml:space="preserve">, což bylo </w:t>
      </w:r>
      <w:r w:rsidRPr="001D4736">
        <w:rPr>
          <w:sz w:val="16"/>
          <w:szCs w:val="16"/>
        </w:rPr>
        <w:t>nejvyšší tempo za posledních jedenáct let.</w:t>
      </w:r>
    </w:p>
  </w:footnote>
  <w:footnote w:id="75">
    <w:p w:rsidR="00C805DC" w:rsidRPr="007A4FF1" w:rsidRDefault="00C805DC" w:rsidP="003F3890">
      <w:pPr>
        <w:pStyle w:val="Textpoznpodarou"/>
        <w:jc w:val="both"/>
        <w:rPr>
          <w:sz w:val="16"/>
          <w:szCs w:val="16"/>
        </w:rPr>
      </w:pPr>
      <w:r w:rsidRPr="007A4FF1">
        <w:rPr>
          <w:rStyle w:val="Znakapoznpodarou"/>
          <w:sz w:val="16"/>
          <w:szCs w:val="16"/>
        </w:rPr>
        <w:footnoteRef/>
      </w:r>
      <w:r w:rsidRPr="007A4FF1">
        <w:rPr>
          <w:sz w:val="16"/>
          <w:szCs w:val="16"/>
        </w:rPr>
        <w:t xml:space="preserve"> Vyjadřuje podíl hrubého provozního přebytku na hrubé přidané hodnotě </w:t>
      </w:r>
      <w:r>
        <w:rPr>
          <w:sz w:val="16"/>
          <w:szCs w:val="16"/>
        </w:rPr>
        <w:t xml:space="preserve">(HPH) </w:t>
      </w:r>
      <w:r w:rsidRPr="007A4FF1">
        <w:rPr>
          <w:sz w:val="16"/>
          <w:szCs w:val="16"/>
        </w:rPr>
        <w:t>podnikové sféry. Ráz odvětví průmyslu výrazně určují právě nefinanční podniky</w:t>
      </w:r>
      <w:r>
        <w:rPr>
          <w:sz w:val="16"/>
          <w:szCs w:val="16"/>
        </w:rPr>
        <w:t>, jejichž role navíc v čase mírně posiluje</w:t>
      </w:r>
      <w:r w:rsidRPr="007A4FF1">
        <w:rPr>
          <w:sz w:val="16"/>
          <w:szCs w:val="16"/>
        </w:rPr>
        <w:t>. Ty</w:t>
      </w:r>
      <w:r>
        <w:rPr>
          <w:sz w:val="16"/>
          <w:szCs w:val="16"/>
        </w:rPr>
        <w:t>to podniky</w:t>
      </w:r>
      <w:r w:rsidRPr="007A4FF1">
        <w:rPr>
          <w:sz w:val="16"/>
          <w:szCs w:val="16"/>
        </w:rPr>
        <w:t xml:space="preserve"> </w:t>
      </w:r>
      <w:r>
        <w:rPr>
          <w:sz w:val="16"/>
          <w:szCs w:val="16"/>
        </w:rPr>
        <w:t xml:space="preserve">se </w:t>
      </w:r>
      <w:r w:rsidRPr="007A4FF1">
        <w:rPr>
          <w:sz w:val="16"/>
          <w:szCs w:val="16"/>
        </w:rPr>
        <w:t>v roce 2017</w:t>
      </w:r>
      <w:r>
        <w:rPr>
          <w:sz w:val="16"/>
          <w:szCs w:val="16"/>
        </w:rPr>
        <w:t xml:space="preserve"> na HPH celého průmyslu podílely již 93,2 %, ze zbylé části měli největší váhu drobní podnikatelé (6,6 %). Nefinanční podniky dosahovaly relativně slabšího podílu jen v šesti poměrně malých zpracovatelských oborech: výrobě oděvů (59 %), dřevozpracujícím (67 %), nábytkářském (71 %) a farmaceutickém </w:t>
      </w:r>
      <w:proofErr w:type="gramStart"/>
      <w:r>
        <w:rPr>
          <w:sz w:val="16"/>
          <w:szCs w:val="16"/>
        </w:rPr>
        <w:t>průmyslu</w:t>
      </w:r>
      <w:proofErr w:type="gramEnd"/>
      <w:r>
        <w:rPr>
          <w:sz w:val="16"/>
          <w:szCs w:val="16"/>
        </w:rPr>
        <w:t xml:space="preserve"> (76 %), výrobě nápojů (77 %) a tiskárenství (78 %).</w:t>
      </w:r>
    </w:p>
  </w:footnote>
  <w:footnote w:id="76">
    <w:p w:rsidR="00C805DC" w:rsidRPr="00864AEF" w:rsidRDefault="00C805DC" w:rsidP="003F3890">
      <w:pPr>
        <w:pStyle w:val="Textpoznpodarou"/>
        <w:jc w:val="both"/>
        <w:rPr>
          <w:color w:val="0D0D0D" w:themeColor="text1" w:themeTint="F2"/>
          <w:sz w:val="16"/>
          <w:szCs w:val="16"/>
        </w:rPr>
      </w:pPr>
      <w:r w:rsidRPr="00864AEF">
        <w:rPr>
          <w:rStyle w:val="Znakapoznpodarou"/>
          <w:color w:val="0D0D0D" w:themeColor="text1" w:themeTint="F2"/>
          <w:sz w:val="16"/>
          <w:szCs w:val="16"/>
        </w:rPr>
        <w:footnoteRef/>
      </w:r>
      <w:r w:rsidRPr="00864AEF">
        <w:rPr>
          <w:color w:val="0D0D0D" w:themeColor="text1" w:themeTint="F2"/>
          <w:sz w:val="16"/>
          <w:szCs w:val="16"/>
        </w:rPr>
        <w:t xml:space="preserve"> P</w:t>
      </w:r>
      <w:r w:rsidRPr="00864AEF">
        <w:rPr>
          <w:iCs/>
          <w:color w:val="0D0D0D" w:themeColor="text1" w:themeTint="F2"/>
          <w:sz w:val="16"/>
          <w:szCs w:val="16"/>
        </w:rPr>
        <w:t xml:space="preserve">růměrný měsíční příjem ze zaměstnání je definován jako podíl mezd a platů za národní hospodářství v průměru za měsíc a počtu zaměstnanců přepočtených na plný úvazek. Ukazatel mezd a platů zahrnuje veškeré příjmy ze zaměstnání, a to v peněžní i naturální podobě (zaměstnanecké </w:t>
      </w:r>
      <w:proofErr w:type="spellStart"/>
      <w:r w:rsidRPr="00864AEF">
        <w:rPr>
          <w:iCs/>
          <w:color w:val="0D0D0D" w:themeColor="text1" w:themeTint="F2"/>
          <w:sz w:val="16"/>
          <w:szCs w:val="16"/>
        </w:rPr>
        <w:t>benefity</w:t>
      </w:r>
      <w:proofErr w:type="spellEnd"/>
      <w:r w:rsidRPr="00864AEF">
        <w:rPr>
          <w:iCs/>
          <w:color w:val="0D0D0D" w:themeColor="text1" w:themeTint="F2"/>
          <w:sz w:val="16"/>
          <w:szCs w:val="16"/>
        </w:rPr>
        <w:t>) bez ohledu na to, jestli byly oficiálně přiznány nebo ne. Ukazatel počtu zaměstnanců na plný úvazek zahrnuje veškeré formy zaměstnání, formální i neformální. Jsou zde zahrnuty i různé formy dohod.</w:t>
      </w:r>
    </w:p>
  </w:footnote>
  <w:footnote w:id="77">
    <w:p w:rsidR="00C805DC" w:rsidRPr="00BF720E" w:rsidRDefault="00C805DC" w:rsidP="003F3890">
      <w:pPr>
        <w:pStyle w:val="Textpoznpodarou"/>
        <w:jc w:val="both"/>
        <w:rPr>
          <w:spacing w:val="-2"/>
          <w:sz w:val="16"/>
          <w:szCs w:val="16"/>
        </w:rPr>
      </w:pPr>
      <w:r w:rsidRPr="00BF720E">
        <w:rPr>
          <w:rStyle w:val="Znakapoznpodarou"/>
          <w:spacing w:val="-2"/>
          <w:sz w:val="16"/>
          <w:szCs w:val="16"/>
        </w:rPr>
        <w:footnoteRef/>
      </w:r>
      <w:r w:rsidRPr="00BF720E">
        <w:rPr>
          <w:spacing w:val="-2"/>
          <w:sz w:val="16"/>
          <w:szCs w:val="16"/>
        </w:rPr>
        <w:t xml:space="preserve"> Zahrnuje stroje a zařízení</w:t>
      </w:r>
      <w:r>
        <w:rPr>
          <w:spacing w:val="-2"/>
          <w:sz w:val="16"/>
          <w:szCs w:val="16"/>
        </w:rPr>
        <w:t xml:space="preserve"> vyjma </w:t>
      </w:r>
      <w:proofErr w:type="spellStart"/>
      <w:r>
        <w:rPr>
          <w:spacing w:val="-2"/>
          <w:sz w:val="16"/>
          <w:szCs w:val="16"/>
        </w:rPr>
        <w:t>dopr</w:t>
      </w:r>
      <w:proofErr w:type="spellEnd"/>
      <w:r>
        <w:rPr>
          <w:spacing w:val="-2"/>
          <w:sz w:val="16"/>
          <w:szCs w:val="16"/>
        </w:rPr>
        <w:t>.</w:t>
      </w:r>
      <w:r w:rsidRPr="00BF720E">
        <w:rPr>
          <w:spacing w:val="-2"/>
          <w:sz w:val="16"/>
          <w:szCs w:val="16"/>
        </w:rPr>
        <w:t xml:space="preserve"> prostředků a prostředků informačních a komunikačních technologií (ty tvoří samostatnou kategorii). </w:t>
      </w:r>
    </w:p>
  </w:footnote>
  <w:footnote w:id="78">
    <w:p w:rsidR="00C805DC" w:rsidRPr="00BF720E" w:rsidRDefault="00C805DC" w:rsidP="003F3890">
      <w:pPr>
        <w:pStyle w:val="Textpoznpodarou"/>
        <w:jc w:val="both"/>
        <w:rPr>
          <w:sz w:val="16"/>
          <w:szCs w:val="16"/>
        </w:rPr>
      </w:pPr>
      <w:r w:rsidRPr="00BF720E">
        <w:rPr>
          <w:rStyle w:val="Znakapoznpodarou"/>
          <w:spacing w:val="-2"/>
          <w:sz w:val="16"/>
          <w:szCs w:val="16"/>
        </w:rPr>
        <w:footnoteRef/>
      </w:r>
      <w:r w:rsidRPr="00BF720E">
        <w:rPr>
          <w:spacing w:val="-2"/>
          <w:sz w:val="16"/>
          <w:szCs w:val="16"/>
        </w:rPr>
        <w:t xml:space="preserve"> Silnější postavení v rámci sekcí průmyslu mají </w:t>
      </w:r>
      <w:r>
        <w:rPr>
          <w:spacing w:val="-2"/>
          <w:sz w:val="16"/>
          <w:szCs w:val="16"/>
        </w:rPr>
        <w:t xml:space="preserve">dopravní prostředky </w:t>
      </w:r>
      <w:r w:rsidRPr="00BF720E">
        <w:rPr>
          <w:spacing w:val="-2"/>
          <w:sz w:val="16"/>
          <w:szCs w:val="16"/>
        </w:rPr>
        <w:t>jen v odvětví zásobování vodou, činnosti souvisejí</w:t>
      </w:r>
      <w:r>
        <w:rPr>
          <w:spacing w:val="-2"/>
          <w:sz w:val="16"/>
          <w:szCs w:val="16"/>
        </w:rPr>
        <w:t>cí s odpadními vodami, odpady a</w:t>
      </w:r>
      <w:r w:rsidRPr="00BF720E">
        <w:rPr>
          <w:spacing w:val="-2"/>
          <w:sz w:val="16"/>
          <w:szCs w:val="16"/>
        </w:rPr>
        <w:t> sanacemi, kde dlouhodobě tvoří čtvrtinu až pětinu investic.</w:t>
      </w:r>
    </w:p>
  </w:footnote>
  <w:footnote w:id="79">
    <w:p w:rsidR="00C805DC" w:rsidRPr="002B775D" w:rsidRDefault="00C805DC" w:rsidP="003F3890">
      <w:pPr>
        <w:pStyle w:val="Textpoznpodarou"/>
        <w:rPr>
          <w:spacing w:val="-2"/>
          <w:sz w:val="16"/>
          <w:szCs w:val="16"/>
        </w:rPr>
      </w:pPr>
      <w:r w:rsidRPr="002B775D">
        <w:rPr>
          <w:rStyle w:val="Znakapoznpodarou"/>
          <w:spacing w:val="-2"/>
          <w:sz w:val="16"/>
          <w:szCs w:val="16"/>
        </w:rPr>
        <w:footnoteRef/>
      </w:r>
      <w:r w:rsidRPr="002B775D">
        <w:rPr>
          <w:spacing w:val="-2"/>
          <w:sz w:val="16"/>
          <w:szCs w:val="16"/>
        </w:rPr>
        <w:t xml:space="preserve"> Na přidané hodnotě celého průmyslu se výroba motorových vozidel loni podílela 17,8 %, v případě produkce byl podíl dokonce čtvrtinový.</w:t>
      </w:r>
    </w:p>
  </w:footnote>
  <w:footnote w:id="80">
    <w:p w:rsidR="00C805DC" w:rsidRPr="005303FF" w:rsidRDefault="00C805DC" w:rsidP="003F3890">
      <w:pPr>
        <w:pStyle w:val="Textpoznpodarou"/>
        <w:rPr>
          <w:sz w:val="16"/>
          <w:szCs w:val="16"/>
        </w:rPr>
      </w:pPr>
      <w:r w:rsidRPr="005303FF">
        <w:rPr>
          <w:rStyle w:val="Znakapoznpodarou"/>
          <w:sz w:val="16"/>
          <w:szCs w:val="16"/>
        </w:rPr>
        <w:footnoteRef/>
      </w:r>
      <w:r w:rsidRPr="005303FF">
        <w:rPr>
          <w:sz w:val="16"/>
          <w:szCs w:val="16"/>
        </w:rPr>
        <w:t xml:space="preserve"> Na celkových nominálních tržbách tohoto odvětví se dlouhodobě podílí více než třemi čtvrtinami.</w:t>
      </w:r>
    </w:p>
  </w:footnote>
  <w:footnote w:id="81">
    <w:p w:rsidR="00C805DC" w:rsidRPr="00C547CB" w:rsidRDefault="00C805DC" w:rsidP="003F3890">
      <w:pPr>
        <w:pStyle w:val="Textpoznpodarou"/>
        <w:jc w:val="both"/>
        <w:rPr>
          <w:sz w:val="16"/>
          <w:szCs w:val="16"/>
        </w:rPr>
      </w:pPr>
      <w:r w:rsidRPr="00C547CB">
        <w:rPr>
          <w:rStyle w:val="Znakapoznpodarou"/>
          <w:sz w:val="16"/>
          <w:szCs w:val="16"/>
        </w:rPr>
        <w:footnoteRef/>
      </w:r>
      <w:r w:rsidRPr="00C547CB">
        <w:rPr>
          <w:sz w:val="16"/>
          <w:szCs w:val="16"/>
        </w:rPr>
        <w:t xml:space="preserve"> </w:t>
      </w:r>
      <w:r>
        <w:rPr>
          <w:color w:val="0D0D0D" w:themeColor="text1" w:themeTint="F2"/>
          <w:sz w:val="16"/>
          <w:szCs w:val="16"/>
        </w:rPr>
        <w:t>D</w:t>
      </w:r>
      <w:r w:rsidRPr="006E5A49">
        <w:rPr>
          <w:color w:val="0D0D0D" w:themeColor="text1" w:themeTint="F2"/>
          <w:sz w:val="16"/>
          <w:szCs w:val="16"/>
        </w:rPr>
        <w:t>le údajů Sdružení automobilového</w:t>
      </w:r>
      <w:r>
        <w:rPr>
          <w:color w:val="0D0D0D" w:themeColor="text1" w:themeTint="F2"/>
          <w:sz w:val="16"/>
          <w:szCs w:val="16"/>
        </w:rPr>
        <w:t xml:space="preserve"> průmyslu bylo vloni v Česku vyrobeno 1,41 mil.</w:t>
      </w:r>
      <w:r w:rsidRPr="00EC671E">
        <w:rPr>
          <w:color w:val="0D0D0D" w:themeColor="text1" w:themeTint="F2"/>
          <w:sz w:val="16"/>
          <w:szCs w:val="16"/>
        </w:rPr>
        <w:t xml:space="preserve"> oso</w:t>
      </w:r>
      <w:r>
        <w:rPr>
          <w:color w:val="0D0D0D" w:themeColor="text1" w:themeTint="F2"/>
          <w:sz w:val="16"/>
          <w:szCs w:val="16"/>
        </w:rPr>
        <w:t>bních automobilů, meziročně o 5,2 % více.</w:t>
      </w:r>
    </w:p>
  </w:footnote>
  <w:footnote w:id="82">
    <w:p w:rsidR="00C805DC" w:rsidRPr="002478DC" w:rsidRDefault="00C805DC" w:rsidP="003F3890">
      <w:pPr>
        <w:pStyle w:val="Textpoznpodarou"/>
        <w:jc w:val="both"/>
        <w:rPr>
          <w:sz w:val="16"/>
          <w:szCs w:val="16"/>
        </w:rPr>
      </w:pPr>
      <w:r w:rsidRPr="002478DC">
        <w:rPr>
          <w:rStyle w:val="Znakapoznpodarou"/>
          <w:sz w:val="16"/>
          <w:szCs w:val="16"/>
        </w:rPr>
        <w:footnoteRef/>
      </w:r>
      <w:r w:rsidRPr="002478DC">
        <w:rPr>
          <w:sz w:val="16"/>
          <w:szCs w:val="16"/>
        </w:rPr>
        <w:t xml:space="preserve"> Objem vyplacených mezd a platů na jednoho zaměstnance (po přepočtu na celé úvazky) dosáhl loni v tomto odvětví 35,6 tis. korun měsíčně a byl srovnatelný s výdělky v těžbě </w:t>
      </w:r>
      <w:r>
        <w:rPr>
          <w:sz w:val="16"/>
          <w:szCs w:val="16"/>
        </w:rPr>
        <w:t xml:space="preserve">a dobývání či </w:t>
      </w:r>
      <w:r w:rsidRPr="002478DC">
        <w:rPr>
          <w:sz w:val="16"/>
          <w:szCs w:val="16"/>
        </w:rPr>
        <w:t xml:space="preserve">v chemickém a farmaceutickém průmyslu. Na výrazně vyšší výdělky si v rámci průmyslu přišli jen zaměstnanci v energetice (48,4 tis.). </w:t>
      </w:r>
      <w:r>
        <w:rPr>
          <w:sz w:val="16"/>
          <w:szCs w:val="16"/>
        </w:rPr>
        <w:t>Výši průměrných výdělků v některých průmyslových oborech významněji ovlivňují i agenturní pracovníci.</w:t>
      </w:r>
    </w:p>
  </w:footnote>
  <w:footnote w:id="83">
    <w:p w:rsidR="00C805DC" w:rsidRPr="000D4171" w:rsidRDefault="00C805DC" w:rsidP="003F3890">
      <w:pPr>
        <w:pStyle w:val="Textpoznpodarou"/>
        <w:rPr>
          <w:sz w:val="16"/>
          <w:szCs w:val="16"/>
        </w:rPr>
      </w:pPr>
      <w:r w:rsidRPr="000D4171">
        <w:rPr>
          <w:rStyle w:val="Znakapoznpodarou"/>
          <w:sz w:val="16"/>
          <w:szCs w:val="16"/>
        </w:rPr>
        <w:footnoteRef/>
      </w:r>
      <w:r w:rsidRPr="000D4171">
        <w:rPr>
          <w:sz w:val="16"/>
          <w:szCs w:val="16"/>
        </w:rPr>
        <w:t xml:space="preserve"> V chemickém průmyslu činil nárůst přidané hodnoty 64 %, ve výrobě motoro</w:t>
      </w:r>
      <w:r>
        <w:rPr>
          <w:sz w:val="16"/>
          <w:szCs w:val="16"/>
        </w:rPr>
        <w:t>vých vozidel 42 %. V celém průmyslu se rovnal 22 %.</w:t>
      </w:r>
    </w:p>
  </w:footnote>
  <w:footnote w:id="84">
    <w:p w:rsidR="00C805DC" w:rsidRPr="00E204A1" w:rsidRDefault="00C805DC" w:rsidP="003F3890">
      <w:pPr>
        <w:pStyle w:val="Textpoznpodarou"/>
        <w:jc w:val="both"/>
        <w:rPr>
          <w:spacing w:val="-2"/>
          <w:sz w:val="16"/>
          <w:szCs w:val="16"/>
        </w:rPr>
      </w:pPr>
      <w:r w:rsidRPr="00E204A1">
        <w:rPr>
          <w:rStyle w:val="Znakapoznpodarou"/>
          <w:spacing w:val="-3"/>
          <w:sz w:val="16"/>
          <w:szCs w:val="16"/>
        </w:rPr>
        <w:footnoteRef/>
      </w:r>
      <w:r w:rsidRPr="00E204A1">
        <w:rPr>
          <w:spacing w:val="-3"/>
          <w:sz w:val="16"/>
          <w:szCs w:val="16"/>
        </w:rPr>
        <w:t xml:space="preserve"> V EU činil v roce 2016 podíl energetiky na HPH v průmyslu 9,5 %. Z našich sousedů měly vyšší podíl Slovensko (11,0 %) i Polsko (11,5 %).</w:t>
      </w:r>
      <w:r>
        <w:rPr>
          <w:spacing w:val="-2"/>
          <w:sz w:val="16"/>
          <w:szCs w:val="16"/>
        </w:rPr>
        <w:t xml:space="preserve"> Celé EU vévodil Kypr (20 %), více jak 15% podílu dosahovalo Bulharsko, Řecko a Portugalsko. Méně jak 8 % pak převážně nížinné státy (Maďarsko, Dánsko, Nizozemsko, Německo, Irsko). Z ostatních zemí Evropy vyčnívaly Černá Hora (35 %), Albánie (28 %) a Island (24 %).</w:t>
      </w:r>
    </w:p>
  </w:footnote>
  <w:footnote w:id="85">
    <w:p w:rsidR="00C805DC" w:rsidRPr="00A26B69" w:rsidRDefault="00C805DC" w:rsidP="003F3890">
      <w:pPr>
        <w:pStyle w:val="Textpoznpodarou"/>
        <w:jc w:val="both"/>
        <w:rPr>
          <w:sz w:val="16"/>
          <w:szCs w:val="16"/>
        </w:rPr>
      </w:pPr>
      <w:r w:rsidRPr="00E204A1">
        <w:rPr>
          <w:rStyle w:val="Znakapoznpodarou"/>
          <w:spacing w:val="-2"/>
          <w:sz w:val="16"/>
          <w:szCs w:val="16"/>
        </w:rPr>
        <w:footnoteRef/>
      </w:r>
      <w:r w:rsidRPr="00E204A1">
        <w:rPr>
          <w:spacing w:val="-2"/>
          <w:sz w:val="16"/>
          <w:szCs w:val="16"/>
        </w:rPr>
        <w:t xml:space="preserve"> S 36 tis. zaměstnanci (po přepočtu na plné úvazky) patřilo v roce 2017 odvětví výroby a rozvodu elektřiny, plynu, tepla a klimatizovaného vzduchu až 14. místo (mezi bezmála třiceti průmyslovými obory).</w:t>
      </w:r>
    </w:p>
  </w:footnote>
  <w:footnote w:id="86">
    <w:p w:rsidR="00C805DC" w:rsidRPr="0098739D" w:rsidRDefault="00C805DC" w:rsidP="000C1D78">
      <w:pPr>
        <w:pStyle w:val="Textpoznpodarou"/>
        <w:rPr>
          <w:spacing w:val="-2"/>
        </w:rPr>
      </w:pPr>
      <w:r w:rsidRPr="0098739D">
        <w:rPr>
          <w:rStyle w:val="Znakapoznpodarou"/>
          <w:spacing w:val="-2"/>
        </w:rPr>
        <w:footnoteRef/>
      </w:r>
      <w:r w:rsidRPr="0098739D">
        <w:rPr>
          <w:spacing w:val="-2"/>
        </w:rPr>
        <w:t xml:space="preserve"> </w:t>
      </w:r>
      <w:r w:rsidRPr="0098739D">
        <w:rPr>
          <w:spacing w:val="-2"/>
          <w:sz w:val="16"/>
          <w:szCs w:val="16"/>
        </w:rPr>
        <w:t>Pokud není uvedeno jinak, vychází všechny údaje o stavebnictví (vč. produkce) z dat národních účtů a jsou očištěny o cenové vlivy.</w:t>
      </w:r>
    </w:p>
  </w:footnote>
  <w:footnote w:id="87">
    <w:p w:rsidR="00C805DC" w:rsidRDefault="00C805DC" w:rsidP="000C1D78">
      <w:pPr>
        <w:pStyle w:val="Textpoznpodarou"/>
        <w:jc w:val="both"/>
      </w:pPr>
      <w:r w:rsidRPr="0098739D">
        <w:rPr>
          <w:rStyle w:val="Znakapoznpodarou"/>
          <w:spacing w:val="-2"/>
          <w:sz w:val="16"/>
          <w:szCs w:val="16"/>
        </w:rPr>
        <w:footnoteRef/>
      </w:r>
      <w:r w:rsidRPr="0098739D">
        <w:rPr>
          <w:spacing w:val="-2"/>
          <w:sz w:val="16"/>
          <w:szCs w:val="16"/>
        </w:rPr>
        <w:t xml:space="preserve"> V roce 2017 tvořil tento segment 56 % HPH celého stavebnictví.</w:t>
      </w:r>
      <w:r w:rsidRPr="0098739D">
        <w:rPr>
          <w:spacing w:val="-2"/>
        </w:rPr>
        <w:t xml:space="preserve"> </w:t>
      </w:r>
      <w:r w:rsidRPr="0098739D">
        <w:rPr>
          <w:spacing w:val="-2"/>
          <w:sz w:val="16"/>
          <w:szCs w:val="16"/>
        </w:rPr>
        <w:t>Zahrnuje elektroinstalační, instalatérské a ostatní stavebně instalační práce, dokončovací práce (např. omítkářské práce), demolice, přípravu staveniště a ostatní činnosti (např. pokrývačské práce). Na rozdíl od výstavby budov a inženýrského stavitelství (s dlouhodobou dominancí nefinančních podniků) zde hrají významnější roli drobní podnikatelé.</w:t>
      </w:r>
    </w:p>
  </w:footnote>
  <w:footnote w:id="88">
    <w:p w:rsidR="00C805DC" w:rsidRPr="004D42AE" w:rsidRDefault="00C805DC" w:rsidP="000C1D78">
      <w:pPr>
        <w:pStyle w:val="Textpoznpodarou"/>
        <w:rPr>
          <w:sz w:val="16"/>
          <w:szCs w:val="16"/>
        </w:rPr>
      </w:pPr>
      <w:r w:rsidRPr="004D42AE">
        <w:rPr>
          <w:rStyle w:val="Znakapoznpodarou"/>
          <w:sz w:val="16"/>
          <w:szCs w:val="16"/>
        </w:rPr>
        <w:footnoteRef/>
      </w:r>
      <w:r w:rsidRPr="004D42AE">
        <w:rPr>
          <w:sz w:val="16"/>
          <w:szCs w:val="16"/>
        </w:rPr>
        <w:t xml:space="preserve"> Podíl nefinančních podniků na</w:t>
      </w:r>
      <w:r>
        <w:rPr>
          <w:sz w:val="16"/>
          <w:szCs w:val="16"/>
        </w:rPr>
        <w:t xml:space="preserve"> tvorbě HPH v celém odvětví</w:t>
      </w:r>
      <w:r w:rsidRPr="004D42AE">
        <w:rPr>
          <w:sz w:val="16"/>
          <w:szCs w:val="16"/>
        </w:rPr>
        <w:t xml:space="preserve"> stavebnictví se v posledních pěti letech pohyboval mezi 62 a 64 %.</w:t>
      </w:r>
    </w:p>
  </w:footnote>
  <w:footnote w:id="89">
    <w:p w:rsidR="00C805DC" w:rsidRPr="00D31C12" w:rsidRDefault="00C805DC" w:rsidP="000C1D78">
      <w:pPr>
        <w:pStyle w:val="Textpoznpodarou"/>
        <w:rPr>
          <w:spacing w:val="-2"/>
          <w:sz w:val="16"/>
          <w:szCs w:val="16"/>
        </w:rPr>
      </w:pPr>
      <w:r w:rsidRPr="00D31C12">
        <w:rPr>
          <w:rStyle w:val="Znakapoznpodarou"/>
          <w:spacing w:val="-2"/>
          <w:sz w:val="16"/>
          <w:szCs w:val="16"/>
        </w:rPr>
        <w:footnoteRef/>
      </w:r>
      <w:r>
        <w:rPr>
          <w:spacing w:val="-2"/>
          <w:sz w:val="16"/>
          <w:szCs w:val="16"/>
        </w:rPr>
        <w:t xml:space="preserve"> U</w:t>
      </w:r>
      <w:r w:rsidRPr="00D31C12">
        <w:rPr>
          <w:spacing w:val="-2"/>
          <w:sz w:val="16"/>
          <w:szCs w:val="16"/>
        </w:rPr>
        <w:t xml:space="preserve"> podniků s 50 a víc</w:t>
      </w:r>
      <w:r>
        <w:rPr>
          <w:spacing w:val="-2"/>
          <w:sz w:val="16"/>
          <w:szCs w:val="16"/>
        </w:rPr>
        <w:t>e zaměstnanci činila v roce 2017</w:t>
      </w:r>
      <w:r w:rsidRPr="00D31C12">
        <w:rPr>
          <w:spacing w:val="-2"/>
          <w:sz w:val="16"/>
          <w:szCs w:val="16"/>
        </w:rPr>
        <w:t xml:space="preserve"> jen 3,3 mil. korun (o rok dříve 3,0 mil.). V letech </w:t>
      </w:r>
      <w:r>
        <w:rPr>
          <w:spacing w:val="-2"/>
          <w:sz w:val="16"/>
          <w:szCs w:val="16"/>
        </w:rPr>
        <w:t>2014 i 2015 kolísala</w:t>
      </w:r>
      <w:r w:rsidRPr="00D31C12">
        <w:rPr>
          <w:spacing w:val="-2"/>
          <w:sz w:val="16"/>
          <w:szCs w:val="16"/>
        </w:rPr>
        <w:t xml:space="preserve"> kolem 4 mil.</w:t>
      </w:r>
    </w:p>
  </w:footnote>
  <w:footnote w:id="90">
    <w:p w:rsidR="00C805DC" w:rsidRPr="00F11443" w:rsidRDefault="00C805DC" w:rsidP="000C1D78">
      <w:pPr>
        <w:pStyle w:val="Textpoznpodarou"/>
        <w:rPr>
          <w:sz w:val="16"/>
          <w:szCs w:val="16"/>
        </w:rPr>
      </w:pPr>
      <w:r w:rsidRPr="00D31C12">
        <w:rPr>
          <w:rStyle w:val="Znakapoznpodarou"/>
          <w:spacing w:val="-2"/>
          <w:sz w:val="16"/>
          <w:szCs w:val="16"/>
        </w:rPr>
        <w:footnoteRef/>
      </w:r>
      <w:r w:rsidRPr="00D31C12">
        <w:rPr>
          <w:spacing w:val="-2"/>
          <w:sz w:val="16"/>
          <w:szCs w:val="16"/>
        </w:rPr>
        <w:t xml:space="preserve"> </w:t>
      </w:r>
      <w:r w:rsidRPr="00D31C12">
        <w:rPr>
          <w:color w:val="0D0D0D"/>
          <w:spacing w:val="-2"/>
          <w:sz w:val="16"/>
          <w:szCs w:val="16"/>
        </w:rPr>
        <w:t>Tato kategorie zahrnuje např. hotely, ale i objekty pro společenské a kulturní účely, výzkum, vzdělávání a zdravotnictví.</w:t>
      </w:r>
    </w:p>
  </w:footnote>
  <w:footnote w:id="91">
    <w:p w:rsidR="00C805DC" w:rsidRPr="00F611FE" w:rsidRDefault="00C805DC" w:rsidP="000C1D78">
      <w:pPr>
        <w:pStyle w:val="Textpoznpodarou"/>
        <w:jc w:val="both"/>
        <w:rPr>
          <w:sz w:val="16"/>
          <w:szCs w:val="16"/>
        </w:rPr>
      </w:pPr>
      <w:r w:rsidRPr="00F611FE">
        <w:rPr>
          <w:rStyle w:val="Znakapoznpodarou"/>
          <w:sz w:val="16"/>
          <w:szCs w:val="16"/>
        </w:rPr>
        <w:footnoteRef/>
      </w:r>
      <w:r w:rsidRPr="00F611FE">
        <w:rPr>
          <w:sz w:val="16"/>
          <w:szCs w:val="16"/>
        </w:rPr>
        <w:t xml:space="preserve"> </w:t>
      </w:r>
      <w:r w:rsidRPr="00F611FE">
        <w:rPr>
          <w:spacing w:val="-4"/>
          <w:sz w:val="16"/>
          <w:szCs w:val="16"/>
        </w:rPr>
        <w:t xml:space="preserve">V Praze byla loni zahájena výstavba 3,7 tis., bytů o rok dříve 2,8 tis. bytů (druhý nejnižší počet od poloviny 90. let). Loňský objem výstavby byl o téměř třetinu slabší než v roce 2015 a </w:t>
      </w:r>
      <w:r>
        <w:rPr>
          <w:spacing w:val="-4"/>
          <w:sz w:val="16"/>
          <w:szCs w:val="16"/>
        </w:rPr>
        <w:t>nedosahoval ani</w:t>
      </w:r>
      <w:r w:rsidRPr="00F611FE">
        <w:rPr>
          <w:spacing w:val="-4"/>
          <w:sz w:val="16"/>
          <w:szCs w:val="16"/>
        </w:rPr>
        <w:t xml:space="preserve"> poloviny průměru z období 2005–2007.</w:t>
      </w:r>
    </w:p>
  </w:footnote>
  <w:footnote w:id="92">
    <w:p w:rsidR="00C805DC" w:rsidRPr="004C7321" w:rsidRDefault="00C805DC" w:rsidP="000C1D78">
      <w:pPr>
        <w:pStyle w:val="Textpoznpodarou"/>
        <w:jc w:val="both"/>
        <w:rPr>
          <w:sz w:val="16"/>
          <w:szCs w:val="16"/>
        </w:rPr>
      </w:pPr>
      <w:r w:rsidRPr="004C7321">
        <w:rPr>
          <w:rStyle w:val="Znakapoznpodarou"/>
          <w:sz w:val="16"/>
          <w:szCs w:val="16"/>
        </w:rPr>
        <w:footnoteRef/>
      </w:r>
      <w:r w:rsidRPr="004C7321">
        <w:rPr>
          <w:sz w:val="16"/>
          <w:szCs w:val="16"/>
        </w:rPr>
        <w:t xml:space="preserve"> V prosinci 2017 bylo negativní saldo </w:t>
      </w:r>
      <w:r>
        <w:rPr>
          <w:sz w:val="16"/>
          <w:szCs w:val="16"/>
        </w:rPr>
        <w:t xml:space="preserve">důvěry ve stavebnictví (-13 bodů) </w:t>
      </w:r>
      <w:r w:rsidRPr="004C7321">
        <w:rPr>
          <w:sz w:val="16"/>
          <w:szCs w:val="16"/>
        </w:rPr>
        <w:t>nejpříznivější od počátku roku 2009.</w:t>
      </w:r>
    </w:p>
  </w:footnote>
  <w:footnote w:id="93">
    <w:p w:rsidR="00C805DC" w:rsidRPr="007950F0" w:rsidRDefault="00C805DC" w:rsidP="000C1D78">
      <w:pPr>
        <w:pStyle w:val="Textpoznpodarou"/>
        <w:jc w:val="both"/>
        <w:rPr>
          <w:sz w:val="16"/>
          <w:szCs w:val="16"/>
        </w:rPr>
      </w:pPr>
      <w:r w:rsidRPr="007950F0">
        <w:rPr>
          <w:rStyle w:val="Znakapoznpodarou"/>
          <w:sz w:val="16"/>
          <w:szCs w:val="16"/>
        </w:rPr>
        <w:footnoteRef/>
      </w:r>
      <w:r>
        <w:rPr>
          <w:sz w:val="16"/>
          <w:szCs w:val="16"/>
        </w:rPr>
        <w:t xml:space="preserve"> Podíl stavebnictví na celkové HPH se v drtivé většině ekonomik EU dlouhodobě snižuje. Vloni byl nejvyšší na Slovensku (7,7 %), Polsku (7,3 %), Finsku (7,1 %) a také Litvě i Estonsku. V ČR (stejně jako v EU15) činil 5,3 %, méně než 3 % dosahoval v Řecku a Irsku.</w:t>
      </w:r>
    </w:p>
  </w:footnote>
  <w:footnote w:id="94">
    <w:p w:rsidR="00C805DC" w:rsidRPr="004B6C65" w:rsidRDefault="00C805DC" w:rsidP="00F160CE">
      <w:pPr>
        <w:pStyle w:val="Textpoznpodarou"/>
        <w:rPr>
          <w:sz w:val="16"/>
          <w:szCs w:val="16"/>
        </w:rPr>
      </w:pPr>
      <w:r w:rsidRPr="004B6C65">
        <w:rPr>
          <w:rStyle w:val="Znakapoznpodarou"/>
          <w:sz w:val="16"/>
          <w:szCs w:val="16"/>
        </w:rPr>
        <w:footnoteRef/>
      </w:r>
      <w:r w:rsidRPr="004B6C65">
        <w:rPr>
          <w:sz w:val="16"/>
          <w:szCs w:val="16"/>
        </w:rPr>
        <w:t xml:space="preserve"> </w:t>
      </w:r>
      <w:r w:rsidRPr="004B6C65">
        <w:rPr>
          <w:spacing w:val="-2"/>
          <w:sz w:val="16"/>
          <w:szCs w:val="16"/>
        </w:rPr>
        <w:t>Pokud není uvedeno jinak, vychází vše</w:t>
      </w:r>
      <w:r>
        <w:rPr>
          <w:spacing w:val="-2"/>
          <w:sz w:val="16"/>
          <w:szCs w:val="16"/>
        </w:rPr>
        <w:t>chny údaje v této kapitole</w:t>
      </w:r>
      <w:r w:rsidRPr="004B6C65">
        <w:rPr>
          <w:spacing w:val="-2"/>
          <w:sz w:val="16"/>
          <w:szCs w:val="16"/>
        </w:rPr>
        <w:t xml:space="preserve"> z dat národních účtů</w:t>
      </w:r>
      <w:r>
        <w:rPr>
          <w:spacing w:val="-2"/>
          <w:sz w:val="16"/>
          <w:szCs w:val="16"/>
        </w:rPr>
        <w:t>,</w:t>
      </w:r>
      <w:r w:rsidRPr="004B6C65">
        <w:rPr>
          <w:spacing w:val="-2"/>
          <w:sz w:val="16"/>
          <w:szCs w:val="16"/>
        </w:rPr>
        <w:t xml:space="preserve"> a </w:t>
      </w:r>
      <w:r>
        <w:rPr>
          <w:spacing w:val="-2"/>
          <w:sz w:val="16"/>
          <w:szCs w:val="16"/>
        </w:rPr>
        <w:t xml:space="preserve">kde je to relevantní, </w:t>
      </w:r>
      <w:r w:rsidRPr="004B6C65">
        <w:rPr>
          <w:spacing w:val="-2"/>
          <w:sz w:val="16"/>
          <w:szCs w:val="16"/>
        </w:rPr>
        <w:t>jsou očištěny o cenové vlivy.</w:t>
      </w:r>
    </w:p>
  </w:footnote>
  <w:footnote w:id="95">
    <w:p w:rsidR="00C805DC" w:rsidRPr="004B6C65" w:rsidRDefault="00C805DC" w:rsidP="00F160CE">
      <w:pPr>
        <w:pStyle w:val="Textpoznpodarou"/>
        <w:jc w:val="both"/>
        <w:rPr>
          <w:sz w:val="16"/>
          <w:szCs w:val="16"/>
        </w:rPr>
      </w:pPr>
      <w:r w:rsidRPr="004B6C65">
        <w:rPr>
          <w:rStyle w:val="Znakapoznpodarou"/>
          <w:sz w:val="16"/>
          <w:szCs w:val="16"/>
        </w:rPr>
        <w:footnoteRef/>
      </w:r>
      <w:r w:rsidRPr="004B6C65">
        <w:rPr>
          <w:sz w:val="16"/>
          <w:szCs w:val="16"/>
        </w:rPr>
        <w:t xml:space="preserve"> </w:t>
      </w:r>
      <w:r w:rsidRPr="004B6C65">
        <w:rPr>
          <w:spacing w:val="-4"/>
          <w:sz w:val="16"/>
          <w:szCs w:val="16"/>
        </w:rPr>
        <w:t>Nefinanční podniky vytvářely v roce 2017 téměř 81 % HPH odvětví obchodu a dopravy (vč. skladování). Zbylá část připadala na domácnosti (reprezentované drobnými podnikateli, 12,5 %) a vládní sektor (6,6 %). Podniky dominovaly ve většině odvětvových oddílů, především v letecké dopravě, velkoobchodu a poštovních a kurýrních činnostech. Výjimku tvořilo jen skladování a vedlejší činnosti v dopravě, kde byla jejich váha (48 %) srovnatelná se subjekty zařazenými do sektoru vládních institucí.</w:t>
      </w:r>
    </w:p>
  </w:footnote>
  <w:footnote w:id="96">
    <w:p w:rsidR="00C805DC" w:rsidRPr="004B6C65" w:rsidRDefault="00C805DC" w:rsidP="00F160CE">
      <w:pPr>
        <w:pStyle w:val="Textpoznpodarou"/>
        <w:rPr>
          <w:sz w:val="16"/>
          <w:szCs w:val="16"/>
        </w:rPr>
      </w:pPr>
      <w:r w:rsidRPr="004B6C65">
        <w:rPr>
          <w:rStyle w:val="Znakapoznpodarou"/>
          <w:sz w:val="16"/>
          <w:szCs w:val="16"/>
        </w:rPr>
        <w:footnoteRef/>
      </w:r>
      <w:r w:rsidRPr="004B6C65">
        <w:rPr>
          <w:sz w:val="16"/>
          <w:szCs w:val="16"/>
        </w:rPr>
        <w:t xml:space="preserve"> Ještě vyšších hodnot nabývala ziskovost v prvních letech na počátku tisíciletí. V roce 2002 se rovnala 52 %.</w:t>
      </w:r>
    </w:p>
  </w:footnote>
  <w:footnote w:id="97">
    <w:p w:rsidR="00C805DC" w:rsidRPr="00A6575B" w:rsidRDefault="00C805DC" w:rsidP="00F160CE">
      <w:pPr>
        <w:pStyle w:val="Textpoznpodarou"/>
        <w:rPr>
          <w:sz w:val="16"/>
          <w:szCs w:val="16"/>
        </w:rPr>
      </w:pPr>
      <w:r w:rsidRPr="00A6575B">
        <w:rPr>
          <w:rStyle w:val="Znakapoznpodarou"/>
          <w:sz w:val="16"/>
          <w:szCs w:val="16"/>
        </w:rPr>
        <w:footnoteRef/>
      </w:r>
      <w:r w:rsidRPr="00A6575B">
        <w:rPr>
          <w:sz w:val="16"/>
          <w:szCs w:val="16"/>
        </w:rPr>
        <w:t xml:space="preserve"> V letech 2000 a 2004 to byla letecká doprava, v následném konjunkturním období velkoobchod (bez motoristického segmentu) a </w:t>
      </w:r>
      <w:r>
        <w:rPr>
          <w:sz w:val="16"/>
          <w:szCs w:val="16"/>
        </w:rPr>
        <w:t>v letech 2009 až 2013 s</w:t>
      </w:r>
      <w:r w:rsidRPr="00A6575B">
        <w:rPr>
          <w:sz w:val="16"/>
          <w:szCs w:val="16"/>
        </w:rPr>
        <w:t>kladování a vedlejší činnosti v</w:t>
      </w:r>
      <w:r>
        <w:rPr>
          <w:sz w:val="16"/>
          <w:szCs w:val="16"/>
        </w:rPr>
        <w:t> </w:t>
      </w:r>
      <w:r w:rsidRPr="00A6575B">
        <w:rPr>
          <w:sz w:val="16"/>
          <w:szCs w:val="16"/>
        </w:rPr>
        <w:t>dopravě</w:t>
      </w:r>
      <w:r>
        <w:rPr>
          <w:sz w:val="16"/>
          <w:szCs w:val="16"/>
        </w:rPr>
        <w:t>.</w:t>
      </w:r>
    </w:p>
  </w:footnote>
  <w:footnote w:id="98">
    <w:p w:rsidR="00C805DC" w:rsidRPr="005A24FC" w:rsidRDefault="00C805DC" w:rsidP="00F160CE">
      <w:pPr>
        <w:pStyle w:val="Textpoznpodarou"/>
        <w:rPr>
          <w:sz w:val="16"/>
          <w:szCs w:val="16"/>
        </w:rPr>
      </w:pPr>
      <w:r w:rsidRPr="005A24FC">
        <w:rPr>
          <w:rStyle w:val="Znakapoznpodarou"/>
          <w:sz w:val="16"/>
          <w:szCs w:val="16"/>
        </w:rPr>
        <w:footnoteRef/>
      </w:r>
      <w:r w:rsidRPr="005A24FC">
        <w:rPr>
          <w:sz w:val="16"/>
          <w:szCs w:val="16"/>
        </w:rPr>
        <w:t xml:space="preserve"> Z 26 hodnocených zemí docílily v období 2014 až 2016 v tomto odvětví vyšší míry investic jen Irsko (40 %) a Maďarsko (26 %).</w:t>
      </w:r>
      <w:r>
        <w:rPr>
          <w:sz w:val="16"/>
          <w:szCs w:val="16"/>
        </w:rPr>
        <w:t xml:space="preserve"> Údaje za Polsko a Kypr nebyly dostupné.</w:t>
      </w:r>
    </w:p>
  </w:footnote>
  <w:footnote w:id="99">
    <w:p w:rsidR="00C805DC" w:rsidRPr="00917A44" w:rsidRDefault="00C805DC" w:rsidP="00F160CE">
      <w:pPr>
        <w:pStyle w:val="Textpoznpodarou"/>
        <w:jc w:val="both"/>
        <w:rPr>
          <w:sz w:val="16"/>
          <w:szCs w:val="16"/>
        </w:rPr>
      </w:pPr>
      <w:r w:rsidRPr="00917A44">
        <w:rPr>
          <w:rStyle w:val="Znakapoznpodarou"/>
          <w:sz w:val="16"/>
          <w:szCs w:val="16"/>
        </w:rPr>
        <w:footnoteRef/>
      </w:r>
      <w:r w:rsidRPr="00917A44">
        <w:rPr>
          <w:sz w:val="16"/>
          <w:szCs w:val="16"/>
        </w:rPr>
        <w:t xml:space="preserve"> Údaje se vztahují k odvětví CZ NACE 47 (nezahrnují motoristický segment). Jsou uvedeny ve stálých cenách a očištěny o vliv nestejného počtu pracovních dní.</w:t>
      </w:r>
    </w:p>
  </w:footnote>
  <w:footnote w:id="100">
    <w:p w:rsidR="00C805DC" w:rsidRPr="006155DC" w:rsidRDefault="00C805DC" w:rsidP="00F160CE">
      <w:pPr>
        <w:pStyle w:val="Textpoznpodarou"/>
        <w:jc w:val="both"/>
        <w:rPr>
          <w:spacing w:val="-4"/>
          <w:sz w:val="16"/>
          <w:szCs w:val="16"/>
        </w:rPr>
      </w:pPr>
      <w:r w:rsidRPr="006155DC">
        <w:rPr>
          <w:rStyle w:val="Znakapoznpodarou"/>
          <w:spacing w:val="-4"/>
          <w:sz w:val="16"/>
          <w:szCs w:val="16"/>
        </w:rPr>
        <w:footnoteRef/>
      </w:r>
      <w:r w:rsidRPr="006155DC">
        <w:rPr>
          <w:spacing w:val="-4"/>
          <w:sz w:val="16"/>
          <w:szCs w:val="16"/>
        </w:rPr>
        <w:t xml:space="preserve"> Je to dobře patrné ve srovnání s výkony letišť na území ČR. Zatímco počet přepravených osob tuzemskými obchodními leteckými dopravci dosáhl loni 6,7 mil. (při me</w:t>
      </w:r>
      <w:r>
        <w:rPr>
          <w:spacing w:val="-4"/>
          <w:sz w:val="16"/>
          <w:szCs w:val="16"/>
        </w:rPr>
        <w:t>ziročním růstu 10,9 %), počet cestujících</w:t>
      </w:r>
      <w:r w:rsidRPr="006155DC">
        <w:rPr>
          <w:spacing w:val="-4"/>
          <w:sz w:val="16"/>
          <w:szCs w:val="16"/>
        </w:rPr>
        <w:t xml:space="preserve"> na letištích v ČR činil ve stejném roce 16,3 mil. osob (+18,2 %).</w:t>
      </w:r>
    </w:p>
  </w:footnote>
  <w:footnote w:id="101">
    <w:p w:rsidR="00C805DC" w:rsidRPr="00DD013C" w:rsidRDefault="00C805DC" w:rsidP="00F160CE">
      <w:pPr>
        <w:pStyle w:val="Textpoznpodarou"/>
        <w:rPr>
          <w:sz w:val="16"/>
          <w:szCs w:val="16"/>
        </w:rPr>
      </w:pPr>
      <w:r w:rsidRPr="006155DC">
        <w:rPr>
          <w:rStyle w:val="Znakapoznpodarou"/>
          <w:spacing w:val="-4"/>
          <w:sz w:val="16"/>
          <w:szCs w:val="16"/>
        </w:rPr>
        <w:footnoteRef/>
      </w:r>
      <w:r w:rsidRPr="006155DC">
        <w:rPr>
          <w:spacing w:val="-4"/>
          <w:sz w:val="16"/>
          <w:szCs w:val="16"/>
        </w:rPr>
        <w:t xml:space="preserve"> Podíl silniční dopravy na celkových přepravních výkonech (v </w:t>
      </w:r>
      <w:proofErr w:type="spellStart"/>
      <w:r w:rsidRPr="006155DC">
        <w:rPr>
          <w:spacing w:val="-4"/>
          <w:sz w:val="16"/>
          <w:szCs w:val="16"/>
        </w:rPr>
        <w:t>tkm</w:t>
      </w:r>
      <w:proofErr w:type="spellEnd"/>
      <w:r w:rsidRPr="006155DC">
        <w:rPr>
          <w:spacing w:val="-4"/>
          <w:sz w:val="16"/>
          <w:szCs w:val="16"/>
        </w:rPr>
        <w:t xml:space="preserve">) ve vnitrozemské nákladní dopravě loni klesl na 73 %. Šlo o nejnižší hodnotu po roce 2001. Přitom ještě v roce 2015 dosahoval téměř 79 % a mírně převyšoval úroveň v EU (o 3 p </w:t>
      </w:r>
      <w:proofErr w:type="spellStart"/>
      <w:r w:rsidRPr="006155DC">
        <w:rPr>
          <w:spacing w:val="-4"/>
          <w:sz w:val="16"/>
          <w:szCs w:val="16"/>
        </w:rPr>
        <w:t>b</w:t>
      </w:r>
      <w:proofErr w:type="spellEnd"/>
      <w:r w:rsidRPr="006155DC">
        <w:rPr>
          <w:spacing w:val="-4"/>
          <w:sz w:val="16"/>
          <w:szCs w:val="16"/>
        </w:rPr>
        <w:t>.).</w:t>
      </w:r>
      <w:r w:rsidRPr="00DD013C">
        <w:rPr>
          <w:sz w:val="16"/>
          <w:szCs w:val="16"/>
        </w:rPr>
        <w:t xml:space="preserve"> </w:t>
      </w:r>
    </w:p>
  </w:footnote>
  <w:footnote w:id="102">
    <w:p w:rsidR="00C805DC" w:rsidRPr="004B6C65" w:rsidRDefault="00C805DC" w:rsidP="009540B7">
      <w:pPr>
        <w:pStyle w:val="Textpoznpodarou"/>
        <w:rPr>
          <w:sz w:val="16"/>
          <w:szCs w:val="16"/>
        </w:rPr>
      </w:pPr>
      <w:r w:rsidRPr="004B6C65">
        <w:rPr>
          <w:rStyle w:val="Znakapoznpodarou"/>
          <w:sz w:val="16"/>
          <w:szCs w:val="16"/>
        </w:rPr>
        <w:footnoteRef/>
      </w:r>
      <w:r w:rsidRPr="004B6C65">
        <w:rPr>
          <w:spacing w:val="-2"/>
          <w:sz w:val="16"/>
          <w:szCs w:val="16"/>
        </w:rPr>
        <w:t>Pokud není uvedeno jinak, vychází vše</w:t>
      </w:r>
      <w:r>
        <w:rPr>
          <w:spacing w:val="-2"/>
          <w:sz w:val="16"/>
          <w:szCs w:val="16"/>
        </w:rPr>
        <w:t>chny údaje v této kapitole</w:t>
      </w:r>
      <w:r w:rsidRPr="004B6C65">
        <w:rPr>
          <w:spacing w:val="-2"/>
          <w:sz w:val="16"/>
          <w:szCs w:val="16"/>
        </w:rPr>
        <w:t xml:space="preserve"> z dat národních účtů</w:t>
      </w:r>
      <w:r>
        <w:rPr>
          <w:spacing w:val="-2"/>
          <w:sz w:val="16"/>
          <w:szCs w:val="16"/>
        </w:rPr>
        <w:t>,</w:t>
      </w:r>
      <w:r w:rsidRPr="004B6C65">
        <w:rPr>
          <w:spacing w:val="-2"/>
          <w:sz w:val="16"/>
          <w:szCs w:val="16"/>
        </w:rPr>
        <w:t xml:space="preserve"> a </w:t>
      </w:r>
      <w:r>
        <w:rPr>
          <w:spacing w:val="-2"/>
          <w:sz w:val="16"/>
          <w:szCs w:val="16"/>
        </w:rPr>
        <w:t xml:space="preserve">kde je to relevantní, </w:t>
      </w:r>
      <w:r w:rsidRPr="004B6C65">
        <w:rPr>
          <w:spacing w:val="-2"/>
          <w:sz w:val="16"/>
          <w:szCs w:val="16"/>
        </w:rPr>
        <w:t>jsou očištěny o cenové vlivy.</w:t>
      </w:r>
    </w:p>
  </w:footnote>
  <w:footnote w:id="103">
    <w:p w:rsidR="00C805DC" w:rsidRPr="00A35142" w:rsidRDefault="00C805DC" w:rsidP="009540B7">
      <w:pPr>
        <w:pStyle w:val="Textpoznpodarou"/>
        <w:rPr>
          <w:spacing w:val="-2"/>
          <w:sz w:val="16"/>
          <w:szCs w:val="16"/>
        </w:rPr>
      </w:pPr>
      <w:r w:rsidRPr="00A35142">
        <w:rPr>
          <w:rStyle w:val="Znakapoznpodarou"/>
          <w:spacing w:val="-2"/>
          <w:sz w:val="16"/>
          <w:szCs w:val="16"/>
        </w:rPr>
        <w:footnoteRef/>
      </w:r>
      <w:r w:rsidRPr="00A35142">
        <w:rPr>
          <w:spacing w:val="-2"/>
          <w:sz w:val="16"/>
          <w:szCs w:val="16"/>
        </w:rPr>
        <w:t xml:space="preserve">Souběžný opakovaný růst HPH jak v ubytování, tak i ve stravování (vč. pohostinství), byl naposledy zaznamenán v letech 1994 a 1995. </w:t>
      </w:r>
    </w:p>
  </w:footnote>
  <w:footnote w:id="104">
    <w:p w:rsidR="00C805DC" w:rsidRPr="00A02E81" w:rsidRDefault="00C805DC" w:rsidP="009540B7">
      <w:pPr>
        <w:pStyle w:val="Textpoznpodarou"/>
        <w:rPr>
          <w:spacing w:val="-2"/>
          <w:sz w:val="16"/>
          <w:szCs w:val="16"/>
        </w:rPr>
      </w:pPr>
      <w:r w:rsidRPr="00A02E81">
        <w:rPr>
          <w:rStyle w:val="Znakapoznpodarou"/>
          <w:spacing w:val="-2"/>
          <w:sz w:val="16"/>
          <w:szCs w:val="16"/>
        </w:rPr>
        <w:footnoteRef/>
      </w:r>
      <w:r w:rsidRPr="00A02E81">
        <w:rPr>
          <w:spacing w:val="-2"/>
          <w:sz w:val="16"/>
          <w:szCs w:val="16"/>
        </w:rPr>
        <w:t xml:space="preserve"> Nefinanční podniky vytvářely v roce 2017 jen 56 % HPH tohoto odvětví. Zatímco v ubytování byla jejich role poměrně silná (81 %), ve stravování a pohostinství se podílely jen 47 % (mírně nadpoloviční většinu zde tvořili drobní podnikatelé spadající pod sektor domácností).</w:t>
      </w:r>
    </w:p>
  </w:footnote>
  <w:footnote w:id="105">
    <w:p w:rsidR="00C805DC" w:rsidRPr="0061249B" w:rsidRDefault="00C805DC" w:rsidP="009540B7">
      <w:pPr>
        <w:pStyle w:val="Textpoznpodarou"/>
        <w:jc w:val="both"/>
        <w:rPr>
          <w:spacing w:val="2"/>
          <w:sz w:val="16"/>
          <w:szCs w:val="16"/>
        </w:rPr>
      </w:pPr>
      <w:r w:rsidRPr="0061249B">
        <w:rPr>
          <w:rStyle w:val="Znakapoznpodarou"/>
          <w:spacing w:val="2"/>
          <w:sz w:val="16"/>
          <w:szCs w:val="16"/>
        </w:rPr>
        <w:footnoteRef/>
      </w:r>
      <w:r w:rsidRPr="0061249B">
        <w:rPr>
          <w:spacing w:val="2"/>
          <w:sz w:val="16"/>
          <w:szCs w:val="16"/>
        </w:rPr>
        <w:t xml:space="preserve"> To je patrné především ve srovnání s většinou ostatních odvětví služeb v ČR. Naopak v evropském pohledu si odvětví stálo relativně dobře, neboť míra investic v ubytování, stravování a pohostinství se v posledních pěti let v EU jako celku pohybovala mezi 8 a 9 %. Vyšší investiční aktivitu než v ČR zaznamenávají většinou jen některé novější </w:t>
      </w:r>
      <w:r>
        <w:rPr>
          <w:spacing w:val="2"/>
          <w:sz w:val="16"/>
          <w:szCs w:val="16"/>
        </w:rPr>
        <w:t xml:space="preserve">členské </w:t>
      </w:r>
      <w:r w:rsidRPr="0061249B">
        <w:rPr>
          <w:spacing w:val="2"/>
          <w:sz w:val="16"/>
          <w:szCs w:val="16"/>
        </w:rPr>
        <w:t>státy EU (Bulharsko, Rumunsko, Estonsko, Malta).</w:t>
      </w:r>
    </w:p>
  </w:footnote>
  <w:footnote w:id="106">
    <w:p w:rsidR="00C805DC" w:rsidRPr="009D6DF6" w:rsidRDefault="00C805DC" w:rsidP="009540B7">
      <w:pPr>
        <w:pStyle w:val="Textpoznpodarou"/>
        <w:jc w:val="both"/>
        <w:rPr>
          <w:sz w:val="16"/>
          <w:szCs w:val="16"/>
        </w:rPr>
      </w:pPr>
      <w:r w:rsidRPr="009D6DF6">
        <w:rPr>
          <w:rStyle w:val="Znakapoznpodarou"/>
          <w:sz w:val="16"/>
          <w:szCs w:val="16"/>
        </w:rPr>
        <w:footnoteRef/>
      </w:r>
      <w:r>
        <w:rPr>
          <w:sz w:val="16"/>
          <w:szCs w:val="16"/>
        </w:rPr>
        <w:t xml:space="preserve"> Z</w:t>
      </w:r>
      <w:r w:rsidRPr="009D6DF6">
        <w:rPr>
          <w:sz w:val="16"/>
          <w:szCs w:val="16"/>
        </w:rPr>
        <w:t xml:space="preserve"> šetření Ministerstva pro místní rozvoj (ve spolupráci s agenturou </w:t>
      </w:r>
      <w:proofErr w:type="spellStart"/>
      <w:r w:rsidRPr="009D6DF6">
        <w:rPr>
          <w:sz w:val="16"/>
          <w:szCs w:val="16"/>
        </w:rPr>
        <w:t>Stemmark</w:t>
      </w:r>
      <w:proofErr w:type="spellEnd"/>
      <w:r w:rsidRPr="009D6DF6">
        <w:rPr>
          <w:sz w:val="16"/>
          <w:szCs w:val="16"/>
        </w:rPr>
        <w:t xml:space="preserve">) </w:t>
      </w:r>
      <w:r>
        <w:rPr>
          <w:sz w:val="16"/>
          <w:szCs w:val="16"/>
        </w:rPr>
        <w:t xml:space="preserve">v roce 2016 </w:t>
      </w:r>
      <w:r w:rsidRPr="009D6DF6">
        <w:rPr>
          <w:sz w:val="16"/>
          <w:szCs w:val="16"/>
        </w:rPr>
        <w:t>vyplynulo, že hosté ubytovaní v </w:t>
      </w:r>
      <w:r>
        <w:rPr>
          <w:sz w:val="16"/>
          <w:szCs w:val="16"/>
        </w:rPr>
        <w:t>HUZ tvořili</w:t>
      </w:r>
      <w:r w:rsidRPr="009D6DF6">
        <w:rPr>
          <w:sz w:val="16"/>
          <w:szCs w:val="16"/>
        </w:rPr>
        <w:t xml:space="preserve"> zhruba jen tři čtvrtiny celkové počtu zahraničních návštěvníků, kteří v Česku přespali</w:t>
      </w:r>
      <w:r>
        <w:rPr>
          <w:sz w:val="16"/>
          <w:szCs w:val="16"/>
        </w:rPr>
        <w:t xml:space="preserve"> alespoň jednu noc</w:t>
      </w:r>
      <w:r w:rsidRPr="009D6DF6">
        <w:rPr>
          <w:sz w:val="16"/>
          <w:szCs w:val="16"/>
        </w:rPr>
        <w:t xml:space="preserve">. Role </w:t>
      </w:r>
      <w:r>
        <w:rPr>
          <w:sz w:val="16"/>
          <w:szCs w:val="16"/>
        </w:rPr>
        <w:t>návštěvnického segmentu ubytovaného mimo HUZ</w:t>
      </w:r>
      <w:r w:rsidRPr="009D6DF6">
        <w:rPr>
          <w:sz w:val="16"/>
          <w:szCs w:val="16"/>
        </w:rPr>
        <w:t xml:space="preserve"> v posledních letech narůstá (</w:t>
      </w:r>
      <w:r>
        <w:rPr>
          <w:sz w:val="16"/>
          <w:szCs w:val="16"/>
        </w:rPr>
        <w:t xml:space="preserve">hlavně </w:t>
      </w:r>
      <w:r w:rsidRPr="009D6DF6">
        <w:rPr>
          <w:sz w:val="16"/>
          <w:szCs w:val="16"/>
        </w:rPr>
        <w:t xml:space="preserve">s rozvojem služeb sdílené ekonomiky). Vedle toho přispívají k rozvoji cestovního ruchu v ČR i jednodenní návštěvníci (v roce 2016 jich bylo dle </w:t>
      </w:r>
      <w:r>
        <w:rPr>
          <w:sz w:val="16"/>
          <w:szCs w:val="16"/>
        </w:rPr>
        <w:t>Satelitního účtu cestovního ruchu17,0</w:t>
      </w:r>
      <w:r w:rsidRPr="009D6DF6">
        <w:rPr>
          <w:sz w:val="16"/>
          <w:szCs w:val="16"/>
        </w:rPr>
        <w:t> mil.) a v menš</w:t>
      </w:r>
      <w:r>
        <w:rPr>
          <w:sz w:val="16"/>
          <w:szCs w:val="16"/>
        </w:rPr>
        <w:t>í míře i tranzitující osoby (2,7</w:t>
      </w:r>
      <w:r w:rsidRPr="009D6DF6">
        <w:rPr>
          <w:sz w:val="16"/>
          <w:szCs w:val="16"/>
        </w:rPr>
        <w:t xml:space="preserve"> mil.). Souhrnný odhad četnosti zahraničních návštěvníků </w:t>
      </w:r>
      <w:r>
        <w:rPr>
          <w:sz w:val="16"/>
          <w:szCs w:val="16"/>
        </w:rPr>
        <w:t>Česka za rok 2016 tak přesáhl 32,5</w:t>
      </w:r>
      <w:r w:rsidRPr="009D6DF6">
        <w:rPr>
          <w:sz w:val="16"/>
          <w:szCs w:val="16"/>
        </w:rPr>
        <w:t xml:space="preserve"> mil osob a byl tak více než trojnásobný oproti hostům registrovaným v HUZ (9,3 mil.).</w:t>
      </w:r>
    </w:p>
  </w:footnote>
  <w:footnote w:id="107">
    <w:p w:rsidR="00C805DC" w:rsidRPr="003B74D6" w:rsidRDefault="00C805DC" w:rsidP="009540B7">
      <w:pPr>
        <w:pStyle w:val="Textpoznpodarou"/>
        <w:jc w:val="both"/>
        <w:rPr>
          <w:sz w:val="16"/>
          <w:szCs w:val="16"/>
        </w:rPr>
      </w:pPr>
      <w:r w:rsidRPr="003B74D6">
        <w:rPr>
          <w:rStyle w:val="Znakapoznpodarou"/>
          <w:sz w:val="16"/>
          <w:szCs w:val="16"/>
        </w:rPr>
        <w:footnoteRef/>
      </w:r>
      <w:r w:rsidRPr="003B74D6">
        <w:rPr>
          <w:sz w:val="16"/>
          <w:szCs w:val="16"/>
        </w:rPr>
        <w:t xml:space="preserve"> Lázeňství představuje pro Česko významný segment cestovního ruchu. Realizuje se v něm </w:t>
      </w:r>
      <w:r>
        <w:rPr>
          <w:sz w:val="16"/>
          <w:szCs w:val="16"/>
        </w:rPr>
        <w:t>sedmina</w:t>
      </w:r>
      <w:r w:rsidRPr="003B74D6">
        <w:rPr>
          <w:sz w:val="16"/>
          <w:szCs w:val="16"/>
        </w:rPr>
        <w:t xml:space="preserve"> všech přenocování v HUZ. V samotném Karlovarském kraji se na celkovém počtu ubytovaných hostů loni podílel</w:t>
      </w:r>
      <w:r>
        <w:rPr>
          <w:sz w:val="16"/>
          <w:szCs w:val="16"/>
        </w:rPr>
        <w:t>o lázeňství</w:t>
      </w:r>
      <w:r w:rsidRPr="003B74D6">
        <w:rPr>
          <w:sz w:val="16"/>
          <w:szCs w:val="16"/>
        </w:rPr>
        <w:t xml:space="preserve"> 48 %, u přenocování dokonc</w:t>
      </w:r>
      <w:r>
        <w:rPr>
          <w:sz w:val="16"/>
          <w:szCs w:val="16"/>
        </w:rPr>
        <w:t>e 72 %. Významnější postavení má</w:t>
      </w:r>
      <w:r w:rsidRPr="003B74D6">
        <w:rPr>
          <w:sz w:val="16"/>
          <w:szCs w:val="16"/>
        </w:rPr>
        <w:t xml:space="preserve"> také v rámci Olomouckého a Zlínského kraje.</w:t>
      </w:r>
    </w:p>
  </w:footnote>
  <w:footnote w:id="108">
    <w:p w:rsidR="00C805DC" w:rsidRPr="00692DA0" w:rsidRDefault="00C805DC" w:rsidP="009540B7">
      <w:pPr>
        <w:pStyle w:val="Textpoznpodarou"/>
        <w:jc w:val="both"/>
        <w:rPr>
          <w:sz w:val="16"/>
          <w:szCs w:val="16"/>
        </w:rPr>
      </w:pPr>
      <w:r w:rsidRPr="00692DA0">
        <w:rPr>
          <w:rStyle w:val="Znakapoznpodarou"/>
          <w:sz w:val="16"/>
          <w:szCs w:val="16"/>
        </w:rPr>
        <w:footnoteRef/>
      </w:r>
      <w:r w:rsidRPr="00692DA0">
        <w:rPr>
          <w:sz w:val="16"/>
          <w:szCs w:val="16"/>
        </w:rPr>
        <w:t xml:space="preserve"> Svou silnou vazbou na lázeňství jsou typičtí také hosté ze zemí Blízkého východu. Bezmála pětina všech hostů ze Saudské Arábie ubytovaných v HUZ v Česku mířila loni do segmentu lázeňství.</w:t>
      </w:r>
      <w:r>
        <w:rPr>
          <w:sz w:val="16"/>
          <w:szCs w:val="16"/>
        </w:rPr>
        <w:t xml:space="preserve"> Ti také v lázních zůstávají v průměru nejdéle (20 dní), s odstupem následují Izraelci (13,4), Rusové (12,8) a Ukrajinci (12,0). U váhově nejvýznamnější skupiny nerezidentů – Němců (tvořících polovinu lázeňských hostů ze zahraničí) to bylo loni 8,0 dní, u dominantní skupiny klientů – z Česka (454 tis. hostů) pak 10,9 dne. Zatímco délka pobytu nerezidentů v lázeňských HUZ dlouhodobě mírně klesá, u hostů z Česka po propadu v roce 2013 (vlivem změn v systému úhrad lázeňské péče ze zdravotního pojištění) začala opět růst a loni se tak vrátila na úroveň roku 2012.</w:t>
      </w:r>
    </w:p>
  </w:footnote>
  <w:footnote w:id="109">
    <w:p w:rsidR="00C805DC" w:rsidRPr="00BB64FC" w:rsidRDefault="00C805DC" w:rsidP="009540B7">
      <w:pPr>
        <w:pStyle w:val="Textpoznpodarou"/>
        <w:jc w:val="both"/>
        <w:rPr>
          <w:spacing w:val="-2"/>
          <w:sz w:val="16"/>
          <w:szCs w:val="16"/>
        </w:rPr>
      </w:pPr>
      <w:r w:rsidRPr="00BB64FC">
        <w:rPr>
          <w:rStyle w:val="Znakapoznpodarou"/>
          <w:spacing w:val="-2"/>
          <w:sz w:val="16"/>
          <w:szCs w:val="16"/>
        </w:rPr>
        <w:footnoteRef/>
      </w:r>
      <w:r w:rsidRPr="00BB64FC">
        <w:rPr>
          <w:spacing w:val="-2"/>
          <w:sz w:val="16"/>
          <w:szCs w:val="16"/>
        </w:rPr>
        <w:t xml:space="preserve"> Více než třetina všech konferencí (s 50 a více účastníky) skutečných v HUZ v ČR připadá dlouhodobě na Prahu, sedmina na Jihomoravský kraj. </w:t>
      </w:r>
      <w:r>
        <w:rPr>
          <w:spacing w:val="-2"/>
          <w:sz w:val="16"/>
          <w:szCs w:val="16"/>
        </w:rPr>
        <w:t>Počet účastníků konferencí v ČR po roce 2010 spíše stagnuje (loni šlo o 1,36 mil. osob). Průměrný počet účastníků na 1</w:t>
      </w:r>
      <w:r w:rsidRPr="009D6DF6">
        <w:rPr>
          <w:sz w:val="16"/>
          <w:szCs w:val="16"/>
        </w:rPr>
        <w:t> </w:t>
      </w:r>
      <w:r>
        <w:rPr>
          <w:spacing w:val="-2"/>
          <w:sz w:val="16"/>
          <w:szCs w:val="16"/>
        </w:rPr>
        <w:t>akci klesá (v roce 2010 dosahoval 128 osob, loni 108).</w:t>
      </w:r>
    </w:p>
  </w:footnote>
  <w:footnote w:id="110">
    <w:p w:rsidR="00C805DC" w:rsidRPr="00D67E9A" w:rsidRDefault="00C805DC" w:rsidP="009540B7">
      <w:pPr>
        <w:pStyle w:val="Textpoznpodarou"/>
        <w:rPr>
          <w:sz w:val="16"/>
          <w:szCs w:val="16"/>
        </w:rPr>
      </w:pPr>
      <w:r w:rsidRPr="00D67E9A">
        <w:rPr>
          <w:rStyle w:val="Znakapoznpodarou"/>
          <w:sz w:val="16"/>
          <w:szCs w:val="16"/>
        </w:rPr>
        <w:footnoteRef/>
      </w:r>
      <w:r w:rsidRPr="00D67E9A">
        <w:rPr>
          <w:sz w:val="16"/>
          <w:szCs w:val="16"/>
        </w:rPr>
        <w:t xml:space="preserve"> Např. na Islandu vzrostl mezi roky 2012 a 2017 počet hostů z 2,1 n</w:t>
      </w:r>
      <w:r>
        <w:rPr>
          <w:sz w:val="16"/>
          <w:szCs w:val="16"/>
        </w:rPr>
        <w:t>a 5,3 mil. Cestovní ruch byl jedním z faktorů, jež pomohl této zemi k zotavení z hluboké recese za konci předchozí dekády. Dařilo se dosud málo „objeveným“ turistickým destinacím (Srbsko, Makedonie).</w:t>
      </w:r>
    </w:p>
  </w:footnote>
  <w:footnote w:id="111">
    <w:p w:rsidR="00C805DC" w:rsidRPr="00D0572A" w:rsidRDefault="00C805DC" w:rsidP="009540B7">
      <w:pPr>
        <w:pStyle w:val="Textpoznpodarou"/>
        <w:rPr>
          <w:spacing w:val="-2"/>
        </w:rPr>
      </w:pPr>
      <w:r w:rsidRPr="0068766C">
        <w:rPr>
          <w:rStyle w:val="Znakapoznpodarou"/>
          <w:spacing w:val="-2"/>
          <w:sz w:val="16"/>
          <w:szCs w:val="16"/>
        </w:rPr>
        <w:footnoteRef/>
      </w:r>
      <w:r w:rsidRPr="0068766C">
        <w:rPr>
          <w:spacing w:val="-2"/>
          <w:sz w:val="16"/>
          <w:szCs w:val="16"/>
        </w:rPr>
        <w:t xml:space="preserve"> </w:t>
      </w:r>
      <w:r w:rsidRPr="00775F45">
        <w:rPr>
          <w:spacing w:val="-3"/>
          <w:sz w:val="16"/>
          <w:szCs w:val="16"/>
        </w:rPr>
        <w:t>Pokud není uvedeno jinak, vychází všechny údaje v této kapitole z dat národních účtů, a kde je to relevantní, jsou očištěny o cenové vlivy.</w:t>
      </w:r>
    </w:p>
  </w:footnote>
  <w:footnote w:id="112">
    <w:p w:rsidR="00C805DC" w:rsidRPr="00D0572A" w:rsidRDefault="00C805DC" w:rsidP="009540B7">
      <w:pPr>
        <w:pStyle w:val="Textpoznpodarou"/>
        <w:jc w:val="both"/>
        <w:rPr>
          <w:sz w:val="16"/>
          <w:szCs w:val="16"/>
        </w:rPr>
      </w:pPr>
      <w:r w:rsidRPr="00D0572A">
        <w:rPr>
          <w:rStyle w:val="Znakapoznpodarou"/>
          <w:sz w:val="16"/>
          <w:szCs w:val="16"/>
        </w:rPr>
        <w:footnoteRef/>
      </w:r>
      <w:r w:rsidRPr="00D0572A">
        <w:rPr>
          <w:sz w:val="16"/>
          <w:szCs w:val="16"/>
        </w:rPr>
        <w:t xml:space="preserve"> Informační komunikační činnosti patří v sektoru služeb k odvětvím s nejvyšším zastoupením nefinančních podniků. Ty v roce 2017 vytvořily 92 % HPH v tomto odvětví. </w:t>
      </w:r>
      <w:r>
        <w:rPr>
          <w:sz w:val="16"/>
          <w:szCs w:val="16"/>
        </w:rPr>
        <w:t>Na úrovni</w:t>
      </w:r>
      <w:r w:rsidRPr="00D0572A">
        <w:rPr>
          <w:sz w:val="16"/>
          <w:szCs w:val="16"/>
        </w:rPr>
        <w:t xml:space="preserve"> jednotlivých odvětvových oddílů měly podniky nižší podíl jen v hudebním a filmovém průmyslu (80 %) a zejména </w:t>
      </w:r>
      <w:r>
        <w:rPr>
          <w:sz w:val="16"/>
          <w:szCs w:val="16"/>
        </w:rPr>
        <w:t xml:space="preserve">v </w:t>
      </w:r>
      <w:r w:rsidRPr="00D0572A">
        <w:rPr>
          <w:sz w:val="16"/>
          <w:szCs w:val="16"/>
        </w:rPr>
        <w:t xml:space="preserve">tvorbě programů a vysílání (68 %), kde bezmála třetinu HPH vytvářely subjekty zařazené do vládního sektoru. </w:t>
      </w:r>
      <w:r>
        <w:rPr>
          <w:sz w:val="16"/>
          <w:szCs w:val="16"/>
        </w:rPr>
        <w:t>V rámci podnikové sféry v odvětví i</w:t>
      </w:r>
      <w:r w:rsidRPr="00D0572A">
        <w:rPr>
          <w:sz w:val="16"/>
          <w:szCs w:val="16"/>
        </w:rPr>
        <w:t>nformační</w:t>
      </w:r>
      <w:r>
        <w:rPr>
          <w:sz w:val="16"/>
          <w:szCs w:val="16"/>
        </w:rPr>
        <w:t>ch</w:t>
      </w:r>
      <w:r w:rsidRPr="00D0572A">
        <w:rPr>
          <w:sz w:val="16"/>
          <w:szCs w:val="16"/>
        </w:rPr>
        <w:t xml:space="preserve"> komunikační</w:t>
      </w:r>
      <w:r>
        <w:rPr>
          <w:sz w:val="16"/>
          <w:szCs w:val="16"/>
        </w:rPr>
        <w:t>ch</w:t>
      </w:r>
      <w:r w:rsidRPr="00D0572A">
        <w:rPr>
          <w:sz w:val="16"/>
          <w:szCs w:val="16"/>
        </w:rPr>
        <w:t xml:space="preserve"> </w:t>
      </w:r>
      <w:r>
        <w:rPr>
          <w:sz w:val="16"/>
          <w:szCs w:val="16"/>
        </w:rPr>
        <w:t>činností mírně převažovaly národní soukromé podniky (loni vytvořily 49 % HPH) nad podniky pod zahraniční kontrolou (48 %).</w:t>
      </w:r>
    </w:p>
  </w:footnote>
  <w:footnote w:id="113">
    <w:p w:rsidR="00C805DC" w:rsidRPr="00D0572A" w:rsidRDefault="00C805DC" w:rsidP="009540B7">
      <w:pPr>
        <w:pStyle w:val="Textpoznpodarou"/>
        <w:jc w:val="both"/>
        <w:rPr>
          <w:sz w:val="16"/>
          <w:szCs w:val="16"/>
        </w:rPr>
      </w:pPr>
      <w:r w:rsidRPr="00D0572A">
        <w:rPr>
          <w:rStyle w:val="Znakapoznpodarou"/>
          <w:sz w:val="16"/>
          <w:szCs w:val="16"/>
        </w:rPr>
        <w:footnoteRef/>
      </w:r>
      <w:r w:rsidRPr="00D0572A">
        <w:rPr>
          <w:sz w:val="16"/>
          <w:szCs w:val="16"/>
        </w:rPr>
        <w:t xml:space="preserve"> Obdobnou či vyšší ziskovost vykázaly loni nefinanční podniky jen v činnostech v oblasti nemovitostí (80 %),</w:t>
      </w:r>
      <w:r>
        <w:rPr>
          <w:sz w:val="16"/>
          <w:szCs w:val="16"/>
        </w:rPr>
        <w:t xml:space="preserve"> v</w:t>
      </w:r>
      <w:r w:rsidRPr="00D0572A">
        <w:rPr>
          <w:sz w:val="16"/>
          <w:szCs w:val="16"/>
        </w:rPr>
        <w:t xml:space="preserve"> kulturních, zábavních a rekreačních činnostech (57 %) a dále také finanční podniky v peněžnictví a pojišťovnictví (61 %).</w:t>
      </w:r>
    </w:p>
  </w:footnote>
  <w:footnote w:id="114">
    <w:p w:rsidR="00C805DC" w:rsidRPr="003A56B4" w:rsidRDefault="00C805DC" w:rsidP="009540B7">
      <w:pPr>
        <w:pStyle w:val="Textpoznpodarou"/>
        <w:rPr>
          <w:sz w:val="16"/>
          <w:szCs w:val="16"/>
        </w:rPr>
      </w:pPr>
      <w:r w:rsidRPr="00D0572A">
        <w:rPr>
          <w:rStyle w:val="Znakapoznpodarou"/>
          <w:sz w:val="16"/>
          <w:szCs w:val="16"/>
        </w:rPr>
        <w:footnoteRef/>
      </w:r>
      <w:r w:rsidRPr="00D0572A">
        <w:rPr>
          <w:sz w:val="16"/>
          <w:szCs w:val="16"/>
        </w:rPr>
        <w:t xml:space="preserve"> Dle údajů MSPV tvořili loni v tomto odvětví lidé s vysokoškolským vzděláním 53 % všech zaměstnanců. Vyššího podílu dosáhli z 18 ostatních odvětvových sekcí již pouze ve vzdělávání (56 %).</w:t>
      </w:r>
    </w:p>
  </w:footnote>
  <w:footnote w:id="115">
    <w:p w:rsidR="00C805DC" w:rsidRPr="00201B01" w:rsidRDefault="00C805DC" w:rsidP="007C13A4">
      <w:pPr>
        <w:pStyle w:val="Textpoznpodarou"/>
        <w:jc w:val="both"/>
        <w:rPr>
          <w:spacing w:val="-2"/>
          <w:sz w:val="16"/>
          <w:szCs w:val="16"/>
        </w:rPr>
      </w:pPr>
      <w:r w:rsidRPr="00201B01">
        <w:rPr>
          <w:rStyle w:val="Znakapoznpodarou"/>
          <w:spacing w:val="-2"/>
          <w:sz w:val="16"/>
          <w:szCs w:val="16"/>
        </w:rPr>
        <w:footnoteRef/>
      </w:r>
      <w:r w:rsidRPr="00201B01">
        <w:rPr>
          <w:spacing w:val="-2"/>
          <w:sz w:val="16"/>
          <w:szCs w:val="16"/>
        </w:rPr>
        <w:t xml:space="preserve"> Šlo hlavně o telekomunikační činnosti (55 tis.) či oblast informačních technologií a činností</w:t>
      </w:r>
      <w:r>
        <w:rPr>
          <w:spacing w:val="-2"/>
          <w:sz w:val="16"/>
          <w:szCs w:val="16"/>
        </w:rPr>
        <w:t>, s menším odstupem také o tvorbu programů a</w:t>
      </w:r>
      <w:r w:rsidRPr="00201B01">
        <w:rPr>
          <w:spacing w:val="-2"/>
          <w:sz w:val="16"/>
          <w:szCs w:val="16"/>
        </w:rPr>
        <w:t> vysílání</w:t>
      </w:r>
      <w:r>
        <w:rPr>
          <w:spacing w:val="-2"/>
          <w:sz w:val="16"/>
          <w:szCs w:val="16"/>
        </w:rPr>
        <w:t>. Výrazně nižší úrovně dosahovala průměrná měsíční mzda ve vydavatelských činnostech</w:t>
      </w:r>
      <w:r w:rsidRPr="00201B01">
        <w:rPr>
          <w:spacing w:val="-2"/>
          <w:sz w:val="16"/>
          <w:szCs w:val="16"/>
        </w:rPr>
        <w:t xml:space="preserve"> (38 tis.) a hudební</w:t>
      </w:r>
      <w:r>
        <w:rPr>
          <w:spacing w:val="-2"/>
          <w:sz w:val="16"/>
          <w:szCs w:val="16"/>
        </w:rPr>
        <w:t>m a filmovém</w:t>
      </w:r>
      <w:r w:rsidRPr="00201B01">
        <w:rPr>
          <w:spacing w:val="-2"/>
          <w:sz w:val="16"/>
          <w:szCs w:val="16"/>
        </w:rPr>
        <w:t xml:space="preserve"> průmysl</w:t>
      </w:r>
      <w:r>
        <w:rPr>
          <w:spacing w:val="-2"/>
          <w:sz w:val="16"/>
          <w:szCs w:val="16"/>
        </w:rPr>
        <w:t>u</w:t>
      </w:r>
      <w:r w:rsidRPr="00201B01">
        <w:rPr>
          <w:spacing w:val="-2"/>
          <w:sz w:val="16"/>
          <w:szCs w:val="16"/>
        </w:rPr>
        <w:t xml:space="preserve"> (23 tis.) – tedy </w:t>
      </w:r>
      <w:r>
        <w:rPr>
          <w:spacing w:val="-2"/>
          <w:sz w:val="16"/>
          <w:szCs w:val="16"/>
        </w:rPr>
        <w:t xml:space="preserve">v </w:t>
      </w:r>
      <w:r w:rsidRPr="00201B01">
        <w:rPr>
          <w:spacing w:val="-2"/>
          <w:sz w:val="16"/>
          <w:szCs w:val="16"/>
        </w:rPr>
        <w:t>s</w:t>
      </w:r>
      <w:r>
        <w:rPr>
          <w:spacing w:val="-2"/>
          <w:sz w:val="16"/>
          <w:szCs w:val="16"/>
        </w:rPr>
        <w:t>egmentech</w:t>
      </w:r>
      <w:r w:rsidRPr="00201B01">
        <w:rPr>
          <w:spacing w:val="-2"/>
          <w:sz w:val="16"/>
          <w:szCs w:val="16"/>
        </w:rPr>
        <w:t xml:space="preserve">, jimž </w:t>
      </w:r>
      <w:r>
        <w:rPr>
          <w:spacing w:val="-2"/>
          <w:sz w:val="16"/>
          <w:szCs w:val="16"/>
        </w:rPr>
        <w:t xml:space="preserve">výrazně </w:t>
      </w:r>
      <w:r w:rsidRPr="00201B01">
        <w:rPr>
          <w:spacing w:val="-2"/>
          <w:sz w:val="16"/>
          <w:szCs w:val="16"/>
        </w:rPr>
        <w:t>dominovaly podniky s převahou tuzemského kapitálu.</w:t>
      </w:r>
    </w:p>
  </w:footnote>
  <w:footnote w:id="116">
    <w:p w:rsidR="00C805DC" w:rsidRPr="00194DD5" w:rsidRDefault="00C805DC" w:rsidP="009540B7">
      <w:pPr>
        <w:pStyle w:val="Textpoznpodarou"/>
        <w:rPr>
          <w:sz w:val="16"/>
          <w:szCs w:val="16"/>
        </w:rPr>
      </w:pPr>
      <w:r w:rsidRPr="00194DD5">
        <w:rPr>
          <w:rStyle w:val="Znakapoznpodarou"/>
          <w:sz w:val="16"/>
          <w:szCs w:val="16"/>
        </w:rPr>
        <w:footnoteRef/>
      </w:r>
      <w:r w:rsidRPr="00194DD5">
        <w:rPr>
          <w:sz w:val="16"/>
          <w:szCs w:val="16"/>
        </w:rPr>
        <w:t xml:space="preserve"> Vyšší byla loni z dvanácti zbývajících odvětvových sekcí služeb </w:t>
      </w:r>
      <w:r>
        <w:rPr>
          <w:sz w:val="16"/>
          <w:szCs w:val="16"/>
        </w:rPr>
        <w:t xml:space="preserve">jen </w:t>
      </w:r>
      <w:r w:rsidRPr="00194DD5">
        <w:rPr>
          <w:sz w:val="16"/>
          <w:szCs w:val="16"/>
        </w:rPr>
        <w:t>v činnoste</w:t>
      </w:r>
      <w:r>
        <w:rPr>
          <w:sz w:val="16"/>
          <w:szCs w:val="16"/>
        </w:rPr>
        <w:t xml:space="preserve">ch v oblasti nemovitostí (67 %) a </w:t>
      </w:r>
      <w:r w:rsidRPr="00194DD5">
        <w:rPr>
          <w:sz w:val="16"/>
          <w:szCs w:val="16"/>
        </w:rPr>
        <w:t>v dopra</w:t>
      </w:r>
      <w:r>
        <w:rPr>
          <w:sz w:val="16"/>
          <w:szCs w:val="16"/>
        </w:rPr>
        <w:t>vě a skladování (33 %).</w:t>
      </w:r>
    </w:p>
  </w:footnote>
  <w:footnote w:id="117">
    <w:p w:rsidR="00C805DC" w:rsidRPr="005F5E64" w:rsidRDefault="00C805DC" w:rsidP="009540B7">
      <w:pPr>
        <w:pStyle w:val="Textpoznpodarou"/>
        <w:rPr>
          <w:sz w:val="16"/>
          <w:szCs w:val="16"/>
        </w:rPr>
      </w:pPr>
      <w:r w:rsidRPr="005F5E64">
        <w:rPr>
          <w:rStyle w:val="Znakapoznpodarou"/>
          <w:sz w:val="16"/>
          <w:szCs w:val="16"/>
        </w:rPr>
        <w:footnoteRef/>
      </w:r>
      <w:r w:rsidRPr="005F5E64">
        <w:rPr>
          <w:sz w:val="16"/>
          <w:szCs w:val="16"/>
        </w:rPr>
        <w:t xml:space="preserve"> Míru investic vyšší než ČR vykázaly v roce 2016 jen čtyři státy EU (Švédsko, Irsko, Litva a Itálie). V celé </w:t>
      </w:r>
      <w:r>
        <w:rPr>
          <w:sz w:val="16"/>
          <w:szCs w:val="16"/>
        </w:rPr>
        <w:t>EU dosahovala tato míra 23</w:t>
      </w:r>
      <w:r w:rsidRPr="00194DD5">
        <w:rPr>
          <w:sz w:val="16"/>
          <w:szCs w:val="16"/>
        </w:rPr>
        <w:t> </w:t>
      </w:r>
      <w:r w:rsidRPr="005F5E64">
        <w:rPr>
          <w:sz w:val="16"/>
          <w:szCs w:val="16"/>
        </w:rPr>
        <w:t>%</w:t>
      </w:r>
      <w:r>
        <w:rPr>
          <w:sz w:val="16"/>
          <w:szCs w:val="16"/>
        </w:rPr>
        <w:t xml:space="preserve">, tj. o 10 p. </w:t>
      </w:r>
      <w:proofErr w:type="spellStart"/>
      <w:r w:rsidRPr="005F5E64">
        <w:rPr>
          <w:sz w:val="16"/>
          <w:szCs w:val="16"/>
        </w:rPr>
        <w:t>b</w:t>
      </w:r>
      <w:proofErr w:type="spellEnd"/>
      <w:r w:rsidRPr="005F5E64">
        <w:rPr>
          <w:sz w:val="16"/>
          <w:szCs w:val="16"/>
        </w:rPr>
        <w:t xml:space="preserve">. </w:t>
      </w:r>
      <w:proofErr w:type="gramStart"/>
      <w:r w:rsidRPr="005F5E64">
        <w:rPr>
          <w:sz w:val="16"/>
          <w:szCs w:val="16"/>
        </w:rPr>
        <w:t>méně</w:t>
      </w:r>
      <w:proofErr w:type="gramEnd"/>
      <w:r w:rsidRPr="005F5E64">
        <w:rPr>
          <w:sz w:val="16"/>
          <w:szCs w:val="16"/>
        </w:rPr>
        <w:t xml:space="preserve"> než </w:t>
      </w:r>
      <w:r>
        <w:rPr>
          <w:sz w:val="16"/>
          <w:szCs w:val="16"/>
        </w:rPr>
        <w:t xml:space="preserve">v </w:t>
      </w:r>
      <w:r w:rsidRPr="005F5E64">
        <w:rPr>
          <w:sz w:val="16"/>
          <w:szCs w:val="16"/>
        </w:rPr>
        <w:t>Česku.</w:t>
      </w:r>
    </w:p>
  </w:footnote>
  <w:footnote w:id="118">
    <w:p w:rsidR="00C805DC" w:rsidRPr="00905D95" w:rsidRDefault="00C805DC" w:rsidP="009540B7">
      <w:pPr>
        <w:pStyle w:val="Textpoznpodarou"/>
        <w:rPr>
          <w:sz w:val="16"/>
          <w:szCs w:val="16"/>
        </w:rPr>
      </w:pPr>
      <w:r w:rsidRPr="00905D95">
        <w:rPr>
          <w:rStyle w:val="Znakapoznpodarou"/>
          <w:sz w:val="16"/>
          <w:szCs w:val="16"/>
        </w:rPr>
        <w:footnoteRef/>
      </w:r>
      <w:r w:rsidRPr="00905D95">
        <w:rPr>
          <w:sz w:val="16"/>
          <w:szCs w:val="16"/>
        </w:rPr>
        <w:t xml:space="preserve"> </w:t>
      </w:r>
      <w:r>
        <w:rPr>
          <w:sz w:val="16"/>
          <w:szCs w:val="16"/>
        </w:rPr>
        <w:t>Subjekty</w:t>
      </w:r>
      <w:r w:rsidRPr="00905D95">
        <w:rPr>
          <w:sz w:val="16"/>
          <w:szCs w:val="16"/>
        </w:rPr>
        <w:t xml:space="preserve">, jež svou převažující činností spadají do odvětví informačních a komunikačních činností, </w:t>
      </w:r>
      <w:r>
        <w:rPr>
          <w:sz w:val="16"/>
          <w:szCs w:val="16"/>
        </w:rPr>
        <w:t>směřovaly</w:t>
      </w:r>
      <w:r w:rsidRPr="00905D95">
        <w:rPr>
          <w:sz w:val="16"/>
          <w:szCs w:val="16"/>
        </w:rPr>
        <w:t xml:space="preserve"> loni na výzkum a vývoj jen 4,3 % </w:t>
      </w:r>
      <w:r>
        <w:rPr>
          <w:sz w:val="16"/>
          <w:szCs w:val="16"/>
        </w:rPr>
        <w:t xml:space="preserve">ze </w:t>
      </w:r>
      <w:r w:rsidRPr="00905D95">
        <w:rPr>
          <w:sz w:val="16"/>
          <w:szCs w:val="16"/>
        </w:rPr>
        <w:t xml:space="preserve">všech </w:t>
      </w:r>
      <w:r>
        <w:rPr>
          <w:sz w:val="16"/>
          <w:szCs w:val="16"/>
        </w:rPr>
        <w:t xml:space="preserve">svých </w:t>
      </w:r>
      <w:r w:rsidRPr="00905D95">
        <w:rPr>
          <w:sz w:val="16"/>
          <w:szCs w:val="16"/>
        </w:rPr>
        <w:t>výdajů do fixního kapitálu.</w:t>
      </w:r>
      <w:r>
        <w:rPr>
          <w:sz w:val="16"/>
          <w:szCs w:val="16"/>
        </w:rPr>
        <w:t xml:space="preserve"> V celé ekonomice činil obdobný podíl 6,3 %.</w:t>
      </w:r>
    </w:p>
  </w:footnote>
  <w:footnote w:id="119">
    <w:p w:rsidR="00C805DC" w:rsidRPr="00A8352E" w:rsidRDefault="00C805DC" w:rsidP="009540B7">
      <w:pPr>
        <w:pStyle w:val="Textpoznpodarou"/>
        <w:rPr>
          <w:sz w:val="16"/>
          <w:szCs w:val="16"/>
        </w:rPr>
      </w:pPr>
      <w:r w:rsidRPr="00A8352E">
        <w:rPr>
          <w:rStyle w:val="Znakapoznpodarou"/>
          <w:sz w:val="16"/>
          <w:szCs w:val="16"/>
        </w:rPr>
        <w:footnoteRef/>
      </w:r>
      <w:r w:rsidRPr="00A8352E">
        <w:rPr>
          <w:sz w:val="16"/>
          <w:szCs w:val="16"/>
        </w:rPr>
        <w:t xml:space="preserve"> Zahrnuje především programování, správu počítačového vybavení a poradenství v oblasti informačních technologií.</w:t>
      </w:r>
    </w:p>
  </w:footnote>
  <w:footnote w:id="120">
    <w:p w:rsidR="00C805DC" w:rsidRPr="002A310F" w:rsidRDefault="00C805DC" w:rsidP="009540B7">
      <w:pPr>
        <w:pStyle w:val="Textpoznpodarou"/>
        <w:jc w:val="both"/>
        <w:rPr>
          <w:rFonts w:cs="Arial"/>
          <w:color w:val="0D0D0D" w:themeColor="text1" w:themeTint="F2"/>
          <w:sz w:val="16"/>
          <w:szCs w:val="16"/>
        </w:rPr>
      </w:pPr>
      <w:r w:rsidRPr="002A310F">
        <w:rPr>
          <w:rStyle w:val="Znakapoznpodarou"/>
          <w:rFonts w:cs="Arial"/>
          <w:color w:val="0D0D0D" w:themeColor="text1" w:themeTint="F2"/>
          <w:sz w:val="16"/>
          <w:szCs w:val="16"/>
        </w:rPr>
        <w:footnoteRef/>
      </w:r>
      <w:r w:rsidRPr="002A310F">
        <w:rPr>
          <w:rFonts w:cs="Arial"/>
          <w:color w:val="0D0D0D" w:themeColor="text1" w:themeTint="F2"/>
          <w:sz w:val="16"/>
          <w:szCs w:val="16"/>
        </w:rPr>
        <w:t xml:space="preserve"> Vývoj výkonů v tomto odvětvovém oddíle zřejmě podpořily i pobídky pro filmovou a televizní produkci (zavedené v ČR od roku 2010 po vzoru okolních evropských států). Pobídky se vztahují jak na české, tak i na zahraniční produkce natáčené v ČR a mají formu vratky ve výši až 20 % tzv. u</w:t>
      </w:r>
      <w:r>
        <w:rPr>
          <w:rFonts w:cs="Arial"/>
          <w:color w:val="0D0D0D" w:themeColor="text1" w:themeTint="F2"/>
          <w:sz w:val="16"/>
          <w:szCs w:val="16"/>
        </w:rPr>
        <w:t>znatelných nákladů směřovaných na</w:t>
      </w:r>
      <w:r w:rsidRPr="002A310F">
        <w:rPr>
          <w:rFonts w:cs="Arial"/>
          <w:color w:val="0D0D0D" w:themeColor="text1" w:themeTint="F2"/>
          <w:sz w:val="16"/>
          <w:szCs w:val="16"/>
        </w:rPr>
        <w:t xml:space="preserve"> audiovizuální produkci.</w:t>
      </w:r>
    </w:p>
  </w:footnote>
  <w:footnote w:id="121">
    <w:p w:rsidR="00C805DC" w:rsidRPr="001D70E9" w:rsidRDefault="00C805DC" w:rsidP="0063201A">
      <w:pPr>
        <w:pStyle w:val="Textpoznpodarou"/>
        <w:rPr>
          <w:spacing w:val="-3"/>
        </w:rPr>
      </w:pPr>
      <w:r w:rsidRPr="001D70E9">
        <w:rPr>
          <w:rStyle w:val="Znakapoznpodarou"/>
          <w:spacing w:val="-3"/>
          <w:sz w:val="16"/>
          <w:szCs w:val="16"/>
        </w:rPr>
        <w:footnoteRef/>
      </w:r>
      <w:r w:rsidRPr="001D70E9">
        <w:rPr>
          <w:spacing w:val="-3"/>
          <w:sz w:val="16"/>
          <w:szCs w:val="16"/>
        </w:rPr>
        <w:t xml:space="preserve"> Pokud není uvedeno jinak, vychází všechny údaje v této kapitole z dat národních účtů, a kde je to relevantní, jsou očištěny o cenové vlivy.</w:t>
      </w:r>
    </w:p>
  </w:footnote>
  <w:footnote w:id="122">
    <w:p w:rsidR="00C805DC" w:rsidRPr="00A918BF" w:rsidRDefault="00C805DC" w:rsidP="0063201A">
      <w:pPr>
        <w:pStyle w:val="Textpoznpodarou"/>
        <w:jc w:val="both"/>
        <w:rPr>
          <w:spacing w:val="-4"/>
          <w:sz w:val="16"/>
          <w:szCs w:val="16"/>
        </w:rPr>
      </w:pPr>
      <w:r w:rsidRPr="00A918BF">
        <w:rPr>
          <w:rStyle w:val="Znakapoznpodarou"/>
          <w:spacing w:val="-4"/>
          <w:sz w:val="16"/>
          <w:szCs w:val="16"/>
        </w:rPr>
        <w:footnoteRef/>
      </w:r>
      <w:r w:rsidRPr="00A918BF">
        <w:rPr>
          <w:spacing w:val="-4"/>
          <w:sz w:val="16"/>
          <w:szCs w:val="16"/>
        </w:rPr>
        <w:t xml:space="preserve"> Hlavní dělicí čára probíhá na úrovni odvětvových sekcí. Je to patrné i z kvalifikační struktury zaměstnanců. Zatímco v profesních, vědeckých a</w:t>
      </w:r>
      <w:r w:rsidRPr="00A918BF">
        <w:rPr>
          <w:spacing w:val="-2"/>
          <w:sz w:val="16"/>
          <w:szCs w:val="16"/>
        </w:rPr>
        <w:t> </w:t>
      </w:r>
      <w:r w:rsidRPr="00A918BF">
        <w:rPr>
          <w:spacing w:val="-4"/>
          <w:sz w:val="16"/>
          <w:szCs w:val="16"/>
        </w:rPr>
        <w:t>technických činnostech tvořili v roce 2017 lidé s vysokoškolským vzděláním nadpoloviční část všech zaměstnanců (51 %), v administrativních a podpůrných činnostech byl jejich podíl (dle údajů MPSV) výrazně nižší (a to i ve srovnání s celou ekonomikou, kde dosahoval 23 %).</w:t>
      </w:r>
    </w:p>
  </w:footnote>
  <w:footnote w:id="123">
    <w:p w:rsidR="00C805DC" w:rsidRPr="00A918BF" w:rsidRDefault="00C805DC" w:rsidP="0063201A">
      <w:pPr>
        <w:pStyle w:val="Textpoznpodarou"/>
        <w:jc w:val="both"/>
        <w:rPr>
          <w:spacing w:val="-2"/>
          <w:sz w:val="16"/>
          <w:szCs w:val="16"/>
        </w:rPr>
      </w:pPr>
      <w:r w:rsidRPr="00A918BF">
        <w:rPr>
          <w:rStyle w:val="Znakapoznpodarou"/>
          <w:spacing w:val="-2"/>
          <w:sz w:val="16"/>
          <w:szCs w:val="16"/>
        </w:rPr>
        <w:footnoteRef/>
      </w:r>
      <w:r w:rsidRPr="00A918BF">
        <w:rPr>
          <w:spacing w:val="-2"/>
          <w:sz w:val="16"/>
          <w:szCs w:val="16"/>
        </w:rPr>
        <w:t xml:space="preserve"> Ve váhově významných dílčích odvětvích – </w:t>
      </w:r>
      <w:r>
        <w:rPr>
          <w:spacing w:val="-2"/>
          <w:sz w:val="16"/>
          <w:szCs w:val="16"/>
        </w:rPr>
        <w:t>č</w:t>
      </w:r>
      <w:r w:rsidRPr="00A918BF">
        <w:rPr>
          <w:spacing w:val="-2"/>
          <w:sz w:val="16"/>
          <w:szCs w:val="16"/>
        </w:rPr>
        <w:t>innosti v obla</w:t>
      </w:r>
      <w:r>
        <w:rPr>
          <w:spacing w:val="-2"/>
          <w:sz w:val="16"/>
          <w:szCs w:val="16"/>
        </w:rPr>
        <w:t>sti pronájmu a leasingu, resp. a</w:t>
      </w:r>
      <w:r w:rsidRPr="00A918BF">
        <w:rPr>
          <w:spacing w:val="-2"/>
          <w:sz w:val="16"/>
          <w:szCs w:val="16"/>
        </w:rPr>
        <w:t>rchitektonické a inženýrské činnosti – hodnotilo v prosinci 2017 celkovou ekonomickou situaci podniku jako dobrou 80 %, resp. 50 % respondentů. Špatné hodnocení pak signalizovala maximálně desetina z nich.</w:t>
      </w:r>
    </w:p>
  </w:footnote>
  <w:footnote w:id="124">
    <w:p w:rsidR="00C805DC" w:rsidRPr="00495A9F" w:rsidRDefault="00C805DC" w:rsidP="0063201A">
      <w:pPr>
        <w:pStyle w:val="Textpoznpodarou"/>
        <w:jc w:val="both"/>
        <w:rPr>
          <w:spacing w:val="-2"/>
          <w:sz w:val="16"/>
          <w:szCs w:val="16"/>
        </w:rPr>
      </w:pPr>
      <w:r w:rsidRPr="00495A9F">
        <w:rPr>
          <w:rStyle w:val="Znakapoznpodarou"/>
          <w:spacing w:val="-2"/>
          <w:sz w:val="16"/>
          <w:szCs w:val="16"/>
        </w:rPr>
        <w:footnoteRef/>
      </w:r>
      <w:r w:rsidRPr="00495A9F">
        <w:rPr>
          <w:spacing w:val="-2"/>
          <w:sz w:val="16"/>
          <w:szCs w:val="16"/>
        </w:rPr>
        <w:t xml:space="preserve"> Nefinanční podniky vytvářely loni 69 % HPH tohoto odvětvového uskupení. Měly více než 80% podíl ve všech odvětvových oddílech v administrativních a podpůrných činnostech a dále také v oddíle činnosti vedení podniků a poradenství v oblasti řízení. Téměř čtvrtinu HPH pak generovali drobní podnikatelé, jejichž role byla zásadní v rámci veterinárních činností (75 %) a právních a účetnických činností (48 %). Vládní sektor přispěl 7,5 %, téměř výhradně díky </w:t>
      </w:r>
      <w:r>
        <w:rPr>
          <w:spacing w:val="-2"/>
          <w:sz w:val="16"/>
          <w:szCs w:val="16"/>
        </w:rPr>
        <w:t>pevn</w:t>
      </w:r>
      <w:r w:rsidRPr="00495A9F">
        <w:rPr>
          <w:spacing w:val="-2"/>
          <w:sz w:val="16"/>
          <w:szCs w:val="16"/>
        </w:rPr>
        <w:t>ému ukotvení ve vědě a výzkumu, kde měl silnější pozici (52 %) než podniky (47 %).</w:t>
      </w:r>
    </w:p>
  </w:footnote>
  <w:footnote w:id="125">
    <w:p w:rsidR="00C805DC" w:rsidRPr="00F24806" w:rsidRDefault="00C805DC" w:rsidP="0063201A">
      <w:pPr>
        <w:pStyle w:val="Textpoznpodarou"/>
        <w:rPr>
          <w:sz w:val="16"/>
          <w:szCs w:val="16"/>
        </w:rPr>
      </w:pPr>
      <w:r w:rsidRPr="00F24806">
        <w:rPr>
          <w:rStyle w:val="Znakapoznpodarou"/>
          <w:sz w:val="16"/>
          <w:szCs w:val="16"/>
        </w:rPr>
        <w:footnoteRef/>
      </w:r>
      <w:r w:rsidRPr="00F24806">
        <w:rPr>
          <w:sz w:val="16"/>
          <w:szCs w:val="16"/>
        </w:rPr>
        <w:t xml:space="preserve"> V roce 2016 činil v celé EU podíl tvorby fixního kapitálu na přidané hodnotě v odvětví </w:t>
      </w:r>
      <w:r w:rsidRPr="00F24806">
        <w:rPr>
          <w:spacing w:val="-2"/>
          <w:sz w:val="16"/>
          <w:szCs w:val="16"/>
        </w:rPr>
        <w:t xml:space="preserve">profesní, vědecké, technické a administrativní činnosti 18 %. Vyšších hodnot nežli ČR dosáhly jen čtyři </w:t>
      </w:r>
      <w:r>
        <w:rPr>
          <w:spacing w:val="-2"/>
          <w:sz w:val="16"/>
          <w:szCs w:val="16"/>
        </w:rPr>
        <w:t xml:space="preserve">unijní </w:t>
      </w:r>
      <w:r w:rsidRPr="00F24806">
        <w:rPr>
          <w:spacing w:val="-2"/>
          <w:sz w:val="16"/>
          <w:szCs w:val="16"/>
        </w:rPr>
        <w:t>státy (mj. Německo a Rakousko).</w:t>
      </w:r>
    </w:p>
  </w:footnote>
  <w:footnote w:id="126">
    <w:p w:rsidR="00C805DC" w:rsidRPr="00396AA7" w:rsidRDefault="00C805DC" w:rsidP="0063201A">
      <w:pPr>
        <w:pStyle w:val="Textpoznpodarou"/>
        <w:jc w:val="both"/>
        <w:rPr>
          <w:spacing w:val="-2"/>
          <w:sz w:val="16"/>
          <w:szCs w:val="16"/>
        </w:rPr>
      </w:pPr>
      <w:r w:rsidRPr="00396AA7">
        <w:rPr>
          <w:rStyle w:val="Znakapoznpodarou"/>
          <w:spacing w:val="-2"/>
          <w:sz w:val="16"/>
          <w:szCs w:val="16"/>
        </w:rPr>
        <w:footnoteRef/>
      </w:r>
      <w:r w:rsidRPr="00396AA7">
        <w:rPr>
          <w:spacing w:val="-2"/>
          <w:sz w:val="16"/>
          <w:szCs w:val="16"/>
        </w:rPr>
        <w:t xml:space="preserve"> Výrazné zpomalení růstových temp ve vědě a výzkumu po roce 2015 souviselo s vyprcháním mimořádného růstového impulsu po dočerpání financí na konci minulého programového období</w:t>
      </w:r>
      <w:r>
        <w:rPr>
          <w:spacing w:val="-2"/>
          <w:sz w:val="16"/>
          <w:szCs w:val="16"/>
        </w:rPr>
        <w:t>. Oproti roku 2016</w:t>
      </w:r>
      <w:r w:rsidRPr="00396AA7">
        <w:rPr>
          <w:spacing w:val="-2"/>
          <w:sz w:val="16"/>
          <w:szCs w:val="16"/>
        </w:rPr>
        <w:t xml:space="preserve"> zde </w:t>
      </w:r>
      <w:r>
        <w:rPr>
          <w:spacing w:val="-2"/>
          <w:sz w:val="16"/>
          <w:szCs w:val="16"/>
        </w:rPr>
        <w:t>vloni vzrostla</w:t>
      </w:r>
      <w:r w:rsidRPr="00396AA7">
        <w:rPr>
          <w:spacing w:val="-2"/>
          <w:sz w:val="16"/>
          <w:szCs w:val="16"/>
        </w:rPr>
        <w:t xml:space="preserve"> HPH jen o 0,4 %.</w:t>
      </w:r>
    </w:p>
  </w:footnote>
  <w:footnote w:id="127">
    <w:p w:rsidR="00C805DC" w:rsidRPr="00396AA7" w:rsidRDefault="00C805DC" w:rsidP="0063201A">
      <w:pPr>
        <w:pStyle w:val="Textpoznpodarou"/>
        <w:jc w:val="both"/>
        <w:rPr>
          <w:spacing w:val="-2"/>
          <w:sz w:val="16"/>
          <w:szCs w:val="16"/>
        </w:rPr>
      </w:pPr>
      <w:r w:rsidRPr="00396AA7">
        <w:rPr>
          <w:rStyle w:val="Znakapoznpodarou"/>
          <w:spacing w:val="-2"/>
          <w:sz w:val="16"/>
          <w:szCs w:val="16"/>
        </w:rPr>
        <w:footnoteRef/>
      </w:r>
      <w:r w:rsidRPr="00396AA7">
        <w:rPr>
          <w:spacing w:val="-2"/>
          <w:sz w:val="16"/>
          <w:szCs w:val="16"/>
        </w:rPr>
        <w:t xml:space="preserve"> Nepříznivou pozici tohoto odvětví např. v produktivitě práce dokresluje i fakt, že se na celkové zaměstnanosti v uskupení profesní, vědecké, technic</w:t>
      </w:r>
      <w:r>
        <w:rPr>
          <w:spacing w:val="-2"/>
          <w:sz w:val="16"/>
          <w:szCs w:val="16"/>
        </w:rPr>
        <w:t>ké a administrativní činnosti</w:t>
      </w:r>
      <w:r w:rsidRPr="00396AA7">
        <w:rPr>
          <w:spacing w:val="-2"/>
          <w:sz w:val="16"/>
          <w:szCs w:val="16"/>
        </w:rPr>
        <w:t xml:space="preserve"> v roce 2017 podílelo 10,2 %, ale na vytvořené hrubé přidané hodnotě jen 3,8 %.</w:t>
      </w:r>
    </w:p>
  </w:footnote>
  <w:footnote w:id="128">
    <w:p w:rsidR="00C805DC" w:rsidRPr="0022569B" w:rsidRDefault="00C805DC" w:rsidP="0063201A">
      <w:pPr>
        <w:pStyle w:val="Textpoznpodarou"/>
        <w:jc w:val="both"/>
        <w:rPr>
          <w:sz w:val="16"/>
          <w:szCs w:val="16"/>
        </w:rPr>
      </w:pPr>
      <w:r w:rsidRPr="00396AA7">
        <w:rPr>
          <w:rStyle w:val="Znakapoznpodarou"/>
          <w:spacing w:val="-2"/>
          <w:sz w:val="16"/>
          <w:szCs w:val="16"/>
        </w:rPr>
        <w:footnoteRef/>
      </w:r>
      <w:r w:rsidRPr="00396AA7">
        <w:rPr>
          <w:spacing w:val="-2"/>
          <w:sz w:val="16"/>
          <w:szCs w:val="16"/>
        </w:rPr>
        <w:t xml:space="preserve"> Zatímco v letech 2014 i 2015 nedosahovala míra zisku podniků v tomto odvětví úrovně celé ekonomiky, loni ji již o 45 % převyšovala. V minulosti zde ale ziskovost značně kolísala, což souvisí s tím, že se jedná o velmi malé</w:t>
      </w:r>
      <w:r>
        <w:rPr>
          <w:spacing w:val="-2"/>
          <w:sz w:val="16"/>
          <w:szCs w:val="16"/>
        </w:rPr>
        <w:t xml:space="preserve"> odvětví. Výši</w:t>
      </w:r>
      <w:r w:rsidRPr="00396AA7">
        <w:rPr>
          <w:spacing w:val="-2"/>
          <w:sz w:val="16"/>
          <w:szCs w:val="16"/>
        </w:rPr>
        <w:t xml:space="preserve"> průměrných mezd (loni zde za celou ekonomikou zaostávala o 15 %) výz</w:t>
      </w:r>
      <w:r>
        <w:rPr>
          <w:spacing w:val="-2"/>
          <w:sz w:val="16"/>
          <w:szCs w:val="16"/>
        </w:rPr>
        <w:t>namně ovlivňuje skutečnost, že d</w:t>
      </w:r>
      <w:r w:rsidRPr="00396AA7">
        <w:rPr>
          <w:spacing w:val="-2"/>
          <w:sz w:val="16"/>
          <w:szCs w:val="16"/>
        </w:rPr>
        <w:t xml:space="preserve">o tohoto odvětví nejsou (dle metodiky národních účtů) zařazeni agenturní pracovníci. V případě jejich započítání, jak je tomu v podnikových statistikách, by se výše průměrné mzdy </w:t>
      </w:r>
      <w:r>
        <w:rPr>
          <w:spacing w:val="-2"/>
          <w:sz w:val="16"/>
          <w:szCs w:val="16"/>
        </w:rPr>
        <w:t xml:space="preserve">dále </w:t>
      </w:r>
      <w:r w:rsidRPr="00396AA7">
        <w:rPr>
          <w:spacing w:val="-2"/>
          <w:sz w:val="16"/>
          <w:szCs w:val="16"/>
        </w:rPr>
        <w:t>výrazněji snížila.</w:t>
      </w:r>
    </w:p>
  </w:footnote>
  <w:footnote w:id="129">
    <w:p w:rsidR="00C805DC" w:rsidRPr="00CA0F97" w:rsidRDefault="00C805DC" w:rsidP="00082A55">
      <w:pPr>
        <w:spacing w:after="0" w:line="240" w:lineRule="auto"/>
        <w:rPr>
          <w:spacing w:val="-2"/>
          <w:sz w:val="16"/>
          <w:szCs w:val="16"/>
        </w:rPr>
      </w:pPr>
      <w:r w:rsidRPr="00CA0F97">
        <w:rPr>
          <w:rStyle w:val="Znakapoznpodarou"/>
          <w:sz w:val="16"/>
          <w:szCs w:val="16"/>
        </w:rPr>
        <w:footnoteRef/>
      </w:r>
      <w:r w:rsidRPr="00CA0F97">
        <w:rPr>
          <w:sz w:val="16"/>
          <w:szCs w:val="16"/>
        </w:rPr>
        <w:t xml:space="preserve"> </w:t>
      </w:r>
      <w:r w:rsidRPr="003B7579">
        <w:rPr>
          <w:spacing w:val="-2"/>
          <w:sz w:val="16"/>
          <w:szCs w:val="16"/>
        </w:rPr>
        <w:t>Pokud</w:t>
      </w:r>
      <w:r w:rsidRPr="00A918BF">
        <w:rPr>
          <w:spacing w:val="-2"/>
          <w:sz w:val="16"/>
          <w:szCs w:val="16"/>
        </w:rPr>
        <w:t xml:space="preserve"> není uvedeno jinak, vychází všechny údaje v této kapitole z dat národních účtů</w:t>
      </w:r>
      <w:r w:rsidR="003B4331">
        <w:rPr>
          <w:spacing w:val="-2"/>
          <w:sz w:val="16"/>
          <w:szCs w:val="16"/>
        </w:rPr>
        <w:t>,</w:t>
      </w:r>
      <w:r w:rsidRPr="00A918BF">
        <w:rPr>
          <w:spacing w:val="-2"/>
          <w:sz w:val="16"/>
          <w:szCs w:val="16"/>
        </w:rPr>
        <w:t xml:space="preserve"> a kde je to relevantní, jsou očištěny o cenové vlivy.</w:t>
      </w:r>
      <w:r>
        <w:rPr>
          <w:spacing w:val="-2"/>
          <w:sz w:val="16"/>
          <w:szCs w:val="16"/>
        </w:rPr>
        <w:t xml:space="preserve"> Za </w:t>
      </w:r>
      <w:r w:rsidRPr="00CA0F97">
        <w:rPr>
          <w:sz w:val="16"/>
          <w:szCs w:val="16"/>
        </w:rPr>
        <w:t xml:space="preserve">veřejné služby </w:t>
      </w:r>
      <w:r>
        <w:rPr>
          <w:sz w:val="16"/>
          <w:szCs w:val="16"/>
        </w:rPr>
        <w:t xml:space="preserve">jsou zde </w:t>
      </w:r>
      <w:r w:rsidRPr="00CA0F97">
        <w:rPr>
          <w:sz w:val="16"/>
          <w:szCs w:val="16"/>
        </w:rPr>
        <w:t xml:space="preserve">považovány aktivity spadající do odvětví (dle klasifikace CZ-NACE): </w:t>
      </w:r>
      <w:r w:rsidRPr="00CA0F97">
        <w:rPr>
          <w:spacing w:val="-2"/>
          <w:sz w:val="16"/>
          <w:szCs w:val="16"/>
        </w:rPr>
        <w:t>Veřejná správa a obrana, povinné sociální zabezpečení (O)</w:t>
      </w:r>
      <w:r>
        <w:rPr>
          <w:spacing w:val="-2"/>
          <w:sz w:val="16"/>
          <w:szCs w:val="16"/>
        </w:rPr>
        <w:t xml:space="preserve">, </w:t>
      </w:r>
      <w:r w:rsidRPr="00CA0F97">
        <w:rPr>
          <w:spacing w:val="-2"/>
          <w:sz w:val="16"/>
          <w:szCs w:val="16"/>
        </w:rPr>
        <w:t>Vzdělávání</w:t>
      </w:r>
      <w:r>
        <w:rPr>
          <w:spacing w:val="-2"/>
          <w:sz w:val="16"/>
          <w:szCs w:val="16"/>
        </w:rPr>
        <w:t xml:space="preserve"> (P), </w:t>
      </w:r>
      <w:r w:rsidRPr="00CA0F97">
        <w:rPr>
          <w:spacing w:val="-2"/>
          <w:sz w:val="16"/>
          <w:szCs w:val="16"/>
        </w:rPr>
        <w:t>Zdravotní péče</w:t>
      </w:r>
      <w:r>
        <w:rPr>
          <w:spacing w:val="-2"/>
          <w:sz w:val="16"/>
          <w:szCs w:val="16"/>
        </w:rPr>
        <w:t xml:space="preserve"> (Q86), Pobytové služby sociální péče (Q87), A</w:t>
      </w:r>
      <w:r w:rsidRPr="00CA0F97">
        <w:rPr>
          <w:spacing w:val="-2"/>
          <w:sz w:val="16"/>
          <w:szCs w:val="16"/>
        </w:rPr>
        <w:t>mbulantní nebo terénní sociální služby</w:t>
      </w:r>
      <w:r>
        <w:rPr>
          <w:spacing w:val="-2"/>
          <w:sz w:val="16"/>
          <w:szCs w:val="16"/>
        </w:rPr>
        <w:t xml:space="preserve"> (Q88),</w:t>
      </w:r>
      <w:r w:rsidRPr="00CA0F97">
        <w:rPr>
          <w:spacing w:val="-2"/>
          <w:sz w:val="16"/>
          <w:szCs w:val="16"/>
        </w:rPr>
        <w:t xml:space="preserve"> </w:t>
      </w:r>
      <w:r w:rsidRPr="00B63057">
        <w:rPr>
          <w:spacing w:val="-2"/>
          <w:sz w:val="16"/>
          <w:szCs w:val="16"/>
        </w:rPr>
        <w:t>Tvůrčí, umělecké a zábavní činnosti</w:t>
      </w:r>
      <w:r>
        <w:rPr>
          <w:spacing w:val="-2"/>
          <w:sz w:val="16"/>
          <w:szCs w:val="16"/>
        </w:rPr>
        <w:t xml:space="preserve"> (</w:t>
      </w:r>
      <w:r w:rsidRPr="00CA0F97">
        <w:rPr>
          <w:spacing w:val="-2"/>
          <w:sz w:val="16"/>
          <w:szCs w:val="16"/>
        </w:rPr>
        <w:t>R90</w:t>
      </w:r>
      <w:r>
        <w:rPr>
          <w:spacing w:val="-2"/>
          <w:sz w:val="16"/>
          <w:szCs w:val="16"/>
        </w:rPr>
        <w:t>)</w:t>
      </w:r>
      <w:r w:rsidRPr="00CA0F97">
        <w:rPr>
          <w:spacing w:val="-2"/>
          <w:sz w:val="16"/>
          <w:szCs w:val="16"/>
        </w:rPr>
        <w:t xml:space="preserve"> </w:t>
      </w:r>
      <w:r>
        <w:rPr>
          <w:spacing w:val="-2"/>
          <w:sz w:val="16"/>
          <w:szCs w:val="16"/>
        </w:rPr>
        <w:t xml:space="preserve">a </w:t>
      </w:r>
      <w:r w:rsidRPr="00B63057">
        <w:rPr>
          <w:spacing w:val="-2"/>
          <w:sz w:val="16"/>
          <w:szCs w:val="16"/>
        </w:rPr>
        <w:t>Činnosti knihoven, archivů, muzeí a jiných kulturních zařízení</w:t>
      </w:r>
      <w:r>
        <w:rPr>
          <w:spacing w:val="-2"/>
          <w:sz w:val="16"/>
          <w:szCs w:val="16"/>
        </w:rPr>
        <w:t xml:space="preserve"> (Q91). Tato odvětví se vyznačují klíčovou rolí sektoru vládních institucí (je v rámci nich nejvýznamnějším tvůrcem HPH). Výjimkou jsou jen odvětví A</w:t>
      </w:r>
      <w:r w:rsidRPr="00F2731A">
        <w:rPr>
          <w:spacing w:val="-2"/>
          <w:sz w:val="16"/>
          <w:szCs w:val="16"/>
        </w:rPr>
        <w:t>mbulantní nebo terénní sociální</w:t>
      </w:r>
      <w:r>
        <w:rPr>
          <w:spacing w:val="-2"/>
          <w:sz w:val="16"/>
          <w:szCs w:val="16"/>
        </w:rPr>
        <w:t xml:space="preserve"> služby, kde dominují neziskové instituce sloužící domácnostem (NISD). Bylo však zařazeno z důvodu silných dotačních vazeb na veřejné zdroje financování a také s ohledem na svou logickou návaznost na odvětví zdravotnictví. Mezi veřejné služby nebyly naopak včleněny dvě odvětví s převažující rolí </w:t>
      </w:r>
      <w:r w:rsidR="003B4331">
        <w:rPr>
          <w:spacing w:val="-2"/>
          <w:sz w:val="16"/>
          <w:szCs w:val="16"/>
        </w:rPr>
        <w:t>sektoru vládních institucí</w:t>
      </w:r>
      <w:r>
        <w:rPr>
          <w:spacing w:val="-2"/>
          <w:sz w:val="16"/>
          <w:szCs w:val="16"/>
        </w:rPr>
        <w:t>, ale zároveň i silným postavení podnikové sféry - s</w:t>
      </w:r>
      <w:r w:rsidRPr="00F2731A">
        <w:rPr>
          <w:spacing w:val="-2"/>
          <w:sz w:val="16"/>
          <w:szCs w:val="16"/>
        </w:rPr>
        <w:t>kladování a vedlejší činnosti v</w:t>
      </w:r>
      <w:r>
        <w:rPr>
          <w:spacing w:val="-2"/>
          <w:sz w:val="16"/>
          <w:szCs w:val="16"/>
        </w:rPr>
        <w:t> </w:t>
      </w:r>
      <w:r w:rsidRPr="00F2731A">
        <w:rPr>
          <w:spacing w:val="-2"/>
          <w:sz w:val="16"/>
          <w:szCs w:val="16"/>
        </w:rPr>
        <w:t>dopravě</w:t>
      </w:r>
      <w:r>
        <w:rPr>
          <w:spacing w:val="-2"/>
          <w:sz w:val="16"/>
          <w:szCs w:val="16"/>
        </w:rPr>
        <w:t xml:space="preserve"> (H52) a věda a výzkum (M72). Konečně nebylo zařazeno ani odvětví </w:t>
      </w:r>
      <w:r w:rsidRPr="00815B09">
        <w:rPr>
          <w:spacing w:val="-2"/>
          <w:sz w:val="16"/>
          <w:szCs w:val="16"/>
        </w:rPr>
        <w:t>Činnosti organizací sdružujících osoby za účelem prosazování společných zájmů</w:t>
      </w:r>
      <w:r>
        <w:rPr>
          <w:spacing w:val="-2"/>
          <w:sz w:val="16"/>
          <w:szCs w:val="16"/>
        </w:rPr>
        <w:t xml:space="preserve"> (S94, např. náboženské a politické organizace, odborové svazy), ve kterém výrazně dominují NISD.</w:t>
      </w:r>
    </w:p>
  </w:footnote>
  <w:footnote w:id="130">
    <w:p w:rsidR="00C805DC" w:rsidRPr="000B34C9" w:rsidRDefault="00C805DC" w:rsidP="0060404F">
      <w:pPr>
        <w:pStyle w:val="Textpoznpodarou"/>
        <w:jc w:val="both"/>
        <w:rPr>
          <w:sz w:val="16"/>
          <w:szCs w:val="16"/>
        </w:rPr>
      </w:pPr>
      <w:r w:rsidRPr="000B34C9">
        <w:rPr>
          <w:rStyle w:val="Znakapoznpodarou"/>
          <w:sz w:val="16"/>
          <w:szCs w:val="16"/>
        </w:rPr>
        <w:footnoteRef/>
      </w:r>
      <w:r w:rsidRPr="000B34C9">
        <w:rPr>
          <w:sz w:val="16"/>
          <w:szCs w:val="16"/>
        </w:rPr>
        <w:t xml:space="preserve"> Podíl </w:t>
      </w:r>
      <w:proofErr w:type="spellStart"/>
      <w:r w:rsidRPr="000B34C9">
        <w:rPr>
          <w:sz w:val="16"/>
          <w:szCs w:val="16"/>
        </w:rPr>
        <w:t>mezispotřeby</w:t>
      </w:r>
      <w:proofErr w:type="spellEnd"/>
      <w:r w:rsidRPr="000B34C9">
        <w:rPr>
          <w:sz w:val="16"/>
          <w:szCs w:val="16"/>
        </w:rPr>
        <w:t xml:space="preserve"> na celkové produkci je ve veřejných službách dlouhodobě nejnižší ze všech hlavních odvětví ekonomiky. V roce 2017 činil ve zdravotnictví 0,36, ve veřejné správě, obraně a povinném sociálním zabezpečení 0,31 a ve vzdělávání dokonce jen 0,21.</w:t>
      </w:r>
    </w:p>
  </w:footnote>
  <w:footnote w:id="131">
    <w:p w:rsidR="00C805DC" w:rsidRPr="00493160" w:rsidRDefault="00C805DC" w:rsidP="0060404F">
      <w:pPr>
        <w:pStyle w:val="Textpoznpodarou"/>
        <w:jc w:val="both"/>
        <w:rPr>
          <w:sz w:val="16"/>
          <w:szCs w:val="16"/>
        </w:rPr>
      </w:pPr>
      <w:r w:rsidRPr="00493160">
        <w:rPr>
          <w:rStyle w:val="Znakapoznpodarou"/>
          <w:sz w:val="16"/>
          <w:szCs w:val="16"/>
        </w:rPr>
        <w:footnoteRef/>
      </w:r>
      <w:r w:rsidRPr="00493160">
        <w:rPr>
          <w:sz w:val="16"/>
          <w:szCs w:val="16"/>
        </w:rPr>
        <w:t xml:space="preserve"> S výjimkou odvětví zdravotní péče a tvůrčích, uměleckých a zábavních činností se praktický veškerá HPH ve veřejných službách „přelévá“ do náhrad zaměstnancům (mezd platů a povinných odvodů na sociálním pojistném). </w:t>
      </w:r>
    </w:p>
  </w:footnote>
  <w:footnote w:id="132">
    <w:p w:rsidR="00C805DC" w:rsidRPr="00715C4E" w:rsidRDefault="00C805DC" w:rsidP="00082A55">
      <w:pPr>
        <w:pStyle w:val="Textpoznpodarou"/>
        <w:jc w:val="both"/>
        <w:rPr>
          <w:sz w:val="16"/>
          <w:szCs w:val="16"/>
        </w:rPr>
      </w:pPr>
      <w:r w:rsidRPr="00715C4E">
        <w:rPr>
          <w:rStyle w:val="Znakapoznpodarou"/>
          <w:sz w:val="16"/>
          <w:szCs w:val="16"/>
        </w:rPr>
        <w:footnoteRef/>
      </w:r>
      <w:r w:rsidRPr="00715C4E">
        <w:rPr>
          <w:sz w:val="16"/>
          <w:szCs w:val="16"/>
        </w:rPr>
        <w:t xml:space="preserve"> Ve srovnání s konjunkturním rokem 2007 se reálné výdaje na mzdy a platy ve veřejných službách zvýšily o 26 %, zatímco v celé ekonomice o 20 %. Příčinou disproporce je silnější reakce podnikové sféry na nepříznivý vývoj ekonomiky v roce 2009.</w:t>
      </w:r>
    </w:p>
  </w:footnote>
  <w:footnote w:id="133">
    <w:p w:rsidR="00C805DC" w:rsidRPr="00A51FDE" w:rsidRDefault="00C805DC" w:rsidP="00082A55">
      <w:pPr>
        <w:pStyle w:val="Textpoznpodarou"/>
        <w:rPr>
          <w:color w:val="0D0D0D" w:themeColor="text1" w:themeTint="F2"/>
          <w:sz w:val="16"/>
          <w:szCs w:val="16"/>
        </w:rPr>
      </w:pPr>
      <w:r w:rsidRPr="00A51FDE">
        <w:rPr>
          <w:rStyle w:val="Znakapoznpodarou"/>
          <w:color w:val="0D0D0D" w:themeColor="text1" w:themeTint="F2"/>
          <w:sz w:val="16"/>
          <w:szCs w:val="16"/>
        </w:rPr>
        <w:footnoteRef/>
      </w:r>
      <w:r w:rsidRPr="00A51FDE">
        <w:rPr>
          <w:color w:val="0D0D0D" w:themeColor="text1" w:themeTint="F2"/>
          <w:sz w:val="16"/>
          <w:szCs w:val="16"/>
        </w:rPr>
        <w:t xml:space="preserve"> Po přepočtu na plné úvazky. Údaje o zaměstnanosti i mzdách vychází z pojetí národních účtů. </w:t>
      </w:r>
      <w:r w:rsidRPr="00A51FDE">
        <w:rPr>
          <w:iCs/>
          <w:color w:val="0D0D0D" w:themeColor="text1" w:themeTint="F2"/>
          <w:sz w:val="16"/>
          <w:szCs w:val="16"/>
        </w:rPr>
        <w:t xml:space="preserve">Objem mezd a platů zahrnuje veškeré příjmy ze zaměstnání, a to v peněžní i naturální podobě (zaměstnanecké </w:t>
      </w:r>
      <w:proofErr w:type="spellStart"/>
      <w:r w:rsidRPr="00A51FDE">
        <w:rPr>
          <w:iCs/>
          <w:color w:val="0D0D0D" w:themeColor="text1" w:themeTint="F2"/>
          <w:sz w:val="16"/>
          <w:szCs w:val="16"/>
        </w:rPr>
        <w:t>benefity</w:t>
      </w:r>
      <w:proofErr w:type="spellEnd"/>
      <w:r w:rsidRPr="00A51FDE">
        <w:rPr>
          <w:iCs/>
          <w:color w:val="0D0D0D" w:themeColor="text1" w:themeTint="F2"/>
          <w:sz w:val="16"/>
          <w:szCs w:val="16"/>
        </w:rPr>
        <w:t>) bez ohledu na to, jestli byly oficiálně přiznány.</w:t>
      </w:r>
    </w:p>
  </w:footnote>
  <w:footnote w:id="134">
    <w:p w:rsidR="00C805DC" w:rsidRPr="00502826" w:rsidRDefault="00C805DC" w:rsidP="00082A55">
      <w:pPr>
        <w:pStyle w:val="Textpoznpodarou"/>
        <w:jc w:val="both"/>
        <w:rPr>
          <w:spacing w:val="-2"/>
          <w:sz w:val="16"/>
          <w:szCs w:val="16"/>
        </w:rPr>
      </w:pPr>
      <w:r w:rsidRPr="00502826">
        <w:rPr>
          <w:rStyle w:val="Znakapoznpodarou"/>
          <w:spacing w:val="-2"/>
          <w:sz w:val="16"/>
          <w:szCs w:val="16"/>
        </w:rPr>
        <w:footnoteRef/>
      </w:r>
      <w:r w:rsidRPr="00502826">
        <w:rPr>
          <w:spacing w:val="-2"/>
          <w:sz w:val="16"/>
          <w:szCs w:val="16"/>
        </w:rPr>
        <w:t xml:space="preserve"> Vysoké průměrné výdělky v tomto odvětví souvisely </w:t>
      </w:r>
      <w:r>
        <w:rPr>
          <w:spacing w:val="-2"/>
          <w:sz w:val="16"/>
          <w:szCs w:val="16"/>
        </w:rPr>
        <w:t xml:space="preserve">také </w:t>
      </w:r>
      <w:r w:rsidRPr="00502826">
        <w:rPr>
          <w:spacing w:val="-2"/>
          <w:sz w:val="16"/>
          <w:szCs w:val="16"/>
        </w:rPr>
        <w:t xml:space="preserve">s širším pojetím mezd </w:t>
      </w:r>
      <w:r>
        <w:rPr>
          <w:spacing w:val="-2"/>
          <w:sz w:val="16"/>
          <w:szCs w:val="16"/>
        </w:rPr>
        <w:t xml:space="preserve">a platů </w:t>
      </w:r>
      <w:r w:rsidRPr="00502826">
        <w:rPr>
          <w:spacing w:val="-2"/>
          <w:sz w:val="16"/>
          <w:szCs w:val="16"/>
        </w:rPr>
        <w:t xml:space="preserve">než v podnikové statistice. </w:t>
      </w:r>
      <w:r>
        <w:rPr>
          <w:spacing w:val="-2"/>
          <w:sz w:val="16"/>
          <w:szCs w:val="16"/>
        </w:rPr>
        <w:t>Jsou zde zahrnuty i</w:t>
      </w:r>
      <w:r w:rsidRPr="00502826">
        <w:rPr>
          <w:spacing w:val="-2"/>
          <w:sz w:val="16"/>
          <w:szCs w:val="16"/>
        </w:rPr>
        <w:t xml:space="preserve"> zaměstnanecké </w:t>
      </w:r>
      <w:proofErr w:type="spellStart"/>
      <w:r w:rsidRPr="00502826">
        <w:rPr>
          <w:spacing w:val="-2"/>
          <w:sz w:val="16"/>
          <w:szCs w:val="16"/>
        </w:rPr>
        <w:t>benefity</w:t>
      </w:r>
      <w:proofErr w:type="spellEnd"/>
      <w:r w:rsidRPr="00502826">
        <w:rPr>
          <w:spacing w:val="-2"/>
          <w:sz w:val="16"/>
          <w:szCs w:val="16"/>
        </w:rPr>
        <w:t xml:space="preserve"> (v peněžní i naturální podobě). Výši výdělků ovlivňuje i skutečnost, že v tomto odvětví jako</w:t>
      </w:r>
      <w:r>
        <w:rPr>
          <w:spacing w:val="-2"/>
          <w:sz w:val="16"/>
          <w:szCs w:val="16"/>
        </w:rPr>
        <w:t xml:space="preserve"> v</w:t>
      </w:r>
      <w:r w:rsidRPr="00502826">
        <w:rPr>
          <w:spacing w:val="-2"/>
          <w:sz w:val="16"/>
          <w:szCs w:val="16"/>
        </w:rPr>
        <w:t xml:space="preserve"> jediném z veřejných </w:t>
      </w:r>
      <w:r>
        <w:rPr>
          <w:spacing w:val="-2"/>
          <w:sz w:val="16"/>
          <w:szCs w:val="16"/>
        </w:rPr>
        <w:t>služeb počet zaměstnanců</w:t>
      </w:r>
      <w:r w:rsidRPr="00502826">
        <w:rPr>
          <w:spacing w:val="-2"/>
          <w:sz w:val="16"/>
          <w:szCs w:val="16"/>
        </w:rPr>
        <w:t xml:space="preserve"> za posledních dese</w:t>
      </w:r>
      <w:r>
        <w:rPr>
          <w:spacing w:val="-2"/>
          <w:sz w:val="16"/>
          <w:szCs w:val="16"/>
        </w:rPr>
        <w:t>t let kles</w:t>
      </w:r>
      <w:r w:rsidRPr="00502826">
        <w:rPr>
          <w:spacing w:val="-2"/>
          <w:sz w:val="16"/>
          <w:szCs w:val="16"/>
        </w:rPr>
        <w:t>a</w:t>
      </w:r>
      <w:r>
        <w:rPr>
          <w:spacing w:val="-2"/>
          <w:sz w:val="16"/>
          <w:szCs w:val="16"/>
        </w:rPr>
        <w:t>l</w:t>
      </w:r>
      <w:r w:rsidRPr="00502826">
        <w:rPr>
          <w:spacing w:val="-2"/>
          <w:sz w:val="16"/>
          <w:szCs w:val="16"/>
        </w:rPr>
        <w:t xml:space="preserve"> (o 3,2 %). </w:t>
      </w:r>
      <w:r>
        <w:rPr>
          <w:spacing w:val="-2"/>
          <w:sz w:val="16"/>
          <w:szCs w:val="16"/>
        </w:rPr>
        <w:t>Naopak např. v oblasti zdravotní péče byl vloni vyšší o pětinu a v úhrnu za veřejné služby o 8,6 %.</w:t>
      </w:r>
    </w:p>
  </w:footnote>
  <w:footnote w:id="135">
    <w:p w:rsidR="00C805DC" w:rsidRPr="00287778" w:rsidRDefault="00C805DC" w:rsidP="00082A55">
      <w:pPr>
        <w:pStyle w:val="Textpoznpodarou"/>
        <w:jc w:val="both"/>
        <w:rPr>
          <w:sz w:val="16"/>
          <w:szCs w:val="16"/>
        </w:rPr>
      </w:pPr>
      <w:r w:rsidRPr="00287778">
        <w:rPr>
          <w:rStyle w:val="Znakapoznpodarou"/>
          <w:sz w:val="16"/>
          <w:szCs w:val="16"/>
        </w:rPr>
        <w:footnoteRef/>
      </w:r>
      <w:r w:rsidRPr="00287778">
        <w:rPr>
          <w:sz w:val="16"/>
          <w:szCs w:val="16"/>
        </w:rPr>
        <w:t xml:space="preserve"> Dle údajů ze strukturální mzdové statistiky tvořili vloni lidé s v</w:t>
      </w:r>
      <w:r>
        <w:rPr>
          <w:sz w:val="16"/>
          <w:szCs w:val="16"/>
        </w:rPr>
        <w:t xml:space="preserve">ysokoškolským vzděláním 56 % </w:t>
      </w:r>
      <w:r w:rsidRPr="00287778">
        <w:rPr>
          <w:sz w:val="16"/>
          <w:szCs w:val="16"/>
        </w:rPr>
        <w:t xml:space="preserve">všech zaměstnanců ve vzdělávání (nejvíce ze všech dvaceti hlavních odvětví ekonomiky). Výrazně nadprůměrný byl tento podíl i ve </w:t>
      </w:r>
      <w:r w:rsidRPr="00287778">
        <w:rPr>
          <w:spacing w:val="-2"/>
          <w:sz w:val="16"/>
          <w:szCs w:val="16"/>
        </w:rPr>
        <w:t>veřejné správě, obraně a povinném sociálním zabezpečení (41 %), v oblasti zdravotnictví a kultury se shodně pohyboval blízko 30 %.</w:t>
      </w:r>
    </w:p>
  </w:footnote>
  <w:footnote w:id="136">
    <w:p w:rsidR="00C805DC" w:rsidRPr="00E6091C" w:rsidRDefault="00C805DC" w:rsidP="00082A55">
      <w:pPr>
        <w:pStyle w:val="Textpoznpodarou"/>
        <w:rPr>
          <w:sz w:val="16"/>
          <w:szCs w:val="16"/>
        </w:rPr>
      </w:pPr>
      <w:r w:rsidRPr="00E6091C">
        <w:rPr>
          <w:rStyle w:val="Znakapoznpodarou"/>
          <w:sz w:val="16"/>
          <w:szCs w:val="16"/>
        </w:rPr>
        <w:footnoteRef/>
      </w:r>
      <w:r w:rsidRPr="00E6091C">
        <w:rPr>
          <w:sz w:val="16"/>
          <w:szCs w:val="16"/>
        </w:rPr>
        <w:t xml:space="preserve"> Pro tyto účely je vymezena odvětvími NACE: O, P a Q (</w:t>
      </w:r>
      <w:proofErr w:type="spellStart"/>
      <w:r w:rsidRPr="00E6091C">
        <w:rPr>
          <w:sz w:val="16"/>
          <w:szCs w:val="16"/>
        </w:rPr>
        <w:t>tj</w:t>
      </w:r>
      <w:proofErr w:type="spellEnd"/>
      <w:r w:rsidRPr="00E6091C">
        <w:rPr>
          <w:sz w:val="16"/>
          <w:szCs w:val="16"/>
        </w:rPr>
        <w:t>, bez oblasti kultury).</w:t>
      </w:r>
    </w:p>
  </w:footnote>
  <w:footnote w:id="137">
    <w:p w:rsidR="00C805DC" w:rsidRPr="0068776E" w:rsidRDefault="00C805DC" w:rsidP="00082A55">
      <w:pPr>
        <w:pStyle w:val="Textpoznpodarou"/>
        <w:jc w:val="both"/>
        <w:rPr>
          <w:spacing w:val="-2"/>
          <w:sz w:val="16"/>
          <w:szCs w:val="16"/>
        </w:rPr>
      </w:pPr>
      <w:r w:rsidRPr="0068776E">
        <w:rPr>
          <w:rStyle w:val="Znakapoznpodarou"/>
          <w:spacing w:val="-2"/>
          <w:sz w:val="16"/>
          <w:szCs w:val="16"/>
        </w:rPr>
        <w:footnoteRef/>
      </w:r>
      <w:r w:rsidRPr="0068776E">
        <w:rPr>
          <w:spacing w:val="-2"/>
          <w:sz w:val="16"/>
          <w:szCs w:val="16"/>
        </w:rPr>
        <w:t xml:space="preserve"> Slabší postavení veřejných služeb v těchto státech (EU13) zčásti souvisí s významnou rolí průmyslových podniků po</w:t>
      </w:r>
      <w:r>
        <w:rPr>
          <w:spacing w:val="-2"/>
          <w:sz w:val="16"/>
          <w:szCs w:val="16"/>
        </w:rPr>
        <w:t>d</w:t>
      </w:r>
      <w:r w:rsidRPr="0068776E">
        <w:rPr>
          <w:spacing w:val="-2"/>
          <w:sz w:val="16"/>
          <w:szCs w:val="16"/>
        </w:rPr>
        <w:t xml:space="preserve"> zahraniční kontrolou. Relativní posilování průmyslu v některých (zejména balkánských státech) je motivováno využitím levné pracovní síly. Avšak i když vztáhneme např. HPH ve veřejných službách jen k celému terciárnímu sektoru, dosahovaly v roce 2016 ze zemí EU13 nadprůměrných hodnot jen Maďarsko (29 %), Slovinsko (27,3 %) a Slovensko (27,2 %). V celé EU činil tento podíl 26,6 %, v Česku 25,7 %.</w:t>
      </w:r>
    </w:p>
  </w:footnote>
  <w:footnote w:id="138">
    <w:p w:rsidR="00C805DC" w:rsidRPr="003365AB" w:rsidRDefault="00C805DC" w:rsidP="00082A55">
      <w:pPr>
        <w:pStyle w:val="Textpoznpodarou"/>
        <w:jc w:val="both"/>
        <w:rPr>
          <w:spacing w:val="-2"/>
          <w:sz w:val="16"/>
          <w:szCs w:val="16"/>
        </w:rPr>
      </w:pPr>
      <w:r w:rsidRPr="003365AB">
        <w:rPr>
          <w:rStyle w:val="Znakapoznpodarou"/>
          <w:spacing w:val="-2"/>
          <w:sz w:val="16"/>
          <w:szCs w:val="16"/>
        </w:rPr>
        <w:footnoteRef/>
      </w:r>
      <w:r w:rsidRPr="003365AB">
        <w:rPr>
          <w:spacing w:val="-2"/>
          <w:sz w:val="16"/>
          <w:szCs w:val="16"/>
        </w:rPr>
        <w:t xml:space="preserve"> Údaje vychází ze zdravotnických účtů sestavovaných dle metodického manuálu SHA 2011 (</w:t>
      </w:r>
      <w:proofErr w:type="spellStart"/>
      <w:r w:rsidRPr="003365AB">
        <w:rPr>
          <w:i/>
          <w:spacing w:val="-2"/>
          <w:sz w:val="16"/>
          <w:szCs w:val="16"/>
        </w:rPr>
        <w:t>System</w:t>
      </w:r>
      <w:proofErr w:type="spellEnd"/>
      <w:r w:rsidRPr="003365AB">
        <w:rPr>
          <w:i/>
          <w:spacing w:val="-2"/>
          <w:sz w:val="16"/>
          <w:szCs w:val="16"/>
        </w:rPr>
        <w:t xml:space="preserve"> </w:t>
      </w:r>
      <w:proofErr w:type="spellStart"/>
      <w:r w:rsidRPr="003365AB">
        <w:rPr>
          <w:i/>
          <w:spacing w:val="-2"/>
          <w:sz w:val="16"/>
          <w:szCs w:val="16"/>
        </w:rPr>
        <w:t>of</w:t>
      </w:r>
      <w:proofErr w:type="spellEnd"/>
      <w:r w:rsidRPr="003365AB">
        <w:rPr>
          <w:i/>
          <w:spacing w:val="-2"/>
          <w:sz w:val="16"/>
          <w:szCs w:val="16"/>
        </w:rPr>
        <w:t xml:space="preserve"> </w:t>
      </w:r>
      <w:proofErr w:type="spellStart"/>
      <w:r w:rsidRPr="003365AB">
        <w:rPr>
          <w:i/>
          <w:spacing w:val="-2"/>
          <w:sz w:val="16"/>
          <w:szCs w:val="16"/>
        </w:rPr>
        <w:t>Health</w:t>
      </w:r>
      <w:proofErr w:type="spellEnd"/>
      <w:r w:rsidRPr="003365AB">
        <w:rPr>
          <w:i/>
          <w:spacing w:val="-2"/>
          <w:sz w:val="16"/>
          <w:szCs w:val="16"/>
        </w:rPr>
        <w:t xml:space="preserve"> </w:t>
      </w:r>
      <w:proofErr w:type="spellStart"/>
      <w:r w:rsidRPr="003365AB">
        <w:rPr>
          <w:i/>
          <w:spacing w:val="-2"/>
          <w:sz w:val="16"/>
          <w:szCs w:val="16"/>
        </w:rPr>
        <w:t>Accounts</w:t>
      </w:r>
      <w:proofErr w:type="spellEnd"/>
      <w:r w:rsidRPr="003365AB">
        <w:rPr>
          <w:spacing w:val="-2"/>
          <w:sz w:val="16"/>
          <w:szCs w:val="16"/>
        </w:rPr>
        <w:t>) v mezinárodně srovnatelné metodice. Věcně srovnatelné údaje pokrývají období 2010 až 2016</w:t>
      </w:r>
      <w:r>
        <w:rPr>
          <w:spacing w:val="-2"/>
          <w:sz w:val="16"/>
          <w:szCs w:val="16"/>
        </w:rPr>
        <w:t xml:space="preserve"> (údaje za rok 2016 jsou předběžné). </w:t>
      </w:r>
      <w:r w:rsidRPr="003365AB">
        <w:rPr>
          <w:spacing w:val="-2"/>
          <w:sz w:val="16"/>
          <w:szCs w:val="16"/>
        </w:rPr>
        <w:t>Do zdravotnických účtů jsou zahrnovány jen neinvestiční výdaje související se zdravotní péčí o obyvatele s českým státním občanstvím na území ČR.</w:t>
      </w:r>
    </w:p>
  </w:footnote>
  <w:footnote w:id="139">
    <w:p w:rsidR="00C805DC" w:rsidRPr="00FD0492" w:rsidRDefault="00C805DC" w:rsidP="00082A55">
      <w:pPr>
        <w:pStyle w:val="Textpoznpodarou"/>
        <w:jc w:val="both"/>
        <w:rPr>
          <w:sz w:val="16"/>
          <w:szCs w:val="16"/>
        </w:rPr>
      </w:pPr>
      <w:r w:rsidRPr="00FD0492">
        <w:rPr>
          <w:rStyle w:val="Znakapoznpodarou"/>
          <w:sz w:val="16"/>
          <w:szCs w:val="16"/>
        </w:rPr>
        <w:footnoteRef/>
      </w:r>
      <w:r w:rsidRPr="00FD0492">
        <w:rPr>
          <w:sz w:val="16"/>
          <w:szCs w:val="16"/>
        </w:rPr>
        <w:t xml:space="preserve"> Je urč</w:t>
      </w:r>
      <w:r>
        <w:rPr>
          <w:sz w:val="16"/>
          <w:szCs w:val="16"/>
        </w:rPr>
        <w:t xml:space="preserve">ena chronicky nemocným (primárně </w:t>
      </w:r>
      <w:r w:rsidRPr="00FD0492">
        <w:rPr>
          <w:sz w:val="16"/>
          <w:szCs w:val="16"/>
        </w:rPr>
        <w:t xml:space="preserve">lidem v seniorském věku a ostatním osobám s tělesným </w:t>
      </w:r>
      <w:r>
        <w:rPr>
          <w:sz w:val="16"/>
          <w:szCs w:val="16"/>
        </w:rPr>
        <w:t>či duševním postižením). Zahrnuje dlouhodobou lůžkovou péči v institucionálních zařízeních, dlouhodobou denní péči, stacionáře, centra denních služeb, ale i sociální služby (zejm. chráněné bydlení, sociální rehabilitace) a peněžité dávky (příspěvek na péči, mobilitu či zvláštní pomůcky).</w:t>
      </w:r>
    </w:p>
  </w:footnote>
  <w:footnote w:id="140">
    <w:p w:rsidR="00C805DC" w:rsidRPr="000857B8" w:rsidRDefault="00C805DC" w:rsidP="00082A55">
      <w:pPr>
        <w:pStyle w:val="Textpoznpodarou"/>
        <w:jc w:val="both"/>
        <w:rPr>
          <w:sz w:val="16"/>
          <w:szCs w:val="16"/>
        </w:rPr>
      </w:pPr>
      <w:r w:rsidRPr="000857B8">
        <w:rPr>
          <w:rStyle w:val="Znakapoznpodarou"/>
          <w:sz w:val="16"/>
          <w:szCs w:val="16"/>
        </w:rPr>
        <w:footnoteRef/>
      </w:r>
      <w:r w:rsidRPr="000857B8">
        <w:rPr>
          <w:sz w:val="16"/>
          <w:szCs w:val="16"/>
        </w:rPr>
        <w:t xml:space="preserve"> Redukce souvisí zejména s dlouhodobým snižováním počtu akutních nemocničních lůžek a lůžek v odborných léčebných ústavech. </w:t>
      </w:r>
      <w:r>
        <w:rPr>
          <w:sz w:val="16"/>
          <w:szCs w:val="16"/>
        </w:rPr>
        <w:t xml:space="preserve">Mírně se snižuje také průměrná ošetřovací doba v zařízeních (ta v nemocnicích klesla mezi roky 2010 a 2016 ze 7,3 na 6,2 dne). </w:t>
      </w:r>
    </w:p>
  </w:footnote>
  <w:footnote w:id="141">
    <w:p w:rsidR="00C805DC" w:rsidRPr="00A21902" w:rsidRDefault="00C805DC" w:rsidP="00082A55">
      <w:pPr>
        <w:pStyle w:val="Textpoznpodarou"/>
        <w:jc w:val="both"/>
        <w:rPr>
          <w:spacing w:val="-2"/>
          <w:sz w:val="16"/>
          <w:szCs w:val="16"/>
        </w:rPr>
      </w:pPr>
      <w:r w:rsidRPr="00A21902">
        <w:rPr>
          <w:rStyle w:val="Znakapoznpodarou"/>
          <w:spacing w:val="-2"/>
          <w:sz w:val="16"/>
          <w:szCs w:val="16"/>
        </w:rPr>
        <w:footnoteRef/>
      </w:r>
      <w:r w:rsidRPr="00A21902">
        <w:rPr>
          <w:spacing w:val="-2"/>
          <w:sz w:val="16"/>
          <w:szCs w:val="16"/>
        </w:rPr>
        <w:t xml:space="preserve"> Silné postavení vně EU měly Švýcarsko i Norsko a z mimoevropských států hlavně USA (17 % HDP, nejvyšší podíl mezi státy OECD). V USA byl ale také jako v jediné členské zemi OECD podíl veřejných zdrojů na financování zdravotní péče nižší než 50 % a velmi důležitou roli mělo tradičně soukromé pojištění (s více než třetinovým podílem na celkovém financování). </w:t>
      </w:r>
    </w:p>
  </w:footnote>
  <w:footnote w:id="142">
    <w:p w:rsidR="00C805DC" w:rsidRPr="00A537F0" w:rsidRDefault="00C805DC" w:rsidP="00A537F0">
      <w:pPr>
        <w:pStyle w:val="Textpoznpodarou"/>
        <w:jc w:val="both"/>
        <w:rPr>
          <w:sz w:val="16"/>
          <w:szCs w:val="16"/>
        </w:rPr>
      </w:pPr>
      <w:r w:rsidRPr="00A537F0">
        <w:rPr>
          <w:rStyle w:val="Znakapoznpodarou"/>
          <w:sz w:val="16"/>
          <w:szCs w:val="16"/>
        </w:rPr>
        <w:footnoteRef/>
      </w:r>
      <w:r w:rsidRPr="00A537F0">
        <w:rPr>
          <w:sz w:val="16"/>
          <w:szCs w:val="16"/>
        </w:rPr>
        <w:t xml:space="preserve"> K růstu </w:t>
      </w:r>
      <w:r>
        <w:rPr>
          <w:sz w:val="16"/>
          <w:szCs w:val="16"/>
        </w:rPr>
        <w:t>přispívaly</w:t>
      </w:r>
      <w:r w:rsidRPr="00A537F0">
        <w:rPr>
          <w:sz w:val="16"/>
          <w:szCs w:val="16"/>
        </w:rPr>
        <w:t xml:space="preserve"> především vyšší nemocnost i četnost mimo</w:t>
      </w:r>
      <w:r>
        <w:rPr>
          <w:sz w:val="16"/>
          <w:szCs w:val="16"/>
        </w:rPr>
        <w:t>pracovn</w:t>
      </w:r>
      <w:r w:rsidRPr="00A537F0">
        <w:rPr>
          <w:sz w:val="16"/>
          <w:szCs w:val="16"/>
        </w:rPr>
        <w:t>ích úrazů.</w:t>
      </w:r>
      <w:r>
        <w:rPr>
          <w:sz w:val="16"/>
          <w:szCs w:val="16"/>
        </w:rPr>
        <w:t xml:space="preserve"> Naopak průměrné</w:t>
      </w:r>
      <w:r w:rsidRPr="00A537F0">
        <w:rPr>
          <w:sz w:val="16"/>
          <w:szCs w:val="16"/>
        </w:rPr>
        <w:t xml:space="preserve"> </w:t>
      </w:r>
      <w:r>
        <w:rPr>
          <w:sz w:val="16"/>
          <w:szCs w:val="16"/>
        </w:rPr>
        <w:t xml:space="preserve">procento </w:t>
      </w:r>
      <w:r w:rsidRPr="00A537F0">
        <w:rPr>
          <w:sz w:val="16"/>
          <w:szCs w:val="16"/>
        </w:rPr>
        <w:t>dočasné pracovní neschopnosti vlivem úrazů v zaměstnání v posledním pětiletí stagnovala (v dřívější minulosti i vl</w:t>
      </w:r>
      <w:r>
        <w:rPr>
          <w:sz w:val="16"/>
          <w:szCs w:val="16"/>
        </w:rPr>
        <w:t>i</w:t>
      </w:r>
      <w:r w:rsidRPr="00A537F0">
        <w:rPr>
          <w:sz w:val="16"/>
          <w:szCs w:val="16"/>
        </w:rPr>
        <w:t>vem změn odvětvové</w:t>
      </w:r>
      <w:r>
        <w:rPr>
          <w:sz w:val="16"/>
          <w:szCs w:val="16"/>
        </w:rPr>
        <w:t xml:space="preserve"> sk</w:t>
      </w:r>
      <w:r w:rsidRPr="00A537F0">
        <w:rPr>
          <w:sz w:val="16"/>
          <w:szCs w:val="16"/>
        </w:rPr>
        <w:t>l</w:t>
      </w:r>
      <w:r>
        <w:rPr>
          <w:sz w:val="16"/>
          <w:szCs w:val="16"/>
        </w:rPr>
        <w:t>a</w:t>
      </w:r>
      <w:r w:rsidRPr="00A537F0">
        <w:rPr>
          <w:sz w:val="16"/>
          <w:szCs w:val="16"/>
        </w:rPr>
        <w:t>dbě ekonomiky klesala).</w:t>
      </w:r>
    </w:p>
  </w:footnote>
  <w:footnote w:id="143">
    <w:p w:rsidR="00C805DC" w:rsidRPr="00A21902" w:rsidRDefault="00C805DC" w:rsidP="00A537F0">
      <w:pPr>
        <w:pStyle w:val="Textpoznpodarou"/>
        <w:jc w:val="both"/>
        <w:rPr>
          <w:spacing w:val="-3"/>
          <w:sz w:val="16"/>
          <w:szCs w:val="16"/>
        </w:rPr>
      </w:pPr>
      <w:r w:rsidRPr="00A21902">
        <w:rPr>
          <w:rStyle w:val="Znakapoznpodarou"/>
          <w:spacing w:val="-3"/>
          <w:sz w:val="16"/>
          <w:szCs w:val="16"/>
        </w:rPr>
        <w:footnoteRef/>
      </w:r>
      <w:r>
        <w:rPr>
          <w:spacing w:val="-3"/>
          <w:sz w:val="16"/>
          <w:szCs w:val="16"/>
        </w:rPr>
        <w:t xml:space="preserve"> Dočasnou p</w:t>
      </w:r>
      <w:r w:rsidRPr="00A21902">
        <w:rPr>
          <w:spacing w:val="-3"/>
          <w:sz w:val="16"/>
          <w:szCs w:val="16"/>
        </w:rPr>
        <w:t>racovní neschopnost vyšší než 5 % vykázaly v roce 2016 Zlínský, Moravskoslezský  Jihočes</w:t>
      </w:r>
      <w:r>
        <w:rPr>
          <w:spacing w:val="-3"/>
          <w:sz w:val="16"/>
          <w:szCs w:val="16"/>
        </w:rPr>
        <w:t>ký kraj (naopak v Praze jen 3,2</w:t>
      </w:r>
      <w:r w:rsidRPr="00A21902">
        <w:rPr>
          <w:spacing w:val="-2"/>
          <w:sz w:val="16"/>
          <w:szCs w:val="16"/>
        </w:rPr>
        <w:t> </w:t>
      </w:r>
      <w:r w:rsidRPr="00A21902">
        <w:rPr>
          <w:spacing w:val="-3"/>
          <w:sz w:val="16"/>
          <w:szCs w:val="16"/>
        </w:rPr>
        <w:t xml:space="preserve">%), z hlavních odvětví pak </w:t>
      </w:r>
      <w:r w:rsidRPr="00A21902">
        <w:rPr>
          <w:spacing w:val="-4"/>
          <w:sz w:val="16"/>
          <w:szCs w:val="16"/>
        </w:rPr>
        <w:t>těžba a dobývání, zpracovatelský průmysl, zemědělství, lesnictví i rybářství</w:t>
      </w:r>
      <w:r>
        <w:rPr>
          <w:spacing w:val="-4"/>
          <w:sz w:val="16"/>
          <w:szCs w:val="16"/>
        </w:rPr>
        <w:t xml:space="preserve"> a též</w:t>
      </w:r>
      <w:r w:rsidRPr="00A21902">
        <w:rPr>
          <w:spacing w:val="-4"/>
          <w:sz w:val="16"/>
          <w:szCs w:val="16"/>
        </w:rPr>
        <w:t xml:space="preserve"> administrativní a podpůrné činnosti.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Pr="00601A2E" w:rsidRDefault="00C805DC" w:rsidP="00601A2E">
    <w:pPr>
      <w:pStyle w:val="Zhlav"/>
    </w:pPr>
    <w:r>
      <w:t>Analýza ekonomického vývoje v roce 2017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5DC" w:rsidRDefault="00C805DC" w:rsidP="00937AE2">
    <w:pPr>
      <w:pStyle w:val="Zhlav"/>
    </w:pPr>
    <w:r>
      <w:t>Analýza ekonomického vývoje v roce 2017</w:t>
    </w:r>
  </w:p>
  <w:p w:rsidR="00C805DC" w:rsidRPr="006F5416" w:rsidRDefault="00C805DC" w:rsidP="00937AE2">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FAAF"/>
      </v:shape>
    </w:pict>
  </w:numPicBullet>
  <w:abstractNum w:abstractNumId="0">
    <w:nsid w:val="FFFFFF7C"/>
    <w:multiLevelType w:val="singleLevel"/>
    <w:tmpl w:val="49CEEC48"/>
    <w:lvl w:ilvl="0">
      <w:start w:val="1"/>
      <w:numFmt w:val="decimal"/>
      <w:lvlText w:val="%1."/>
      <w:lvlJc w:val="left"/>
      <w:pPr>
        <w:tabs>
          <w:tab w:val="num" w:pos="1492"/>
        </w:tabs>
        <w:ind w:left="1492" w:hanging="360"/>
      </w:pPr>
    </w:lvl>
  </w:abstractNum>
  <w:abstractNum w:abstractNumId="1">
    <w:nsid w:val="FFFFFF7D"/>
    <w:multiLevelType w:val="singleLevel"/>
    <w:tmpl w:val="FEC69A9E"/>
    <w:lvl w:ilvl="0">
      <w:start w:val="1"/>
      <w:numFmt w:val="decimal"/>
      <w:lvlText w:val="%1."/>
      <w:lvlJc w:val="left"/>
      <w:pPr>
        <w:tabs>
          <w:tab w:val="num" w:pos="1209"/>
        </w:tabs>
        <w:ind w:left="1209" w:hanging="360"/>
      </w:pPr>
    </w:lvl>
  </w:abstractNum>
  <w:abstractNum w:abstractNumId="2">
    <w:nsid w:val="FFFFFF7E"/>
    <w:multiLevelType w:val="singleLevel"/>
    <w:tmpl w:val="437A1C9C"/>
    <w:lvl w:ilvl="0">
      <w:start w:val="1"/>
      <w:numFmt w:val="decimal"/>
      <w:lvlText w:val="%1."/>
      <w:lvlJc w:val="left"/>
      <w:pPr>
        <w:tabs>
          <w:tab w:val="num" w:pos="926"/>
        </w:tabs>
        <w:ind w:left="926" w:hanging="360"/>
      </w:pPr>
    </w:lvl>
  </w:abstractNum>
  <w:abstractNum w:abstractNumId="3">
    <w:nsid w:val="FFFFFF7F"/>
    <w:multiLevelType w:val="singleLevel"/>
    <w:tmpl w:val="5B762300"/>
    <w:lvl w:ilvl="0">
      <w:start w:val="1"/>
      <w:numFmt w:val="decimal"/>
      <w:lvlText w:val="%1."/>
      <w:lvlJc w:val="left"/>
      <w:pPr>
        <w:tabs>
          <w:tab w:val="num" w:pos="643"/>
        </w:tabs>
        <w:ind w:left="643" w:hanging="360"/>
      </w:pPr>
    </w:lvl>
  </w:abstractNum>
  <w:abstractNum w:abstractNumId="4">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C8EEA8"/>
    <w:lvl w:ilvl="0">
      <w:start w:val="1"/>
      <w:numFmt w:val="decimal"/>
      <w:lvlText w:val="%1."/>
      <w:lvlJc w:val="left"/>
      <w:pPr>
        <w:tabs>
          <w:tab w:val="num" w:pos="360"/>
        </w:tabs>
        <w:ind w:left="360" w:hanging="360"/>
      </w:pPr>
    </w:lvl>
  </w:abstractNum>
  <w:abstractNum w:abstractNumId="9">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nsid w:val="18B35353"/>
    <w:multiLevelType w:val="multilevel"/>
    <w:tmpl w:val="1C0E9EAE"/>
    <w:name w:val="Analyza"/>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Nadpis5"/>
      <w:suff w:val="space"/>
      <w:lvlText w:val="%1.%2.%3.%4.%5"/>
      <w:lvlJc w:val="left"/>
      <w:pPr>
        <w:ind w:left="1008" w:hanging="1008"/>
      </w:pPr>
      <w:rPr>
        <w:rFonts w:hint="default"/>
      </w:rPr>
    </w:lvl>
    <w:lvl w:ilvl="5">
      <w:start w:val="1"/>
      <w:numFmt w:val="decimal"/>
      <w:pStyle w:val="Nadpis6"/>
      <w:suff w:val="space"/>
      <w:lvlText w:val="%1.%2.%3.%4.%5.%6"/>
      <w:lvlJc w:val="left"/>
      <w:pPr>
        <w:ind w:left="1152" w:hanging="1152"/>
      </w:pPr>
      <w:rPr>
        <w:rFonts w:hint="default"/>
      </w:rPr>
    </w:lvl>
    <w:lvl w:ilvl="6">
      <w:start w:val="1"/>
      <w:numFmt w:val="decimal"/>
      <w:pStyle w:val="Nadpis7"/>
      <w:suff w:val="space"/>
      <w:lvlText w:val="%1.%2.%3.%4.%5.%6.%7"/>
      <w:lvlJc w:val="left"/>
      <w:pPr>
        <w:ind w:left="1296" w:hanging="1296"/>
      </w:pPr>
      <w:rPr>
        <w:rFonts w:hint="default"/>
      </w:rPr>
    </w:lvl>
    <w:lvl w:ilvl="7">
      <w:start w:val="1"/>
      <w:numFmt w:val="decimal"/>
      <w:pStyle w:val="Nadpis8"/>
      <w:suff w:val="space"/>
      <w:lvlText w:val="%1.%2.%3.%4.%5.%6.%7.%8"/>
      <w:lvlJc w:val="left"/>
      <w:pPr>
        <w:ind w:left="1440" w:hanging="1440"/>
      </w:pPr>
      <w:rPr>
        <w:rFonts w:hint="default"/>
      </w:rPr>
    </w:lvl>
    <w:lvl w:ilvl="8">
      <w:start w:val="1"/>
      <w:numFmt w:val="decimal"/>
      <w:pStyle w:val="Nadpis9"/>
      <w:suff w:val="space"/>
      <w:lvlText w:val="%1.%2.%3.%4.%5.%6.%7.%8.%9"/>
      <w:lvlJc w:val="left"/>
      <w:pPr>
        <w:ind w:left="1584" w:hanging="1584"/>
      </w:pPr>
      <w:rPr>
        <w:rFonts w:hint="default"/>
      </w:rPr>
    </w:lvl>
  </w:abstractNum>
  <w:abstractNum w:abstractNumId="11">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8352333"/>
    <w:multiLevelType w:val="multilevel"/>
    <w:tmpl w:val="D0ACF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A5A7A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2420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D106E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11355C0"/>
    <w:multiLevelType w:val="multilevel"/>
    <w:tmpl w:val="697E8B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9914012"/>
    <w:multiLevelType w:val="multilevel"/>
    <w:tmpl w:val="F380FB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ADA4287"/>
    <w:multiLevelType w:val="multilevel"/>
    <w:tmpl w:val="1C0E9EA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i w:val="0"/>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E490F3B"/>
    <w:multiLevelType w:val="hybridMultilevel"/>
    <w:tmpl w:val="D64CB604"/>
    <w:lvl w:ilvl="0" w:tplc="67AC8A1C">
      <w:start w:val="1"/>
      <w:numFmt w:val="bullet"/>
      <w:lvlText w:val=""/>
      <w:lvlJc w:val="left"/>
      <w:pPr>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CB210F"/>
    <w:multiLevelType w:val="multilevel"/>
    <w:tmpl w:val="D64CB604"/>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7B651B2D"/>
    <w:multiLevelType w:val="hybridMultilevel"/>
    <w:tmpl w:val="4C1C2D78"/>
    <w:lvl w:ilvl="0" w:tplc="B01A5632">
      <w:start w:val="1"/>
      <w:numFmt w:val="bullet"/>
      <w:pStyle w:val="Normalodrk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20"/>
  </w:num>
  <w:num w:numId="14">
    <w:abstractNumId w:val="10"/>
  </w:num>
  <w:num w:numId="15">
    <w:abstractNumId w:val="16"/>
  </w:num>
  <w:num w:numId="16">
    <w:abstractNumId w:val="12"/>
  </w:num>
  <w:num w:numId="17">
    <w:abstractNumId w:val="21"/>
  </w:num>
  <w:num w:numId="18">
    <w:abstractNumId w:val="17"/>
  </w:num>
  <w:num w:numId="19">
    <w:abstractNumId w:val="22"/>
  </w:num>
  <w:num w:numId="20">
    <w:abstractNumId w:val="23"/>
  </w:num>
  <w:num w:numId="21">
    <w:abstractNumId w:val="19"/>
  </w:num>
  <w:num w:numId="22">
    <w:abstractNumId w:val="15"/>
  </w:num>
  <w:num w:numId="23">
    <w:abstractNumId w:val="1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attachedTemplate r:id="rId1"/>
  <w:stylePaneFormatFilter w:val="1001"/>
  <w:stylePaneSortMethod w:val="0004"/>
  <w:defaultTabStop w:val="708"/>
  <w:hyphenationZone w:val="425"/>
  <w:evenAndOddHeaders/>
  <w:drawingGridHorizontalSpacing w:val="110"/>
  <w:displayHorizontalDrawingGridEvery w:val="2"/>
  <w:characterSpacingControl w:val="doNotCompress"/>
  <w:hdrShapeDefaults>
    <o:shapedefaults v:ext="edit" spidmax="6146">
      <o:colormru v:ext="edit" colors="#ecf4dd,#eaecee,#fcec0a,#fcecdb,#f1daf5"/>
    </o:shapedefaults>
  </w:hdrShapeDefaults>
  <w:footnotePr>
    <w:footnote w:id="-1"/>
    <w:footnote w:id="0"/>
  </w:footnotePr>
  <w:endnotePr>
    <w:endnote w:id="-1"/>
    <w:endnote w:id="0"/>
  </w:endnotePr>
  <w:compat/>
  <w:rsids>
    <w:rsidRoot w:val="00F46502"/>
    <w:rsid w:val="0000209D"/>
    <w:rsid w:val="0000437D"/>
    <w:rsid w:val="00004D5A"/>
    <w:rsid w:val="000056D5"/>
    <w:rsid w:val="00006ABD"/>
    <w:rsid w:val="0000767A"/>
    <w:rsid w:val="00007BEF"/>
    <w:rsid w:val="00010256"/>
    <w:rsid w:val="00010702"/>
    <w:rsid w:val="00011912"/>
    <w:rsid w:val="0002195D"/>
    <w:rsid w:val="000234D6"/>
    <w:rsid w:val="00023D29"/>
    <w:rsid w:val="00026389"/>
    <w:rsid w:val="00031AE0"/>
    <w:rsid w:val="000322EF"/>
    <w:rsid w:val="00033FCD"/>
    <w:rsid w:val="00041CEC"/>
    <w:rsid w:val="0004694F"/>
    <w:rsid w:val="000522E4"/>
    <w:rsid w:val="000610E1"/>
    <w:rsid w:val="00062EC5"/>
    <w:rsid w:val="00062F22"/>
    <w:rsid w:val="00067A82"/>
    <w:rsid w:val="000712B3"/>
    <w:rsid w:val="0008263E"/>
    <w:rsid w:val="00082A55"/>
    <w:rsid w:val="00082C19"/>
    <w:rsid w:val="00085395"/>
    <w:rsid w:val="00087634"/>
    <w:rsid w:val="00087F2B"/>
    <w:rsid w:val="00093E3F"/>
    <w:rsid w:val="00093E53"/>
    <w:rsid w:val="00095135"/>
    <w:rsid w:val="00096085"/>
    <w:rsid w:val="000974D1"/>
    <w:rsid w:val="0009799E"/>
    <w:rsid w:val="000A1183"/>
    <w:rsid w:val="000A256D"/>
    <w:rsid w:val="000A3A2C"/>
    <w:rsid w:val="000B525B"/>
    <w:rsid w:val="000C1D78"/>
    <w:rsid w:val="000C3408"/>
    <w:rsid w:val="000C6AFD"/>
    <w:rsid w:val="000D514E"/>
    <w:rsid w:val="000D5637"/>
    <w:rsid w:val="000E6FBD"/>
    <w:rsid w:val="000F030B"/>
    <w:rsid w:val="00100F5C"/>
    <w:rsid w:val="0010106F"/>
    <w:rsid w:val="00101CDA"/>
    <w:rsid w:val="00104C4C"/>
    <w:rsid w:val="00117623"/>
    <w:rsid w:val="0012192F"/>
    <w:rsid w:val="00125D69"/>
    <w:rsid w:val="001405FA"/>
    <w:rsid w:val="00141782"/>
    <w:rsid w:val="001425C3"/>
    <w:rsid w:val="001528B9"/>
    <w:rsid w:val="001612F4"/>
    <w:rsid w:val="00162312"/>
    <w:rsid w:val="0016256B"/>
    <w:rsid w:val="00162A7A"/>
    <w:rsid w:val="00163793"/>
    <w:rsid w:val="001706D6"/>
    <w:rsid w:val="001714F2"/>
    <w:rsid w:val="001730A6"/>
    <w:rsid w:val="00175B9F"/>
    <w:rsid w:val="00181BBC"/>
    <w:rsid w:val="00182799"/>
    <w:rsid w:val="00184B08"/>
    <w:rsid w:val="00185010"/>
    <w:rsid w:val="00186919"/>
    <w:rsid w:val="001916DB"/>
    <w:rsid w:val="00193818"/>
    <w:rsid w:val="001A0487"/>
    <w:rsid w:val="001A0D6B"/>
    <w:rsid w:val="001A552F"/>
    <w:rsid w:val="001B2CA9"/>
    <w:rsid w:val="001B3110"/>
    <w:rsid w:val="001B4729"/>
    <w:rsid w:val="001B6310"/>
    <w:rsid w:val="001B6C09"/>
    <w:rsid w:val="001C05CD"/>
    <w:rsid w:val="001C1B66"/>
    <w:rsid w:val="001D198A"/>
    <w:rsid w:val="001D463E"/>
    <w:rsid w:val="001D68B2"/>
    <w:rsid w:val="001D70E9"/>
    <w:rsid w:val="001E504C"/>
    <w:rsid w:val="001F4597"/>
    <w:rsid w:val="00203DA4"/>
    <w:rsid w:val="002052C6"/>
    <w:rsid w:val="002118B9"/>
    <w:rsid w:val="00217C5B"/>
    <w:rsid w:val="0022139E"/>
    <w:rsid w:val="00222729"/>
    <w:rsid w:val="00222FFB"/>
    <w:rsid w:val="002252E0"/>
    <w:rsid w:val="002255F6"/>
    <w:rsid w:val="00227850"/>
    <w:rsid w:val="00227A53"/>
    <w:rsid w:val="00230C6E"/>
    <w:rsid w:val="00236443"/>
    <w:rsid w:val="00241B06"/>
    <w:rsid w:val="002436BA"/>
    <w:rsid w:val="00244A15"/>
    <w:rsid w:val="00247319"/>
    <w:rsid w:val="0024799E"/>
    <w:rsid w:val="00253C0F"/>
    <w:rsid w:val="002558C1"/>
    <w:rsid w:val="0026207F"/>
    <w:rsid w:val="0026743D"/>
    <w:rsid w:val="00271465"/>
    <w:rsid w:val="00274037"/>
    <w:rsid w:val="00285412"/>
    <w:rsid w:val="00291640"/>
    <w:rsid w:val="002A16D4"/>
    <w:rsid w:val="002A230C"/>
    <w:rsid w:val="002A5D97"/>
    <w:rsid w:val="002B2127"/>
    <w:rsid w:val="002B213A"/>
    <w:rsid w:val="002B38B8"/>
    <w:rsid w:val="002B4845"/>
    <w:rsid w:val="002B6B06"/>
    <w:rsid w:val="002C43BD"/>
    <w:rsid w:val="002D0E59"/>
    <w:rsid w:val="002E02A1"/>
    <w:rsid w:val="002E4E4C"/>
    <w:rsid w:val="00303533"/>
    <w:rsid w:val="00304771"/>
    <w:rsid w:val="003052D4"/>
    <w:rsid w:val="00306C5B"/>
    <w:rsid w:val="003209D6"/>
    <w:rsid w:val="00321924"/>
    <w:rsid w:val="0032656E"/>
    <w:rsid w:val="00330060"/>
    <w:rsid w:val="00332190"/>
    <w:rsid w:val="00336E03"/>
    <w:rsid w:val="0034335E"/>
    <w:rsid w:val="00344668"/>
    <w:rsid w:val="003462D9"/>
    <w:rsid w:val="00347378"/>
    <w:rsid w:val="00360C86"/>
    <w:rsid w:val="00360DE3"/>
    <w:rsid w:val="00360FBC"/>
    <w:rsid w:val="00362E90"/>
    <w:rsid w:val="00364FA0"/>
    <w:rsid w:val="003657F3"/>
    <w:rsid w:val="003818DC"/>
    <w:rsid w:val="00384327"/>
    <w:rsid w:val="00385D3E"/>
    <w:rsid w:val="00385D98"/>
    <w:rsid w:val="003870EE"/>
    <w:rsid w:val="00392244"/>
    <w:rsid w:val="003A2B4D"/>
    <w:rsid w:val="003A2D12"/>
    <w:rsid w:val="003A478C"/>
    <w:rsid w:val="003A5525"/>
    <w:rsid w:val="003A6B38"/>
    <w:rsid w:val="003B4331"/>
    <w:rsid w:val="003B461F"/>
    <w:rsid w:val="003B5A32"/>
    <w:rsid w:val="003C3490"/>
    <w:rsid w:val="003C4BE8"/>
    <w:rsid w:val="003C7E62"/>
    <w:rsid w:val="003D6920"/>
    <w:rsid w:val="003E38BA"/>
    <w:rsid w:val="003E4C91"/>
    <w:rsid w:val="003F313C"/>
    <w:rsid w:val="003F37FC"/>
    <w:rsid w:val="003F3890"/>
    <w:rsid w:val="003F4B2C"/>
    <w:rsid w:val="003F551C"/>
    <w:rsid w:val="003F72ED"/>
    <w:rsid w:val="003F7D23"/>
    <w:rsid w:val="00407C13"/>
    <w:rsid w:val="00410638"/>
    <w:rsid w:val="0041501E"/>
    <w:rsid w:val="004159C3"/>
    <w:rsid w:val="004225C6"/>
    <w:rsid w:val="00432A58"/>
    <w:rsid w:val="00433C0C"/>
    <w:rsid w:val="00434617"/>
    <w:rsid w:val="00436778"/>
    <w:rsid w:val="00440900"/>
    <w:rsid w:val="00441BF6"/>
    <w:rsid w:val="004441A0"/>
    <w:rsid w:val="0045078A"/>
    <w:rsid w:val="0045086D"/>
    <w:rsid w:val="00460FB3"/>
    <w:rsid w:val="00461976"/>
    <w:rsid w:val="00476240"/>
    <w:rsid w:val="00476439"/>
    <w:rsid w:val="0047735C"/>
    <w:rsid w:val="004776BC"/>
    <w:rsid w:val="0048139F"/>
    <w:rsid w:val="00481E40"/>
    <w:rsid w:val="00484ECE"/>
    <w:rsid w:val="004915CB"/>
    <w:rsid w:val="004924DC"/>
    <w:rsid w:val="00493F18"/>
    <w:rsid w:val="004A14E4"/>
    <w:rsid w:val="004A3212"/>
    <w:rsid w:val="004A5494"/>
    <w:rsid w:val="004A61C5"/>
    <w:rsid w:val="004A77DF"/>
    <w:rsid w:val="004B1417"/>
    <w:rsid w:val="004B48DF"/>
    <w:rsid w:val="004B55B7"/>
    <w:rsid w:val="004B6468"/>
    <w:rsid w:val="004B7125"/>
    <w:rsid w:val="004C26B0"/>
    <w:rsid w:val="004C384C"/>
    <w:rsid w:val="004C3867"/>
    <w:rsid w:val="004C4CD0"/>
    <w:rsid w:val="004C5FBF"/>
    <w:rsid w:val="004C70DC"/>
    <w:rsid w:val="004D0211"/>
    <w:rsid w:val="004D0794"/>
    <w:rsid w:val="004E02EB"/>
    <w:rsid w:val="004E326C"/>
    <w:rsid w:val="004F06F5"/>
    <w:rsid w:val="004F16F7"/>
    <w:rsid w:val="004F33A0"/>
    <w:rsid w:val="0050689D"/>
    <w:rsid w:val="005108C0"/>
    <w:rsid w:val="00511873"/>
    <w:rsid w:val="00512A2F"/>
    <w:rsid w:val="00513B7E"/>
    <w:rsid w:val="00515C74"/>
    <w:rsid w:val="00515FFA"/>
    <w:rsid w:val="005173AF"/>
    <w:rsid w:val="0052007E"/>
    <w:rsid w:val="0052337A"/>
    <w:rsid w:val="00525137"/>
    <w:rsid w:val="005251DD"/>
    <w:rsid w:val="00532CE7"/>
    <w:rsid w:val="0053324C"/>
    <w:rsid w:val="00534A28"/>
    <w:rsid w:val="00541508"/>
    <w:rsid w:val="00543498"/>
    <w:rsid w:val="00551238"/>
    <w:rsid w:val="0055599F"/>
    <w:rsid w:val="00556D68"/>
    <w:rsid w:val="00563EB8"/>
    <w:rsid w:val="005647BF"/>
    <w:rsid w:val="00564AF1"/>
    <w:rsid w:val="0057364B"/>
    <w:rsid w:val="00574773"/>
    <w:rsid w:val="00583FFD"/>
    <w:rsid w:val="005911BE"/>
    <w:rsid w:val="00593152"/>
    <w:rsid w:val="005A10F2"/>
    <w:rsid w:val="005A21E0"/>
    <w:rsid w:val="005A28FF"/>
    <w:rsid w:val="005A2C7B"/>
    <w:rsid w:val="005A3DF8"/>
    <w:rsid w:val="005A5549"/>
    <w:rsid w:val="005A7666"/>
    <w:rsid w:val="005B08EB"/>
    <w:rsid w:val="005B121D"/>
    <w:rsid w:val="005C06ED"/>
    <w:rsid w:val="005C2609"/>
    <w:rsid w:val="005D3386"/>
    <w:rsid w:val="005D5802"/>
    <w:rsid w:val="005D7119"/>
    <w:rsid w:val="005D7890"/>
    <w:rsid w:val="005E2A7C"/>
    <w:rsid w:val="005E7C78"/>
    <w:rsid w:val="005F18C5"/>
    <w:rsid w:val="005F3EB1"/>
    <w:rsid w:val="005F46D8"/>
    <w:rsid w:val="005F5469"/>
    <w:rsid w:val="00600079"/>
    <w:rsid w:val="006003D1"/>
    <w:rsid w:val="00601A2E"/>
    <w:rsid w:val="0060404F"/>
    <w:rsid w:val="00604307"/>
    <w:rsid w:val="0060487F"/>
    <w:rsid w:val="00604EAD"/>
    <w:rsid w:val="006104FB"/>
    <w:rsid w:val="0061249B"/>
    <w:rsid w:val="00612A2F"/>
    <w:rsid w:val="00616E05"/>
    <w:rsid w:val="00624093"/>
    <w:rsid w:val="0063201A"/>
    <w:rsid w:val="006350D5"/>
    <w:rsid w:val="006404A7"/>
    <w:rsid w:val="006451E4"/>
    <w:rsid w:val="00645B33"/>
    <w:rsid w:val="00650330"/>
    <w:rsid w:val="006516CB"/>
    <w:rsid w:val="006558BD"/>
    <w:rsid w:val="00657E87"/>
    <w:rsid w:val="00664803"/>
    <w:rsid w:val="00665BA4"/>
    <w:rsid w:val="00666D91"/>
    <w:rsid w:val="00667AF2"/>
    <w:rsid w:val="006710C9"/>
    <w:rsid w:val="00674D89"/>
    <w:rsid w:val="00675E37"/>
    <w:rsid w:val="00680001"/>
    <w:rsid w:val="0068174E"/>
    <w:rsid w:val="00681DCE"/>
    <w:rsid w:val="0068260E"/>
    <w:rsid w:val="006836CB"/>
    <w:rsid w:val="00695BEF"/>
    <w:rsid w:val="006977F6"/>
    <w:rsid w:val="00697A13"/>
    <w:rsid w:val="006A109C"/>
    <w:rsid w:val="006A3E08"/>
    <w:rsid w:val="006A73A6"/>
    <w:rsid w:val="006B0F92"/>
    <w:rsid w:val="006B344A"/>
    <w:rsid w:val="006B4B7B"/>
    <w:rsid w:val="006B78D8"/>
    <w:rsid w:val="006C113F"/>
    <w:rsid w:val="006C123E"/>
    <w:rsid w:val="006C1752"/>
    <w:rsid w:val="006C33B2"/>
    <w:rsid w:val="006C56D4"/>
    <w:rsid w:val="006C6924"/>
    <w:rsid w:val="006C7CA6"/>
    <w:rsid w:val="006D3E8A"/>
    <w:rsid w:val="006D61F6"/>
    <w:rsid w:val="006D64C2"/>
    <w:rsid w:val="006E279A"/>
    <w:rsid w:val="006E313B"/>
    <w:rsid w:val="006E7227"/>
    <w:rsid w:val="006F2595"/>
    <w:rsid w:val="006F438E"/>
    <w:rsid w:val="006F5416"/>
    <w:rsid w:val="00705242"/>
    <w:rsid w:val="00706AD4"/>
    <w:rsid w:val="00707150"/>
    <w:rsid w:val="007140BE"/>
    <w:rsid w:val="00716E3F"/>
    <w:rsid w:val="007211F5"/>
    <w:rsid w:val="007240E2"/>
    <w:rsid w:val="00725BB5"/>
    <w:rsid w:val="00730AE8"/>
    <w:rsid w:val="00730F1B"/>
    <w:rsid w:val="00741493"/>
    <w:rsid w:val="0074369B"/>
    <w:rsid w:val="00750EF8"/>
    <w:rsid w:val="00752180"/>
    <w:rsid w:val="00753CAB"/>
    <w:rsid w:val="00755202"/>
    <w:rsid w:val="00755D3A"/>
    <w:rsid w:val="007578D3"/>
    <w:rsid w:val="007609C6"/>
    <w:rsid w:val="0076175D"/>
    <w:rsid w:val="00763B85"/>
    <w:rsid w:val="0076521E"/>
    <w:rsid w:val="007661E9"/>
    <w:rsid w:val="00775F45"/>
    <w:rsid w:val="00776169"/>
    <w:rsid w:val="00776527"/>
    <w:rsid w:val="00780EF1"/>
    <w:rsid w:val="00783C17"/>
    <w:rsid w:val="00785232"/>
    <w:rsid w:val="00790764"/>
    <w:rsid w:val="0079453C"/>
    <w:rsid w:val="00794677"/>
    <w:rsid w:val="007A516D"/>
    <w:rsid w:val="007B6689"/>
    <w:rsid w:val="007C13A4"/>
    <w:rsid w:val="007C6BBD"/>
    <w:rsid w:val="007C7BAE"/>
    <w:rsid w:val="007D0C24"/>
    <w:rsid w:val="007D40DF"/>
    <w:rsid w:val="007E29B4"/>
    <w:rsid w:val="007E435A"/>
    <w:rsid w:val="007E7E61"/>
    <w:rsid w:val="007F0845"/>
    <w:rsid w:val="007F708D"/>
    <w:rsid w:val="00801E13"/>
    <w:rsid w:val="00807C82"/>
    <w:rsid w:val="00816905"/>
    <w:rsid w:val="00821FF6"/>
    <w:rsid w:val="00822574"/>
    <w:rsid w:val="00825C4D"/>
    <w:rsid w:val="0083143E"/>
    <w:rsid w:val="00831CDE"/>
    <w:rsid w:val="00833BF2"/>
    <w:rsid w:val="00834304"/>
    <w:rsid w:val="00834FAA"/>
    <w:rsid w:val="00836086"/>
    <w:rsid w:val="00846121"/>
    <w:rsid w:val="0084708F"/>
    <w:rsid w:val="008477C8"/>
    <w:rsid w:val="00847931"/>
    <w:rsid w:val="0085114D"/>
    <w:rsid w:val="00852217"/>
    <w:rsid w:val="00855408"/>
    <w:rsid w:val="00856D65"/>
    <w:rsid w:val="00861B41"/>
    <w:rsid w:val="00861BE3"/>
    <w:rsid w:val="00863434"/>
    <w:rsid w:val="00865E4C"/>
    <w:rsid w:val="008701E4"/>
    <w:rsid w:val="00875A32"/>
    <w:rsid w:val="00876086"/>
    <w:rsid w:val="008873D4"/>
    <w:rsid w:val="0089296D"/>
    <w:rsid w:val="00893E85"/>
    <w:rsid w:val="00894031"/>
    <w:rsid w:val="00895508"/>
    <w:rsid w:val="008B7C02"/>
    <w:rsid w:val="008B7D2B"/>
    <w:rsid w:val="008C0049"/>
    <w:rsid w:val="008C0E88"/>
    <w:rsid w:val="008D0A60"/>
    <w:rsid w:val="008D0DBD"/>
    <w:rsid w:val="008D1E6A"/>
    <w:rsid w:val="008D2A16"/>
    <w:rsid w:val="008E0DC9"/>
    <w:rsid w:val="008E2C57"/>
    <w:rsid w:val="008E31FF"/>
    <w:rsid w:val="008E6F06"/>
    <w:rsid w:val="008E7FC9"/>
    <w:rsid w:val="008F029B"/>
    <w:rsid w:val="008F3FC9"/>
    <w:rsid w:val="008F585B"/>
    <w:rsid w:val="009003A8"/>
    <w:rsid w:val="00902500"/>
    <w:rsid w:val="00902EFF"/>
    <w:rsid w:val="00906401"/>
    <w:rsid w:val="0091155E"/>
    <w:rsid w:val="00912A92"/>
    <w:rsid w:val="0091728D"/>
    <w:rsid w:val="0092180B"/>
    <w:rsid w:val="00921F14"/>
    <w:rsid w:val="00924AC8"/>
    <w:rsid w:val="0092597A"/>
    <w:rsid w:val="00930FB1"/>
    <w:rsid w:val="0093139F"/>
    <w:rsid w:val="00932443"/>
    <w:rsid w:val="00937AE2"/>
    <w:rsid w:val="00942C19"/>
    <w:rsid w:val="0094427A"/>
    <w:rsid w:val="00945245"/>
    <w:rsid w:val="009540B7"/>
    <w:rsid w:val="0095759C"/>
    <w:rsid w:val="00974923"/>
    <w:rsid w:val="00980D3D"/>
    <w:rsid w:val="00987A30"/>
    <w:rsid w:val="00992CF3"/>
    <w:rsid w:val="009942B6"/>
    <w:rsid w:val="00994868"/>
    <w:rsid w:val="009968D6"/>
    <w:rsid w:val="009A1CAB"/>
    <w:rsid w:val="009A60D1"/>
    <w:rsid w:val="009A7B2E"/>
    <w:rsid w:val="009B6FD3"/>
    <w:rsid w:val="009C03C8"/>
    <w:rsid w:val="009C1750"/>
    <w:rsid w:val="009C2E29"/>
    <w:rsid w:val="009C3ED8"/>
    <w:rsid w:val="009C554B"/>
    <w:rsid w:val="009C719E"/>
    <w:rsid w:val="009D3ACD"/>
    <w:rsid w:val="009E5273"/>
    <w:rsid w:val="009E5DDB"/>
    <w:rsid w:val="009F46EA"/>
    <w:rsid w:val="009F4CA7"/>
    <w:rsid w:val="00A10D66"/>
    <w:rsid w:val="00A14114"/>
    <w:rsid w:val="00A16413"/>
    <w:rsid w:val="00A16E1D"/>
    <w:rsid w:val="00A17D5B"/>
    <w:rsid w:val="00A230A8"/>
    <w:rsid w:val="00A23E43"/>
    <w:rsid w:val="00A25216"/>
    <w:rsid w:val="00A27420"/>
    <w:rsid w:val="00A30F65"/>
    <w:rsid w:val="00A329DF"/>
    <w:rsid w:val="00A35142"/>
    <w:rsid w:val="00A35EA6"/>
    <w:rsid w:val="00A40EAC"/>
    <w:rsid w:val="00A418BC"/>
    <w:rsid w:val="00A46DE0"/>
    <w:rsid w:val="00A4750C"/>
    <w:rsid w:val="00A50D73"/>
    <w:rsid w:val="00A51F19"/>
    <w:rsid w:val="00A52CAD"/>
    <w:rsid w:val="00A537F0"/>
    <w:rsid w:val="00A53FC7"/>
    <w:rsid w:val="00A55161"/>
    <w:rsid w:val="00A62CE1"/>
    <w:rsid w:val="00A6741E"/>
    <w:rsid w:val="00A75E40"/>
    <w:rsid w:val="00A77D1D"/>
    <w:rsid w:val="00A84923"/>
    <w:rsid w:val="00A857C0"/>
    <w:rsid w:val="00A90FED"/>
    <w:rsid w:val="00AA2996"/>
    <w:rsid w:val="00AA52BF"/>
    <w:rsid w:val="00AA559A"/>
    <w:rsid w:val="00AB2AF1"/>
    <w:rsid w:val="00AB5421"/>
    <w:rsid w:val="00AC45BD"/>
    <w:rsid w:val="00AD168E"/>
    <w:rsid w:val="00AD306C"/>
    <w:rsid w:val="00AD68C4"/>
    <w:rsid w:val="00AE09B3"/>
    <w:rsid w:val="00AE1A83"/>
    <w:rsid w:val="00AE7FB2"/>
    <w:rsid w:val="00B00913"/>
    <w:rsid w:val="00B01593"/>
    <w:rsid w:val="00B023F2"/>
    <w:rsid w:val="00B10A4D"/>
    <w:rsid w:val="00B120A1"/>
    <w:rsid w:val="00B121D2"/>
    <w:rsid w:val="00B14BC1"/>
    <w:rsid w:val="00B17E71"/>
    <w:rsid w:val="00B17FDE"/>
    <w:rsid w:val="00B20632"/>
    <w:rsid w:val="00B2379C"/>
    <w:rsid w:val="00B2687D"/>
    <w:rsid w:val="00B30358"/>
    <w:rsid w:val="00B32DDB"/>
    <w:rsid w:val="00B34528"/>
    <w:rsid w:val="00B34CC9"/>
    <w:rsid w:val="00B402FC"/>
    <w:rsid w:val="00B40FF9"/>
    <w:rsid w:val="00B42470"/>
    <w:rsid w:val="00B439DA"/>
    <w:rsid w:val="00B46604"/>
    <w:rsid w:val="00B530CD"/>
    <w:rsid w:val="00B55F5E"/>
    <w:rsid w:val="00B57338"/>
    <w:rsid w:val="00B5752E"/>
    <w:rsid w:val="00B63A11"/>
    <w:rsid w:val="00B64C24"/>
    <w:rsid w:val="00B6608F"/>
    <w:rsid w:val="00B679FB"/>
    <w:rsid w:val="00B76D1E"/>
    <w:rsid w:val="00B80EC6"/>
    <w:rsid w:val="00B84CF6"/>
    <w:rsid w:val="00B86F03"/>
    <w:rsid w:val="00B92D1D"/>
    <w:rsid w:val="00B938C5"/>
    <w:rsid w:val="00B95940"/>
    <w:rsid w:val="00BA0DD3"/>
    <w:rsid w:val="00BA6C2B"/>
    <w:rsid w:val="00BB2F03"/>
    <w:rsid w:val="00BB46F3"/>
    <w:rsid w:val="00BB4CB1"/>
    <w:rsid w:val="00BB4F98"/>
    <w:rsid w:val="00BC0E31"/>
    <w:rsid w:val="00BC5C12"/>
    <w:rsid w:val="00BC7154"/>
    <w:rsid w:val="00BC731E"/>
    <w:rsid w:val="00BD163C"/>
    <w:rsid w:val="00BD2211"/>
    <w:rsid w:val="00BD366B"/>
    <w:rsid w:val="00BD6D50"/>
    <w:rsid w:val="00BE18B9"/>
    <w:rsid w:val="00BE2495"/>
    <w:rsid w:val="00BE468E"/>
    <w:rsid w:val="00BE6186"/>
    <w:rsid w:val="00BF1578"/>
    <w:rsid w:val="00C21405"/>
    <w:rsid w:val="00C21F94"/>
    <w:rsid w:val="00C27913"/>
    <w:rsid w:val="00C33B68"/>
    <w:rsid w:val="00C36A79"/>
    <w:rsid w:val="00C401D2"/>
    <w:rsid w:val="00C405D4"/>
    <w:rsid w:val="00C4513B"/>
    <w:rsid w:val="00C466D2"/>
    <w:rsid w:val="00C517C6"/>
    <w:rsid w:val="00C5390B"/>
    <w:rsid w:val="00C54697"/>
    <w:rsid w:val="00C60191"/>
    <w:rsid w:val="00C6152B"/>
    <w:rsid w:val="00C73885"/>
    <w:rsid w:val="00C747B1"/>
    <w:rsid w:val="00C805DC"/>
    <w:rsid w:val="00C82191"/>
    <w:rsid w:val="00C83134"/>
    <w:rsid w:val="00C85545"/>
    <w:rsid w:val="00C90CF4"/>
    <w:rsid w:val="00C92EB6"/>
    <w:rsid w:val="00C93389"/>
    <w:rsid w:val="00C96D08"/>
    <w:rsid w:val="00CA6AB4"/>
    <w:rsid w:val="00CB259D"/>
    <w:rsid w:val="00CB4930"/>
    <w:rsid w:val="00CC2E7D"/>
    <w:rsid w:val="00CC71EC"/>
    <w:rsid w:val="00CD10A5"/>
    <w:rsid w:val="00CD2076"/>
    <w:rsid w:val="00CD29B5"/>
    <w:rsid w:val="00CD6331"/>
    <w:rsid w:val="00CE153B"/>
    <w:rsid w:val="00CE670B"/>
    <w:rsid w:val="00CF1C4C"/>
    <w:rsid w:val="00CF4908"/>
    <w:rsid w:val="00CF51EC"/>
    <w:rsid w:val="00CF73AE"/>
    <w:rsid w:val="00D040DD"/>
    <w:rsid w:val="00D050F8"/>
    <w:rsid w:val="00D075BE"/>
    <w:rsid w:val="00D1005A"/>
    <w:rsid w:val="00D11854"/>
    <w:rsid w:val="00D13986"/>
    <w:rsid w:val="00D21D83"/>
    <w:rsid w:val="00D235B7"/>
    <w:rsid w:val="00D25F28"/>
    <w:rsid w:val="00D26071"/>
    <w:rsid w:val="00D27973"/>
    <w:rsid w:val="00D279B8"/>
    <w:rsid w:val="00D32F90"/>
    <w:rsid w:val="00D35E1A"/>
    <w:rsid w:val="00D50F46"/>
    <w:rsid w:val="00D52BE2"/>
    <w:rsid w:val="00D57677"/>
    <w:rsid w:val="00D66223"/>
    <w:rsid w:val="00D8084C"/>
    <w:rsid w:val="00D915EA"/>
    <w:rsid w:val="00D93CE2"/>
    <w:rsid w:val="00D943C6"/>
    <w:rsid w:val="00D965EC"/>
    <w:rsid w:val="00DA7C0C"/>
    <w:rsid w:val="00DB08A9"/>
    <w:rsid w:val="00DB2EC8"/>
    <w:rsid w:val="00DC37E3"/>
    <w:rsid w:val="00DC5B3B"/>
    <w:rsid w:val="00DD129F"/>
    <w:rsid w:val="00DE4C19"/>
    <w:rsid w:val="00DF42FF"/>
    <w:rsid w:val="00DF7AD4"/>
    <w:rsid w:val="00E01C0E"/>
    <w:rsid w:val="00E03F9A"/>
    <w:rsid w:val="00E04694"/>
    <w:rsid w:val="00E04F27"/>
    <w:rsid w:val="00E102BD"/>
    <w:rsid w:val="00E11DE1"/>
    <w:rsid w:val="00E12B1E"/>
    <w:rsid w:val="00E17262"/>
    <w:rsid w:val="00E212C9"/>
    <w:rsid w:val="00E253A2"/>
    <w:rsid w:val="00E3309D"/>
    <w:rsid w:val="00E453F9"/>
    <w:rsid w:val="00E47EBA"/>
    <w:rsid w:val="00E50156"/>
    <w:rsid w:val="00E53470"/>
    <w:rsid w:val="00E539F6"/>
    <w:rsid w:val="00E6519D"/>
    <w:rsid w:val="00E67696"/>
    <w:rsid w:val="00E711D1"/>
    <w:rsid w:val="00E71A58"/>
    <w:rsid w:val="00E72A7A"/>
    <w:rsid w:val="00E733C7"/>
    <w:rsid w:val="00E75C94"/>
    <w:rsid w:val="00E76E61"/>
    <w:rsid w:val="00E924B2"/>
    <w:rsid w:val="00E93820"/>
    <w:rsid w:val="00E94A86"/>
    <w:rsid w:val="00E96143"/>
    <w:rsid w:val="00E972A9"/>
    <w:rsid w:val="00EA0840"/>
    <w:rsid w:val="00EA0C68"/>
    <w:rsid w:val="00EA17B0"/>
    <w:rsid w:val="00EA32BC"/>
    <w:rsid w:val="00EA405F"/>
    <w:rsid w:val="00EB4511"/>
    <w:rsid w:val="00EC03D7"/>
    <w:rsid w:val="00EC25F0"/>
    <w:rsid w:val="00ED62C6"/>
    <w:rsid w:val="00ED64C1"/>
    <w:rsid w:val="00EE3446"/>
    <w:rsid w:val="00EE3E78"/>
    <w:rsid w:val="00EE4B1B"/>
    <w:rsid w:val="00EF150D"/>
    <w:rsid w:val="00EF1F5A"/>
    <w:rsid w:val="00EF47BF"/>
    <w:rsid w:val="00F04811"/>
    <w:rsid w:val="00F0488C"/>
    <w:rsid w:val="00F10F11"/>
    <w:rsid w:val="00F15AAA"/>
    <w:rsid w:val="00F15BEF"/>
    <w:rsid w:val="00F160CE"/>
    <w:rsid w:val="00F162B3"/>
    <w:rsid w:val="00F24407"/>
    <w:rsid w:val="00F24FAA"/>
    <w:rsid w:val="00F3364D"/>
    <w:rsid w:val="00F33E56"/>
    <w:rsid w:val="00F433FE"/>
    <w:rsid w:val="00F437CC"/>
    <w:rsid w:val="00F44537"/>
    <w:rsid w:val="00F46502"/>
    <w:rsid w:val="00F47067"/>
    <w:rsid w:val="00F525EB"/>
    <w:rsid w:val="00F55E08"/>
    <w:rsid w:val="00F63DDE"/>
    <w:rsid w:val="00F63FB7"/>
    <w:rsid w:val="00F6421B"/>
    <w:rsid w:val="00F649D2"/>
    <w:rsid w:val="00F6602B"/>
    <w:rsid w:val="00F73A0C"/>
    <w:rsid w:val="00F756DB"/>
    <w:rsid w:val="00F84E7D"/>
    <w:rsid w:val="00F85066"/>
    <w:rsid w:val="00F859D0"/>
    <w:rsid w:val="00F87A4D"/>
    <w:rsid w:val="00FA5D4D"/>
    <w:rsid w:val="00FB0EE2"/>
    <w:rsid w:val="00FB542E"/>
    <w:rsid w:val="00FC0359"/>
    <w:rsid w:val="00FC0E5F"/>
    <w:rsid w:val="00FC1A95"/>
    <w:rsid w:val="00FC56DE"/>
    <w:rsid w:val="00FC684B"/>
    <w:rsid w:val="00FD3265"/>
    <w:rsid w:val="00FD4916"/>
    <w:rsid w:val="00FE2F78"/>
    <w:rsid w:val="00FE6609"/>
    <w:rsid w:val="00FF3EEC"/>
    <w:rsid w:val="00FF7B9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ru v:ext="edit" colors="#ecf4dd,#eaecee,#fcec0a,#fcecdb,#f1d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lsdException w:name="Lis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64FA0"/>
    <w:pPr>
      <w:spacing w:after="240" w:line="276" w:lineRule="auto"/>
      <w:jc w:val="both"/>
    </w:pPr>
    <w:rPr>
      <w:rFonts w:ascii="Arial" w:eastAsia="Times New Roman" w:hAnsi="Arial"/>
      <w:szCs w:val="24"/>
      <w:lang w:eastAsia="cs-CZ"/>
    </w:rPr>
  </w:style>
  <w:style w:type="paragraph" w:styleId="Nadpis1">
    <w:name w:val="heading 1"/>
    <w:next w:val="Normln"/>
    <w:link w:val="Nadpis1Char"/>
    <w:uiPriority w:val="9"/>
    <w:qFormat/>
    <w:rsid w:val="00A25216"/>
    <w:pPr>
      <w:keepNext/>
      <w:keepLines/>
      <w:spacing w:after="100" w:line="276" w:lineRule="auto"/>
      <w:contextualSpacing/>
      <w:outlineLvl w:val="0"/>
    </w:pPr>
    <w:rPr>
      <w:rFonts w:ascii="Arial" w:eastAsia="MS Gothic" w:hAnsi="Arial"/>
      <w:b/>
      <w:bCs/>
      <w:color w:val="71818C"/>
      <w:sz w:val="32"/>
      <w:szCs w:val="28"/>
      <w:lang w:eastAsia="cs-CZ"/>
    </w:rPr>
  </w:style>
  <w:style w:type="paragraph" w:styleId="Nadpis2">
    <w:name w:val="heading 2"/>
    <w:next w:val="Normln"/>
    <w:link w:val="Nadpis2Char"/>
    <w:uiPriority w:val="9"/>
    <w:qFormat/>
    <w:rsid w:val="00A25216"/>
    <w:pPr>
      <w:keepNext/>
      <w:keepLines/>
      <w:spacing w:line="276" w:lineRule="auto"/>
      <w:outlineLvl w:val="1"/>
    </w:pPr>
    <w:rPr>
      <w:rFonts w:ascii="Arial" w:eastAsia="MS Gothic" w:hAnsi="Arial"/>
      <w:b/>
      <w:bCs/>
      <w:color w:val="71818C"/>
      <w:sz w:val="28"/>
      <w:szCs w:val="26"/>
      <w:lang w:eastAsia="cs-CZ"/>
    </w:rPr>
  </w:style>
  <w:style w:type="paragraph" w:styleId="Nadpis3">
    <w:name w:val="heading 3"/>
    <w:next w:val="Normln"/>
    <w:link w:val="Nadpis3Char"/>
    <w:uiPriority w:val="9"/>
    <w:qFormat/>
    <w:rsid w:val="00A25216"/>
    <w:pPr>
      <w:keepNext/>
      <w:keepLines/>
      <w:spacing w:line="276" w:lineRule="auto"/>
      <w:outlineLvl w:val="2"/>
    </w:pPr>
    <w:rPr>
      <w:rFonts w:ascii="Arial" w:eastAsia="MS Gothic" w:hAnsi="Arial"/>
      <w:b/>
      <w:bCs/>
      <w:color w:val="71818C"/>
      <w:sz w:val="24"/>
      <w:szCs w:val="24"/>
      <w:lang w:eastAsia="cs-CZ"/>
    </w:rPr>
  </w:style>
  <w:style w:type="paragraph" w:styleId="Nadpis4">
    <w:name w:val="heading 4"/>
    <w:next w:val="Normln"/>
    <w:link w:val="Nadpis4Char"/>
    <w:uiPriority w:val="9"/>
    <w:qFormat/>
    <w:rsid w:val="00A25216"/>
    <w:pPr>
      <w:keepNext/>
      <w:keepLines/>
      <w:spacing w:line="276" w:lineRule="auto"/>
      <w:outlineLvl w:val="3"/>
    </w:pPr>
    <w:rPr>
      <w:rFonts w:ascii="Arial" w:eastAsia="MS Gothic" w:hAnsi="Arial"/>
      <w:b/>
      <w:bCs/>
      <w:iCs/>
      <w:color w:val="71818C"/>
      <w:szCs w:val="24"/>
      <w:lang w:eastAsia="cs-CZ"/>
    </w:rPr>
  </w:style>
  <w:style w:type="paragraph" w:styleId="Nadpis5">
    <w:name w:val="heading 5"/>
    <w:basedOn w:val="Normln"/>
    <w:next w:val="Normln"/>
    <w:link w:val="Nadpis5Char"/>
    <w:uiPriority w:val="9"/>
    <w:semiHidden/>
    <w:unhideWhenUsed/>
    <w:rsid w:val="007A516D"/>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A516D"/>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A516D"/>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A516D"/>
    <w:pPr>
      <w:keepNext/>
      <w:keepLines/>
      <w:numPr>
        <w:ilvl w:val="7"/>
        <w:numId w:val="14"/>
      </w:numPr>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7A516D"/>
    <w:pPr>
      <w:numPr>
        <w:ilvl w:val="8"/>
        <w:numId w:val="14"/>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qFormat/>
    <w:rsid w:val="00364FA0"/>
    <w:rPr>
      <w:rFonts w:ascii="Arial" w:eastAsia="MS Gothic" w:hAnsi="Arial"/>
      <w:b/>
      <w:bCs/>
      <w:color w:val="71818C"/>
      <w:sz w:val="32"/>
      <w:szCs w:val="28"/>
      <w:lang w:eastAsia="cs-CZ"/>
    </w:rPr>
  </w:style>
  <w:style w:type="character" w:customStyle="1" w:styleId="Nadpis2Char">
    <w:name w:val="Nadpis 2 Char"/>
    <w:link w:val="Nadpis2"/>
    <w:uiPriority w:val="9"/>
    <w:qFormat/>
    <w:rsid w:val="00364FA0"/>
    <w:rPr>
      <w:rFonts w:ascii="Arial" w:eastAsia="MS Gothic" w:hAnsi="Arial"/>
      <w:b/>
      <w:bCs/>
      <w:color w:val="71818C"/>
      <w:sz w:val="28"/>
      <w:szCs w:val="26"/>
      <w:lang w:eastAsia="cs-CZ"/>
    </w:rPr>
  </w:style>
  <w:style w:type="character" w:customStyle="1" w:styleId="Nadpis3Char">
    <w:name w:val="Nadpis 3 Char"/>
    <w:link w:val="Nadpis3"/>
    <w:uiPriority w:val="9"/>
    <w:rsid w:val="00364FA0"/>
    <w:rPr>
      <w:rFonts w:ascii="Arial" w:eastAsia="MS Gothic" w:hAnsi="Arial"/>
      <w:b/>
      <w:bCs/>
      <w:color w:val="71818C"/>
      <w:sz w:val="24"/>
      <w:szCs w:val="24"/>
      <w:lang w:eastAsia="cs-CZ"/>
    </w:rPr>
  </w:style>
  <w:style w:type="character" w:customStyle="1" w:styleId="Nadpis4Char">
    <w:name w:val="Nadpis 4 Char"/>
    <w:link w:val="Nadpis4"/>
    <w:uiPriority w:val="9"/>
    <w:rsid w:val="00364FA0"/>
    <w:rPr>
      <w:rFonts w:ascii="Arial" w:eastAsia="MS Gothic" w:hAnsi="Arial"/>
      <w:b/>
      <w:bCs/>
      <w:iCs/>
      <w:color w:val="71818C"/>
      <w:szCs w:val="24"/>
      <w:lang w:eastAsia="cs-CZ"/>
    </w:rPr>
  </w:style>
  <w:style w:type="character" w:customStyle="1" w:styleId="Nadpis9Char">
    <w:name w:val="Nadpis 9 Char"/>
    <w:link w:val="Nadpis9"/>
    <w:uiPriority w:val="9"/>
    <w:semiHidden/>
    <w:rsid w:val="007A516D"/>
    <w:rPr>
      <w:rFonts w:ascii="Cambria" w:eastAsia="Times New Roman" w:hAnsi="Cambria"/>
      <w:sz w:val="22"/>
      <w:szCs w:val="22"/>
      <w:lang w:eastAsia="cs-CZ"/>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EA0840"/>
    <w:rPr>
      <w:noProof/>
      <w:lang w:eastAsia="en-US"/>
    </w:r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846121"/>
    <w:pPr>
      <w:spacing w:after="80" w:line="288" w:lineRule="auto"/>
    </w:pPr>
    <w:rPr>
      <w:rFonts w:ascii="Arial" w:eastAsia="Times New Roman" w:hAnsi="Arial"/>
      <w:b/>
      <w:color w:val="71818C"/>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A-Box1">
    <w:name w:val="A-Box 1"/>
    <w:next w:val="Normln"/>
    <w:qFormat/>
    <w:rsid w:val="00F84E7D"/>
    <w:pPr>
      <w:shd w:val="clear" w:color="auto" w:fill="EAECEE"/>
      <w:spacing w:before="240" w:after="240" w:line="276" w:lineRule="auto"/>
      <w:contextualSpacing/>
      <w:jc w:val="both"/>
    </w:pPr>
    <w:rPr>
      <w:rFonts w:ascii="Arial" w:hAnsi="Arial" w:cs="Arial"/>
      <w:lang w:eastAsia="cs-CZ"/>
    </w:rPr>
  </w:style>
  <w:style w:type="paragraph" w:customStyle="1" w:styleId="A-Box2">
    <w:name w:val="A-Box 2"/>
    <w:next w:val="Normln"/>
    <w:qFormat/>
    <w:rsid w:val="00D075BE"/>
    <w:pPr>
      <w:spacing w:before="240" w:after="240" w:line="276" w:lineRule="auto"/>
      <w:contextualSpacing/>
      <w:jc w:val="both"/>
    </w:pPr>
    <w:rPr>
      <w:rFonts w:ascii="Arial" w:hAnsi="Arial" w:cs="Arial"/>
      <w:color w:val="71818C"/>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846121"/>
    <w:pPr>
      <w:spacing w:line="288" w:lineRule="auto"/>
    </w:pPr>
    <w:rPr>
      <w:rFonts w:ascii="Arial" w:eastAsia="Times New Roman" w:hAnsi="Arial"/>
      <w:b/>
      <w:bCs/>
      <w:caps/>
      <w:color w:val="71818C"/>
      <w:kern w:val="28"/>
      <w:sz w:val="56"/>
      <w:szCs w:val="32"/>
      <w:lang w:eastAsia="cs-CZ"/>
    </w:rPr>
  </w:style>
  <w:style w:type="character" w:customStyle="1" w:styleId="NzevChar">
    <w:name w:val="Název Char"/>
    <w:link w:val="Nzev"/>
    <w:uiPriority w:val="10"/>
    <w:rsid w:val="00846121"/>
    <w:rPr>
      <w:rFonts w:ascii="Arial" w:eastAsia="Times New Roman" w:hAnsi="Arial"/>
      <w:b/>
      <w:bCs/>
      <w:caps/>
      <w:color w:val="71818C"/>
      <w:kern w:val="28"/>
      <w:sz w:val="56"/>
      <w:szCs w:val="32"/>
    </w:rPr>
  </w:style>
  <w:style w:type="paragraph" w:styleId="Podtitul">
    <w:name w:val="Subtitle"/>
    <w:link w:val="PodtitulChar"/>
    <w:uiPriority w:val="11"/>
    <w:qFormat/>
    <w:rsid w:val="00846121"/>
    <w:pPr>
      <w:spacing w:line="288" w:lineRule="auto"/>
    </w:pPr>
    <w:rPr>
      <w:rFonts w:ascii="Arial" w:eastAsia="Times New Roman" w:hAnsi="Arial" w:cs="Arial"/>
      <w:b/>
      <w:color w:val="71818C"/>
      <w:sz w:val="28"/>
      <w:szCs w:val="24"/>
      <w:lang w:eastAsia="cs-CZ"/>
    </w:rPr>
  </w:style>
  <w:style w:type="character" w:customStyle="1" w:styleId="PodtitulChar">
    <w:name w:val="Podtitul Char"/>
    <w:link w:val="Podtitul"/>
    <w:uiPriority w:val="11"/>
    <w:rsid w:val="00846121"/>
    <w:rPr>
      <w:rFonts w:ascii="Arial" w:eastAsia="Times New Roman" w:hAnsi="Arial" w:cs="Arial"/>
      <w:b/>
      <w:color w:val="71818C"/>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Nadpis5Char">
    <w:name w:val="Nadpis 5 Char"/>
    <w:basedOn w:val="Standardnpsmoodstavce"/>
    <w:link w:val="Nadpis5"/>
    <w:uiPriority w:val="9"/>
    <w:semiHidden/>
    <w:rsid w:val="007A516D"/>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uiPriority w:val="9"/>
    <w:semiHidden/>
    <w:rsid w:val="007A516D"/>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uiPriority w:val="9"/>
    <w:semiHidden/>
    <w:rsid w:val="007A516D"/>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uiPriority w:val="9"/>
    <w:semiHidden/>
    <w:rsid w:val="007A516D"/>
    <w:rPr>
      <w:rFonts w:asciiTheme="majorHAnsi" w:eastAsiaTheme="majorEastAsia" w:hAnsiTheme="majorHAnsi" w:cstheme="majorBidi"/>
      <w:color w:val="404040" w:themeColor="text1" w:themeTint="BF"/>
      <w:lang w:eastAsia="cs-CZ"/>
    </w:rPr>
  </w:style>
  <w:style w:type="paragraph" w:styleId="Textpoznpodarou">
    <w:name w:val="footnote text"/>
    <w:aliases w:val="Text pozn. pod čarou_martin_ang"/>
    <w:basedOn w:val="Normln"/>
    <w:link w:val="TextpoznpodarouChar"/>
    <w:qFormat/>
    <w:rsid w:val="008E7FC9"/>
    <w:pPr>
      <w:spacing w:after="0" w:line="240" w:lineRule="auto"/>
      <w:jc w:val="left"/>
    </w:pPr>
    <w:rPr>
      <w:rFonts w:eastAsia="Calibri"/>
      <w:szCs w:val="20"/>
    </w:rPr>
  </w:style>
  <w:style w:type="character" w:customStyle="1" w:styleId="TextpoznpodarouChar">
    <w:name w:val="Text pozn. pod čarou Char"/>
    <w:aliases w:val="Text pozn. pod čarou_martin_ang Char"/>
    <w:basedOn w:val="Standardnpsmoodstavce"/>
    <w:link w:val="Textpoznpodarou"/>
    <w:qFormat/>
    <w:rsid w:val="008E7FC9"/>
    <w:rPr>
      <w:rFonts w:ascii="Arial" w:hAnsi="Arial"/>
      <w:lang w:eastAsia="cs-CZ"/>
    </w:rPr>
  </w:style>
  <w:style w:type="paragraph" w:styleId="Bezmezer">
    <w:name w:val="No Spacing"/>
    <w:uiPriority w:val="1"/>
    <w:qFormat/>
    <w:rsid w:val="00AD68C4"/>
    <w:pPr>
      <w:jc w:val="both"/>
    </w:pPr>
    <w:rPr>
      <w:rFonts w:ascii="Arial" w:eastAsia="Times New Roman" w:hAnsi="Arial"/>
      <w:szCs w:val="24"/>
      <w:lang w:eastAsia="cs-CZ"/>
    </w:rPr>
  </w:style>
  <w:style w:type="paragraph" w:customStyle="1" w:styleId="Marginlie">
    <w:name w:val="Marginálie"/>
    <w:basedOn w:val="Normln"/>
    <w:qFormat/>
    <w:rsid w:val="0089296D"/>
    <w:pPr>
      <w:spacing w:after="0"/>
      <w:jc w:val="left"/>
    </w:pPr>
    <w:rPr>
      <w:spacing w:val="-2"/>
      <w:sz w:val="16"/>
      <w:szCs w:val="16"/>
    </w:rPr>
  </w:style>
  <w:style w:type="paragraph" w:styleId="Odstavecseseznamem">
    <w:name w:val="List Paragraph"/>
    <w:basedOn w:val="Normln"/>
    <w:uiPriority w:val="34"/>
    <w:rsid w:val="006B0F92"/>
    <w:pPr>
      <w:ind w:left="720"/>
      <w:contextualSpacing/>
    </w:pPr>
  </w:style>
  <w:style w:type="paragraph" w:customStyle="1" w:styleId="Normalodrka">
    <w:name w:val="Normal odrážka"/>
    <w:qFormat/>
    <w:rsid w:val="006B0F92"/>
    <w:pPr>
      <w:numPr>
        <w:numId w:val="20"/>
      </w:numPr>
      <w:spacing w:after="240" w:line="276" w:lineRule="auto"/>
      <w:ind w:left="357" w:hanging="357"/>
      <w:jc w:val="both"/>
    </w:pPr>
    <w:rPr>
      <w:rFonts w:ascii="Arial" w:eastAsia="Times New Roman" w:hAnsi="Arial"/>
      <w:szCs w:val="24"/>
      <w:lang w:eastAsia="cs-CZ"/>
    </w:rPr>
  </w:style>
  <w:style w:type="paragraph" w:customStyle="1" w:styleId="Box1">
    <w:name w:val="Box 1"/>
    <w:next w:val="Normln"/>
    <w:qFormat/>
    <w:rsid w:val="00A17D5B"/>
    <w:pPr>
      <w:shd w:val="clear" w:color="auto" w:fill="EBEBEB"/>
      <w:spacing w:before="240" w:after="240" w:line="276" w:lineRule="auto"/>
      <w:ind w:left="709"/>
      <w:contextualSpacing/>
    </w:pPr>
    <w:rPr>
      <w:rFonts w:ascii="Arial" w:hAnsi="Arial" w:cs="Arial"/>
      <w:lang w:eastAsia="cs-CZ"/>
    </w:rPr>
  </w:style>
  <w:style w:type="paragraph" w:customStyle="1" w:styleId="Box2">
    <w:name w:val="Box 2"/>
    <w:next w:val="Normln"/>
    <w:qFormat/>
    <w:rsid w:val="00A17D5B"/>
    <w:pPr>
      <w:spacing w:before="240" w:after="240" w:line="276" w:lineRule="auto"/>
      <w:ind w:left="709"/>
      <w:contextualSpacing/>
    </w:pPr>
    <w:rPr>
      <w:rFonts w:ascii="Arial" w:hAnsi="Arial" w:cs="Arial"/>
      <w:b/>
      <w:color w:val="71818C"/>
      <w:lang w:eastAsia="cs-CZ"/>
    </w:rPr>
  </w:style>
  <w:style w:type="character" w:styleId="Odkaznakoment">
    <w:name w:val="annotation reference"/>
    <w:basedOn w:val="Standardnpsmoodstavce"/>
    <w:uiPriority w:val="99"/>
    <w:semiHidden/>
    <w:unhideWhenUsed/>
    <w:rsid w:val="00E76E61"/>
    <w:rPr>
      <w:sz w:val="16"/>
      <w:szCs w:val="16"/>
    </w:rPr>
  </w:style>
  <w:style w:type="paragraph" w:styleId="Textkomente">
    <w:name w:val="annotation text"/>
    <w:basedOn w:val="Normln"/>
    <w:link w:val="TextkomenteChar"/>
    <w:uiPriority w:val="99"/>
    <w:semiHidden/>
    <w:unhideWhenUsed/>
    <w:rsid w:val="00E76E61"/>
    <w:pPr>
      <w:spacing w:line="240" w:lineRule="auto"/>
    </w:pPr>
    <w:rPr>
      <w:szCs w:val="20"/>
    </w:rPr>
  </w:style>
  <w:style w:type="character" w:customStyle="1" w:styleId="TextkomenteChar">
    <w:name w:val="Text komentáře Char"/>
    <w:basedOn w:val="Standardnpsmoodstavce"/>
    <w:link w:val="Textkomente"/>
    <w:uiPriority w:val="99"/>
    <w:semiHidden/>
    <w:rsid w:val="00E76E61"/>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E76E61"/>
    <w:rPr>
      <w:b/>
      <w:bCs/>
    </w:rPr>
  </w:style>
  <w:style w:type="character" w:customStyle="1" w:styleId="PedmtkomenteChar">
    <w:name w:val="Předmět komentáře Char"/>
    <w:basedOn w:val="TextkomenteChar"/>
    <w:link w:val="Pedmtkomente"/>
    <w:uiPriority w:val="99"/>
    <w:semiHidden/>
    <w:rsid w:val="00E76E61"/>
    <w:rPr>
      <w:rFonts w:ascii="Arial" w:eastAsia="Times New Roman" w:hAnsi="Arial"/>
      <w:b/>
      <w:bCs/>
      <w:lang w:eastAsia="cs-CZ"/>
    </w:rPr>
  </w:style>
  <w:style w:type="paragraph" w:customStyle="1" w:styleId="Nadpis11">
    <w:name w:val="Nadpis 11"/>
    <w:basedOn w:val="Normln"/>
    <w:uiPriority w:val="9"/>
    <w:qFormat/>
    <w:rsid w:val="00F46502"/>
    <w:pPr>
      <w:keepNext/>
      <w:keepLines/>
      <w:spacing w:after="100"/>
      <w:contextualSpacing/>
      <w:jc w:val="left"/>
      <w:outlineLvl w:val="0"/>
    </w:pPr>
    <w:rPr>
      <w:rFonts w:eastAsia="MS Gothic"/>
      <w:b/>
      <w:bCs/>
      <w:color w:val="71818C"/>
      <w:sz w:val="32"/>
      <w:szCs w:val="28"/>
    </w:rPr>
  </w:style>
  <w:style w:type="paragraph" w:customStyle="1" w:styleId="Nadpis21">
    <w:name w:val="Nadpis 21"/>
    <w:basedOn w:val="Normln"/>
    <w:uiPriority w:val="9"/>
    <w:qFormat/>
    <w:rsid w:val="00F46502"/>
    <w:pPr>
      <w:keepNext/>
      <w:keepLines/>
      <w:spacing w:after="0"/>
      <w:jc w:val="left"/>
      <w:outlineLvl w:val="1"/>
    </w:pPr>
    <w:rPr>
      <w:rFonts w:eastAsia="MS Gothic"/>
      <w:b/>
      <w:bCs/>
      <w:color w:val="71818C"/>
      <w:sz w:val="28"/>
      <w:szCs w:val="26"/>
    </w:rPr>
  </w:style>
  <w:style w:type="paragraph" w:customStyle="1" w:styleId="Textpoznpodarou1">
    <w:name w:val="Text pozn. pod čarou1"/>
    <w:basedOn w:val="Normln"/>
    <w:rsid w:val="00F46502"/>
    <w:pPr>
      <w:spacing w:after="0" w:line="240" w:lineRule="auto"/>
      <w:jc w:val="left"/>
    </w:pPr>
    <w:rPr>
      <w:rFonts w:eastAsia="Calibri"/>
      <w:color w:val="00000A"/>
      <w:szCs w:val="20"/>
    </w:rPr>
  </w:style>
  <w:style w:type="character" w:customStyle="1" w:styleId="TextpoznpodarouChar1">
    <w:name w:val="Text pozn. pod čarou Char1"/>
    <w:aliases w:val="Text pozn. pod čarou_martin_ang Char1"/>
    <w:basedOn w:val="Standardnpsmoodstavce"/>
    <w:semiHidden/>
    <w:rsid w:val="00F46502"/>
    <w:rPr>
      <w:rFonts w:ascii="Arial" w:eastAsia="Times New Roman" w:hAnsi="Arial" w:cs="Times New Roman"/>
      <w:color w:val="00000A"/>
      <w:szCs w:val="20"/>
      <w:lang w:eastAsia="cs-CZ"/>
    </w:rPr>
  </w:style>
  <w:style w:type="character" w:styleId="Znakapoznpodarou">
    <w:name w:val="footnote reference"/>
    <w:basedOn w:val="Standardnpsmoodstavce"/>
    <w:rsid w:val="00F46502"/>
    <w:rPr>
      <w:rFonts w:cs="Times New Roman"/>
      <w:vertAlign w:val="superscript"/>
    </w:rPr>
  </w:style>
  <w:style w:type="character" w:customStyle="1" w:styleId="odkaz-style-wrapper">
    <w:name w:val="odkaz-style-wrapper"/>
    <w:basedOn w:val="Standardnpsmoodstavce"/>
    <w:rsid w:val="00BE6186"/>
  </w:style>
  <w:style w:type="paragraph" w:customStyle="1" w:styleId="Nadpis110">
    <w:name w:val="Nadpis 11"/>
    <w:basedOn w:val="Normln"/>
    <w:uiPriority w:val="9"/>
    <w:qFormat/>
    <w:rsid w:val="00BE6186"/>
    <w:pPr>
      <w:keepNext/>
      <w:keepLines/>
      <w:spacing w:after="100"/>
      <w:contextualSpacing/>
      <w:jc w:val="left"/>
      <w:outlineLvl w:val="0"/>
    </w:pPr>
    <w:rPr>
      <w:rFonts w:eastAsia="MS Gothic"/>
      <w:b/>
      <w:bCs/>
      <w:color w:val="71818C"/>
      <w:sz w:val="32"/>
      <w:szCs w:val="28"/>
    </w:rPr>
  </w:style>
  <w:style w:type="paragraph" w:customStyle="1" w:styleId="Nadpis210">
    <w:name w:val="Nadpis 21"/>
    <w:basedOn w:val="Normln"/>
    <w:uiPriority w:val="9"/>
    <w:qFormat/>
    <w:rsid w:val="00BE6186"/>
    <w:pPr>
      <w:keepNext/>
      <w:keepLines/>
      <w:spacing w:after="0"/>
      <w:jc w:val="left"/>
      <w:outlineLvl w:val="1"/>
    </w:pPr>
    <w:rPr>
      <w:rFonts w:eastAsia="MS Gothic"/>
      <w:b/>
      <w:bCs/>
      <w:color w:val="71818C"/>
      <w:sz w:val="28"/>
      <w:szCs w:val="26"/>
    </w:rPr>
  </w:style>
  <w:style w:type="paragraph" w:customStyle="1" w:styleId="Textpoznpodarou10">
    <w:name w:val="Text pozn. pod čarou1"/>
    <w:basedOn w:val="Normln"/>
    <w:rsid w:val="00BE6186"/>
    <w:pPr>
      <w:spacing w:after="0" w:line="240" w:lineRule="auto"/>
      <w:jc w:val="left"/>
    </w:pPr>
    <w:rPr>
      <w:rFonts w:eastAsia="Calibri"/>
      <w:color w:val="00000A"/>
      <w:szCs w:val="20"/>
    </w:rPr>
  </w:style>
  <w:style w:type="paragraph" w:styleId="Normlnweb">
    <w:name w:val="Normal (Web)"/>
    <w:basedOn w:val="Normln"/>
    <w:uiPriority w:val="99"/>
    <w:unhideWhenUsed/>
    <w:rsid w:val="00C96D08"/>
    <w:pPr>
      <w:spacing w:before="100" w:beforeAutospacing="1" w:after="100" w:afterAutospacing="1" w:line="240" w:lineRule="auto"/>
      <w:jc w:val="left"/>
    </w:pPr>
    <w:rPr>
      <w:rFonts w:ascii="Times New Roman" w:hAnsi="Times New Roman"/>
      <w:sz w:val="24"/>
    </w:rPr>
  </w:style>
  <w:style w:type="paragraph" w:styleId="Zkladntext">
    <w:name w:val="Body Text"/>
    <w:basedOn w:val="Normln"/>
    <w:link w:val="ZkladntextChar"/>
    <w:semiHidden/>
    <w:rsid w:val="004C5FBF"/>
    <w:pPr>
      <w:widowControl w:val="0"/>
      <w:suppressAutoHyphens/>
      <w:autoSpaceDE w:val="0"/>
      <w:autoSpaceDN w:val="0"/>
      <w:adjustRightInd w:val="0"/>
      <w:spacing w:before="120" w:after="0" w:line="215" w:lineRule="exact"/>
    </w:pPr>
    <w:rPr>
      <w:rFonts w:ascii="Times New Roman CE obyèejné" w:hAnsi="Times New Roman CE obyèejné"/>
      <w:szCs w:val="20"/>
    </w:rPr>
  </w:style>
  <w:style w:type="character" w:customStyle="1" w:styleId="ZkladntextChar">
    <w:name w:val="Základní text Char"/>
    <w:basedOn w:val="Standardnpsmoodstavce"/>
    <w:link w:val="Zkladntext"/>
    <w:semiHidden/>
    <w:rsid w:val="004C5FBF"/>
    <w:rPr>
      <w:rFonts w:ascii="Times New Roman CE obyèejné" w:eastAsia="Times New Roman" w:hAnsi="Times New Roman CE obyèejné"/>
      <w:lang w:eastAsia="cs-CZ"/>
    </w:rPr>
  </w:style>
  <w:style w:type="character" w:customStyle="1" w:styleId="content">
    <w:name w:val="content"/>
    <w:basedOn w:val="Standardnpsmoodstavce"/>
    <w:rsid w:val="003C4BE8"/>
  </w:style>
</w:styles>
</file>

<file path=word/webSettings.xml><?xml version="1.0" encoding="utf-8"?>
<w:webSettings xmlns:r="http://schemas.openxmlformats.org/officeDocument/2006/relationships" xmlns:w="http://schemas.openxmlformats.org/wordprocessingml/2006/main">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9615720">
      <w:bodyDiv w:val="1"/>
      <w:marLeft w:val="60"/>
      <w:marRight w:val="60"/>
      <w:marTop w:val="60"/>
      <w:marBottom w:val="15"/>
      <w:divBdr>
        <w:top w:val="none" w:sz="0" w:space="0" w:color="auto"/>
        <w:left w:val="none" w:sz="0" w:space="0" w:color="auto"/>
        <w:bottom w:val="none" w:sz="0" w:space="0" w:color="auto"/>
        <w:right w:val="none" w:sz="0" w:space="0" w:color="auto"/>
      </w:divBdr>
      <w:divsChild>
        <w:div w:id="658968227">
          <w:marLeft w:val="0"/>
          <w:marRight w:val="0"/>
          <w:marTop w:val="0"/>
          <w:marBottom w:val="0"/>
          <w:divBdr>
            <w:top w:val="none" w:sz="0" w:space="0" w:color="auto"/>
            <w:left w:val="none" w:sz="0" w:space="0" w:color="auto"/>
            <w:bottom w:val="none" w:sz="0" w:space="0" w:color="auto"/>
            <w:right w:val="none" w:sz="0" w:space="0" w:color="auto"/>
          </w:divBdr>
        </w:div>
      </w:divsChild>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4515303">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932319695">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12266825">
      <w:bodyDiv w:val="1"/>
      <w:marLeft w:val="60"/>
      <w:marRight w:val="60"/>
      <w:marTop w:val="60"/>
      <w:marBottom w:val="15"/>
      <w:divBdr>
        <w:top w:val="none" w:sz="0" w:space="0" w:color="auto"/>
        <w:left w:val="none" w:sz="0" w:space="0" w:color="auto"/>
        <w:bottom w:val="none" w:sz="0" w:space="0" w:color="auto"/>
        <w:right w:val="none" w:sz="0" w:space="0" w:color="auto"/>
      </w:divBdr>
      <w:divsChild>
        <w:div w:id="1418138374">
          <w:marLeft w:val="0"/>
          <w:marRight w:val="0"/>
          <w:marTop w:val="0"/>
          <w:marBottom w:val="0"/>
          <w:divBdr>
            <w:top w:val="none" w:sz="0" w:space="0" w:color="auto"/>
            <w:left w:val="none" w:sz="0" w:space="0" w:color="auto"/>
            <w:bottom w:val="none" w:sz="0" w:space="0" w:color="auto"/>
            <w:right w:val="none" w:sz="0" w:space="0" w:color="auto"/>
          </w:divBdr>
        </w:div>
      </w:divsChild>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4047975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4.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2.xml"/><Relationship Id="rId68" Type="http://schemas.openxmlformats.org/officeDocument/2006/relationships/chart" Target="charts/chart57.xml"/><Relationship Id="rId76" Type="http://schemas.openxmlformats.org/officeDocument/2006/relationships/chart" Target="charts/chart65.xml"/><Relationship Id="rId7" Type="http://schemas.openxmlformats.org/officeDocument/2006/relationships/endnotes" Target="endnotes.xml"/><Relationship Id="rId71" Type="http://schemas.openxmlformats.org/officeDocument/2006/relationships/chart" Target="charts/chart60.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0.xml"/><Relationship Id="rId11" Type="http://schemas.openxmlformats.org/officeDocument/2006/relationships/chart" Target="charts/chart4.xml"/><Relationship Id="rId24" Type="http://schemas.openxmlformats.org/officeDocument/2006/relationships/image" Target="media/image2.emf"/><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image" Target="media/image5.emf"/><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chart" Target="charts/chart42.xml"/><Relationship Id="rId72" Type="http://schemas.openxmlformats.org/officeDocument/2006/relationships/chart" Target="charts/chart61.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3.emf"/><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13.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y\Anal&#253;za\Ro&#269;n&#237;%20anal&#253;za%202018\Ana&#253;za%20ekonomick&#233;ho%20v&#253;voje%20v%20roce%202017.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y\Downloads\hdpcr062918_gs(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okumenty\Anal&#253;za\Ro&#269;n&#237;%20anal&#253;za%202018\Investice\odv&#283;tvov&#28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okumenty\Anal&#253;za\Ro&#269;n&#237;%20anal&#253;za%202018\Investice\THFK_V_bc_CZ.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ukupova31519\AppData\Local\Temp\nama_10_gdp.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EU-trh%20pr&#225;c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JKAM%20CSU\PUBLIKACE\PUBLIKACE\2018\Velk&#225;%20makro\Trh%20pr&#225;ce\Grafy-Trh%20pr&#225;c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JKAM%20CSU\PUBLIKACE\PUBLIKACE\2018\Velk&#225;%20makro\0-Trh%20pr&#225;ce\Grafy-Trh%20pr&#225;ce.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JKAM%20CSU\PUBLIKACE\PUBLIKACE\2018\Velk&#225;%20makro\0-Trh%20pr&#225;ce\Grafy-Trh%20pr&#225;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kumenty\Anal&#253;za\Ro&#269;n&#237;%20anal&#253;za%202018\HDP\hdpcr062918_gs(2).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JKAM%20CSU\PUBLIKACE\PUBLIKACE\2018\Velk&#225;%20makro\0-Trh%20pr&#225;ce\Grafy-Trh%20pr&#225;ce.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JKAM%20CSU\PUBLIKACE\PUBLIKACE\2018\Velk&#225;%20makro\0-Trh%20pr&#225;ce\Grafy-Trh%20pr&#225;c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JKAM%20CSU\PUBLIKACE\PUBLIKACE\2018\Velk&#225;%20makro\A-Sektor%20nefina&#269;n&#237;ch%20podnik&#367;\Grafy-nefona&#269;n&#237;%20podnik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Velk&#225;%20makro%202018\A-Sektor%20nefina&#269;n&#237;ch%20podnik&#367;-1\Grafy-nefinan&#269;n&#237;%20podniky.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JKAM%20CSU\PUBLIKACE\PUBLIKACE\2018\Velk&#225;%20makro\A-Sektor%20nefina&#269;n&#237;ch%20podnik&#367;\Grafy-nefona&#269;n&#237;%20podnik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JKAM%20CSU\PUBLIKACE\PUBLIKACE\2018\Velk&#225;%20makro\A-Sektor%20nefina&#269;n&#237;ch%20podnik&#367;\Grafy-nefinan&#269;n&#237;%20podnik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JKAM%20CSU\PUBLIKACE\PUBLIKACE\2018\Velk&#225;%20makro\A-Sektor%20nefina&#269;n&#237;ch%20podnik&#367;\Grafy-nefinan&#269;n&#237;%20podnik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JKAM%20CSU\PUBLIKACE\PUBLIKACE\2018\Velk&#225;%20makro\A-Sektor%20nefina&#269;n&#237;ch%20podnik&#367;-1\Grafy-nefinan&#269;n&#237;%20podnik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Dokumenty\Anal&#253;za\Ro&#269;n&#237;%20anal&#253;za%202018\Finan&#269;n&#237;%20instituce\ST001201_CZ.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Dokumenty\Anal&#253;za\Ro&#269;n&#237;%20anal&#253;za%202018\P&#345;&#237;jmy%20dom&#225;cnost&#237;\Kopie%20-%20QSA_S14_2018q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Anal&#253;za\Ro&#269;n&#237;%20anal&#253;za%202018\HDP\nama_10_gdp.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Dokumenty\Anal&#253;za\Ro&#269;n&#237;%20anal&#253;za%202018\P&#345;&#237;jmy%20dom&#225;cnost&#237;_odesl&#225;no\Kopie%20-%20QSA_S14_2018q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Dokumenty\Anal&#253;za\Ro&#269;n&#237;%20anal&#253;za%202018\Spot&#345;eba%20dom&#225;cnost&#237;\&#269;asov&#283;.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Dokumenty\Anal&#253;za\Ro&#269;n&#237;%20anal&#253;za%202018\Hospoda&#345;en&#237;%20vl&#225;dn&#237;ch%20instituc&#237;\gov_10dd_edpt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Dokumenty\Anal&#253;za\Ro&#269;n&#237;%20anal&#253;za%202018\Hospoda&#345;en&#237;%20vl&#225;dn&#237;ch%20instituc&#237;\p&#345;&#237;jmy%20a%20v&#253;daje%20vl&#225;dn&#237;ch%20instituc&#23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Dokumenty\Anal&#253;za\Ro&#269;n&#237;%20anal&#253;za%202018\Hospoda&#345;en&#237;%20vl&#225;dn&#237;ch%20instituc&#237;\p&#345;&#237;jmy%20a%20v&#253;daje%20vl&#225;dn&#237;ch%20instituc&#23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ukupova31519\AppData\Local\Temp\GOV_DEBT_CZ.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JKAM%20CSU\PUBLIKACE\PUBLIKACE\2018\Velk&#225;%20makro\1-Z&#283;m&#283;d&#283;lstv&#237;%20a%20lesnictv&#237;\Grafy-Zem&#283;d&#283;lstv&#23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JKAM%20CSU\PUBLIKACE\PUBLIKACE\2018\Velk&#225;%20makro\1-Z&#283;m&#283;d&#283;lstv&#237;%20a%20lesnictv&#237;\Grafy-Zem&#283;d&#283;lstv&#23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JKAM%20CSU\PUBLIKACE\PUBLIKACE\2018\Velk&#225;%20makro\1-Z&#283;m&#283;d&#283;lstv&#237;%20a%20lesnictv&#237;\Grafy-Zem&#283;d&#283;lstv&#23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JKAM%20CSU\PUBLIKACE\PUBLIKACE\2018\Velk&#225;%20makro\1-Z&#283;m&#283;d&#283;lstv&#237;%20a%20lesnictv&#237;\Grafy-Zem&#283;d&#283;lstv&#23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umenty\Anal&#253;za\Ro&#269;n&#237;%20anal&#253;za%202018\Ceny\grafy_ceny.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JKAM%20CSU\PUBLIKACE\PUBLIKACE\2018\Velk&#225;%20makro\1-Z&#283;m&#283;d&#283;lstv&#237;%20a%20lesnictv&#237;\Grafy-Zem&#283;d&#283;lstv&#237;.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JKAM%20CSU\PUBLIKACE\PUBLIKACE\2018\Velk&#225;%20makro\2-Pr&#367;mysl\Grafy-pr&#367;mys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JKAM%20CSU\PUBLIKACE\PUBLIKACE\2018\Velk&#225;%20makro\2-Pr&#367;mysl\Grafy-pr&#367;mys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JKAM%20CSU\PUBLIKACE\PUBLIKACE\2018\Velk&#225;%20makro\2-Pr&#367;mysl\Grafy-pr&#367;mysl.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JKAM%20CSU\PUBLIKACE\PUBLIKACE\2018\Velk&#225;%20makro\2-Pr&#367;mysl\Grafy-pr&#367;mys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JKAM%20CSU\PUBLIKACE\PUBLIKACE\2018\Velk&#225;%20makro\2-Pr&#367;mysl\Grafy-pr&#367;mys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JKAM%20CSU\PUBLIKACE\PUBLIKACE\2018\Velk&#225;%20makro\Stavebnictv&#237;\Stavebnictv&#237;-Grafy.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JKAM%20CSU\PUBLIKACE\PUBLIKACE\2018\Velk&#225;%20makro\Stavebnictv&#237;\Stavebnictv&#237;-Grafy.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JKAM%20CSU\PUBLIKACE\PUBLIKACE\2018\Velk&#225;%20makro\4-Obchod,%20doprava\Obchod-doprava-grafy.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JKAM%20CSU\PUBLIKACE\PUBLIKACE\2018\Velk&#225;%20makro\4-Obchod,%20doprava\Obchod-doprava-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kumenty\Anal&#253;za\Ro&#269;n&#237;%20anal&#253;za%202018\Ceny\grafy_ceny.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JKAM%20CSU\PUBLIKACE\PUBLIKACE\2018\Velk&#225;%20makro\4-Obchod,%20doprava\Obchod-doprava-grafy.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JKAM%20CSU\PUBLIKACE\PUBLIKACE\2018\Velk&#225;%20makro\4-Obchod,%20doprava\Obchod-doprava-grafy.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JKAM%20CSU\PUBLIKACE\PUBLIKACE\2018\Velk&#225;%20makro\5-Ubytov&#225;n&#237;%20a%20pohostinstv&#237;\Cestovn&#237;%20ruch-grafy.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JKAM%20CSU\PUBLIKACE\PUBLIKACE\2018\Velk&#225;%20makro\5-Ubytov&#225;n&#237;%20a%20pohostinstv&#237;\Cestovn&#237;%20ruch-grafy.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JKAM%20CSU\PUBLIKACE\PUBLIKACE\2018\Velk&#225;%20makro\5-Ubytov&#225;n&#237;%20a%20pohostinstv&#237;\Cestovn&#237;%20ruch-grafy.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JKAM%20CSU\PUBLIKACE\PUBLIKACE\2018\Velk&#225;%20makro\6-Informa&#269;n&#237;%20akomunika&#269;n&#237;%20&#269;in\Grafy-infor.%20a%20komunika&#269;n&#237;%20&#269;in.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JKAM%20CSU\PUBLIKACE\PUBLIKACE\2018\Velk&#225;%20makro\6-Informa&#269;n&#237;%20akomunika&#269;n&#237;%20&#269;in\Grafy-infor.%20a%20komunika&#269;n&#237;%20&#269;in.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JKAM%20CSU\PUBLIKACE\PUBLIKACE\2018\Velk&#225;%20makro\6-Informa&#269;n&#237;%20akomunika&#269;n&#237;%20&#269;in\Grafy-infor.%20a%20komunika&#269;n&#237;%20&#269;in.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JKAM%20CSU\PUBLIKACE\PUBLIKACE\2018\Velk&#225;%20makro\6-Informa&#269;n&#237;%20akomunika&#269;n&#237;%20&#269;in\Grafy-infor.%20a%20komunika&#269;n&#237;%20&#269;in.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JKAM%20CSU\PUBLIKACE\PUBLIKACE\2018\Velk&#225;%20makro\7-Profes.v&#283;d,%20techn,%20admin%20&#269;in\Grafy-Profes%20v&#283;d%20a%20tech%20&#269;i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kumenty\Anal&#253;za\Ro&#269;n&#237;%20anal&#253;za%202018\Ceny\grafy_ceny.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JKAM%20CSU\PUBLIKACE\PUBLIKACE\2018\Velk&#225;%20makro\7-Profes.v&#283;d,%20techn,%20admin%20&#269;in\Grafy-Profes%20v&#283;d%20a%20tech%20&#269;in.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JKAM%20CSU\PUBLIKACE\PUBLIKACE\2018\Velk&#225;%20makro\8-Ve&#345;ejn&#233;%20slu&#382;by\Grafy-Ve&#345;ejn&#233;%20slu&#382;by.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JKAM%20CSU\PUBLIKACE\PUBLIKACE\2018\Velk&#225;%20makro\1-Z&#283;m&#283;d&#283;lstv&#237;%20a%20lesnictv&#237;\Grafy-Zem&#283;d&#283;lstv&#237;.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JKAM%20CSU\PUBLIKACE\PUBLIKACE\2018\Velk&#225;%20makro\8-Ve&#345;ejn&#233;%20slu&#382;by\Grafy-Ve&#345;ejn&#233;%20slu&#382;by.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JKAM%20CSU\PUBLIKACE\PUBLIKACE\2018\Velk&#225;%20makro\8-Ve&#345;ejn&#233;%20slu&#382;by\Grafy-Ve&#345;ejn&#233;%20slu&#382;by.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JKAM%20CSU\PUBLIKACE\PUBLIKACE\2018\Velk&#225;%20makro\8-Ve&#345;ejn&#233;%20slu&#382;by\Grafy-Ve&#345;ejn&#233;%20slu&#382;b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kumenty\Anal&#253;za\Ro&#269;n&#237;%20anal&#253;za%202018\Ceny\pr&#367;mys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ukupova31519\AppData\Local\Temp\Vystup-4.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kumenty\Anal&#253;za\Ro&#269;n&#237;%20anal&#253;za%202018\Vn&#283;j&#353;&#237;%20vztahy\investi&#269;n&#237;%20pozi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4071470786896413E-2"/>
          <c:y val="3.9316672295395698E-2"/>
          <c:w val="0.92846377912867251"/>
          <c:h val="0.76052572329168477"/>
        </c:manualLayout>
      </c:layout>
      <c:barChart>
        <c:barDir val="col"/>
        <c:grouping val="stacked"/>
        <c:ser>
          <c:idx val="4"/>
          <c:order val="1"/>
          <c:tx>
            <c:strRef>
              <c:f>HDP_minus!$W$126</c:f>
              <c:strCache>
                <c:ptCount val="1"/>
                <c:pt idx="0">
                  <c:v>Bilance zahraničního obchodu</c:v>
                </c:pt>
              </c:strCache>
            </c:strRef>
          </c:tx>
          <c:spPr>
            <a:solidFill>
              <a:srgbClr val="7DBB2D"/>
            </a:solidFill>
          </c:spPr>
          <c:cat>
            <c:strRef>
              <c:f>HDP_minus!$R$127:$R$136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HDP_minus!$W$127:$W$136</c:f>
              <c:numCache>
                <c:formatCode>0.0</c:formatCode>
                <c:ptCount val="10"/>
                <c:pt idx="0">
                  <c:v>1.4755957258407928</c:v>
                </c:pt>
                <c:pt idx="1">
                  <c:v>-1.6249344822136818</c:v>
                </c:pt>
                <c:pt idx="2">
                  <c:v>1.8179830375766795</c:v>
                </c:pt>
                <c:pt idx="3">
                  <c:v>2.4390375447846941</c:v>
                </c:pt>
                <c:pt idx="4">
                  <c:v>1.8677320472805792</c:v>
                </c:pt>
                <c:pt idx="5">
                  <c:v>-0.17108196351040841</c:v>
                </c:pt>
                <c:pt idx="6">
                  <c:v>1.2527742680860618</c:v>
                </c:pt>
                <c:pt idx="7">
                  <c:v>1.277900677599463</c:v>
                </c:pt>
                <c:pt idx="8">
                  <c:v>1.3326265729670219</c:v>
                </c:pt>
                <c:pt idx="9">
                  <c:v>1.3615786306657904</c:v>
                </c:pt>
              </c:numCache>
            </c:numRef>
          </c:val>
          <c:extLst xmlns:c16r2="http://schemas.microsoft.com/office/drawing/2015/06/chart">
            <c:ext xmlns:c16="http://schemas.microsoft.com/office/drawing/2014/chart" uri="{C3380CC4-5D6E-409C-BE32-E72D297353CC}">
              <c16:uniqueId val="{00000000-BDEB-42BB-9F9E-C7AC89233B47}"/>
            </c:ext>
          </c:extLst>
        </c:ser>
        <c:ser>
          <c:idx val="3"/>
          <c:order val="2"/>
          <c:tx>
            <c:strRef>
              <c:f>HDP_minus!$V$126</c:f>
              <c:strCache>
                <c:ptCount val="1"/>
                <c:pt idx="0">
                  <c:v>Výdaje na tvorbu hrubého kapitálu</c:v>
                </c:pt>
              </c:strCache>
            </c:strRef>
          </c:tx>
          <c:spPr>
            <a:solidFill>
              <a:srgbClr val="BD1B21"/>
            </a:solidFill>
          </c:spPr>
          <c:cat>
            <c:strRef>
              <c:f>HDP_minus!$R$127:$R$136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HDP_minus!$V$127:$V$136</c:f>
              <c:numCache>
                <c:formatCode>0.0</c:formatCode>
                <c:ptCount val="10"/>
                <c:pt idx="0">
                  <c:v>0.37101582441177616</c:v>
                </c:pt>
                <c:pt idx="1">
                  <c:v>-1.8136558846275201</c:v>
                </c:pt>
                <c:pt idx="2">
                  <c:v>-0.217947681108344</c:v>
                </c:pt>
                <c:pt idx="3">
                  <c:v>-0.16205236832851852</c:v>
                </c:pt>
                <c:pt idx="4">
                  <c:v>-1.1736745000391537</c:v>
                </c:pt>
                <c:pt idx="5">
                  <c:v>-0.58992894479168956</c:v>
                </c:pt>
                <c:pt idx="6">
                  <c:v>0.66813567100674165</c:v>
                </c:pt>
                <c:pt idx="7">
                  <c:v>2.1702392036760592</c:v>
                </c:pt>
                <c:pt idx="8">
                  <c:v>-0.58467087703897769</c:v>
                </c:pt>
                <c:pt idx="9">
                  <c:v>0.75361612979478287</c:v>
                </c:pt>
              </c:numCache>
            </c:numRef>
          </c:val>
          <c:extLst xmlns:c16r2="http://schemas.microsoft.com/office/drawing/2015/06/chart">
            <c:ext xmlns:c16="http://schemas.microsoft.com/office/drawing/2014/chart" uri="{C3380CC4-5D6E-409C-BE32-E72D297353CC}">
              <c16:uniqueId val="{00000001-BDEB-42BB-9F9E-C7AC89233B47}"/>
            </c:ext>
          </c:extLst>
        </c:ser>
        <c:ser>
          <c:idx val="2"/>
          <c:order val="3"/>
          <c:tx>
            <c:strRef>
              <c:f>HDP_minus!$U$126</c:f>
              <c:strCache>
                <c:ptCount val="1"/>
                <c:pt idx="0">
                  <c:v>Výdaje na spotřebu vládních institucí</c:v>
                </c:pt>
              </c:strCache>
            </c:strRef>
          </c:tx>
          <c:spPr>
            <a:solidFill>
              <a:srgbClr val="A6CDE8"/>
            </a:solidFill>
          </c:spPr>
          <c:cat>
            <c:strRef>
              <c:f>HDP_minus!$R$127:$R$136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HDP_minus!$U$127:$U$136</c:f>
              <c:numCache>
                <c:formatCode>0.0</c:formatCode>
                <c:ptCount val="10"/>
                <c:pt idx="0">
                  <c:v>0.17362002006193578</c:v>
                </c:pt>
                <c:pt idx="1">
                  <c:v>0.46695863029775941</c:v>
                </c:pt>
                <c:pt idx="2">
                  <c:v>0.14160562771821567</c:v>
                </c:pt>
                <c:pt idx="3">
                  <c:v>-0.64251969185506952</c:v>
                </c:pt>
                <c:pt idx="4">
                  <c:v>-0.44818044856460038</c:v>
                </c:pt>
                <c:pt idx="5">
                  <c:v>0.45169239658883165</c:v>
                </c:pt>
                <c:pt idx="6">
                  <c:v>0.24068493345412145</c:v>
                </c:pt>
                <c:pt idx="7">
                  <c:v>0.48651170672732291</c:v>
                </c:pt>
                <c:pt idx="8">
                  <c:v>0.4813410060632598</c:v>
                </c:pt>
                <c:pt idx="9">
                  <c:v>0.24057961820104318</c:v>
                </c:pt>
              </c:numCache>
            </c:numRef>
          </c:val>
          <c:extLst xmlns:c16r2="http://schemas.microsoft.com/office/drawing/2015/06/chart">
            <c:ext xmlns:c16="http://schemas.microsoft.com/office/drawing/2014/chart" uri="{C3380CC4-5D6E-409C-BE32-E72D297353CC}">
              <c16:uniqueId val="{00000002-BDEB-42BB-9F9E-C7AC89233B47}"/>
            </c:ext>
          </c:extLst>
        </c:ser>
        <c:ser>
          <c:idx val="1"/>
          <c:order val="4"/>
          <c:tx>
            <c:strRef>
              <c:f>HDP_minus!$T$126</c:f>
              <c:strCache>
                <c:ptCount val="1"/>
                <c:pt idx="0">
                  <c:v>Výdaje na spotřebu domácností</c:v>
                </c:pt>
              </c:strCache>
            </c:strRef>
          </c:tx>
          <c:spPr>
            <a:solidFill>
              <a:srgbClr val="0071BC"/>
            </a:solidFill>
          </c:spPr>
          <c:cat>
            <c:strRef>
              <c:f>HDP_minus!$R$127:$R$136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HDP_minus!$T$127:$T$136</c:f>
              <c:numCache>
                <c:formatCode>0.0</c:formatCode>
                <c:ptCount val="10"/>
                <c:pt idx="0">
                  <c:v>0.7420853872527533</c:v>
                </c:pt>
                <c:pt idx="1">
                  <c:v>-0.24546871381041768</c:v>
                </c:pt>
                <c:pt idx="2">
                  <c:v>0.10080499600772796</c:v>
                </c:pt>
                <c:pt idx="3">
                  <c:v>-0.14027238336955497</c:v>
                </c:pt>
                <c:pt idx="4">
                  <c:v>-0.83974268738684565</c:v>
                </c:pt>
                <c:pt idx="5">
                  <c:v>0.19075387236561187</c:v>
                </c:pt>
                <c:pt idx="6">
                  <c:v>0.36260426273846097</c:v>
                </c:pt>
                <c:pt idx="7">
                  <c:v>1.0052314221720842</c:v>
                </c:pt>
                <c:pt idx="8">
                  <c:v>1.0734404882044923</c:v>
                </c:pt>
                <c:pt idx="9">
                  <c:v>2.0778535533810554</c:v>
                </c:pt>
              </c:numCache>
            </c:numRef>
          </c:val>
          <c:extLst xmlns:c16r2="http://schemas.microsoft.com/office/drawing/2015/06/chart">
            <c:ext xmlns:c16="http://schemas.microsoft.com/office/drawing/2014/chart" uri="{C3380CC4-5D6E-409C-BE32-E72D297353CC}">
              <c16:uniqueId val="{00000003-BDEB-42BB-9F9E-C7AC89233B47}"/>
            </c:ext>
          </c:extLst>
        </c:ser>
        <c:gapWidth val="97"/>
        <c:overlap val="100"/>
        <c:axId val="101961088"/>
        <c:axId val="101962880"/>
      </c:barChart>
      <c:lineChart>
        <c:grouping val="standard"/>
        <c:ser>
          <c:idx val="0"/>
          <c:order val="0"/>
          <c:tx>
            <c:strRef>
              <c:f>HDP_minus!$S$126</c:f>
              <c:strCache>
                <c:ptCount val="1"/>
                <c:pt idx="0">
                  <c:v>HDP</c:v>
                </c:pt>
              </c:strCache>
            </c:strRef>
          </c:tx>
          <c:spPr>
            <a:ln>
              <a:solidFill>
                <a:schemeClr val="tx1"/>
              </a:solidFill>
            </a:ln>
          </c:spPr>
          <c:marker>
            <c:symbol val="none"/>
          </c:marker>
          <c:cat>
            <c:strRef>
              <c:f>HDP_minus!$R$127:$R$136</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HDP_minus!$S$127:$S$136</c:f>
              <c:numCache>
                <c:formatCode>0.0</c:formatCode>
                <c:ptCount val="10"/>
                <c:pt idx="0">
                  <c:v>2.5152776686009619</c:v>
                </c:pt>
                <c:pt idx="1">
                  <c:v>-4.6661314906162055</c:v>
                </c:pt>
                <c:pt idx="2">
                  <c:v>2.1259501680597039</c:v>
                </c:pt>
                <c:pt idx="3">
                  <c:v>1.7804334964119619</c:v>
                </c:pt>
                <c:pt idx="4">
                  <c:v>-0.72813582538438326</c:v>
                </c:pt>
                <c:pt idx="5">
                  <c:v>-0.48507403852410091</c:v>
                </c:pt>
                <c:pt idx="6">
                  <c:v>2.714545690633992</c:v>
                </c:pt>
                <c:pt idx="7">
                  <c:v>5.3826993425739094</c:v>
                </c:pt>
                <c:pt idx="8">
                  <c:v>2.3601136807772982</c:v>
                </c:pt>
                <c:pt idx="9">
                  <c:v>4.4759389639345724</c:v>
                </c:pt>
              </c:numCache>
            </c:numRef>
          </c:val>
          <c:extLst xmlns:c16r2="http://schemas.microsoft.com/office/drawing/2015/06/chart">
            <c:ext xmlns:c16="http://schemas.microsoft.com/office/drawing/2014/chart" uri="{C3380CC4-5D6E-409C-BE32-E72D297353CC}">
              <c16:uniqueId val="{00000004-BDEB-42BB-9F9E-C7AC89233B47}"/>
            </c:ext>
          </c:extLst>
        </c:ser>
        <c:marker val="1"/>
        <c:axId val="101961088"/>
        <c:axId val="101962880"/>
      </c:lineChart>
      <c:catAx>
        <c:axId val="101961088"/>
        <c:scaling>
          <c:orientation val="minMax"/>
        </c:scaling>
        <c:axPos val="b"/>
        <c:numFmt formatCode="General" sourceLinked="0"/>
        <c:tickLblPos val="low"/>
        <c:crossAx val="101962880"/>
        <c:crosses val="autoZero"/>
        <c:auto val="1"/>
        <c:lblAlgn val="ctr"/>
        <c:lblOffset val="100"/>
      </c:catAx>
      <c:valAx>
        <c:axId val="101962880"/>
        <c:scaling>
          <c:orientation val="minMax"/>
        </c:scaling>
        <c:axPos val="l"/>
        <c:majorGridlines/>
        <c:numFmt formatCode="0" sourceLinked="0"/>
        <c:tickLblPos val="nextTo"/>
        <c:crossAx val="101961088"/>
        <c:crosses val="autoZero"/>
        <c:crossBetween val="between"/>
      </c:valAx>
      <c:spPr>
        <a:ln>
          <a:solidFill>
            <a:sysClr val="windowText" lastClr="000000"/>
          </a:solidFill>
        </a:ln>
      </c:spPr>
    </c:plotArea>
    <c:legend>
      <c:legendPos val="r"/>
      <c:layout>
        <c:manualLayout>
          <c:xMode val="edge"/>
          <c:yMode val="edge"/>
          <c:x val="5.2338525835866866E-2"/>
          <c:y val="0.8673322638748171"/>
          <c:w val="0.92621601654846364"/>
          <c:h val="0.11957953394123677"/>
        </c:manualLayout>
      </c:layout>
      <c:spPr>
        <a:ln>
          <a:solidFill>
            <a:sysClr val="windowText" lastClr="000000"/>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7.880065856129688E-2"/>
          <c:y val="3.9316672295395698E-2"/>
          <c:w val="0.89995482944951422"/>
          <c:h val="0.76052572329168455"/>
        </c:manualLayout>
      </c:layout>
      <c:barChart>
        <c:barDir val="col"/>
        <c:grouping val="stacked"/>
        <c:ser>
          <c:idx val="1"/>
          <c:order val="0"/>
          <c:tx>
            <c:strRef>
              <c:f>sektory!$J$2</c:f>
              <c:strCache>
                <c:ptCount val="1"/>
                <c:pt idx="0">
                  <c:v>Finanční instituce</c:v>
                </c:pt>
              </c:strCache>
            </c:strRef>
          </c:tx>
          <c:spPr>
            <a:solidFill>
              <a:srgbClr val="E8AFB2"/>
            </a:solidFill>
            <a:ln>
              <a:noFill/>
            </a:ln>
          </c:spPr>
          <c:cat>
            <c:numRef>
              <c:f>sektory!$G$12:$G$21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sektory!$J$12:$J$21</c:f>
              <c:numCache>
                <c:formatCode>0.0</c:formatCode>
                <c:ptCount val="10"/>
                <c:pt idx="0">
                  <c:v>6.2569999999999997</c:v>
                </c:pt>
                <c:pt idx="1">
                  <c:v>-7.6649999999999654</c:v>
                </c:pt>
                <c:pt idx="2">
                  <c:v>0.73100000000000065</c:v>
                </c:pt>
                <c:pt idx="3">
                  <c:v>1.1140000000000001</c:v>
                </c:pt>
                <c:pt idx="4">
                  <c:v>0.22500000000000003</c:v>
                </c:pt>
                <c:pt idx="5">
                  <c:v>-1.9640000000000066</c:v>
                </c:pt>
                <c:pt idx="6">
                  <c:v>0.77900000000000424</c:v>
                </c:pt>
                <c:pt idx="7">
                  <c:v>2.68</c:v>
                </c:pt>
                <c:pt idx="8">
                  <c:v>6.8879999999999955</c:v>
                </c:pt>
                <c:pt idx="9">
                  <c:v>5.3849999999999945</c:v>
                </c:pt>
              </c:numCache>
            </c:numRef>
          </c:val>
          <c:extLst xmlns:c16r2="http://schemas.microsoft.com/office/drawing/2015/06/chart">
            <c:ext xmlns:c16="http://schemas.microsoft.com/office/drawing/2014/chart" uri="{C3380CC4-5D6E-409C-BE32-E72D297353CC}">
              <c16:uniqueId val="{00000000-BEAB-44B7-BC8E-C059686CFA81}"/>
            </c:ext>
          </c:extLst>
        </c:ser>
        <c:ser>
          <c:idx val="2"/>
          <c:order val="1"/>
          <c:tx>
            <c:strRef>
              <c:f>sektory!$K$2</c:f>
              <c:strCache>
                <c:ptCount val="1"/>
                <c:pt idx="0">
                  <c:v>Vládní instituce</c:v>
                </c:pt>
              </c:strCache>
            </c:strRef>
          </c:tx>
          <c:spPr>
            <a:solidFill>
              <a:srgbClr val="BD1B21"/>
            </a:solidFill>
            <a:ln>
              <a:noFill/>
            </a:ln>
          </c:spPr>
          <c:cat>
            <c:numRef>
              <c:f>sektory!$G$12:$G$21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sektory!$K$12:$K$21</c:f>
              <c:numCache>
                <c:formatCode>0.0</c:formatCode>
                <c:ptCount val="10"/>
                <c:pt idx="0">
                  <c:v>29.742999999999874</c:v>
                </c:pt>
                <c:pt idx="1">
                  <c:v>24.873000000000001</c:v>
                </c:pt>
                <c:pt idx="2">
                  <c:v>-34.633000000000003</c:v>
                </c:pt>
                <c:pt idx="3">
                  <c:v>-21.411999999999999</c:v>
                </c:pt>
                <c:pt idx="4">
                  <c:v>-11.676</c:v>
                </c:pt>
                <c:pt idx="5">
                  <c:v>-16.986999999999867</c:v>
                </c:pt>
                <c:pt idx="6">
                  <c:v>25.594000000000001</c:v>
                </c:pt>
                <c:pt idx="7">
                  <c:v>58.33</c:v>
                </c:pt>
                <c:pt idx="8">
                  <c:v>-81.111000000000004</c:v>
                </c:pt>
                <c:pt idx="9">
                  <c:v>13.335000000000004</c:v>
                </c:pt>
              </c:numCache>
            </c:numRef>
          </c:val>
          <c:extLst xmlns:c16r2="http://schemas.microsoft.com/office/drawing/2015/06/chart">
            <c:ext xmlns:c16="http://schemas.microsoft.com/office/drawing/2014/chart" uri="{C3380CC4-5D6E-409C-BE32-E72D297353CC}">
              <c16:uniqueId val="{00000001-BEAB-44B7-BC8E-C059686CFA81}"/>
            </c:ext>
          </c:extLst>
        </c:ser>
        <c:ser>
          <c:idx val="3"/>
          <c:order val="2"/>
          <c:tx>
            <c:strRef>
              <c:f>sektory!$L$2</c:f>
              <c:strCache>
                <c:ptCount val="1"/>
                <c:pt idx="0">
                  <c:v>Domácnosti a NISD</c:v>
                </c:pt>
              </c:strCache>
            </c:strRef>
          </c:tx>
          <c:spPr>
            <a:solidFill>
              <a:srgbClr val="A6CDE8"/>
            </a:solidFill>
            <a:ln>
              <a:noFill/>
            </a:ln>
          </c:spPr>
          <c:cat>
            <c:numRef>
              <c:f>sektory!$G$12:$G$21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sektory!$L$12:$L$21</c:f>
              <c:numCache>
                <c:formatCode>0.0</c:formatCode>
                <c:ptCount val="10"/>
                <c:pt idx="0">
                  <c:v>-2.6019999999999999</c:v>
                </c:pt>
                <c:pt idx="1">
                  <c:v>-7.4870000000000001</c:v>
                </c:pt>
                <c:pt idx="2">
                  <c:v>25.919999999999987</c:v>
                </c:pt>
                <c:pt idx="3">
                  <c:v>-30.218</c:v>
                </c:pt>
                <c:pt idx="4">
                  <c:v>-17.670000000000005</c:v>
                </c:pt>
                <c:pt idx="5">
                  <c:v>-2.36</c:v>
                </c:pt>
                <c:pt idx="6">
                  <c:v>13.192</c:v>
                </c:pt>
                <c:pt idx="7">
                  <c:v>13.599</c:v>
                </c:pt>
                <c:pt idx="8">
                  <c:v>19.302</c:v>
                </c:pt>
                <c:pt idx="9">
                  <c:v>12.159000000000002</c:v>
                </c:pt>
              </c:numCache>
            </c:numRef>
          </c:val>
          <c:extLst xmlns:c16r2="http://schemas.microsoft.com/office/drawing/2015/06/chart">
            <c:ext xmlns:c16="http://schemas.microsoft.com/office/drawing/2014/chart" uri="{C3380CC4-5D6E-409C-BE32-E72D297353CC}">
              <c16:uniqueId val="{00000002-BEAB-44B7-BC8E-C059686CFA81}"/>
            </c:ext>
          </c:extLst>
        </c:ser>
        <c:ser>
          <c:idx val="0"/>
          <c:order val="3"/>
          <c:tx>
            <c:strRef>
              <c:f>sektory!$I$2</c:f>
              <c:strCache>
                <c:ptCount val="1"/>
                <c:pt idx="0">
                  <c:v>Nefinanční podniky</c:v>
                </c:pt>
              </c:strCache>
            </c:strRef>
          </c:tx>
          <c:spPr>
            <a:solidFill>
              <a:srgbClr val="0071BC"/>
            </a:solidFill>
            <a:ln>
              <a:noFill/>
            </a:ln>
          </c:spPr>
          <c:cat>
            <c:numRef>
              <c:f>sektory!$G$12:$G$21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sektory!$I$12:$I$21</c:f>
              <c:numCache>
                <c:formatCode>0.0</c:formatCode>
                <c:ptCount val="10"/>
                <c:pt idx="0">
                  <c:v>-0.49800000000000172</c:v>
                </c:pt>
                <c:pt idx="1">
                  <c:v>-111.627</c:v>
                </c:pt>
                <c:pt idx="2">
                  <c:v>10.873000000000006</c:v>
                </c:pt>
                <c:pt idx="3">
                  <c:v>51.347999999999999</c:v>
                </c:pt>
                <c:pt idx="4">
                  <c:v>14.047000000000001</c:v>
                </c:pt>
                <c:pt idx="5">
                  <c:v>-3.5430000000000001</c:v>
                </c:pt>
                <c:pt idx="6">
                  <c:v>17.420999999999989</c:v>
                </c:pt>
                <c:pt idx="7">
                  <c:v>57.622000000000163</c:v>
                </c:pt>
                <c:pt idx="8">
                  <c:v>27.331000000000031</c:v>
                </c:pt>
                <c:pt idx="9">
                  <c:v>26.541</c:v>
                </c:pt>
              </c:numCache>
            </c:numRef>
          </c:val>
          <c:extLst xmlns:c16r2="http://schemas.microsoft.com/office/drawing/2015/06/chart">
            <c:ext xmlns:c16="http://schemas.microsoft.com/office/drawing/2014/chart" uri="{C3380CC4-5D6E-409C-BE32-E72D297353CC}">
              <c16:uniqueId val="{00000003-BEAB-44B7-BC8E-C059686CFA81}"/>
            </c:ext>
          </c:extLst>
        </c:ser>
        <c:gapWidth val="92"/>
        <c:overlap val="100"/>
        <c:axId val="119054336"/>
        <c:axId val="119055872"/>
      </c:barChart>
      <c:lineChart>
        <c:grouping val="stacked"/>
        <c:ser>
          <c:idx val="4"/>
          <c:order val="4"/>
          <c:tx>
            <c:strRef>
              <c:f>sektory!$H$2</c:f>
              <c:strCache>
                <c:ptCount val="1"/>
                <c:pt idx="0">
                  <c:v>Celkem</c:v>
                </c:pt>
              </c:strCache>
            </c:strRef>
          </c:tx>
          <c:spPr>
            <a:ln w="28440">
              <a:solidFill>
                <a:schemeClr val="tx1"/>
              </a:solidFill>
              <a:round/>
            </a:ln>
          </c:spPr>
          <c:marker>
            <c:symbol val="none"/>
          </c:marker>
          <c:cat>
            <c:numRef>
              <c:f>sektory!$G$12:$G$21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sektory!$H$12:$H$21</c:f>
              <c:numCache>
                <c:formatCode>0.0</c:formatCode>
                <c:ptCount val="10"/>
                <c:pt idx="0">
                  <c:v>32.9</c:v>
                </c:pt>
                <c:pt idx="1">
                  <c:v>-101.90600000000002</c:v>
                </c:pt>
                <c:pt idx="2">
                  <c:v>2.8909999999999987</c:v>
                </c:pt>
                <c:pt idx="3">
                  <c:v>0.83200000000000063</c:v>
                </c:pt>
                <c:pt idx="4">
                  <c:v>-15.074</c:v>
                </c:pt>
                <c:pt idx="5">
                  <c:v>-24.853999999999999</c:v>
                </c:pt>
                <c:pt idx="6">
                  <c:v>56.986000000000004</c:v>
                </c:pt>
                <c:pt idx="7">
                  <c:v>132.23099999999999</c:v>
                </c:pt>
                <c:pt idx="8">
                  <c:v>-27.59</c:v>
                </c:pt>
                <c:pt idx="9">
                  <c:v>57.42</c:v>
                </c:pt>
              </c:numCache>
            </c:numRef>
          </c:val>
          <c:extLst xmlns:c16r2="http://schemas.microsoft.com/office/drawing/2015/06/chart">
            <c:ext xmlns:c16="http://schemas.microsoft.com/office/drawing/2014/chart" uri="{C3380CC4-5D6E-409C-BE32-E72D297353CC}">
              <c16:uniqueId val="{00000004-BEAB-44B7-BC8E-C059686CFA81}"/>
            </c:ext>
          </c:extLst>
        </c:ser>
        <c:hiLowLines>
          <c:spPr>
            <a:ln>
              <a:noFill/>
            </a:ln>
          </c:spPr>
        </c:hiLowLines>
        <c:marker val="1"/>
        <c:axId val="119057408"/>
        <c:axId val="119059200"/>
      </c:lineChart>
      <c:catAx>
        <c:axId val="119054336"/>
        <c:scaling>
          <c:orientation val="minMax"/>
        </c:scaling>
        <c:axPos val="b"/>
        <c:numFmt formatCode="General" sourceLinked="1"/>
        <c:tickLblPos val="low"/>
        <c:spPr>
          <a:ln w="9360">
            <a:solidFill>
              <a:srgbClr val="878787"/>
            </a:solidFill>
            <a:round/>
          </a:ln>
        </c:spPr>
        <c:crossAx val="119055872"/>
        <c:crosses val="autoZero"/>
        <c:auto val="1"/>
        <c:lblAlgn val="ctr"/>
        <c:lblOffset val="100"/>
      </c:catAx>
      <c:valAx>
        <c:axId val="119055872"/>
        <c:scaling>
          <c:orientation val="minMax"/>
        </c:scaling>
        <c:axPos val="l"/>
        <c:majorGridlines>
          <c:spPr>
            <a:ln w="9360">
              <a:solidFill>
                <a:srgbClr val="878787"/>
              </a:solidFill>
              <a:round/>
            </a:ln>
          </c:spPr>
        </c:majorGridlines>
        <c:numFmt formatCode="#,##0" sourceLinked="0"/>
        <c:tickLblPos val="nextTo"/>
        <c:spPr>
          <a:ln w="9360">
            <a:solidFill>
              <a:srgbClr val="878787"/>
            </a:solidFill>
            <a:round/>
          </a:ln>
        </c:spPr>
        <c:crossAx val="119054336"/>
        <c:crosses val="autoZero"/>
        <c:crossBetween val="between"/>
      </c:valAx>
      <c:catAx>
        <c:axId val="119057408"/>
        <c:scaling>
          <c:orientation val="minMax"/>
        </c:scaling>
        <c:delete val="1"/>
        <c:axPos val="b"/>
        <c:numFmt formatCode="General" sourceLinked="1"/>
        <c:tickLblPos val="none"/>
        <c:crossAx val="119059200"/>
        <c:crosses val="autoZero"/>
        <c:auto val="1"/>
        <c:lblAlgn val="ctr"/>
        <c:lblOffset val="100"/>
      </c:catAx>
      <c:valAx>
        <c:axId val="119059200"/>
        <c:scaling>
          <c:orientation val="minMax"/>
        </c:scaling>
        <c:delete val="1"/>
        <c:axPos val="l"/>
        <c:majorGridlines>
          <c:spPr>
            <a:ln w="9360">
              <a:solidFill>
                <a:srgbClr val="878787"/>
              </a:solidFill>
              <a:round/>
            </a:ln>
          </c:spPr>
        </c:majorGridlines>
        <c:numFmt formatCode="#,##0" sourceLinked="0"/>
        <c:tickLblPos val="none"/>
        <c:crossAx val="119057408"/>
        <c:crosses val="autoZero"/>
        <c:crossBetween val="between"/>
      </c:valAx>
      <c:spPr>
        <a:solidFill>
          <a:srgbClr val="FFFFFF"/>
        </a:solidFill>
        <a:ln>
          <a:solidFill>
            <a:sysClr val="windowText" lastClr="000000"/>
          </a:solidFill>
        </a:ln>
      </c:spPr>
    </c:plotArea>
    <c:legend>
      <c:legendPos val="r"/>
      <c:layout>
        <c:manualLayout>
          <c:xMode val="edge"/>
          <c:yMode val="edge"/>
          <c:x val="7.804626815265113E-2"/>
          <c:y val="0.87488798829224357"/>
          <c:w val="0.90050827423167845"/>
          <c:h val="0.11161628954182162"/>
        </c:manualLayout>
      </c:layout>
      <c:spPr>
        <a:noFill/>
        <a:ln>
          <a:solidFill>
            <a:schemeClr val="tx1"/>
          </a:solidFill>
        </a:ln>
      </c:spPr>
    </c:legend>
    <c:plotVisOnly val="1"/>
    <c:dispBlanksAs val="gap"/>
  </c:chart>
  <c:spPr>
    <a:solidFill>
      <a:srgbClr val="FFFFFF"/>
    </a:solidFill>
    <a:ln>
      <a:noFill/>
    </a:ln>
  </c:spPr>
  <c:txPr>
    <a:bodyPr/>
    <a:lstStyle/>
    <a:p>
      <a:pPr>
        <a:defRPr sz="800" baseline="0">
          <a:latin typeface="Arial" pitchFamily="34" charset="0"/>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7.8800658561296866E-2"/>
          <c:y val="3.9316672295395698E-2"/>
          <c:w val="0.89479462174940894"/>
          <c:h val="0.73364150624789837"/>
        </c:manualLayout>
      </c:layout>
      <c:barChart>
        <c:barDir val="col"/>
        <c:grouping val="stacked"/>
        <c:ser>
          <c:idx val="7"/>
          <c:order val="1"/>
          <c:tx>
            <c:strRef>
              <c:f>THFK_V_bc_CZ!$A$33:$B$33</c:f>
              <c:strCache>
                <c:ptCount val="1"/>
                <c:pt idx="0">
                  <c:v>Ostatní investice*</c:v>
                </c:pt>
              </c:strCache>
            </c:strRef>
          </c:tx>
          <c:spPr>
            <a:solidFill>
              <a:srgbClr val="808080"/>
            </a:solidFill>
          </c:spPr>
          <c:cat>
            <c:numRef>
              <c:f>THFK_V_bc_CZ!$J$25:$S$25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THFK_V_bc_CZ!$J$33:$S$33</c:f>
              <c:numCache>
                <c:formatCode>General</c:formatCode>
                <c:ptCount val="10"/>
                <c:pt idx="0">
                  <c:v>-0.73400000000000065</c:v>
                </c:pt>
                <c:pt idx="1">
                  <c:v>0.90899999999999992</c:v>
                </c:pt>
                <c:pt idx="2">
                  <c:v>1.228</c:v>
                </c:pt>
                <c:pt idx="3">
                  <c:v>1.212</c:v>
                </c:pt>
                <c:pt idx="4">
                  <c:v>-0.35300000000000031</c:v>
                </c:pt>
                <c:pt idx="5">
                  <c:v>-3.1789999999999994</c:v>
                </c:pt>
                <c:pt idx="6">
                  <c:v>-0.91300000000000003</c:v>
                </c:pt>
                <c:pt idx="7">
                  <c:v>9.7860000000000014</c:v>
                </c:pt>
                <c:pt idx="8">
                  <c:v>-9.1989999999999998</c:v>
                </c:pt>
                <c:pt idx="9">
                  <c:v>8.6000000000000021E-2</c:v>
                </c:pt>
              </c:numCache>
            </c:numRef>
          </c:val>
          <c:extLst xmlns:c16r2="http://schemas.microsoft.com/office/drawing/2015/06/chart">
            <c:ext xmlns:c16="http://schemas.microsoft.com/office/drawing/2014/chart" uri="{C3380CC4-5D6E-409C-BE32-E72D297353CC}">
              <c16:uniqueId val="{00000000-CFF7-440E-97B4-30A7FBB3212C}"/>
            </c:ext>
          </c:extLst>
        </c:ser>
        <c:ser>
          <c:idx val="1"/>
          <c:order val="2"/>
          <c:tx>
            <c:strRef>
              <c:f>THFK_V_bc_CZ!$A$27:$B$27</c:f>
              <c:strCache>
                <c:ptCount val="1"/>
                <c:pt idx="0">
                  <c:v>Obydlí</c:v>
                </c:pt>
              </c:strCache>
            </c:strRef>
          </c:tx>
          <c:spPr>
            <a:solidFill>
              <a:srgbClr val="BD1B21"/>
            </a:solidFill>
          </c:spPr>
          <c:cat>
            <c:numRef>
              <c:f>THFK_V_bc_CZ!$J$25:$S$25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THFK_V_bc_CZ!$J$27:$S$27</c:f>
              <c:numCache>
                <c:formatCode>General</c:formatCode>
                <c:ptCount val="10"/>
                <c:pt idx="0">
                  <c:v>2.7829999999999999</c:v>
                </c:pt>
                <c:pt idx="1">
                  <c:v>-11.797999999999998</c:v>
                </c:pt>
                <c:pt idx="2">
                  <c:v>12.31</c:v>
                </c:pt>
                <c:pt idx="3">
                  <c:v>-12.42</c:v>
                </c:pt>
                <c:pt idx="4">
                  <c:v>1.35</c:v>
                </c:pt>
                <c:pt idx="5">
                  <c:v>-16.372</c:v>
                </c:pt>
                <c:pt idx="6">
                  <c:v>11.922000000000002</c:v>
                </c:pt>
                <c:pt idx="7">
                  <c:v>19.391999999999999</c:v>
                </c:pt>
                <c:pt idx="8">
                  <c:v>11.277000000000001</c:v>
                </c:pt>
                <c:pt idx="9">
                  <c:v>19.873999999999999</c:v>
                </c:pt>
              </c:numCache>
            </c:numRef>
          </c:val>
          <c:extLst xmlns:c16r2="http://schemas.microsoft.com/office/drawing/2015/06/chart">
            <c:ext xmlns:c16="http://schemas.microsoft.com/office/drawing/2014/chart" uri="{C3380CC4-5D6E-409C-BE32-E72D297353CC}">
              <c16:uniqueId val="{00000001-CFF7-440E-97B4-30A7FBB3212C}"/>
            </c:ext>
          </c:extLst>
        </c:ser>
        <c:ser>
          <c:idx val="6"/>
          <c:order val="3"/>
          <c:tx>
            <c:strRef>
              <c:f>THFK_V_bc_CZ!$A$32:$B$32</c:f>
              <c:strCache>
                <c:ptCount val="1"/>
                <c:pt idx="0">
                  <c:v>Produkty duševního vlastnictví</c:v>
                </c:pt>
              </c:strCache>
            </c:strRef>
          </c:tx>
          <c:spPr>
            <a:solidFill>
              <a:srgbClr val="A6CDE8"/>
            </a:solidFill>
          </c:spPr>
          <c:cat>
            <c:numRef>
              <c:f>THFK_V_bc_CZ!$J$25:$S$25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THFK_V_bc_CZ!$J$32:$S$32</c:f>
              <c:numCache>
                <c:formatCode>General</c:formatCode>
                <c:ptCount val="10"/>
                <c:pt idx="0">
                  <c:v>8.7680000000000007</c:v>
                </c:pt>
                <c:pt idx="1">
                  <c:v>0.6590000000000048</c:v>
                </c:pt>
                <c:pt idx="2">
                  <c:v>-12.014000000000001</c:v>
                </c:pt>
                <c:pt idx="3">
                  <c:v>13.474</c:v>
                </c:pt>
                <c:pt idx="4">
                  <c:v>15.11</c:v>
                </c:pt>
                <c:pt idx="5">
                  <c:v>-1.1659999999999924</c:v>
                </c:pt>
                <c:pt idx="6">
                  <c:v>7.0679999999999845</c:v>
                </c:pt>
                <c:pt idx="7">
                  <c:v>24.143000000000001</c:v>
                </c:pt>
                <c:pt idx="8">
                  <c:v>11.579000000000002</c:v>
                </c:pt>
                <c:pt idx="9">
                  <c:v>11.747999999999999</c:v>
                </c:pt>
              </c:numCache>
            </c:numRef>
          </c:val>
          <c:extLst xmlns:c16r2="http://schemas.microsoft.com/office/drawing/2015/06/chart">
            <c:ext xmlns:c16="http://schemas.microsoft.com/office/drawing/2014/chart" uri="{C3380CC4-5D6E-409C-BE32-E72D297353CC}">
              <c16:uniqueId val="{00000002-CFF7-440E-97B4-30A7FBB3212C}"/>
            </c:ext>
          </c:extLst>
        </c:ser>
        <c:ser>
          <c:idx val="2"/>
          <c:order val="4"/>
          <c:tx>
            <c:strRef>
              <c:f>THFK_V_bc_CZ!$A$28:$B$28</c:f>
              <c:strCache>
                <c:ptCount val="1"/>
                <c:pt idx="0">
                  <c:v>Ostatní budovy a stavby</c:v>
                </c:pt>
              </c:strCache>
            </c:strRef>
          </c:tx>
          <c:spPr>
            <a:solidFill>
              <a:srgbClr val="E8AFB2"/>
            </a:solidFill>
          </c:spPr>
          <c:cat>
            <c:numRef>
              <c:f>THFK_V_bc_CZ!$J$25:$S$25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THFK_V_bc_CZ!$J$28:$S$28</c:f>
              <c:numCache>
                <c:formatCode>General</c:formatCode>
                <c:ptCount val="10"/>
                <c:pt idx="0">
                  <c:v>12.630999999999998</c:v>
                </c:pt>
                <c:pt idx="1">
                  <c:v>-12.271000000000001</c:v>
                </c:pt>
                <c:pt idx="2">
                  <c:v>-18.803000000000001</c:v>
                </c:pt>
                <c:pt idx="3">
                  <c:v>-9.261000000000001</c:v>
                </c:pt>
                <c:pt idx="4">
                  <c:v>-16.933</c:v>
                </c:pt>
                <c:pt idx="5">
                  <c:v>-10.499000000000002</c:v>
                </c:pt>
                <c:pt idx="6">
                  <c:v>-3.92</c:v>
                </c:pt>
                <c:pt idx="7">
                  <c:v>28.26599999999986</c:v>
                </c:pt>
                <c:pt idx="8">
                  <c:v>-38.123000000000012</c:v>
                </c:pt>
                <c:pt idx="9">
                  <c:v>13.88</c:v>
                </c:pt>
              </c:numCache>
            </c:numRef>
          </c:val>
          <c:extLst xmlns:c16r2="http://schemas.microsoft.com/office/drawing/2015/06/chart">
            <c:ext xmlns:c16="http://schemas.microsoft.com/office/drawing/2014/chart" uri="{C3380CC4-5D6E-409C-BE32-E72D297353CC}">
              <c16:uniqueId val="{00000003-CFF7-440E-97B4-30A7FBB3212C}"/>
            </c:ext>
          </c:extLst>
        </c:ser>
        <c:ser>
          <c:idx val="3"/>
          <c:order val="5"/>
          <c:tx>
            <c:strRef>
              <c:f>THFK_V_bc_CZ!$A$29:$B$29</c:f>
              <c:strCache>
                <c:ptCount val="1"/>
                <c:pt idx="0">
                  <c:v>Stroje a zařízení</c:v>
                </c:pt>
              </c:strCache>
            </c:strRef>
          </c:tx>
          <c:spPr>
            <a:solidFill>
              <a:srgbClr val="0071BC"/>
            </a:solidFill>
          </c:spPr>
          <c:cat>
            <c:numRef>
              <c:f>THFK_V_bc_CZ!$J$25:$S$25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THFK_V_bc_CZ!$J$29:$S$29</c:f>
              <c:numCache>
                <c:formatCode>General</c:formatCode>
                <c:ptCount val="10"/>
                <c:pt idx="0">
                  <c:v>9.4520000000000248</c:v>
                </c:pt>
                <c:pt idx="1">
                  <c:v>-79.405000000000001</c:v>
                </c:pt>
                <c:pt idx="2">
                  <c:v>20.170000000000005</c:v>
                </c:pt>
                <c:pt idx="3">
                  <c:v>7.8269999999999955</c:v>
                </c:pt>
                <c:pt idx="4">
                  <c:v>-14.247999999999999</c:v>
                </c:pt>
                <c:pt idx="5">
                  <c:v>6.3619999999999965</c:v>
                </c:pt>
                <c:pt idx="6">
                  <c:v>42.829000000000001</c:v>
                </c:pt>
                <c:pt idx="7">
                  <c:v>50.644000000000005</c:v>
                </c:pt>
                <c:pt idx="8">
                  <c:v>-3.1240000000000001</c:v>
                </c:pt>
                <c:pt idx="9">
                  <c:v>11.832000000000004</c:v>
                </c:pt>
              </c:numCache>
            </c:numRef>
          </c:val>
          <c:extLst xmlns:c16r2="http://schemas.microsoft.com/office/drawing/2015/06/chart">
            <c:ext xmlns:c16="http://schemas.microsoft.com/office/drawing/2014/chart" uri="{C3380CC4-5D6E-409C-BE32-E72D297353CC}">
              <c16:uniqueId val="{00000004-CFF7-440E-97B4-30A7FBB3212C}"/>
            </c:ext>
          </c:extLst>
        </c:ser>
        <c:gapWidth val="95"/>
        <c:overlap val="100"/>
        <c:axId val="119118464"/>
        <c:axId val="119128448"/>
      </c:barChart>
      <c:lineChart>
        <c:grouping val="standard"/>
        <c:ser>
          <c:idx val="0"/>
          <c:order val="0"/>
          <c:tx>
            <c:strRef>
              <c:f>THFK_V_bc_CZ!$A$26:$B$26</c:f>
              <c:strCache>
                <c:ptCount val="1"/>
                <c:pt idx="0">
                  <c:v>Celkem</c:v>
                </c:pt>
              </c:strCache>
            </c:strRef>
          </c:tx>
          <c:spPr>
            <a:ln>
              <a:solidFill>
                <a:prstClr val="black"/>
              </a:solidFill>
            </a:ln>
          </c:spPr>
          <c:marker>
            <c:symbol val="none"/>
          </c:marker>
          <c:cat>
            <c:numRef>
              <c:f>THFK_V_bc_CZ!$J$25:$S$25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THFK_V_bc_CZ!$J$26:$S$26</c:f>
              <c:numCache>
                <c:formatCode>General</c:formatCode>
                <c:ptCount val="10"/>
                <c:pt idx="0">
                  <c:v>32.9</c:v>
                </c:pt>
                <c:pt idx="1">
                  <c:v>-101.90600000000002</c:v>
                </c:pt>
                <c:pt idx="2">
                  <c:v>2.8909999999999987</c:v>
                </c:pt>
                <c:pt idx="3">
                  <c:v>0.83200000000000063</c:v>
                </c:pt>
                <c:pt idx="4">
                  <c:v>-15.074</c:v>
                </c:pt>
                <c:pt idx="5">
                  <c:v>-24.853999999999999</c:v>
                </c:pt>
                <c:pt idx="6">
                  <c:v>56.986000000000004</c:v>
                </c:pt>
                <c:pt idx="7">
                  <c:v>132.23099999999999</c:v>
                </c:pt>
                <c:pt idx="8">
                  <c:v>-27.59</c:v>
                </c:pt>
                <c:pt idx="9">
                  <c:v>57.42</c:v>
                </c:pt>
              </c:numCache>
            </c:numRef>
          </c:val>
          <c:extLst xmlns:c16r2="http://schemas.microsoft.com/office/drawing/2015/06/chart">
            <c:ext xmlns:c16="http://schemas.microsoft.com/office/drawing/2014/chart" uri="{C3380CC4-5D6E-409C-BE32-E72D297353CC}">
              <c16:uniqueId val="{00000005-CFF7-440E-97B4-30A7FBB3212C}"/>
            </c:ext>
          </c:extLst>
        </c:ser>
        <c:marker val="1"/>
        <c:axId val="119118464"/>
        <c:axId val="119128448"/>
      </c:lineChart>
      <c:catAx>
        <c:axId val="119118464"/>
        <c:scaling>
          <c:orientation val="minMax"/>
        </c:scaling>
        <c:axPos val="b"/>
        <c:numFmt formatCode="General" sourceLinked="1"/>
        <c:tickLblPos val="low"/>
        <c:crossAx val="119128448"/>
        <c:crosses val="autoZero"/>
        <c:auto val="1"/>
        <c:lblAlgn val="ctr"/>
        <c:lblOffset val="100"/>
      </c:catAx>
      <c:valAx>
        <c:axId val="119128448"/>
        <c:scaling>
          <c:orientation val="minMax"/>
          <c:min val="-125"/>
        </c:scaling>
        <c:axPos val="l"/>
        <c:majorGridlines/>
        <c:numFmt formatCode="General" sourceLinked="1"/>
        <c:tickLblPos val="nextTo"/>
        <c:crossAx val="119118464"/>
        <c:crosses val="autoZero"/>
        <c:crossBetween val="between"/>
        <c:majorUnit val="25"/>
      </c:valAx>
      <c:spPr>
        <a:ln>
          <a:solidFill>
            <a:prstClr val="black"/>
          </a:solidFill>
        </a:ln>
      </c:spPr>
    </c:plotArea>
    <c:legend>
      <c:legendPos val="r"/>
      <c:layout>
        <c:manualLayout>
          <c:xMode val="edge"/>
          <c:yMode val="edge"/>
          <c:x val="7.5566742654508634E-2"/>
          <c:y val="0.83929021726894582"/>
          <c:w val="0.90030711752786219"/>
          <c:h val="0.15421816953732098"/>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6871833839918973E-2"/>
          <c:y val="3.9316672295395698E-2"/>
          <c:w val="0.91746897163120456"/>
          <c:h val="0.66871552403467804"/>
        </c:manualLayout>
      </c:layout>
      <c:barChart>
        <c:barDir val="col"/>
        <c:grouping val="clustered"/>
        <c:ser>
          <c:idx val="0"/>
          <c:order val="0"/>
          <c:tx>
            <c:strRef>
              <c:f>Data!$J$10</c:f>
              <c:strCache>
                <c:ptCount val="1"/>
                <c:pt idx="0">
                  <c:v>2016</c:v>
                </c:pt>
              </c:strCache>
            </c:strRef>
          </c:tx>
          <c:cat>
            <c:strRef>
              <c:f>Data!$A$11:$A$39</c:f>
              <c:strCache>
                <c:ptCount val="29"/>
                <c:pt idx="0">
                  <c:v>Kypr</c:v>
                </c:pt>
                <c:pt idx="1">
                  <c:v>Maďarsko</c:v>
                </c:pt>
                <c:pt idx="2">
                  <c:v>Lotyšsko</c:v>
                </c:pt>
                <c:pt idx="3">
                  <c:v>Estonsko</c:v>
                </c:pt>
                <c:pt idx="4">
                  <c:v>Slovinsko</c:v>
                </c:pt>
                <c:pt idx="5">
                  <c:v>Řecko</c:v>
                </c:pt>
                <c:pt idx="6">
                  <c:v>Portugalsko</c:v>
                </c:pt>
                <c:pt idx="7">
                  <c:v>Litva</c:v>
                </c:pt>
                <c:pt idx="8">
                  <c:v>Nizozemí</c:v>
                </c:pt>
                <c:pt idx="9">
                  <c:v>Švédsko</c:v>
                </c:pt>
                <c:pt idx="10">
                  <c:v>Španělsko</c:v>
                </c:pt>
                <c:pt idx="11">
                  <c:v>Rakousko</c:v>
                </c:pt>
                <c:pt idx="12">
                  <c:v>Rumunsko</c:v>
                </c:pt>
                <c:pt idx="13">
                  <c:v>Dánsko</c:v>
                </c:pt>
                <c:pt idx="14">
                  <c:v>Francie</c:v>
                </c:pt>
                <c:pt idx="15">
                  <c:v>Finsko</c:v>
                </c:pt>
                <c:pt idx="16">
                  <c:v>Bulharsko</c:v>
                </c:pt>
                <c:pt idx="17">
                  <c:v>Chorvatsko</c:v>
                </c:pt>
                <c:pt idx="18">
                  <c:v>Itálie</c:v>
                </c:pt>
                <c:pt idx="19">
                  <c:v>Polsko</c:v>
                </c:pt>
                <c:pt idx="20">
                  <c:v>Velká Británie</c:v>
                </c:pt>
                <c:pt idx="21">
                  <c:v>ČR</c:v>
                </c:pt>
                <c:pt idx="22">
                  <c:v>Německo</c:v>
                </c:pt>
                <c:pt idx="23">
                  <c:v>Slovensko</c:v>
                </c:pt>
                <c:pt idx="24">
                  <c:v>EU 28</c:v>
                </c:pt>
                <c:pt idx="25">
                  <c:v>Lucembursko</c:v>
                </c:pt>
                <c:pt idx="26">
                  <c:v>Belgie</c:v>
                </c:pt>
                <c:pt idx="27">
                  <c:v>Malta</c:v>
                </c:pt>
                <c:pt idx="28">
                  <c:v>Irsko</c:v>
                </c:pt>
              </c:strCache>
            </c:strRef>
          </c:cat>
          <c:val>
            <c:numRef>
              <c:f>Data!$J$11:$J$39</c:f>
              <c:numCache>
                <c:formatCode>#,##0.0</c:formatCode>
                <c:ptCount val="29"/>
                <c:pt idx="0">
                  <c:v>35</c:v>
                </c:pt>
                <c:pt idx="1">
                  <c:v>-10.6</c:v>
                </c:pt>
                <c:pt idx="2">
                  <c:v>-15</c:v>
                </c:pt>
                <c:pt idx="3">
                  <c:v>-1.2</c:v>
                </c:pt>
                <c:pt idx="4">
                  <c:v>-3.6</c:v>
                </c:pt>
                <c:pt idx="5">
                  <c:v>1.6</c:v>
                </c:pt>
                <c:pt idx="6">
                  <c:v>1.5</c:v>
                </c:pt>
                <c:pt idx="7">
                  <c:v>-0.5</c:v>
                </c:pt>
                <c:pt idx="8">
                  <c:v>-7.3</c:v>
                </c:pt>
                <c:pt idx="9">
                  <c:v>5.6</c:v>
                </c:pt>
                <c:pt idx="10">
                  <c:v>3.3</c:v>
                </c:pt>
                <c:pt idx="11">
                  <c:v>3.7</c:v>
                </c:pt>
                <c:pt idx="12">
                  <c:v>-2.1</c:v>
                </c:pt>
                <c:pt idx="13">
                  <c:v>6</c:v>
                </c:pt>
                <c:pt idx="14">
                  <c:v>2.8</c:v>
                </c:pt>
                <c:pt idx="15">
                  <c:v>8.5</c:v>
                </c:pt>
                <c:pt idx="16">
                  <c:v>-6.6</c:v>
                </c:pt>
                <c:pt idx="17">
                  <c:v>6.5</c:v>
                </c:pt>
                <c:pt idx="18">
                  <c:v>3.2</c:v>
                </c:pt>
                <c:pt idx="19">
                  <c:v>-8.2000000000000011</c:v>
                </c:pt>
                <c:pt idx="20">
                  <c:v>2.2999999999999998</c:v>
                </c:pt>
                <c:pt idx="21">
                  <c:v>-3.1</c:v>
                </c:pt>
                <c:pt idx="22">
                  <c:v>3.1</c:v>
                </c:pt>
                <c:pt idx="23">
                  <c:v>-8.3000000000000007</c:v>
                </c:pt>
                <c:pt idx="24">
                  <c:v>2.9</c:v>
                </c:pt>
                <c:pt idx="25">
                  <c:v>0.5</c:v>
                </c:pt>
                <c:pt idx="26">
                  <c:v>3.8</c:v>
                </c:pt>
                <c:pt idx="27">
                  <c:v>1.7</c:v>
                </c:pt>
                <c:pt idx="28">
                  <c:v>51.4</c:v>
                </c:pt>
              </c:numCache>
            </c:numRef>
          </c:val>
          <c:extLst xmlns:c16r2="http://schemas.microsoft.com/office/drawing/2015/06/chart">
            <c:ext xmlns:c16="http://schemas.microsoft.com/office/drawing/2014/chart" uri="{C3380CC4-5D6E-409C-BE32-E72D297353CC}">
              <c16:uniqueId val="{00000000-B39F-4EB4-9F8F-2BC66CE5F295}"/>
            </c:ext>
          </c:extLst>
        </c:ser>
        <c:ser>
          <c:idx val="1"/>
          <c:order val="1"/>
          <c:tx>
            <c:strRef>
              <c:f>Data!$K$10</c:f>
              <c:strCache>
                <c:ptCount val="1"/>
                <c:pt idx="0">
                  <c:v>2017</c:v>
                </c:pt>
              </c:strCache>
            </c:strRef>
          </c:tx>
          <c:cat>
            <c:strRef>
              <c:f>Data!$A$11:$A$39</c:f>
              <c:strCache>
                <c:ptCount val="29"/>
                <c:pt idx="0">
                  <c:v>Kypr</c:v>
                </c:pt>
                <c:pt idx="1">
                  <c:v>Maďarsko</c:v>
                </c:pt>
                <c:pt idx="2">
                  <c:v>Lotyšsko</c:v>
                </c:pt>
                <c:pt idx="3">
                  <c:v>Estonsko</c:v>
                </c:pt>
                <c:pt idx="4">
                  <c:v>Slovinsko</c:v>
                </c:pt>
                <c:pt idx="5">
                  <c:v>Řecko</c:v>
                </c:pt>
                <c:pt idx="6">
                  <c:v>Portugalsko</c:v>
                </c:pt>
                <c:pt idx="7">
                  <c:v>Litva</c:v>
                </c:pt>
                <c:pt idx="8">
                  <c:v>Nizozemí</c:v>
                </c:pt>
                <c:pt idx="9">
                  <c:v>Švédsko</c:v>
                </c:pt>
                <c:pt idx="10">
                  <c:v>Španělsko</c:v>
                </c:pt>
                <c:pt idx="11">
                  <c:v>Rakousko</c:v>
                </c:pt>
                <c:pt idx="12">
                  <c:v>Rumunsko</c:v>
                </c:pt>
                <c:pt idx="13">
                  <c:v>Dánsko</c:v>
                </c:pt>
                <c:pt idx="14">
                  <c:v>Francie</c:v>
                </c:pt>
                <c:pt idx="15">
                  <c:v>Finsko</c:v>
                </c:pt>
                <c:pt idx="16">
                  <c:v>Bulharsko</c:v>
                </c:pt>
                <c:pt idx="17">
                  <c:v>Chorvatsko</c:v>
                </c:pt>
                <c:pt idx="18">
                  <c:v>Itálie</c:v>
                </c:pt>
                <c:pt idx="19">
                  <c:v>Polsko</c:v>
                </c:pt>
                <c:pt idx="20">
                  <c:v>Velká Británie</c:v>
                </c:pt>
                <c:pt idx="21">
                  <c:v>ČR</c:v>
                </c:pt>
                <c:pt idx="22">
                  <c:v>Německo</c:v>
                </c:pt>
                <c:pt idx="23">
                  <c:v>Slovensko</c:v>
                </c:pt>
                <c:pt idx="24">
                  <c:v>EU 28</c:v>
                </c:pt>
                <c:pt idx="25">
                  <c:v>Lucembursko</c:v>
                </c:pt>
                <c:pt idx="26">
                  <c:v>Belgie</c:v>
                </c:pt>
                <c:pt idx="27">
                  <c:v>Malta</c:v>
                </c:pt>
                <c:pt idx="28">
                  <c:v>Irsko</c:v>
                </c:pt>
              </c:strCache>
            </c:strRef>
          </c:cat>
          <c:val>
            <c:numRef>
              <c:f>Data!$K$11:$K$39</c:f>
              <c:numCache>
                <c:formatCode>#,##0.0</c:formatCode>
                <c:ptCount val="29"/>
                <c:pt idx="0">
                  <c:v>27.8</c:v>
                </c:pt>
                <c:pt idx="1">
                  <c:v>16.8</c:v>
                </c:pt>
                <c:pt idx="2">
                  <c:v>16</c:v>
                </c:pt>
                <c:pt idx="3">
                  <c:v>13.1</c:v>
                </c:pt>
                <c:pt idx="4">
                  <c:v>10.3</c:v>
                </c:pt>
                <c:pt idx="5">
                  <c:v>9.6</c:v>
                </c:pt>
                <c:pt idx="6">
                  <c:v>9.2000000000000011</c:v>
                </c:pt>
                <c:pt idx="7">
                  <c:v>7.3</c:v>
                </c:pt>
                <c:pt idx="8">
                  <c:v>6.1</c:v>
                </c:pt>
                <c:pt idx="9">
                  <c:v>5.9</c:v>
                </c:pt>
                <c:pt idx="10">
                  <c:v>5</c:v>
                </c:pt>
                <c:pt idx="11">
                  <c:v>4.9000000000000004</c:v>
                </c:pt>
                <c:pt idx="12">
                  <c:v>4.7</c:v>
                </c:pt>
                <c:pt idx="13">
                  <c:v>4.5</c:v>
                </c:pt>
                <c:pt idx="14">
                  <c:v>4.5</c:v>
                </c:pt>
                <c:pt idx="15">
                  <c:v>4</c:v>
                </c:pt>
                <c:pt idx="16">
                  <c:v>3.8</c:v>
                </c:pt>
                <c:pt idx="17">
                  <c:v>3.8</c:v>
                </c:pt>
                <c:pt idx="18">
                  <c:v>3.8</c:v>
                </c:pt>
                <c:pt idx="19">
                  <c:v>3.4</c:v>
                </c:pt>
                <c:pt idx="20">
                  <c:v>3.4</c:v>
                </c:pt>
                <c:pt idx="21">
                  <c:v>3.3</c:v>
                </c:pt>
                <c:pt idx="22">
                  <c:v>3.3</c:v>
                </c:pt>
                <c:pt idx="23">
                  <c:v>3.2</c:v>
                </c:pt>
                <c:pt idx="24">
                  <c:v>3.1</c:v>
                </c:pt>
                <c:pt idx="25">
                  <c:v>1.9000000000000001</c:v>
                </c:pt>
                <c:pt idx="26">
                  <c:v>0.70000000000000062</c:v>
                </c:pt>
                <c:pt idx="27">
                  <c:v>-7.6</c:v>
                </c:pt>
                <c:pt idx="28">
                  <c:v>-31</c:v>
                </c:pt>
              </c:numCache>
            </c:numRef>
          </c:val>
          <c:extLst xmlns:c16r2="http://schemas.microsoft.com/office/drawing/2015/06/chart">
            <c:ext xmlns:c16="http://schemas.microsoft.com/office/drawing/2014/chart" uri="{C3380CC4-5D6E-409C-BE32-E72D297353CC}">
              <c16:uniqueId val="{00000001-B39F-4EB4-9F8F-2BC66CE5F295}"/>
            </c:ext>
          </c:extLst>
        </c:ser>
        <c:gapWidth val="92"/>
        <c:axId val="119138176"/>
        <c:axId val="119139712"/>
      </c:barChart>
      <c:catAx>
        <c:axId val="119138176"/>
        <c:scaling>
          <c:orientation val="minMax"/>
        </c:scaling>
        <c:axPos val="b"/>
        <c:numFmt formatCode="General" sourceLinked="0"/>
        <c:tickLblPos val="low"/>
        <c:crossAx val="119139712"/>
        <c:crosses val="autoZero"/>
        <c:auto val="1"/>
        <c:lblAlgn val="ctr"/>
        <c:lblOffset val="100"/>
      </c:catAx>
      <c:valAx>
        <c:axId val="119139712"/>
        <c:scaling>
          <c:orientation val="minMax"/>
          <c:max val="55"/>
          <c:min val="-35"/>
        </c:scaling>
        <c:axPos val="l"/>
        <c:majorGridlines/>
        <c:numFmt formatCode="#,##0" sourceLinked="0"/>
        <c:tickLblPos val="nextTo"/>
        <c:crossAx val="119138176"/>
        <c:crosses val="autoZero"/>
        <c:crossBetween val="between"/>
        <c:majorUnit val="5"/>
      </c:valAx>
      <c:spPr>
        <a:ln>
          <a:solidFill>
            <a:prstClr val="black"/>
          </a:solidFill>
        </a:ln>
      </c:spPr>
    </c:plotArea>
    <c:legend>
      <c:legendPos val="r"/>
      <c:layout>
        <c:manualLayout>
          <c:xMode val="edge"/>
          <c:yMode val="edge"/>
          <c:x val="6.7547492401215811E-2"/>
          <c:y val="0.93303529213103764"/>
          <c:w val="0.91636841438703143"/>
          <c:h val="4.8935607339862693E-2"/>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9011887316812934E-2"/>
          <c:y val="1.6233377178020283E-2"/>
          <c:w val="0.90155164654132913"/>
          <c:h val="0.77179151035441007"/>
        </c:manualLayout>
      </c:layout>
      <c:barChart>
        <c:barDir val="col"/>
        <c:grouping val="clustered"/>
        <c:ser>
          <c:idx val="0"/>
          <c:order val="0"/>
          <c:tx>
            <c:strRef>
              <c:f>'GRŘAF-zaměstnanost, VM'!$A$104</c:f>
              <c:strCache>
                <c:ptCount val="1"/>
                <c:pt idx="0">
                  <c:v>Míra volných míst v NH* (pravá osa)</c:v>
                </c:pt>
              </c:strCache>
            </c:strRef>
          </c:tx>
          <c:spPr>
            <a:solidFill>
              <a:schemeClr val="bg1">
                <a:lumMod val="65000"/>
              </a:schemeClr>
            </a:solidFill>
            <a:ln>
              <a:solidFill>
                <a:prstClr val="white">
                  <a:lumMod val="50000"/>
                </a:prstClr>
              </a:solidFill>
            </a:ln>
          </c:spP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VM'!$N$104:$AO$104</c:f>
              <c:numCache>
                <c:formatCode>General</c:formatCode>
                <c:ptCount val="28"/>
                <c:pt idx="0">
                  <c:v>0.9</c:v>
                </c:pt>
                <c:pt idx="1">
                  <c:v>0.9</c:v>
                </c:pt>
                <c:pt idx="2">
                  <c:v>0.9</c:v>
                </c:pt>
                <c:pt idx="3">
                  <c:v>0.9</c:v>
                </c:pt>
                <c:pt idx="4">
                  <c:v>0.9</c:v>
                </c:pt>
                <c:pt idx="5">
                  <c:v>1</c:v>
                </c:pt>
                <c:pt idx="6">
                  <c:v>1</c:v>
                </c:pt>
                <c:pt idx="7">
                  <c:v>1</c:v>
                </c:pt>
                <c:pt idx="8">
                  <c:v>0.9</c:v>
                </c:pt>
                <c:pt idx="9">
                  <c:v>0.9</c:v>
                </c:pt>
                <c:pt idx="10">
                  <c:v>0.9</c:v>
                </c:pt>
                <c:pt idx="11">
                  <c:v>0.9</c:v>
                </c:pt>
                <c:pt idx="12">
                  <c:v>1.1000000000000001</c:v>
                </c:pt>
                <c:pt idx="13">
                  <c:v>1.2</c:v>
                </c:pt>
                <c:pt idx="14">
                  <c:v>1.3</c:v>
                </c:pt>
                <c:pt idx="15">
                  <c:v>1.6</c:v>
                </c:pt>
                <c:pt idx="16">
                  <c:v>1.8</c:v>
                </c:pt>
                <c:pt idx="17">
                  <c:v>2.2000000000000002</c:v>
                </c:pt>
                <c:pt idx="18">
                  <c:v>2.2000000000000002</c:v>
                </c:pt>
                <c:pt idx="19">
                  <c:v>2.5</c:v>
                </c:pt>
                <c:pt idx="20">
                  <c:v>2.6</c:v>
                </c:pt>
                <c:pt idx="21">
                  <c:v>2.8</c:v>
                </c:pt>
                <c:pt idx="22">
                  <c:v>2.9</c:v>
                </c:pt>
                <c:pt idx="23">
                  <c:v>3.1</c:v>
                </c:pt>
                <c:pt idx="24">
                  <c:v>3.3</c:v>
                </c:pt>
                <c:pt idx="25">
                  <c:v>3.5</c:v>
                </c:pt>
                <c:pt idx="26">
                  <c:v>3.9</c:v>
                </c:pt>
                <c:pt idx="27">
                  <c:v>4.5</c:v>
                </c:pt>
              </c:numCache>
            </c:numRef>
          </c:val>
          <c:extLst xmlns:c16r2="http://schemas.microsoft.com/office/drawing/2015/06/chart">
            <c:ext xmlns:c16="http://schemas.microsoft.com/office/drawing/2014/chart" uri="{C3380CC4-5D6E-409C-BE32-E72D297353CC}">
              <c16:uniqueId val="{00000000-F2DD-40A5-B972-CA8F48531D2B}"/>
            </c:ext>
          </c:extLst>
        </c:ser>
        <c:ser>
          <c:idx val="1"/>
          <c:order val="1"/>
          <c:tx>
            <c:strRef>
              <c:f>'GRŘAF-zaměstnanost, VM'!$A$105</c:f>
              <c:strCache>
                <c:ptCount val="1"/>
                <c:pt idx="0">
                  <c:v>Míra VM v průmyslu a stavebn.  (pr. osa)</c:v>
                </c:pt>
              </c:strCache>
            </c:strRef>
          </c:tx>
          <c:spPr>
            <a:solidFill>
              <a:schemeClr val="bg1">
                <a:lumMod val="85000"/>
              </a:schemeClr>
            </a:solidFill>
            <a:ln>
              <a:solidFill>
                <a:prstClr val="white">
                  <a:lumMod val="50000"/>
                </a:prstClr>
              </a:solidFill>
            </a:ln>
          </c:spP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VM'!$N$105:$AO$105</c:f>
              <c:numCache>
                <c:formatCode>General</c:formatCode>
                <c:ptCount val="28"/>
                <c:pt idx="0">
                  <c:v>0.8</c:v>
                </c:pt>
                <c:pt idx="1">
                  <c:v>0.8</c:v>
                </c:pt>
                <c:pt idx="2">
                  <c:v>0.9</c:v>
                </c:pt>
                <c:pt idx="3">
                  <c:v>0.9</c:v>
                </c:pt>
                <c:pt idx="4">
                  <c:v>0.9</c:v>
                </c:pt>
                <c:pt idx="5">
                  <c:v>0.9</c:v>
                </c:pt>
                <c:pt idx="6">
                  <c:v>0.8</c:v>
                </c:pt>
                <c:pt idx="7">
                  <c:v>0.8</c:v>
                </c:pt>
                <c:pt idx="8">
                  <c:v>0.70000000000000062</c:v>
                </c:pt>
                <c:pt idx="9">
                  <c:v>0.60000000000000064</c:v>
                </c:pt>
                <c:pt idx="10">
                  <c:v>0.70000000000000062</c:v>
                </c:pt>
                <c:pt idx="11">
                  <c:v>0.70000000000000062</c:v>
                </c:pt>
                <c:pt idx="12">
                  <c:v>0.8</c:v>
                </c:pt>
                <c:pt idx="13">
                  <c:v>1</c:v>
                </c:pt>
                <c:pt idx="14">
                  <c:v>1.1000000000000001</c:v>
                </c:pt>
                <c:pt idx="15">
                  <c:v>1.3</c:v>
                </c:pt>
                <c:pt idx="16">
                  <c:v>1.5</c:v>
                </c:pt>
                <c:pt idx="17">
                  <c:v>1.9000000000000001</c:v>
                </c:pt>
                <c:pt idx="18">
                  <c:v>2.1</c:v>
                </c:pt>
                <c:pt idx="19">
                  <c:v>2.2999999999999998</c:v>
                </c:pt>
                <c:pt idx="20">
                  <c:v>2.5</c:v>
                </c:pt>
                <c:pt idx="21">
                  <c:v>2.7</c:v>
                </c:pt>
                <c:pt idx="22">
                  <c:v>2.9</c:v>
                </c:pt>
                <c:pt idx="23">
                  <c:v>3.1</c:v>
                </c:pt>
                <c:pt idx="24">
                  <c:v>3.4</c:v>
                </c:pt>
                <c:pt idx="25">
                  <c:v>3.8</c:v>
                </c:pt>
                <c:pt idx="26">
                  <c:v>4.3</c:v>
                </c:pt>
                <c:pt idx="27">
                  <c:v>5</c:v>
                </c:pt>
              </c:numCache>
            </c:numRef>
          </c:val>
          <c:extLst xmlns:c16r2="http://schemas.microsoft.com/office/drawing/2015/06/chart">
            <c:ext xmlns:c16="http://schemas.microsoft.com/office/drawing/2014/chart" uri="{C3380CC4-5D6E-409C-BE32-E72D297353CC}">
              <c16:uniqueId val="{00000001-F2DD-40A5-B972-CA8F48531D2B}"/>
            </c:ext>
          </c:extLst>
        </c:ser>
        <c:gapWidth val="89"/>
        <c:axId val="119482624"/>
        <c:axId val="119481088"/>
      </c:barChart>
      <c:lineChart>
        <c:grouping val="standard"/>
        <c:ser>
          <c:idx val="2"/>
          <c:order val="2"/>
          <c:tx>
            <c:strRef>
              <c:f>'GRŘAF-zaměstnanost, VM'!$A$106</c:f>
              <c:strCache>
                <c:ptCount val="1"/>
                <c:pt idx="0">
                  <c:v>Nezaměstnaní celkem</c:v>
                </c:pt>
              </c:strCache>
            </c:strRef>
          </c:tx>
          <c:spPr>
            <a:ln w="22225">
              <a:solidFill>
                <a:srgbClr val="BD1B21"/>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VM'!$N$106:$AO$106</c:f>
              <c:numCache>
                <c:formatCode>0.0</c:formatCode>
                <c:ptCount val="28"/>
                <c:pt idx="0">
                  <c:v>-11.786982248520722</c:v>
                </c:pt>
                <c:pt idx="1">
                  <c:v>-6.1682242990653862</c:v>
                </c:pt>
                <c:pt idx="2">
                  <c:v>-8.3934776797648247</c:v>
                </c:pt>
                <c:pt idx="3">
                  <c:v>-7.6054009368971691</c:v>
                </c:pt>
                <c:pt idx="4">
                  <c:v>-0.93909310437348903</c:v>
                </c:pt>
                <c:pt idx="5">
                  <c:v>-0.14228799089356525</c:v>
                </c:pt>
                <c:pt idx="6">
                  <c:v>7.3533702947184025</c:v>
                </c:pt>
                <c:pt idx="7">
                  <c:v>13.122576796898302</c:v>
                </c:pt>
                <c:pt idx="8">
                  <c:v>6.3651137594799234</c:v>
                </c:pt>
                <c:pt idx="9">
                  <c:v>2.0233684810487347</c:v>
                </c:pt>
                <c:pt idx="10">
                  <c:v>0.46208208752378288</c:v>
                </c:pt>
                <c:pt idx="11">
                  <c:v>-6.3010809385710616</c:v>
                </c:pt>
                <c:pt idx="12">
                  <c:v>-8.8871912401324007</c:v>
                </c:pt>
                <c:pt idx="13">
                  <c:v>-11.005586592178878</c:v>
                </c:pt>
                <c:pt idx="14">
                  <c:v>-15.395021645021657</c:v>
                </c:pt>
                <c:pt idx="15">
                  <c:v>-14.096792346651654</c:v>
                </c:pt>
                <c:pt idx="16">
                  <c:v>-11.626607043040821</c:v>
                </c:pt>
                <c:pt idx="17">
                  <c:v>-17.827997489014699</c:v>
                </c:pt>
                <c:pt idx="18">
                  <c:v>-17.812599936040922</c:v>
                </c:pt>
                <c:pt idx="19">
                  <c:v>-22.469701932525034</c:v>
                </c:pt>
                <c:pt idx="20">
                  <c:v>-26.881720430107489</c:v>
                </c:pt>
                <c:pt idx="21">
                  <c:v>-19.90068754774618</c:v>
                </c:pt>
                <c:pt idx="22">
                  <c:v>-17.120622568093289</c:v>
                </c:pt>
                <c:pt idx="23">
                  <c:v>-19.053654414871147</c:v>
                </c:pt>
                <c:pt idx="24">
                  <c:v>-20.242214532871671</c:v>
                </c:pt>
                <c:pt idx="25">
                  <c:v>-24.320457796852811</c:v>
                </c:pt>
                <c:pt idx="26">
                  <c:v>-29.718309859154889</c:v>
                </c:pt>
                <c:pt idx="27">
                  <c:v>-32.828810020877114</c:v>
                </c:pt>
              </c:numCache>
            </c:numRef>
          </c:val>
          <c:extLst xmlns:c16r2="http://schemas.microsoft.com/office/drawing/2015/06/chart">
            <c:ext xmlns:c16="http://schemas.microsoft.com/office/drawing/2014/chart" uri="{C3380CC4-5D6E-409C-BE32-E72D297353CC}">
              <c16:uniqueId val="{00000002-F2DD-40A5-B972-CA8F48531D2B}"/>
            </c:ext>
          </c:extLst>
        </c:ser>
        <c:ser>
          <c:idx val="3"/>
          <c:order val="3"/>
          <c:tx>
            <c:strRef>
              <c:f>'GRŘAF-zaměstnanost, VM'!$A$107</c:f>
              <c:strCache>
                <c:ptCount val="1"/>
                <c:pt idx="0">
                  <c:v>Nezaměstnaní nad 1 rok</c:v>
                </c:pt>
              </c:strCache>
            </c:strRef>
          </c:tx>
          <c:spPr>
            <a:ln w="22225">
              <a:solidFill>
                <a:srgbClr val="F8A124"/>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VM'!$N$107:$AO$107</c:f>
              <c:numCache>
                <c:formatCode>0.0</c:formatCode>
                <c:ptCount val="28"/>
                <c:pt idx="0">
                  <c:v>-1.3227513227513301</c:v>
                </c:pt>
                <c:pt idx="1">
                  <c:v>-11.69665809768637</c:v>
                </c:pt>
                <c:pt idx="2">
                  <c:v>-13.966480446927486</c:v>
                </c:pt>
                <c:pt idx="3">
                  <c:v>-10.256410256410341</c:v>
                </c:pt>
                <c:pt idx="4">
                  <c:v>6.6353887399463654</c:v>
                </c:pt>
                <c:pt idx="5">
                  <c:v>13.245997088791848</c:v>
                </c:pt>
                <c:pt idx="6">
                  <c:v>14.86291486291487</c:v>
                </c:pt>
                <c:pt idx="7">
                  <c:v>12.891986062717777</c:v>
                </c:pt>
                <c:pt idx="8">
                  <c:v>6.7881835323695867</c:v>
                </c:pt>
                <c:pt idx="9">
                  <c:v>2.1850899742930467</c:v>
                </c:pt>
                <c:pt idx="10">
                  <c:v>1.4447236180904315</c:v>
                </c:pt>
                <c:pt idx="11">
                  <c:v>-7.2222222222222294</c:v>
                </c:pt>
                <c:pt idx="12">
                  <c:v>-13.360800470865302</c:v>
                </c:pt>
                <c:pt idx="13">
                  <c:v>-13.459119496855354</c:v>
                </c:pt>
                <c:pt idx="14">
                  <c:v>-15.170278637770815</c:v>
                </c:pt>
                <c:pt idx="15">
                  <c:v>-6.0545575515634695</c:v>
                </c:pt>
                <c:pt idx="16">
                  <c:v>-1.6983695652174049</c:v>
                </c:pt>
                <c:pt idx="17">
                  <c:v>-11.11918604651162</c:v>
                </c:pt>
                <c:pt idx="18">
                  <c:v>-8.9781021897810405</c:v>
                </c:pt>
                <c:pt idx="19">
                  <c:v>-18.62606232294619</c:v>
                </c:pt>
                <c:pt idx="20">
                  <c:v>-26.744989633724789</c:v>
                </c:pt>
                <c:pt idx="21">
                  <c:v>-25.429272281275399</c:v>
                </c:pt>
                <c:pt idx="22">
                  <c:v>-32.878909382518053</c:v>
                </c:pt>
                <c:pt idx="23">
                  <c:v>-34.638816362054257</c:v>
                </c:pt>
                <c:pt idx="24">
                  <c:v>-35.471698113207104</c:v>
                </c:pt>
                <c:pt idx="25">
                  <c:v>-34.978070175438575</c:v>
                </c:pt>
                <c:pt idx="26">
                  <c:v>-41.33811230585458</c:v>
                </c:pt>
                <c:pt idx="27">
                  <c:v>-45.938748335552603</c:v>
                </c:pt>
              </c:numCache>
            </c:numRef>
          </c:val>
          <c:extLst xmlns:c16r2="http://schemas.microsoft.com/office/drawing/2015/06/chart">
            <c:ext xmlns:c16="http://schemas.microsoft.com/office/drawing/2014/chart" uri="{C3380CC4-5D6E-409C-BE32-E72D297353CC}">
              <c16:uniqueId val="{00000003-F2DD-40A5-B972-CA8F48531D2B}"/>
            </c:ext>
          </c:extLst>
        </c:ser>
        <c:ser>
          <c:idx val="4"/>
          <c:order val="4"/>
          <c:tx>
            <c:strRef>
              <c:f>'GRŘAF-zaměstnanost, VM'!$A$108</c:f>
              <c:strCache>
                <c:ptCount val="1"/>
                <c:pt idx="0">
                  <c:v>Zaměstnaní (fyz. osoby)</c:v>
                </c:pt>
              </c:strCache>
            </c:strRef>
          </c:tx>
          <c:spPr>
            <a:ln w="22225">
              <a:solidFill>
                <a:srgbClr val="0071BC"/>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VM'!$N$108:$AO$108</c:f>
              <c:numCache>
                <c:formatCode>0.0</c:formatCode>
                <c:ptCount val="28"/>
                <c:pt idx="0">
                  <c:v>0.13178268176454822</c:v>
                </c:pt>
                <c:pt idx="1">
                  <c:v>-2.5904437184507856E-2</c:v>
                </c:pt>
                <c:pt idx="2">
                  <c:v>-0.47317989959568058</c:v>
                </c:pt>
                <c:pt idx="3">
                  <c:v>-0.71438463737113023</c:v>
                </c:pt>
                <c:pt idx="4">
                  <c:v>-4.7090463500993433E-2</c:v>
                </c:pt>
                <c:pt idx="5">
                  <c:v>0.14863253315159874</c:v>
                </c:pt>
                <c:pt idx="6">
                  <c:v>0.64790260604069372</c:v>
                </c:pt>
                <c:pt idx="7">
                  <c:v>0.9244843217549833</c:v>
                </c:pt>
                <c:pt idx="8">
                  <c:v>0.48683737830315038</c:v>
                </c:pt>
                <c:pt idx="9">
                  <c:v>0.67963294796599882</c:v>
                </c:pt>
                <c:pt idx="10">
                  <c:v>8.1323393285174544E-2</c:v>
                </c:pt>
                <c:pt idx="11">
                  <c:v>4.6834927367626934E-2</c:v>
                </c:pt>
                <c:pt idx="12">
                  <c:v>0.63885469819912</c:v>
                </c:pt>
                <c:pt idx="13">
                  <c:v>8.2909584151451554E-3</c:v>
                </c:pt>
                <c:pt idx="14">
                  <c:v>0.59283393486965563</c:v>
                </c:pt>
                <c:pt idx="15">
                  <c:v>0.96720091752699899</c:v>
                </c:pt>
                <c:pt idx="16">
                  <c:v>1.3359559669863335</c:v>
                </c:pt>
                <c:pt idx="17">
                  <c:v>1.69553724099778</c:v>
                </c:pt>
                <c:pt idx="18">
                  <c:v>1.323505550404235</c:v>
                </c:pt>
                <c:pt idx="19">
                  <c:v>1.3573813201072369</c:v>
                </c:pt>
                <c:pt idx="20">
                  <c:v>1.6422999503363087</c:v>
                </c:pt>
                <c:pt idx="21">
                  <c:v>1.3591708244697531</c:v>
                </c:pt>
                <c:pt idx="22">
                  <c:v>1.5096733610931068</c:v>
                </c:pt>
                <c:pt idx="23">
                  <c:v>1.8473425889066861</c:v>
                </c:pt>
                <c:pt idx="24">
                  <c:v>1.5023054897902461</c:v>
                </c:pt>
                <c:pt idx="25">
                  <c:v>1.3213337752391019</c:v>
                </c:pt>
                <c:pt idx="26">
                  <c:v>1.9737307528905996</c:v>
                </c:pt>
                <c:pt idx="27">
                  <c:v>1.4157007382128532</c:v>
                </c:pt>
              </c:numCache>
            </c:numRef>
          </c:val>
          <c:extLst xmlns:c16r2="http://schemas.microsoft.com/office/drawing/2015/06/chart">
            <c:ext xmlns:c16="http://schemas.microsoft.com/office/drawing/2014/chart" uri="{C3380CC4-5D6E-409C-BE32-E72D297353CC}">
              <c16:uniqueId val="{00000004-F2DD-40A5-B972-CA8F48531D2B}"/>
            </c:ext>
          </c:extLst>
        </c:ser>
        <c:ser>
          <c:idx val="5"/>
          <c:order val="5"/>
          <c:tx>
            <c:strRef>
              <c:f>'GRŘAF-zaměstnanost, VM'!$A$109</c:f>
              <c:strCache>
                <c:ptCount val="1"/>
                <c:pt idx="0">
                  <c:v>Sebezaměstnaní  (fyz. osoby)</c:v>
                </c:pt>
              </c:strCache>
            </c:strRef>
          </c:tx>
          <c:spPr>
            <a:ln w="22225">
              <a:solidFill>
                <a:srgbClr val="7DBB2D"/>
              </a:solidFill>
            </a:ln>
          </c:spPr>
          <c:marker>
            <c:symbol val="none"/>
          </c:marker>
          <c:cat>
            <c:multiLvlStrRef>
              <c:f>'GRŘAF-zaměstnanost, VM'!$N$102:$AO$103</c:f>
              <c:multiLvlStrCache>
                <c:ptCount val="28"/>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lvl>
                <c:lvl>
                  <c:pt idx="0">
                    <c:v>2011</c:v>
                  </c:pt>
                  <c:pt idx="4">
                    <c:v>2012</c:v>
                  </c:pt>
                  <c:pt idx="8">
                    <c:v>2013</c:v>
                  </c:pt>
                  <c:pt idx="12">
                    <c:v>2014</c:v>
                  </c:pt>
                  <c:pt idx="16">
                    <c:v>2015</c:v>
                  </c:pt>
                  <c:pt idx="20">
                    <c:v>2016</c:v>
                  </c:pt>
                  <c:pt idx="24">
                    <c:v>2017</c:v>
                  </c:pt>
                </c:lvl>
              </c:multiLvlStrCache>
            </c:multiLvlStrRef>
          </c:cat>
          <c:val>
            <c:numRef>
              <c:f>'GRŘAF-zaměstnanost, VM'!$N$109:$AO$109</c:f>
              <c:numCache>
                <c:formatCode>0.0</c:formatCode>
                <c:ptCount val="28"/>
                <c:pt idx="0">
                  <c:v>1.345434433596296</c:v>
                </c:pt>
                <c:pt idx="1">
                  <c:v>0.95831892963799659</c:v>
                </c:pt>
                <c:pt idx="2">
                  <c:v>0.62927352520523527</c:v>
                </c:pt>
                <c:pt idx="3">
                  <c:v>0.78283085612804892</c:v>
                </c:pt>
                <c:pt idx="4">
                  <c:v>1.2836109374110691</c:v>
                </c:pt>
                <c:pt idx="5">
                  <c:v>0.60013992963968465</c:v>
                </c:pt>
                <c:pt idx="6">
                  <c:v>-1.8913475988536845</c:v>
                </c:pt>
                <c:pt idx="7">
                  <c:v>-1.8639357029450558</c:v>
                </c:pt>
                <c:pt idx="8">
                  <c:v>-4.3044267832107863</c:v>
                </c:pt>
                <c:pt idx="9">
                  <c:v>-4.2393218264682284</c:v>
                </c:pt>
                <c:pt idx="10">
                  <c:v>-1.182632725252134</c:v>
                </c:pt>
                <c:pt idx="11">
                  <c:v>-2.2433900334116612</c:v>
                </c:pt>
                <c:pt idx="12">
                  <c:v>0.30107723087142801</c:v>
                </c:pt>
                <c:pt idx="13">
                  <c:v>-0.46860644757293812</c:v>
                </c:pt>
                <c:pt idx="14">
                  <c:v>-2.9778453327844527</c:v>
                </c:pt>
                <c:pt idx="15">
                  <c:v>-1.8622473945852354</c:v>
                </c:pt>
                <c:pt idx="16">
                  <c:v>-1.6714854688748011</c:v>
                </c:pt>
                <c:pt idx="17">
                  <c:v>-0.58632425742571703</c:v>
                </c:pt>
                <c:pt idx="18">
                  <c:v>-1.1958726610365693</c:v>
                </c:pt>
                <c:pt idx="19">
                  <c:v>-2.500920537184669</c:v>
                </c:pt>
                <c:pt idx="20">
                  <c:v>-2.9947455503692377</c:v>
                </c:pt>
                <c:pt idx="21">
                  <c:v>-0.84901158297169843</c:v>
                </c:pt>
                <c:pt idx="22">
                  <c:v>0.72746508010490629</c:v>
                </c:pt>
                <c:pt idx="23">
                  <c:v>3.7710909255421114</c:v>
                </c:pt>
                <c:pt idx="24">
                  <c:v>3.3775140286990002</c:v>
                </c:pt>
                <c:pt idx="25">
                  <c:v>0.33351425936961376</c:v>
                </c:pt>
                <c:pt idx="26">
                  <c:v>0.13479716730971347</c:v>
                </c:pt>
                <c:pt idx="27">
                  <c:v>-3.5266361617946558</c:v>
                </c:pt>
              </c:numCache>
            </c:numRef>
          </c:val>
          <c:extLst xmlns:c16r2="http://schemas.microsoft.com/office/drawing/2015/06/chart">
            <c:ext xmlns:c16="http://schemas.microsoft.com/office/drawing/2014/chart" uri="{C3380CC4-5D6E-409C-BE32-E72D297353CC}">
              <c16:uniqueId val="{00000005-F2DD-40A5-B972-CA8F48531D2B}"/>
            </c:ext>
          </c:extLst>
        </c:ser>
        <c:marker val="1"/>
        <c:axId val="119203328"/>
        <c:axId val="119204864"/>
      </c:lineChart>
      <c:catAx>
        <c:axId val="119203328"/>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19204864"/>
        <c:crossesAt val="-50"/>
        <c:auto val="1"/>
        <c:lblAlgn val="ctr"/>
        <c:lblOffset val="0"/>
      </c:catAx>
      <c:valAx>
        <c:axId val="119204864"/>
        <c:scaling>
          <c:orientation val="minMax"/>
          <c:max val="20"/>
          <c:min val="-50"/>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19203328"/>
        <c:crosses val="autoZero"/>
        <c:crossBetween val="between"/>
        <c:majorUnit val="5"/>
      </c:valAx>
      <c:valAx>
        <c:axId val="119481088"/>
        <c:scaling>
          <c:orientation val="minMax"/>
          <c:max val="7"/>
          <c:min val="0"/>
        </c:scaling>
        <c:axPos val="r"/>
        <c:numFmt formatCode="General" sourceLinked="1"/>
        <c:tickLblPos val="nextTo"/>
        <c:txPr>
          <a:bodyPr/>
          <a:lstStyle/>
          <a:p>
            <a:pPr>
              <a:defRPr sz="800">
                <a:latin typeface="Arial" pitchFamily="34" charset="0"/>
                <a:cs typeface="Arial" pitchFamily="34" charset="0"/>
              </a:defRPr>
            </a:pPr>
            <a:endParaRPr lang="cs-CZ"/>
          </a:p>
        </c:txPr>
        <c:crossAx val="119482624"/>
        <c:crosses val="max"/>
        <c:crossBetween val="between"/>
        <c:majorUnit val="1"/>
      </c:valAx>
      <c:catAx>
        <c:axId val="119482624"/>
        <c:scaling>
          <c:orientation val="minMax"/>
        </c:scaling>
        <c:delete val="1"/>
        <c:axPos val="b"/>
        <c:numFmt formatCode="General" sourceLinked="1"/>
        <c:tickLblPos val="none"/>
        <c:crossAx val="119481088"/>
        <c:crosses val="autoZero"/>
        <c:auto val="1"/>
        <c:lblAlgn val="ctr"/>
        <c:lblOffset val="100"/>
      </c:catAx>
      <c:spPr>
        <a:ln>
          <a:solidFill>
            <a:sysClr val="windowText" lastClr="000000"/>
          </a:solidFill>
        </a:ln>
      </c:spPr>
    </c:plotArea>
    <c:legend>
      <c:legendPos val="r"/>
      <c:layout>
        <c:manualLayout>
          <c:xMode val="edge"/>
          <c:yMode val="edge"/>
          <c:x val="1.0164599870360341E-2"/>
          <c:y val="0.87755460637508687"/>
          <c:w val="0.96727554804637272"/>
          <c:h val="0.11185260622883711"/>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9011887316812913E-2"/>
          <c:y val="1.6233377178020272E-2"/>
          <c:w val="0.90123915184864356"/>
          <c:h val="0.77179151035441174"/>
        </c:manualLayout>
      </c:layout>
      <c:lineChart>
        <c:grouping val="standard"/>
        <c:ser>
          <c:idx val="0"/>
          <c:order val="0"/>
          <c:tx>
            <c:strRef>
              <c:f>List1!$A$27</c:f>
              <c:strCache>
                <c:ptCount val="1"/>
                <c:pt idx="0">
                  <c:v>Zemědělství, lesnictví a rybářství</c:v>
                </c:pt>
              </c:strCache>
            </c:strRef>
          </c:tx>
          <c:spPr>
            <a:ln w="22225">
              <a:solidFill>
                <a:schemeClr val="tx1">
                  <a:lumMod val="95000"/>
                  <a:lumOff val="5000"/>
                </a:schemeClr>
              </a:solidFill>
              <a:prstDash val="sysDot"/>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List1!$B$27:$L$27</c:f>
              <c:numCache>
                <c:formatCode>0.0</c:formatCode>
                <c:ptCount val="11"/>
                <c:pt idx="0" formatCode="General">
                  <c:v>100</c:v>
                </c:pt>
                <c:pt idx="1">
                  <c:v>99.191789381845624</c:v>
                </c:pt>
                <c:pt idx="2">
                  <c:v>98.698963651154841</c:v>
                </c:pt>
                <c:pt idx="3">
                  <c:v>93.557305728804351</c:v>
                </c:pt>
                <c:pt idx="4">
                  <c:v>96.271973778841499</c:v>
                </c:pt>
                <c:pt idx="5">
                  <c:v>97.395569284459484</c:v>
                </c:pt>
                <c:pt idx="6">
                  <c:v>98.424254571607804</c:v>
                </c:pt>
                <c:pt idx="7">
                  <c:v>97.61250692667744</c:v>
                </c:pt>
                <c:pt idx="8">
                  <c:v>96.316776117994024</c:v>
                </c:pt>
                <c:pt idx="9">
                  <c:v>94.417392739663043</c:v>
                </c:pt>
                <c:pt idx="10">
                  <c:v>94.998644139736129</c:v>
                </c:pt>
              </c:numCache>
            </c:numRef>
          </c:val>
          <c:extLst xmlns:c16r2="http://schemas.microsoft.com/office/drawing/2015/06/chart">
            <c:ext xmlns:c16="http://schemas.microsoft.com/office/drawing/2014/chart" uri="{C3380CC4-5D6E-409C-BE32-E72D297353CC}">
              <c16:uniqueId val="{00000000-8EBA-40BD-83DA-F08A383258BD}"/>
            </c:ext>
          </c:extLst>
        </c:ser>
        <c:ser>
          <c:idx val="1"/>
          <c:order val="1"/>
          <c:tx>
            <c:strRef>
              <c:f>List1!$A$28</c:f>
              <c:strCache>
                <c:ptCount val="1"/>
                <c:pt idx="0">
                  <c:v>Těžba a dobývání</c:v>
                </c:pt>
              </c:strCache>
            </c:strRef>
          </c:tx>
          <c:spPr>
            <a:ln w="22225">
              <a:solidFill>
                <a:schemeClr val="bg2">
                  <a:lumMod val="75000"/>
                </a:schemeClr>
              </a:solidFill>
              <a:prstDash val="sysDash"/>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List1!$B$28:$L$28</c:f>
              <c:numCache>
                <c:formatCode>0.0</c:formatCode>
                <c:ptCount val="11"/>
                <c:pt idx="0" formatCode="General">
                  <c:v>100</c:v>
                </c:pt>
                <c:pt idx="1">
                  <c:v>105.54307116104869</c:v>
                </c:pt>
                <c:pt idx="2">
                  <c:v>91.985018726590837</c:v>
                </c:pt>
                <c:pt idx="3">
                  <c:v>86.509604929322919</c:v>
                </c:pt>
                <c:pt idx="4">
                  <c:v>84.214087229672927</c:v>
                </c:pt>
                <c:pt idx="5">
                  <c:v>83.155732753411698</c:v>
                </c:pt>
                <c:pt idx="6">
                  <c:v>79.859852603600288</c:v>
                </c:pt>
                <c:pt idx="7">
                  <c:v>84.2430832427208</c:v>
                </c:pt>
                <c:pt idx="8">
                  <c:v>80.763561676936092</c:v>
                </c:pt>
                <c:pt idx="9">
                  <c:v>75.15041681768642</c:v>
                </c:pt>
                <c:pt idx="10">
                  <c:v>69.646007007369818</c:v>
                </c:pt>
              </c:numCache>
            </c:numRef>
          </c:val>
          <c:extLst xmlns:c16r2="http://schemas.microsoft.com/office/drawing/2015/06/chart">
            <c:ext xmlns:c16="http://schemas.microsoft.com/office/drawing/2014/chart" uri="{C3380CC4-5D6E-409C-BE32-E72D297353CC}">
              <c16:uniqueId val="{00000001-8EBA-40BD-83DA-F08A383258BD}"/>
            </c:ext>
          </c:extLst>
        </c:ser>
        <c:ser>
          <c:idx val="2"/>
          <c:order val="2"/>
          <c:tx>
            <c:strRef>
              <c:f>List1!$A$29</c:f>
              <c:strCache>
                <c:ptCount val="1"/>
                <c:pt idx="0">
                  <c:v>Zpracovatelský průmysl</c:v>
                </c:pt>
              </c:strCache>
            </c:strRef>
          </c:tx>
          <c:spPr>
            <a:ln w="22225">
              <a:solidFill>
                <a:srgbClr val="0071BC"/>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List1!$B$29:$L$29</c:f>
              <c:numCache>
                <c:formatCode>0.0</c:formatCode>
                <c:ptCount val="11"/>
                <c:pt idx="0" formatCode="General">
                  <c:v>100</c:v>
                </c:pt>
                <c:pt idx="1">
                  <c:v>100.5582109772967</c:v>
                </c:pt>
                <c:pt idx="2">
                  <c:v>92.96079808312733</c:v>
                </c:pt>
                <c:pt idx="3">
                  <c:v>90.13167173190088</c:v>
                </c:pt>
                <c:pt idx="4">
                  <c:v>93.520908979969718</c:v>
                </c:pt>
                <c:pt idx="5">
                  <c:v>94.176965813869913</c:v>
                </c:pt>
                <c:pt idx="6">
                  <c:v>93.84111849725133</c:v>
                </c:pt>
                <c:pt idx="7">
                  <c:v>95.110630122932108</c:v>
                </c:pt>
                <c:pt idx="8">
                  <c:v>98.320982638388472</c:v>
                </c:pt>
                <c:pt idx="9">
                  <c:v>100.74118784431479</c:v>
                </c:pt>
                <c:pt idx="10">
                  <c:v>101.71482353766481</c:v>
                </c:pt>
              </c:numCache>
            </c:numRef>
          </c:val>
          <c:extLst xmlns:c16r2="http://schemas.microsoft.com/office/drawing/2015/06/chart">
            <c:ext xmlns:c16="http://schemas.microsoft.com/office/drawing/2014/chart" uri="{C3380CC4-5D6E-409C-BE32-E72D297353CC}">
              <c16:uniqueId val="{00000002-8EBA-40BD-83DA-F08A383258BD}"/>
            </c:ext>
          </c:extLst>
        </c:ser>
        <c:ser>
          <c:idx val="3"/>
          <c:order val="3"/>
          <c:tx>
            <c:strRef>
              <c:f>List1!$A$30</c:f>
              <c:strCache>
                <c:ptCount val="1"/>
                <c:pt idx="0">
                  <c:v>Energetika; Zásob. vodou, odpady</c:v>
                </c:pt>
              </c:strCache>
            </c:strRef>
          </c:tx>
          <c:spPr>
            <a:ln w="22225">
              <a:solidFill>
                <a:srgbClr val="48AEE7"/>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List1!$B$30:$L$30</c:f>
              <c:numCache>
                <c:formatCode>0.0</c:formatCode>
                <c:ptCount val="11"/>
                <c:pt idx="0" formatCode="General">
                  <c:v>100</c:v>
                </c:pt>
                <c:pt idx="1">
                  <c:v>102.62372185781565</c:v>
                </c:pt>
                <c:pt idx="2">
                  <c:v>103.45256896492099</c:v>
                </c:pt>
                <c:pt idx="3">
                  <c:v>102.22716635733799</c:v>
                </c:pt>
                <c:pt idx="4">
                  <c:v>103.45602729777399</c:v>
                </c:pt>
                <c:pt idx="5">
                  <c:v>103.44565229921591</c:v>
                </c:pt>
                <c:pt idx="6">
                  <c:v>104.13270775934615</c:v>
                </c:pt>
                <c:pt idx="7">
                  <c:v>105.37079092072281</c:v>
                </c:pt>
                <c:pt idx="8">
                  <c:v>106.97891569737322</c:v>
                </c:pt>
                <c:pt idx="9">
                  <c:v>107.64406838276828</c:v>
                </c:pt>
                <c:pt idx="10">
                  <c:v>109.75365142310396</c:v>
                </c:pt>
              </c:numCache>
            </c:numRef>
          </c:val>
          <c:extLst xmlns:c16r2="http://schemas.microsoft.com/office/drawing/2015/06/chart">
            <c:ext xmlns:c16="http://schemas.microsoft.com/office/drawing/2014/chart" uri="{C3380CC4-5D6E-409C-BE32-E72D297353CC}">
              <c16:uniqueId val="{00000003-8EBA-40BD-83DA-F08A383258BD}"/>
            </c:ext>
          </c:extLst>
        </c:ser>
        <c:ser>
          <c:idx val="4"/>
          <c:order val="4"/>
          <c:tx>
            <c:strRef>
              <c:f>List1!$A$31</c:f>
              <c:strCache>
                <c:ptCount val="1"/>
                <c:pt idx="0">
                  <c:v>Stavebnictví</c:v>
                </c:pt>
              </c:strCache>
            </c:strRef>
          </c:tx>
          <c:spPr>
            <a:ln w="22225">
              <a:solidFill>
                <a:srgbClr val="7030A0"/>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List1!$B$31:$L$31</c:f>
              <c:numCache>
                <c:formatCode>0.0</c:formatCode>
                <c:ptCount val="11"/>
                <c:pt idx="0" formatCode="General">
                  <c:v>100</c:v>
                </c:pt>
                <c:pt idx="1">
                  <c:v>103.47072079278446</c:v>
                </c:pt>
                <c:pt idx="2">
                  <c:v>106.09718749571473</c:v>
                </c:pt>
                <c:pt idx="3">
                  <c:v>107.97790403751834</c:v>
                </c:pt>
                <c:pt idx="4">
                  <c:v>102.63103765089841</c:v>
                </c:pt>
                <c:pt idx="5">
                  <c:v>100.91350395158452</c:v>
                </c:pt>
                <c:pt idx="6">
                  <c:v>98.148080430399958</c:v>
                </c:pt>
                <c:pt idx="7">
                  <c:v>94.026913741640897</c:v>
                </c:pt>
                <c:pt idx="8">
                  <c:v>93.377839130056245</c:v>
                </c:pt>
                <c:pt idx="9">
                  <c:v>91.264689884035747</c:v>
                </c:pt>
                <c:pt idx="10">
                  <c:v>90.775598451362811</c:v>
                </c:pt>
              </c:numCache>
            </c:numRef>
          </c:val>
          <c:extLst xmlns:c16r2="http://schemas.microsoft.com/office/drawing/2015/06/chart">
            <c:ext xmlns:c16="http://schemas.microsoft.com/office/drawing/2014/chart" uri="{C3380CC4-5D6E-409C-BE32-E72D297353CC}">
              <c16:uniqueId val="{00000004-8EBA-40BD-83DA-F08A383258BD}"/>
            </c:ext>
          </c:extLst>
        </c:ser>
        <c:ser>
          <c:idx val="5"/>
          <c:order val="5"/>
          <c:tx>
            <c:strRef>
              <c:f>List1!$A$32</c:f>
              <c:strCache>
                <c:ptCount val="1"/>
                <c:pt idx="0">
                  <c:v>Obchod; Doprava a skladování</c:v>
                </c:pt>
              </c:strCache>
            </c:strRef>
          </c:tx>
          <c:spPr>
            <a:ln w="22225">
              <a:solidFill>
                <a:srgbClr val="BD1B21"/>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List1!$B$32:$L$32</c:f>
              <c:numCache>
                <c:formatCode>0.0</c:formatCode>
                <c:ptCount val="11"/>
                <c:pt idx="0" formatCode="General">
                  <c:v>100</c:v>
                </c:pt>
                <c:pt idx="1">
                  <c:v>104.07023296031029</c:v>
                </c:pt>
                <c:pt idx="2">
                  <c:v>102.70915697456478</c:v>
                </c:pt>
                <c:pt idx="3">
                  <c:v>103.29273229806518</c:v>
                </c:pt>
                <c:pt idx="4">
                  <c:v>102.95776126191468</c:v>
                </c:pt>
                <c:pt idx="5">
                  <c:v>102.24483573824079</c:v>
                </c:pt>
                <c:pt idx="6">
                  <c:v>102.66197513957074</c:v>
                </c:pt>
                <c:pt idx="7">
                  <c:v>103.31162502436653</c:v>
                </c:pt>
                <c:pt idx="8">
                  <c:v>103.79733802486041</c:v>
                </c:pt>
                <c:pt idx="9">
                  <c:v>103.44027549393486</c:v>
                </c:pt>
                <c:pt idx="10">
                  <c:v>103.91859134233322</c:v>
                </c:pt>
              </c:numCache>
            </c:numRef>
          </c:val>
          <c:extLst xmlns:c16r2="http://schemas.microsoft.com/office/drawing/2015/06/chart">
            <c:ext xmlns:c16="http://schemas.microsoft.com/office/drawing/2014/chart" uri="{C3380CC4-5D6E-409C-BE32-E72D297353CC}">
              <c16:uniqueId val="{00000005-8EBA-40BD-83DA-F08A383258BD}"/>
            </c:ext>
          </c:extLst>
        </c:ser>
        <c:ser>
          <c:idx val="6"/>
          <c:order val="6"/>
          <c:tx>
            <c:strRef>
              <c:f>List1!$A$33</c:f>
              <c:strCache>
                <c:ptCount val="1"/>
                <c:pt idx="0">
                  <c:v>Informační a komunikační činnosti</c:v>
                </c:pt>
              </c:strCache>
            </c:strRef>
          </c:tx>
          <c:spPr>
            <a:ln w="22225">
              <a:solidFill>
                <a:srgbClr val="F8A124"/>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List1!$B$33:$L$33</c:f>
              <c:numCache>
                <c:formatCode>0.0</c:formatCode>
                <c:ptCount val="11"/>
                <c:pt idx="0" formatCode="General">
                  <c:v>100</c:v>
                </c:pt>
                <c:pt idx="1">
                  <c:v>108.59119755050375</c:v>
                </c:pt>
                <c:pt idx="2">
                  <c:v>113.1780161133053</c:v>
                </c:pt>
                <c:pt idx="3">
                  <c:v>110.12469851695896</c:v>
                </c:pt>
                <c:pt idx="4">
                  <c:v>105.6533415439345</c:v>
                </c:pt>
                <c:pt idx="5">
                  <c:v>107.17743452900224</c:v>
                </c:pt>
                <c:pt idx="6">
                  <c:v>108.78021244932586</c:v>
                </c:pt>
                <c:pt idx="7">
                  <c:v>112.36037700347157</c:v>
                </c:pt>
                <c:pt idx="8">
                  <c:v>114.7585569867091</c:v>
                </c:pt>
                <c:pt idx="9">
                  <c:v>120.63341372881069</c:v>
                </c:pt>
                <c:pt idx="10">
                  <c:v>123.32324113511571</c:v>
                </c:pt>
              </c:numCache>
            </c:numRef>
          </c:val>
          <c:extLst xmlns:c16r2="http://schemas.microsoft.com/office/drawing/2015/06/chart">
            <c:ext xmlns:c16="http://schemas.microsoft.com/office/drawing/2014/chart" uri="{C3380CC4-5D6E-409C-BE32-E72D297353CC}">
              <c16:uniqueId val="{00000006-8EBA-40BD-83DA-F08A383258BD}"/>
            </c:ext>
          </c:extLst>
        </c:ser>
        <c:ser>
          <c:idx val="7"/>
          <c:order val="7"/>
          <c:tx>
            <c:strRef>
              <c:f>List1!$A$34</c:f>
              <c:strCache>
                <c:ptCount val="1"/>
                <c:pt idx="0">
                  <c:v>Peněžnictví a pojišť.; nemovitostí</c:v>
                </c:pt>
              </c:strCache>
            </c:strRef>
          </c:tx>
          <c:spPr>
            <a:ln w="22225"/>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List1!$B$34:$L$34</c:f>
              <c:numCache>
                <c:formatCode>0.0</c:formatCode>
                <c:ptCount val="11"/>
                <c:pt idx="0" formatCode="General">
                  <c:v>100</c:v>
                </c:pt>
                <c:pt idx="1">
                  <c:v>104.85070752009879</c:v>
                </c:pt>
                <c:pt idx="2">
                  <c:v>107.36214425867526</c:v>
                </c:pt>
                <c:pt idx="3">
                  <c:v>107.12329815317797</c:v>
                </c:pt>
                <c:pt idx="4">
                  <c:v>100.66133589851501</c:v>
                </c:pt>
                <c:pt idx="5">
                  <c:v>105.93781256319583</c:v>
                </c:pt>
                <c:pt idx="6">
                  <c:v>105.95584899679073</c:v>
                </c:pt>
                <c:pt idx="7">
                  <c:v>107.28999852429178</c:v>
                </c:pt>
                <c:pt idx="8">
                  <c:v>106.11325787181013</c:v>
                </c:pt>
                <c:pt idx="9">
                  <c:v>107.0489661844198</c:v>
                </c:pt>
                <c:pt idx="10">
                  <c:v>106.58165858670878</c:v>
                </c:pt>
              </c:numCache>
            </c:numRef>
          </c:val>
          <c:extLst xmlns:c16r2="http://schemas.microsoft.com/office/drawing/2015/06/chart">
            <c:ext xmlns:c16="http://schemas.microsoft.com/office/drawing/2014/chart" uri="{C3380CC4-5D6E-409C-BE32-E72D297353CC}">
              <c16:uniqueId val="{00000007-8EBA-40BD-83DA-F08A383258BD}"/>
            </c:ext>
          </c:extLst>
        </c:ser>
        <c:ser>
          <c:idx val="8"/>
          <c:order val="8"/>
          <c:tx>
            <c:strRef>
              <c:f>List1!$A$35</c:f>
              <c:strCache>
                <c:ptCount val="1"/>
                <c:pt idx="0">
                  <c:v>Profesní, vědecké a technické činnosti</c:v>
                </c:pt>
              </c:strCache>
            </c:strRef>
          </c:tx>
          <c:spPr>
            <a:ln w="22225">
              <a:solidFill>
                <a:srgbClr val="808080"/>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List1!$B$35:$L$35</c:f>
              <c:numCache>
                <c:formatCode>0.0</c:formatCode>
                <c:ptCount val="11"/>
                <c:pt idx="0" formatCode="General">
                  <c:v>100</c:v>
                </c:pt>
                <c:pt idx="1">
                  <c:v>100.90394365341994</c:v>
                </c:pt>
                <c:pt idx="2">
                  <c:v>101.95626764625572</c:v>
                </c:pt>
                <c:pt idx="3">
                  <c:v>102.65338959895512</c:v>
                </c:pt>
                <c:pt idx="4">
                  <c:v>97.916603418440801</c:v>
                </c:pt>
                <c:pt idx="5">
                  <c:v>100.69560399526399</c:v>
                </c:pt>
                <c:pt idx="6">
                  <c:v>101.45989556452837</c:v>
                </c:pt>
                <c:pt idx="7">
                  <c:v>104.74171954218403</c:v>
                </c:pt>
                <c:pt idx="8">
                  <c:v>107.00727101612019</c:v>
                </c:pt>
                <c:pt idx="9">
                  <c:v>111.60440511247945</c:v>
                </c:pt>
                <c:pt idx="10">
                  <c:v>113.36675369622635</c:v>
                </c:pt>
              </c:numCache>
            </c:numRef>
          </c:val>
          <c:extLst xmlns:c16r2="http://schemas.microsoft.com/office/drawing/2015/06/chart">
            <c:ext xmlns:c16="http://schemas.microsoft.com/office/drawing/2014/chart" uri="{C3380CC4-5D6E-409C-BE32-E72D297353CC}">
              <c16:uniqueId val="{00000008-8EBA-40BD-83DA-F08A383258BD}"/>
            </c:ext>
          </c:extLst>
        </c:ser>
        <c:ser>
          <c:idx val="9"/>
          <c:order val="9"/>
          <c:tx>
            <c:strRef>
              <c:f>List1!$A$36</c:f>
              <c:strCache>
                <c:ptCount val="1"/>
                <c:pt idx="0">
                  <c:v>Veřejné služby*</c:v>
                </c:pt>
              </c:strCache>
            </c:strRef>
          </c:tx>
          <c:spPr>
            <a:ln w="22225">
              <a:solidFill>
                <a:srgbClr val="7DBB2D"/>
              </a:solidFill>
            </a:ln>
          </c:spPr>
          <c:marker>
            <c:symbol val="none"/>
          </c:marker>
          <c:cat>
            <c:numRef>
              <c:f>List1!$B$26:$L$26</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List1!$B$36:$L$36</c:f>
              <c:numCache>
                <c:formatCode>0.0</c:formatCode>
                <c:ptCount val="11"/>
                <c:pt idx="0" formatCode="General">
                  <c:v>100</c:v>
                </c:pt>
                <c:pt idx="1">
                  <c:v>101.00162811132512</c:v>
                </c:pt>
                <c:pt idx="2">
                  <c:v>100.51856331775338</c:v>
                </c:pt>
                <c:pt idx="3">
                  <c:v>100.24859923261833</c:v>
                </c:pt>
                <c:pt idx="4">
                  <c:v>99.693222630528282</c:v>
                </c:pt>
                <c:pt idx="5">
                  <c:v>98.46205930883059</c:v>
                </c:pt>
                <c:pt idx="6">
                  <c:v>99.539395692407481</c:v>
                </c:pt>
                <c:pt idx="7">
                  <c:v>101.12499643919124</c:v>
                </c:pt>
                <c:pt idx="8">
                  <c:v>101.98879386094659</c:v>
                </c:pt>
                <c:pt idx="9">
                  <c:v>104.36861930462335</c:v>
                </c:pt>
                <c:pt idx="10">
                  <c:v>107.55296839973914</c:v>
                </c:pt>
              </c:numCache>
            </c:numRef>
          </c:val>
          <c:extLst xmlns:c16r2="http://schemas.microsoft.com/office/drawing/2015/06/chart">
            <c:ext xmlns:c16="http://schemas.microsoft.com/office/drawing/2014/chart" uri="{C3380CC4-5D6E-409C-BE32-E72D297353CC}">
              <c16:uniqueId val="{00000009-8EBA-40BD-83DA-F08A383258BD}"/>
            </c:ext>
          </c:extLst>
        </c:ser>
        <c:marker val="1"/>
        <c:axId val="121660160"/>
        <c:axId val="121661696"/>
      </c:lineChart>
      <c:catAx>
        <c:axId val="121660160"/>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21661696"/>
        <c:crossesAt val="-50"/>
        <c:auto val="1"/>
        <c:lblAlgn val="ctr"/>
        <c:lblOffset val="0"/>
      </c:catAx>
      <c:valAx>
        <c:axId val="121661696"/>
        <c:scaling>
          <c:orientation val="minMax"/>
          <c:max val="125"/>
          <c:min val="70"/>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1660160"/>
        <c:crosses val="autoZero"/>
        <c:crossBetween val="midCat"/>
        <c:majorUnit val="5"/>
      </c:valAx>
      <c:spPr>
        <a:ln>
          <a:solidFill>
            <a:sysClr val="windowText" lastClr="000000"/>
          </a:solidFill>
        </a:ln>
      </c:spPr>
    </c:plotArea>
    <c:legend>
      <c:legendPos val="r"/>
      <c:layout>
        <c:manualLayout>
          <c:xMode val="edge"/>
          <c:yMode val="edge"/>
          <c:x val="3.7085809539466469E-2"/>
          <c:y val="0.83188986898196926"/>
          <c:w val="0.93193119802522451"/>
          <c:h val="0.15404331085318998"/>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9011887316812913E-2"/>
          <c:y val="1.6233377178020279E-2"/>
          <c:w val="0.89885548988082087"/>
          <c:h val="0.76132031171153591"/>
        </c:manualLayout>
      </c:layout>
      <c:barChart>
        <c:barDir val="col"/>
        <c:grouping val="clustered"/>
        <c:ser>
          <c:idx val="0"/>
          <c:order val="0"/>
          <c:tx>
            <c:strRef>
              <c:f>GRAF!$A$110</c:f>
              <c:strCache>
                <c:ptCount val="1"/>
                <c:pt idx="0">
                  <c:v>Ženy bez dětí</c:v>
                </c:pt>
              </c:strCache>
            </c:strRef>
          </c:tx>
          <c:spPr>
            <a:solidFill>
              <a:srgbClr val="DBDBDB"/>
            </a:solidFill>
            <a:ln>
              <a:solidFill>
                <a:prstClr val="white">
                  <a:lumMod val="50000"/>
                </a:prst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GRAF!$B$110:$N$110</c:f>
              <c:numCache>
                <c:formatCode>#,##0.0</c:formatCode>
                <c:ptCount val="13"/>
                <c:pt idx="0">
                  <c:v>82</c:v>
                </c:pt>
                <c:pt idx="1">
                  <c:v>82.7</c:v>
                </c:pt>
                <c:pt idx="2">
                  <c:v>86.1</c:v>
                </c:pt>
                <c:pt idx="3">
                  <c:v>85.9</c:v>
                </c:pt>
                <c:pt idx="4">
                  <c:v>82.9</c:v>
                </c:pt>
                <c:pt idx="5">
                  <c:v>81</c:v>
                </c:pt>
                <c:pt idx="6">
                  <c:v>82.6</c:v>
                </c:pt>
                <c:pt idx="7">
                  <c:v>82.9</c:v>
                </c:pt>
                <c:pt idx="8">
                  <c:v>82.9</c:v>
                </c:pt>
                <c:pt idx="9">
                  <c:v>82</c:v>
                </c:pt>
                <c:pt idx="10">
                  <c:v>85.5</c:v>
                </c:pt>
                <c:pt idx="11">
                  <c:v>85.4</c:v>
                </c:pt>
                <c:pt idx="12">
                  <c:v>86.5</c:v>
                </c:pt>
              </c:numCache>
            </c:numRef>
          </c:val>
          <c:extLst xmlns:c16r2="http://schemas.microsoft.com/office/drawing/2015/06/chart">
            <c:ext xmlns:c16="http://schemas.microsoft.com/office/drawing/2014/chart" uri="{C3380CC4-5D6E-409C-BE32-E72D297353CC}">
              <c16:uniqueId val="{00000000-4C51-4E0E-9859-E6ACB608A6D1}"/>
            </c:ext>
          </c:extLst>
        </c:ser>
        <c:ser>
          <c:idx val="1"/>
          <c:order val="1"/>
          <c:tx>
            <c:strRef>
              <c:f>GRAF!$A$111</c:f>
              <c:strCache>
                <c:ptCount val="1"/>
                <c:pt idx="0">
                  <c:v>Ženy s 1 dítětem (&lt;6 let)</c:v>
                </c:pt>
              </c:strCache>
            </c:strRef>
          </c:tx>
          <c:spPr>
            <a:solidFill>
              <a:srgbClr val="FDDEB3"/>
            </a:solidFill>
            <a:ln>
              <a:solidFill>
                <a:prstClr val="white">
                  <a:lumMod val="50000"/>
                </a:prst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GRAF!$B$111:$N$111</c:f>
              <c:numCache>
                <c:formatCode>#,##0.0</c:formatCode>
                <c:ptCount val="13"/>
                <c:pt idx="0">
                  <c:v>35.1</c:v>
                </c:pt>
                <c:pt idx="1">
                  <c:v>33.4</c:v>
                </c:pt>
                <c:pt idx="2">
                  <c:v>31.1</c:v>
                </c:pt>
                <c:pt idx="3">
                  <c:v>30.4</c:v>
                </c:pt>
                <c:pt idx="4">
                  <c:v>31.2</c:v>
                </c:pt>
                <c:pt idx="5">
                  <c:v>32.1</c:v>
                </c:pt>
                <c:pt idx="6">
                  <c:v>37.6</c:v>
                </c:pt>
                <c:pt idx="7">
                  <c:v>36.300000000000004</c:v>
                </c:pt>
                <c:pt idx="8">
                  <c:v>40.5</c:v>
                </c:pt>
                <c:pt idx="9">
                  <c:v>41.1</c:v>
                </c:pt>
                <c:pt idx="10">
                  <c:v>40.200000000000003</c:v>
                </c:pt>
                <c:pt idx="11">
                  <c:v>40.4</c:v>
                </c:pt>
                <c:pt idx="12">
                  <c:v>38.200000000000003</c:v>
                </c:pt>
              </c:numCache>
            </c:numRef>
          </c:val>
          <c:extLst xmlns:c16r2="http://schemas.microsoft.com/office/drawing/2015/06/chart">
            <c:ext xmlns:c16="http://schemas.microsoft.com/office/drawing/2014/chart" uri="{C3380CC4-5D6E-409C-BE32-E72D297353CC}">
              <c16:uniqueId val="{00000001-4C51-4E0E-9859-E6ACB608A6D1}"/>
            </c:ext>
          </c:extLst>
        </c:ser>
        <c:ser>
          <c:idx val="2"/>
          <c:order val="2"/>
          <c:tx>
            <c:strRef>
              <c:f>GRAF!$A$112</c:f>
              <c:strCache>
                <c:ptCount val="1"/>
                <c:pt idx="0">
                  <c:v>Ženy s 2 dětmi (nejmladší &lt;6 let)</c:v>
                </c:pt>
              </c:strCache>
            </c:strRef>
          </c:tx>
          <c:spPr>
            <a:solidFill>
              <a:srgbClr val="BFE3F7"/>
            </a:solidFill>
            <a:ln>
              <a:solidFill>
                <a:schemeClr val="bg1">
                  <a:lumMod val="50000"/>
                </a:scheme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GRAF!$B$112:$N$112</c:f>
              <c:numCache>
                <c:formatCode>#,##0.0</c:formatCode>
                <c:ptCount val="13"/>
                <c:pt idx="0">
                  <c:v>37.300000000000004</c:v>
                </c:pt>
                <c:pt idx="1">
                  <c:v>36.700000000000003</c:v>
                </c:pt>
                <c:pt idx="2">
                  <c:v>35.6</c:v>
                </c:pt>
                <c:pt idx="3">
                  <c:v>36.200000000000003</c:v>
                </c:pt>
                <c:pt idx="4">
                  <c:v>35.800000000000004</c:v>
                </c:pt>
                <c:pt idx="5">
                  <c:v>39.700000000000003</c:v>
                </c:pt>
                <c:pt idx="6">
                  <c:v>42.6</c:v>
                </c:pt>
                <c:pt idx="7">
                  <c:v>43.3</c:v>
                </c:pt>
                <c:pt idx="8">
                  <c:v>45</c:v>
                </c:pt>
                <c:pt idx="9">
                  <c:v>48.3</c:v>
                </c:pt>
                <c:pt idx="10">
                  <c:v>46.1</c:v>
                </c:pt>
                <c:pt idx="11">
                  <c:v>48.1</c:v>
                </c:pt>
                <c:pt idx="12">
                  <c:v>49.5</c:v>
                </c:pt>
              </c:numCache>
            </c:numRef>
          </c:val>
          <c:extLst xmlns:c16r2="http://schemas.microsoft.com/office/drawing/2015/06/chart">
            <c:ext xmlns:c16="http://schemas.microsoft.com/office/drawing/2014/chart" uri="{C3380CC4-5D6E-409C-BE32-E72D297353CC}">
              <c16:uniqueId val="{00000002-4C51-4E0E-9859-E6ACB608A6D1}"/>
            </c:ext>
          </c:extLst>
        </c:ser>
        <c:ser>
          <c:idx val="3"/>
          <c:order val="3"/>
          <c:tx>
            <c:strRef>
              <c:f>GRAF!$A$113</c:f>
              <c:strCache>
                <c:ptCount val="1"/>
                <c:pt idx="0">
                  <c:v>Ženy s 3+ dětmi (nejmladší &lt;6 let)</c:v>
                </c:pt>
              </c:strCache>
            </c:strRef>
          </c:tx>
          <c:spPr>
            <a:solidFill>
              <a:srgbClr val="BCA6E8"/>
            </a:solidFill>
            <a:ln>
              <a:solidFill>
                <a:prstClr val="white">
                  <a:lumMod val="50000"/>
                </a:prstClr>
              </a:solidFill>
            </a:ln>
          </c:spP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GRAF!$B$113:$N$113</c:f>
              <c:numCache>
                <c:formatCode>#,##0.0</c:formatCode>
                <c:ptCount val="13"/>
                <c:pt idx="0">
                  <c:v>29.1</c:v>
                </c:pt>
                <c:pt idx="1">
                  <c:v>30.1</c:v>
                </c:pt>
                <c:pt idx="2">
                  <c:v>30.9</c:v>
                </c:pt>
                <c:pt idx="3">
                  <c:v>30.4</c:v>
                </c:pt>
                <c:pt idx="4">
                  <c:v>33.5</c:v>
                </c:pt>
                <c:pt idx="5">
                  <c:v>33.800000000000004</c:v>
                </c:pt>
                <c:pt idx="6">
                  <c:v>36.5</c:v>
                </c:pt>
                <c:pt idx="7">
                  <c:v>34.9</c:v>
                </c:pt>
                <c:pt idx="8">
                  <c:v>38.1</c:v>
                </c:pt>
                <c:pt idx="9">
                  <c:v>38</c:v>
                </c:pt>
                <c:pt idx="10">
                  <c:v>38.4</c:v>
                </c:pt>
                <c:pt idx="11">
                  <c:v>46.6</c:v>
                </c:pt>
                <c:pt idx="12">
                  <c:v>40.700000000000003</c:v>
                </c:pt>
              </c:numCache>
            </c:numRef>
          </c:val>
          <c:extLst xmlns:c16r2="http://schemas.microsoft.com/office/drawing/2015/06/chart">
            <c:ext xmlns:c16="http://schemas.microsoft.com/office/drawing/2014/chart" uri="{C3380CC4-5D6E-409C-BE32-E72D297353CC}">
              <c16:uniqueId val="{00000003-4C51-4E0E-9859-E6ACB608A6D1}"/>
            </c:ext>
          </c:extLst>
        </c:ser>
        <c:axId val="122796288"/>
        <c:axId val="122830848"/>
      </c:barChart>
      <c:lineChart>
        <c:grouping val="standard"/>
        <c:ser>
          <c:idx val="4"/>
          <c:order val="4"/>
          <c:tx>
            <c:strRef>
              <c:f>GRAF!$A$114</c:f>
              <c:strCache>
                <c:ptCount val="1"/>
                <c:pt idx="0">
                  <c:v>Pracující ženy s nejmlad. dítětem &lt;6 let</c:v>
                </c:pt>
              </c:strCache>
            </c:strRef>
          </c:tx>
          <c:spPr>
            <a:ln w="22225">
              <a:no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GRAF!$B$114:$N$114</c:f>
              <c:numCache>
                <c:formatCode>General</c:formatCode>
                <c:ptCount val="13"/>
              </c:numCache>
            </c:numRef>
          </c:val>
          <c:extLst xmlns:c16r2="http://schemas.microsoft.com/office/drawing/2015/06/chart">
            <c:ext xmlns:c16="http://schemas.microsoft.com/office/drawing/2014/chart" uri="{C3380CC4-5D6E-409C-BE32-E72D297353CC}">
              <c16:uniqueId val="{00000004-4C51-4E0E-9859-E6ACB608A6D1}"/>
            </c:ext>
          </c:extLst>
        </c:ser>
        <c:ser>
          <c:idx val="5"/>
          <c:order val="5"/>
          <c:tx>
            <c:strRef>
              <c:f>GRAF!$A$115</c:f>
              <c:strCache>
                <c:ptCount val="1"/>
              </c:strCache>
            </c:strRef>
          </c:tx>
          <c:spPr>
            <a:ln w="22225">
              <a:no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GRAF!$B$115:$N$115</c:f>
              <c:numCache>
                <c:formatCode>General</c:formatCode>
                <c:ptCount val="13"/>
              </c:numCache>
            </c:numRef>
          </c:val>
          <c:extLst xmlns:c16r2="http://schemas.microsoft.com/office/drawing/2015/06/chart">
            <c:ext xmlns:c16="http://schemas.microsoft.com/office/drawing/2014/chart" uri="{C3380CC4-5D6E-409C-BE32-E72D297353CC}">
              <c16:uniqueId val="{00000005-4C51-4E0E-9859-E6ACB608A6D1}"/>
            </c:ext>
          </c:extLst>
        </c:ser>
        <c:marker val="1"/>
        <c:axId val="122796288"/>
        <c:axId val="122830848"/>
      </c:lineChart>
      <c:lineChart>
        <c:grouping val="standard"/>
        <c:ser>
          <c:idx val="6"/>
          <c:order val="6"/>
          <c:tx>
            <c:strRef>
              <c:f>GRAF!$A$116</c:f>
              <c:strCache>
                <c:ptCount val="1"/>
                <c:pt idx="0">
                  <c:v>% z domova pracujících žen</c:v>
                </c:pt>
              </c:strCache>
            </c:strRef>
          </c:tx>
          <c:spPr>
            <a:ln w="22225">
              <a:solidFill>
                <a:srgbClr val="BD1B21"/>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GRAF!$B$116:$N$116</c:f>
              <c:numCache>
                <c:formatCode>#,##0.0</c:formatCode>
                <c:ptCount val="13"/>
                <c:pt idx="0">
                  <c:v>13.1</c:v>
                </c:pt>
                <c:pt idx="1">
                  <c:v>9.1</c:v>
                </c:pt>
                <c:pt idx="2">
                  <c:v>8.4</c:v>
                </c:pt>
                <c:pt idx="3">
                  <c:v>9.9</c:v>
                </c:pt>
                <c:pt idx="4">
                  <c:v>7.7</c:v>
                </c:pt>
                <c:pt idx="5">
                  <c:v>10.8</c:v>
                </c:pt>
                <c:pt idx="6">
                  <c:v>8.9</c:v>
                </c:pt>
                <c:pt idx="7">
                  <c:v>8.5</c:v>
                </c:pt>
                <c:pt idx="8">
                  <c:v>8.7000000000000011</c:v>
                </c:pt>
                <c:pt idx="9">
                  <c:v>7.3</c:v>
                </c:pt>
                <c:pt idx="10">
                  <c:v>10.7</c:v>
                </c:pt>
                <c:pt idx="11">
                  <c:v>12.1</c:v>
                </c:pt>
                <c:pt idx="12">
                  <c:v>13.4</c:v>
                </c:pt>
              </c:numCache>
            </c:numRef>
          </c:val>
          <c:extLst xmlns:c16r2="http://schemas.microsoft.com/office/drawing/2015/06/chart">
            <c:ext xmlns:c16="http://schemas.microsoft.com/office/drawing/2014/chart" uri="{C3380CC4-5D6E-409C-BE32-E72D297353CC}">
              <c16:uniqueId val="{00000006-4C51-4E0E-9859-E6ACB608A6D1}"/>
            </c:ext>
          </c:extLst>
        </c:ser>
        <c:ser>
          <c:idx val="7"/>
          <c:order val="7"/>
          <c:tx>
            <c:strRef>
              <c:f>GRAF!$A$117</c:f>
              <c:strCache>
                <c:ptCount val="1"/>
                <c:pt idx="0">
                  <c:v>% podnikajících žen</c:v>
                </c:pt>
              </c:strCache>
            </c:strRef>
          </c:tx>
          <c:spPr>
            <a:ln w="22225">
              <a:solidFill>
                <a:srgbClr val="7DBB2D"/>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GRAF!$B$117:$N$117</c:f>
              <c:numCache>
                <c:formatCode>#,##0.0</c:formatCode>
                <c:ptCount val="13"/>
                <c:pt idx="0">
                  <c:v>9.6</c:v>
                </c:pt>
                <c:pt idx="1">
                  <c:v>9.1</c:v>
                </c:pt>
                <c:pt idx="2">
                  <c:v>9.4</c:v>
                </c:pt>
                <c:pt idx="3">
                  <c:v>11.3</c:v>
                </c:pt>
                <c:pt idx="4">
                  <c:v>11.8</c:v>
                </c:pt>
                <c:pt idx="5">
                  <c:v>13.7</c:v>
                </c:pt>
                <c:pt idx="6">
                  <c:v>13</c:v>
                </c:pt>
                <c:pt idx="7">
                  <c:v>11.7</c:v>
                </c:pt>
                <c:pt idx="8">
                  <c:v>12.8</c:v>
                </c:pt>
                <c:pt idx="9">
                  <c:v>10.3</c:v>
                </c:pt>
                <c:pt idx="10">
                  <c:v>12</c:v>
                </c:pt>
                <c:pt idx="11">
                  <c:v>12.4</c:v>
                </c:pt>
                <c:pt idx="12">
                  <c:v>14.4</c:v>
                </c:pt>
              </c:numCache>
            </c:numRef>
          </c:val>
          <c:extLst xmlns:c16r2="http://schemas.microsoft.com/office/drawing/2015/06/chart">
            <c:ext xmlns:c16="http://schemas.microsoft.com/office/drawing/2014/chart" uri="{C3380CC4-5D6E-409C-BE32-E72D297353CC}">
              <c16:uniqueId val="{00000007-4C51-4E0E-9859-E6ACB608A6D1}"/>
            </c:ext>
          </c:extLst>
        </c:ser>
        <c:ser>
          <c:idx val="8"/>
          <c:order val="8"/>
          <c:tx>
            <c:strRef>
              <c:f>GRAF!$A$118</c:f>
              <c:strCache>
                <c:ptCount val="1"/>
                <c:pt idx="0">
                  <c:v>% žen na zkrácené úvazky</c:v>
                </c:pt>
              </c:strCache>
            </c:strRef>
          </c:tx>
          <c:spPr>
            <a:ln w="22225">
              <a:solidFill>
                <a:srgbClr val="0071BC"/>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GRAF!$B$118:$N$118</c:f>
              <c:numCache>
                <c:formatCode>#,##0.0</c:formatCode>
                <c:ptCount val="13"/>
                <c:pt idx="0">
                  <c:v>18.399999999999999</c:v>
                </c:pt>
                <c:pt idx="1">
                  <c:v>20.2</c:v>
                </c:pt>
                <c:pt idx="2">
                  <c:v>21</c:v>
                </c:pt>
                <c:pt idx="3">
                  <c:v>19.3</c:v>
                </c:pt>
                <c:pt idx="4">
                  <c:v>19.100000000000001</c:v>
                </c:pt>
                <c:pt idx="5">
                  <c:v>22.2</c:v>
                </c:pt>
                <c:pt idx="6">
                  <c:v>15.1</c:v>
                </c:pt>
                <c:pt idx="7">
                  <c:v>17.3</c:v>
                </c:pt>
                <c:pt idx="8">
                  <c:v>18</c:v>
                </c:pt>
                <c:pt idx="9">
                  <c:v>18.899999999999999</c:v>
                </c:pt>
                <c:pt idx="10">
                  <c:v>18.2</c:v>
                </c:pt>
                <c:pt idx="11">
                  <c:v>20.399999999999999</c:v>
                </c:pt>
                <c:pt idx="12">
                  <c:v>22.9</c:v>
                </c:pt>
              </c:numCache>
            </c:numRef>
          </c:val>
          <c:extLst xmlns:c16r2="http://schemas.microsoft.com/office/drawing/2015/06/chart">
            <c:ext xmlns:c16="http://schemas.microsoft.com/office/drawing/2014/chart" uri="{C3380CC4-5D6E-409C-BE32-E72D297353CC}">
              <c16:uniqueId val="{00000008-4C51-4E0E-9859-E6ACB608A6D1}"/>
            </c:ext>
          </c:extLst>
        </c:ser>
        <c:ser>
          <c:idx val="9"/>
          <c:order val="9"/>
          <c:tx>
            <c:strRef>
              <c:f>GRAF!$A$119</c:f>
              <c:strCache>
                <c:ptCount val="1"/>
                <c:pt idx="0">
                  <c:v>% žen pracujících na dobu určitou</c:v>
                </c:pt>
              </c:strCache>
            </c:strRef>
          </c:tx>
          <c:spPr>
            <a:ln w="22225">
              <a:solidFill>
                <a:srgbClr val="F8A124"/>
              </a:solidFill>
            </a:ln>
          </c:spPr>
          <c:marker>
            <c:symbol val="none"/>
          </c:marker>
          <c:cat>
            <c:strRef>
              <c:f>GRAF!$B$109:$N$109</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GRAF!$B$119:$N$119</c:f>
              <c:numCache>
                <c:formatCode>#,##0.0</c:formatCode>
                <c:ptCount val="13"/>
                <c:pt idx="0">
                  <c:v>12</c:v>
                </c:pt>
                <c:pt idx="1">
                  <c:v>12.5</c:v>
                </c:pt>
                <c:pt idx="2">
                  <c:v>11.3</c:v>
                </c:pt>
                <c:pt idx="3">
                  <c:v>11.7</c:v>
                </c:pt>
                <c:pt idx="4">
                  <c:v>10.200000000000001</c:v>
                </c:pt>
                <c:pt idx="5">
                  <c:v>12.3</c:v>
                </c:pt>
                <c:pt idx="6">
                  <c:v>10.1</c:v>
                </c:pt>
                <c:pt idx="7">
                  <c:v>12.3</c:v>
                </c:pt>
                <c:pt idx="8">
                  <c:v>11.3</c:v>
                </c:pt>
                <c:pt idx="9">
                  <c:v>12.8</c:v>
                </c:pt>
                <c:pt idx="10">
                  <c:v>15.1</c:v>
                </c:pt>
                <c:pt idx="11">
                  <c:v>13.5</c:v>
                </c:pt>
                <c:pt idx="12">
                  <c:v>16.600000000000001</c:v>
                </c:pt>
              </c:numCache>
            </c:numRef>
          </c:val>
          <c:extLst xmlns:c16r2="http://schemas.microsoft.com/office/drawing/2015/06/chart">
            <c:ext xmlns:c16="http://schemas.microsoft.com/office/drawing/2014/chart" uri="{C3380CC4-5D6E-409C-BE32-E72D297353CC}">
              <c16:uniqueId val="{00000009-4C51-4E0E-9859-E6ACB608A6D1}"/>
            </c:ext>
          </c:extLst>
        </c:ser>
        <c:marker val="1"/>
        <c:axId val="122833920"/>
        <c:axId val="122832384"/>
      </c:lineChart>
      <c:catAx>
        <c:axId val="122796288"/>
        <c:scaling>
          <c:orientation val="minMax"/>
        </c:scaling>
        <c:axPos val="b"/>
        <c:numFmt formatCode="General" sourceLinked="0"/>
        <c:tickLblPos val="nextTo"/>
        <c:txPr>
          <a:bodyPr/>
          <a:lstStyle/>
          <a:p>
            <a:pPr>
              <a:defRPr sz="800">
                <a:latin typeface="Arial" pitchFamily="34" charset="0"/>
                <a:cs typeface="Arial" pitchFamily="34" charset="0"/>
              </a:defRPr>
            </a:pPr>
            <a:endParaRPr lang="cs-CZ"/>
          </a:p>
        </c:txPr>
        <c:crossAx val="122830848"/>
        <c:crosses val="autoZero"/>
        <c:auto val="1"/>
        <c:lblAlgn val="ctr"/>
        <c:lblOffset val="0"/>
      </c:catAx>
      <c:valAx>
        <c:axId val="122830848"/>
        <c:scaling>
          <c:orientation val="minMax"/>
          <c:max val="90"/>
          <c:min val="0"/>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2796288"/>
        <c:crosses val="autoZero"/>
        <c:crossBetween val="between"/>
        <c:majorUnit val="5"/>
      </c:valAx>
      <c:valAx>
        <c:axId val="122832384"/>
        <c:scaling>
          <c:orientation val="minMax"/>
          <c:max val="45"/>
          <c:min val="0"/>
        </c:scaling>
        <c:axPos val="r"/>
        <c:numFmt formatCode="#,##0" sourceLinked="0"/>
        <c:tickLblPos val="nextTo"/>
        <c:txPr>
          <a:bodyPr/>
          <a:lstStyle/>
          <a:p>
            <a:pPr>
              <a:defRPr sz="800">
                <a:latin typeface="Arial" pitchFamily="34" charset="0"/>
                <a:cs typeface="Arial" pitchFamily="34" charset="0"/>
              </a:defRPr>
            </a:pPr>
            <a:endParaRPr lang="cs-CZ"/>
          </a:p>
        </c:txPr>
        <c:crossAx val="122833920"/>
        <c:crosses val="max"/>
        <c:crossBetween val="between"/>
      </c:valAx>
      <c:catAx>
        <c:axId val="122833920"/>
        <c:scaling>
          <c:orientation val="minMax"/>
        </c:scaling>
        <c:delete val="1"/>
        <c:axPos val="b"/>
        <c:numFmt formatCode="General" sourceLinked="1"/>
        <c:tickLblPos val="none"/>
        <c:crossAx val="122832384"/>
        <c:crosses val="autoZero"/>
        <c:auto val="1"/>
        <c:lblAlgn val="ctr"/>
        <c:lblOffset val="100"/>
      </c:catAx>
      <c:spPr>
        <a:ln>
          <a:solidFill>
            <a:sysClr val="windowText" lastClr="000000"/>
          </a:solidFill>
        </a:ln>
      </c:spPr>
    </c:plotArea>
    <c:legend>
      <c:legendPos val="r"/>
      <c:layout>
        <c:manualLayout>
          <c:xMode val="edge"/>
          <c:yMode val="edge"/>
          <c:x val="4.2534456265990943E-2"/>
          <c:y val="0.82812159852668565"/>
          <c:w val="0.90361023513779004"/>
          <c:h val="0.16017934895783378"/>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0539794922592513E-2"/>
          <c:y val="1.5600235547846463E-2"/>
          <c:w val="0.95230792888272386"/>
          <c:h val="0.78608883701991361"/>
        </c:manualLayout>
      </c:layout>
      <c:areaChart>
        <c:grouping val="standard"/>
        <c:ser>
          <c:idx val="5"/>
          <c:order val="5"/>
          <c:tx>
            <c:strRef>
              <c:f>'Graf-UV'!$H$57</c:f>
              <c:strCache>
                <c:ptCount val="1"/>
                <c:pt idx="0">
                  <c:v>Celkem (všechny kvalifikační třídy)</c:v>
                </c:pt>
              </c:strCache>
            </c:strRef>
          </c:tx>
          <c:spPr>
            <a:solidFill>
              <a:schemeClr val="bg2">
                <a:lumMod val="90000"/>
              </a:schemeClr>
            </a:solidFill>
          </c:spPr>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'Graf-UV'!$H$66:$H$109</c:f>
              <c:numCache>
                <c:formatCode>0.0</c:formatCode>
                <c:ptCount val="44"/>
                <c:pt idx="0">
                  <c:v>3.9966390923692527</c:v>
                </c:pt>
                <c:pt idx="1">
                  <c:v>3.0079825422450415</c:v>
                </c:pt>
                <c:pt idx="2">
                  <c:v>2.6557567907792388</c:v>
                </c:pt>
                <c:pt idx="3">
                  <c:v>2.5156876922858777</c:v>
                </c:pt>
                <c:pt idx="4">
                  <c:v>2.2225548704324471</c:v>
                </c:pt>
                <c:pt idx="5">
                  <c:v>1.9612723118757573</c:v>
                </c:pt>
                <c:pt idx="6">
                  <c:v>2.2539750782834256</c:v>
                </c:pt>
                <c:pt idx="7">
                  <c:v>3.8628562655583427</c:v>
                </c:pt>
                <c:pt idx="8">
                  <c:v>8.1013498881108639</c:v>
                </c:pt>
                <c:pt idx="9">
                  <c:v>10.680498594534814</c:v>
                </c:pt>
                <c:pt idx="10">
                  <c:v>12.892904953146068</c:v>
                </c:pt>
                <c:pt idx="11">
                  <c:v>17.432534678436106</c:v>
                </c:pt>
                <c:pt idx="12">
                  <c:v>17.286537707094787</c:v>
                </c:pt>
                <c:pt idx="13">
                  <c:v>15.200291554043794</c:v>
                </c:pt>
                <c:pt idx="14">
                  <c:v>14.258717948717949</c:v>
                </c:pt>
                <c:pt idx="15">
                  <c:v>18.230399636398989</c:v>
                </c:pt>
                <c:pt idx="16">
                  <c:v>16.143408682325695</c:v>
                </c:pt>
                <c:pt idx="17">
                  <c:v>12.462906080799726</c:v>
                </c:pt>
                <c:pt idx="18">
                  <c:v>11.939037567533624</c:v>
                </c:pt>
                <c:pt idx="19">
                  <c:v>14.208892242342946</c:v>
                </c:pt>
                <c:pt idx="20">
                  <c:v>13.160427003458127</c:v>
                </c:pt>
                <c:pt idx="21">
                  <c:v>11.09390121321209</c:v>
                </c:pt>
                <c:pt idx="22">
                  <c:v>12.085201793721973</c:v>
                </c:pt>
                <c:pt idx="23">
                  <c:v>15.628091594302568</c:v>
                </c:pt>
                <c:pt idx="24">
                  <c:v>15.124102616884954</c:v>
                </c:pt>
                <c:pt idx="25">
                  <c:v>12.274550327034881</c:v>
                </c:pt>
                <c:pt idx="26">
                  <c:v>13.448360774467668</c:v>
                </c:pt>
                <c:pt idx="27">
                  <c:v>16.966086758769499</c:v>
                </c:pt>
                <c:pt idx="28">
                  <c:v>14.906758478729676</c:v>
                </c:pt>
                <c:pt idx="29">
                  <c:v>10.856706885749686</c:v>
                </c:pt>
                <c:pt idx="30">
                  <c:v>9.3552938680247344</c:v>
                </c:pt>
                <c:pt idx="31">
                  <c:v>9.2257954680876448</c:v>
                </c:pt>
                <c:pt idx="32">
                  <c:v>6.9074950690335308</c:v>
                </c:pt>
                <c:pt idx="33">
                  <c:v>4.6543724157842092</c:v>
                </c:pt>
                <c:pt idx="34">
                  <c:v>4.0699989868567688</c:v>
                </c:pt>
                <c:pt idx="35">
                  <c:v>4.4187234872495535</c:v>
                </c:pt>
                <c:pt idx="36">
                  <c:v>3.7764435164273236</c:v>
                </c:pt>
                <c:pt idx="37">
                  <c:v>2.869425634057265</c:v>
                </c:pt>
                <c:pt idx="38">
                  <c:v>2.6828140404133602</c:v>
                </c:pt>
                <c:pt idx="39">
                  <c:v>2.8783736867528078</c:v>
                </c:pt>
                <c:pt idx="40">
                  <c:v>2.3596546446059747</c:v>
                </c:pt>
                <c:pt idx="41">
                  <c:v>1.6209209809264304</c:v>
                </c:pt>
                <c:pt idx="42">
                  <c:v>1.3825389046054721</c:v>
                </c:pt>
                <c:pt idx="43">
                  <c:v>1.2953944301086178</c:v>
                </c:pt>
              </c:numCache>
            </c:numRef>
          </c:val>
          <c:extLst xmlns:c16r2="http://schemas.microsoft.com/office/drawing/2015/06/chart">
            <c:ext xmlns:c16="http://schemas.microsoft.com/office/drawing/2014/chart" uri="{C3380CC4-5D6E-409C-BE32-E72D297353CC}">
              <c16:uniqueId val="{00000000-E59E-4FD0-B9A4-C384A13D52D8}"/>
            </c:ext>
          </c:extLst>
        </c:ser>
        <c:axId val="124277120"/>
        <c:axId val="124278656"/>
      </c:areaChart>
      <c:lineChart>
        <c:grouping val="standard"/>
        <c:ser>
          <c:idx val="0"/>
          <c:order val="0"/>
          <c:tx>
            <c:strRef>
              <c:f>'Graf-UV'!$C$57</c:f>
              <c:strCache>
                <c:ptCount val="1"/>
                <c:pt idx="0">
                  <c:v>Zákonodárci a řídící prac., Specialisté</c:v>
                </c:pt>
              </c:strCache>
            </c:strRef>
          </c:tx>
          <c:spPr>
            <a:ln w="22225">
              <a:solidFill>
                <a:srgbClr val="F8A124"/>
              </a:solidFill>
            </a:ln>
          </c:spPr>
          <c:marker>
            <c:symbol val="none"/>
          </c:marker>
          <c:dPt>
            <c:idx val="16"/>
            <c:spPr>
              <a:ln w="22225">
                <a:solidFill>
                  <a:srgbClr val="F8A124"/>
                </a:solidFill>
                <a:prstDash val="sysDot"/>
              </a:ln>
            </c:spPr>
            <c:extLst xmlns:c16r2="http://schemas.microsoft.com/office/drawing/2015/06/chart">
              <c:ext xmlns:c16="http://schemas.microsoft.com/office/drawing/2014/chart" uri="{C3380CC4-5D6E-409C-BE32-E72D297353CC}">
                <c16:uniqueId val="{00000001-E59E-4FD0-B9A4-C384A13D52D8}"/>
              </c:ext>
            </c:extLst>
          </c:dPt>
          <c:dPt>
            <c:idx val="24"/>
            <c:spPr>
              <a:ln w="22225">
                <a:solidFill>
                  <a:srgbClr val="F8A124"/>
                </a:solidFill>
                <a:prstDash val="solid"/>
              </a:ln>
            </c:spPr>
            <c:extLst xmlns:c16r2="http://schemas.microsoft.com/office/drawing/2015/06/chart">
              <c:ext xmlns:c16="http://schemas.microsoft.com/office/drawing/2014/chart" uri="{C3380CC4-5D6E-409C-BE32-E72D297353CC}">
                <c16:uniqueId val="{00000002-E59E-4FD0-B9A4-C384A13D52D8}"/>
              </c:ext>
            </c:extLst>
          </c:dPt>
          <c:dPt>
            <c:idx val="25"/>
            <c:spPr>
              <a:ln w="22225">
                <a:solidFill>
                  <a:srgbClr val="F8A124"/>
                </a:solidFill>
                <a:prstDash val="solid"/>
              </a:ln>
            </c:spPr>
            <c:extLst xmlns:c16r2="http://schemas.microsoft.com/office/drawing/2015/06/chart">
              <c:ext xmlns:c16="http://schemas.microsoft.com/office/drawing/2014/chart" uri="{C3380CC4-5D6E-409C-BE32-E72D297353CC}">
                <c16:uniqueId val="{00000003-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'Graf-UV'!$C$66:$C$109</c:f>
              <c:numCache>
                <c:formatCode>0.0</c:formatCode>
                <c:ptCount val="44"/>
                <c:pt idx="0">
                  <c:v>2.7407306434024417</c:v>
                </c:pt>
                <c:pt idx="1">
                  <c:v>2.3143930215653015</c:v>
                </c:pt>
                <c:pt idx="2">
                  <c:v>2.5831460674157412</c:v>
                </c:pt>
                <c:pt idx="3">
                  <c:v>2.3631249200869688</c:v>
                </c:pt>
                <c:pt idx="4">
                  <c:v>1.9922227231740341</c:v>
                </c:pt>
                <c:pt idx="5">
                  <c:v>1.9335414808206957</c:v>
                </c:pt>
                <c:pt idx="6">
                  <c:v>2.4957094888695437</c:v>
                </c:pt>
                <c:pt idx="7">
                  <c:v>3.4378780024192137</c:v>
                </c:pt>
                <c:pt idx="8">
                  <c:v>5.0625139043381475</c:v>
                </c:pt>
                <c:pt idx="9">
                  <c:v>6.3270658090053651</c:v>
                </c:pt>
                <c:pt idx="10">
                  <c:v>8.1983536909186689</c:v>
                </c:pt>
                <c:pt idx="11">
                  <c:v>8.7228474957794031</c:v>
                </c:pt>
                <c:pt idx="12">
                  <c:v>8.0429495472186296</c:v>
                </c:pt>
                <c:pt idx="13">
                  <c:v>7.1950640721404655</c:v>
                </c:pt>
                <c:pt idx="14">
                  <c:v>8.5209077001529483</c:v>
                </c:pt>
                <c:pt idx="15">
                  <c:v>8.3038130381303805</c:v>
                </c:pt>
                <c:pt idx="16">
                  <c:v>5.8094652735095273</c:v>
                </c:pt>
                <c:pt idx="17">
                  <c:v>4.8575322551335605</c:v>
                </c:pt>
                <c:pt idx="18">
                  <c:v>5.3561460523800415</c:v>
                </c:pt>
                <c:pt idx="19">
                  <c:v>5.1998420221169015</c:v>
                </c:pt>
                <c:pt idx="20">
                  <c:v>4.0882580146774821</c:v>
                </c:pt>
                <c:pt idx="21">
                  <c:v>3.6018820818129442</c:v>
                </c:pt>
                <c:pt idx="22">
                  <c:v>4.6146829810901</c:v>
                </c:pt>
                <c:pt idx="23">
                  <c:v>4.3694092827004223</c:v>
                </c:pt>
                <c:pt idx="24">
                  <c:v>5.0173436786855286</c:v>
                </c:pt>
                <c:pt idx="25">
                  <c:v>5.922198275862069</c:v>
                </c:pt>
                <c:pt idx="26">
                  <c:v>7.5583804143126194</c:v>
                </c:pt>
                <c:pt idx="27">
                  <c:v>8.3436203319502074</c:v>
                </c:pt>
                <c:pt idx="28">
                  <c:v>7.4655253283301946</c:v>
                </c:pt>
                <c:pt idx="29">
                  <c:v>6.8245729303547655</c:v>
                </c:pt>
                <c:pt idx="30">
                  <c:v>6.6010256410256405</c:v>
                </c:pt>
                <c:pt idx="31">
                  <c:v>5.5419496970809634</c:v>
                </c:pt>
                <c:pt idx="32">
                  <c:v>4.1792874657435934</c:v>
                </c:pt>
                <c:pt idx="33">
                  <c:v>3.3535180191223342</c:v>
                </c:pt>
                <c:pt idx="34">
                  <c:v>3.441485550513494</c:v>
                </c:pt>
                <c:pt idx="35">
                  <c:v>3.1929698708751793</c:v>
                </c:pt>
                <c:pt idx="36">
                  <c:v>2.4794507301034567</c:v>
                </c:pt>
                <c:pt idx="37">
                  <c:v>2.1267287118378801</c:v>
                </c:pt>
                <c:pt idx="38">
                  <c:v>2.1648237733241191</c:v>
                </c:pt>
                <c:pt idx="39">
                  <c:v>1.9994654312188302</c:v>
                </c:pt>
                <c:pt idx="40">
                  <c:v>1.6083227445997461</c:v>
                </c:pt>
                <c:pt idx="41">
                  <c:v>1.271277642889943</c:v>
                </c:pt>
                <c:pt idx="42">
                  <c:v>1.2369542753810379</c:v>
                </c:pt>
                <c:pt idx="43">
                  <c:v>1.0531748514232093</c:v>
                </c:pt>
              </c:numCache>
            </c:numRef>
          </c:val>
          <c:extLst xmlns:c16r2="http://schemas.microsoft.com/office/drawing/2015/06/chart">
            <c:ext xmlns:c16="http://schemas.microsoft.com/office/drawing/2014/chart" uri="{C3380CC4-5D6E-409C-BE32-E72D297353CC}">
              <c16:uniqueId val="{00000004-E59E-4FD0-B9A4-C384A13D52D8}"/>
            </c:ext>
          </c:extLst>
        </c:ser>
        <c:ser>
          <c:idx val="1"/>
          <c:order val="1"/>
          <c:tx>
            <c:strRef>
              <c:f>'Graf-UV'!$D$57</c:f>
              <c:strCache>
                <c:ptCount val="1"/>
                <c:pt idx="0">
                  <c:v>Úředníci</c:v>
                </c:pt>
              </c:strCache>
            </c:strRef>
          </c:tx>
          <c:spPr>
            <a:ln w="22225">
              <a:solidFill>
                <a:srgbClr val="BD1B21"/>
              </a:solidFill>
            </a:ln>
          </c:spPr>
          <c:marker>
            <c:symbol val="none"/>
          </c:marker>
          <c:dPt>
            <c:idx val="16"/>
            <c:spPr>
              <a:ln w="22225">
                <a:solidFill>
                  <a:srgbClr val="BD1B21"/>
                </a:solidFill>
                <a:prstDash val="sysDot"/>
              </a:ln>
            </c:spPr>
            <c:extLst xmlns:c16r2="http://schemas.microsoft.com/office/drawing/2015/06/chart">
              <c:ext xmlns:c16="http://schemas.microsoft.com/office/drawing/2014/chart" uri="{C3380CC4-5D6E-409C-BE32-E72D297353CC}">
                <c16:uniqueId val="{00000005-E59E-4FD0-B9A4-C384A13D52D8}"/>
              </c:ext>
            </c:extLst>
          </c:dPt>
          <c:dPt>
            <c:idx val="24"/>
            <c:spPr>
              <a:ln w="22225">
                <a:solidFill>
                  <a:srgbClr val="BD1B21"/>
                </a:solidFill>
                <a:prstDash val="solid"/>
              </a:ln>
            </c:spPr>
            <c:extLst xmlns:c16r2="http://schemas.microsoft.com/office/drawing/2015/06/chart">
              <c:ext xmlns:c16="http://schemas.microsoft.com/office/drawing/2014/chart" uri="{C3380CC4-5D6E-409C-BE32-E72D297353CC}">
                <c16:uniqueId val="{00000006-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'Graf-UV'!$D$66:$D$109</c:f>
              <c:numCache>
                <c:formatCode>0.0</c:formatCode>
                <c:ptCount val="44"/>
                <c:pt idx="0">
                  <c:v>8.6432527693856986</c:v>
                </c:pt>
                <c:pt idx="1">
                  <c:v>6.193351691581432</c:v>
                </c:pt>
                <c:pt idx="2">
                  <c:v>5.9840396257567416</c:v>
                </c:pt>
                <c:pt idx="3">
                  <c:v>6.013738959764475</c:v>
                </c:pt>
                <c:pt idx="4">
                  <c:v>5.9302325581395374</c:v>
                </c:pt>
                <c:pt idx="5">
                  <c:v>5.3039123039123037</c:v>
                </c:pt>
                <c:pt idx="6">
                  <c:v>6.6026349341266455</c:v>
                </c:pt>
                <c:pt idx="7">
                  <c:v>10.67337512372144</c:v>
                </c:pt>
                <c:pt idx="8">
                  <c:v>22.054114994363022</c:v>
                </c:pt>
                <c:pt idx="9">
                  <c:v>26.879872204472843</c:v>
                </c:pt>
                <c:pt idx="10">
                  <c:v>30.31691919191919</c:v>
                </c:pt>
                <c:pt idx="11">
                  <c:v>37.847509578543708</c:v>
                </c:pt>
                <c:pt idx="12">
                  <c:v>34.796334012220306</c:v>
                </c:pt>
                <c:pt idx="13">
                  <c:v>31.818897637795274</c:v>
                </c:pt>
                <c:pt idx="14">
                  <c:v>33.498687664041995</c:v>
                </c:pt>
                <c:pt idx="15">
                  <c:v>36.506529209622002</c:v>
                </c:pt>
                <c:pt idx="16">
                  <c:v>32.015375153751535</c:v>
                </c:pt>
                <c:pt idx="17">
                  <c:v>24.829871414441335</c:v>
                </c:pt>
                <c:pt idx="18">
                  <c:v>24.415548357242017</c:v>
                </c:pt>
                <c:pt idx="19">
                  <c:v>25.710334788937409</c:v>
                </c:pt>
                <c:pt idx="20">
                  <c:v>22.555608140085187</c:v>
                </c:pt>
                <c:pt idx="21">
                  <c:v>21.053041362530415</c:v>
                </c:pt>
                <c:pt idx="22">
                  <c:v>24.698579694897425</c:v>
                </c:pt>
                <c:pt idx="23">
                  <c:v>27.114109050028105</c:v>
                </c:pt>
                <c:pt idx="24">
                  <c:v>25.639860139860332</c:v>
                </c:pt>
                <c:pt idx="25">
                  <c:v>24.317546583850927</c:v>
                </c:pt>
                <c:pt idx="26">
                  <c:v>25.327023014105418</c:v>
                </c:pt>
                <c:pt idx="27">
                  <c:v>32.419309039280279</c:v>
                </c:pt>
                <c:pt idx="28">
                  <c:v>35.723942208462333</c:v>
                </c:pt>
                <c:pt idx="29">
                  <c:v>28.37280701754386</c:v>
                </c:pt>
                <c:pt idx="30">
                  <c:v>26.841328413284131</c:v>
                </c:pt>
                <c:pt idx="31">
                  <c:v>22.058698727015631</c:v>
                </c:pt>
                <c:pt idx="32">
                  <c:v>17.164863325740331</c:v>
                </c:pt>
                <c:pt idx="33">
                  <c:v>12.795623836126676</c:v>
                </c:pt>
                <c:pt idx="34">
                  <c:v>10.784466019417476</c:v>
                </c:pt>
                <c:pt idx="35">
                  <c:v>10.656418446795767</c:v>
                </c:pt>
                <c:pt idx="36">
                  <c:v>9.3174024078803548</c:v>
                </c:pt>
                <c:pt idx="37">
                  <c:v>8.061917902725078</c:v>
                </c:pt>
                <c:pt idx="38">
                  <c:v>8.1831862999482592</c:v>
                </c:pt>
                <c:pt idx="39">
                  <c:v>9.2546768707483267</c:v>
                </c:pt>
                <c:pt idx="40">
                  <c:v>7.3874394334699955</c:v>
                </c:pt>
                <c:pt idx="41">
                  <c:v>6.0053908355795151</c:v>
                </c:pt>
                <c:pt idx="42">
                  <c:v>5.2486953928731994</c:v>
                </c:pt>
                <c:pt idx="43">
                  <c:v>4.7284728472847286</c:v>
                </c:pt>
              </c:numCache>
            </c:numRef>
          </c:val>
          <c:extLst xmlns:c16r2="http://schemas.microsoft.com/office/drawing/2015/06/chart">
            <c:ext xmlns:c16="http://schemas.microsoft.com/office/drawing/2014/chart" uri="{C3380CC4-5D6E-409C-BE32-E72D297353CC}">
              <c16:uniqueId val="{00000007-E59E-4FD0-B9A4-C384A13D52D8}"/>
            </c:ext>
          </c:extLst>
        </c:ser>
        <c:ser>
          <c:idx val="2"/>
          <c:order val="2"/>
          <c:tx>
            <c:strRef>
              <c:f>'Graf-UV'!$E$57</c:f>
              <c:strCache>
                <c:ptCount val="1"/>
                <c:pt idx="0">
                  <c:v>Pracovníci ve službách a prodeji</c:v>
                </c:pt>
              </c:strCache>
            </c:strRef>
          </c:tx>
          <c:spPr>
            <a:ln w="22225">
              <a:solidFill>
                <a:srgbClr val="7DBB2D"/>
              </a:solidFill>
            </a:ln>
          </c:spPr>
          <c:marker>
            <c:symbol val="none"/>
          </c:marker>
          <c:dPt>
            <c:idx val="16"/>
            <c:spPr>
              <a:ln w="22225">
                <a:solidFill>
                  <a:srgbClr val="7DBB2D"/>
                </a:solidFill>
                <a:prstDash val="sysDot"/>
              </a:ln>
            </c:spPr>
            <c:extLst xmlns:c16r2="http://schemas.microsoft.com/office/drawing/2015/06/chart">
              <c:ext xmlns:c16="http://schemas.microsoft.com/office/drawing/2014/chart" uri="{C3380CC4-5D6E-409C-BE32-E72D297353CC}">
                <c16:uniqueId val="{00000008-E59E-4FD0-B9A4-C384A13D52D8}"/>
              </c:ext>
            </c:extLst>
          </c:dPt>
          <c:dPt>
            <c:idx val="24"/>
            <c:spPr>
              <a:ln w="22225">
                <a:solidFill>
                  <a:srgbClr val="7DBB2D"/>
                </a:solidFill>
                <a:prstDash val="solid"/>
              </a:ln>
            </c:spPr>
            <c:extLst xmlns:c16r2="http://schemas.microsoft.com/office/drawing/2015/06/chart">
              <c:ext xmlns:c16="http://schemas.microsoft.com/office/drawing/2014/chart" uri="{C3380CC4-5D6E-409C-BE32-E72D297353CC}">
                <c16:uniqueId val="{00000009-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'Graf-UV'!$E$66:$E$109</c:f>
              <c:numCache>
                <c:formatCode>0.0</c:formatCode>
                <c:ptCount val="44"/>
                <c:pt idx="0">
                  <c:v>6.9105115116157645</c:v>
                </c:pt>
                <c:pt idx="1">
                  <c:v>4.8080614203454886</c:v>
                </c:pt>
                <c:pt idx="2">
                  <c:v>4.8679890560874481</c:v>
                </c:pt>
                <c:pt idx="3">
                  <c:v>4.6579155325313142</c:v>
                </c:pt>
                <c:pt idx="4">
                  <c:v>4.2932646932647582</c:v>
                </c:pt>
                <c:pt idx="5">
                  <c:v>3.4677868979402202</c:v>
                </c:pt>
                <c:pt idx="6">
                  <c:v>3.8974338217437037</c:v>
                </c:pt>
                <c:pt idx="7">
                  <c:v>5.6240481872940107</c:v>
                </c:pt>
                <c:pt idx="8">
                  <c:v>11.635271687321248</c:v>
                </c:pt>
                <c:pt idx="9">
                  <c:v>14.842653384650214</c:v>
                </c:pt>
                <c:pt idx="10">
                  <c:v>19.224681933842227</c:v>
                </c:pt>
                <c:pt idx="11">
                  <c:v>31.565387627251372</c:v>
                </c:pt>
                <c:pt idx="12">
                  <c:v>30.230582524271789</c:v>
                </c:pt>
                <c:pt idx="13">
                  <c:v>22.392866866321789</c:v>
                </c:pt>
                <c:pt idx="14">
                  <c:v>23.380926281172677</c:v>
                </c:pt>
                <c:pt idx="15">
                  <c:v>29.831756756756835</c:v>
                </c:pt>
                <c:pt idx="16">
                  <c:v>27.968223266095489</c:v>
                </c:pt>
                <c:pt idx="17">
                  <c:v>20.67927848658163</c:v>
                </c:pt>
                <c:pt idx="18">
                  <c:v>20.096781024989411</c:v>
                </c:pt>
                <c:pt idx="19">
                  <c:v>22.679568379075768</c:v>
                </c:pt>
                <c:pt idx="20">
                  <c:v>18.822433862433616</c:v>
                </c:pt>
                <c:pt idx="21">
                  <c:v>14.45271846402297</c:v>
                </c:pt>
                <c:pt idx="22">
                  <c:v>16.409436537336397</c:v>
                </c:pt>
                <c:pt idx="23">
                  <c:v>15.738023687466722</c:v>
                </c:pt>
                <c:pt idx="24">
                  <c:v>16.372333103922713</c:v>
                </c:pt>
                <c:pt idx="25">
                  <c:v>16.732679155515889</c:v>
                </c:pt>
                <c:pt idx="26">
                  <c:v>16.029844753747323</c:v>
                </c:pt>
                <c:pt idx="27">
                  <c:v>18.6021005251311</c:v>
                </c:pt>
                <c:pt idx="28">
                  <c:v>16.106427542872087</c:v>
                </c:pt>
                <c:pt idx="29">
                  <c:v>12.070052910052922</c:v>
                </c:pt>
                <c:pt idx="30">
                  <c:v>11.597384017984876</c:v>
                </c:pt>
                <c:pt idx="31">
                  <c:v>11.175035289372859</c:v>
                </c:pt>
                <c:pt idx="32">
                  <c:v>8.677174877045875</c:v>
                </c:pt>
                <c:pt idx="33">
                  <c:v>5.9144872886510145</c:v>
                </c:pt>
                <c:pt idx="34">
                  <c:v>5.4584400068271037</c:v>
                </c:pt>
                <c:pt idx="35">
                  <c:v>5.5616947324264396</c:v>
                </c:pt>
                <c:pt idx="36">
                  <c:v>4.6642631114800022</c:v>
                </c:pt>
                <c:pt idx="37">
                  <c:v>3.6688151828476792</c:v>
                </c:pt>
                <c:pt idx="38">
                  <c:v>3.6427833894500572</c:v>
                </c:pt>
                <c:pt idx="39">
                  <c:v>3.9716235632183907</c:v>
                </c:pt>
                <c:pt idx="40">
                  <c:v>3.3611778846153846</c:v>
                </c:pt>
                <c:pt idx="41">
                  <c:v>2.5437591951966283</c:v>
                </c:pt>
                <c:pt idx="42">
                  <c:v>2.329897302268547</c:v>
                </c:pt>
                <c:pt idx="43">
                  <c:v>2.1788856304985327</c:v>
                </c:pt>
              </c:numCache>
            </c:numRef>
          </c:val>
          <c:extLst xmlns:c16r2="http://schemas.microsoft.com/office/drawing/2015/06/chart">
            <c:ext xmlns:c16="http://schemas.microsoft.com/office/drawing/2014/chart" uri="{C3380CC4-5D6E-409C-BE32-E72D297353CC}">
              <c16:uniqueId val="{0000000A-E59E-4FD0-B9A4-C384A13D52D8}"/>
            </c:ext>
          </c:extLst>
        </c:ser>
        <c:ser>
          <c:idx val="3"/>
          <c:order val="3"/>
          <c:tx>
            <c:strRef>
              <c:f>'Graf-UV'!$F$57</c:f>
              <c:strCache>
                <c:ptCount val="1"/>
                <c:pt idx="0">
                  <c:v>Řemeslníci a opraváři, Obsluha strojů</c:v>
                </c:pt>
              </c:strCache>
            </c:strRef>
          </c:tx>
          <c:spPr>
            <a:ln w="22225">
              <a:solidFill>
                <a:srgbClr val="7030A0"/>
              </a:solidFill>
            </a:ln>
          </c:spPr>
          <c:marker>
            <c:symbol val="none"/>
          </c:marker>
          <c:dPt>
            <c:idx val="16"/>
            <c:spPr>
              <a:ln w="22225">
                <a:solidFill>
                  <a:srgbClr val="7030A0"/>
                </a:solidFill>
                <a:prstDash val="sysDot"/>
              </a:ln>
            </c:spPr>
            <c:extLst xmlns:c16r2="http://schemas.microsoft.com/office/drawing/2015/06/chart">
              <c:ext xmlns:c16="http://schemas.microsoft.com/office/drawing/2014/chart" uri="{C3380CC4-5D6E-409C-BE32-E72D297353CC}">
                <c16:uniqueId val="{0000000B-E59E-4FD0-B9A4-C384A13D52D8}"/>
              </c:ext>
            </c:extLst>
          </c:dPt>
          <c:dPt>
            <c:idx val="24"/>
            <c:spPr>
              <a:ln w="22225">
                <a:solidFill>
                  <a:srgbClr val="7030A0"/>
                </a:solidFill>
                <a:prstDash val="solid"/>
              </a:ln>
            </c:spPr>
            <c:extLst xmlns:c16r2="http://schemas.microsoft.com/office/drawing/2015/06/chart">
              <c:ext xmlns:c16="http://schemas.microsoft.com/office/drawing/2014/chart" uri="{C3380CC4-5D6E-409C-BE32-E72D297353CC}">
                <c16:uniqueId val="{0000000C-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'Graf-UV'!$F$66:$F$109</c:f>
              <c:numCache>
                <c:formatCode>0.0</c:formatCode>
                <c:ptCount val="44"/>
                <c:pt idx="0">
                  <c:v>1.7440970824028996</c:v>
                </c:pt>
                <c:pt idx="1">
                  <c:v>1.188861638425277</c:v>
                </c:pt>
                <c:pt idx="2">
                  <c:v>0.97417069330583306</c:v>
                </c:pt>
                <c:pt idx="3">
                  <c:v>1.0057571998705641</c:v>
                </c:pt>
                <c:pt idx="4">
                  <c:v>0.92083906915765257</c:v>
                </c:pt>
                <c:pt idx="5">
                  <c:v>0.72796292769631177</c:v>
                </c:pt>
                <c:pt idx="6">
                  <c:v>0.85209392739924783</c:v>
                </c:pt>
                <c:pt idx="7">
                  <c:v>1.909758682738051</c:v>
                </c:pt>
                <c:pt idx="8">
                  <c:v>6.8567851180538995</c:v>
                </c:pt>
                <c:pt idx="9">
                  <c:v>8.7403991533110919</c:v>
                </c:pt>
                <c:pt idx="10">
                  <c:v>9.8954301512442413</c:v>
                </c:pt>
                <c:pt idx="11">
                  <c:v>15.835817550151306</c:v>
                </c:pt>
                <c:pt idx="12">
                  <c:v>17.853839245621728</c:v>
                </c:pt>
                <c:pt idx="13">
                  <c:v>11.782321515298689</c:v>
                </c:pt>
                <c:pt idx="14">
                  <c:v>8.4407691174303814</c:v>
                </c:pt>
                <c:pt idx="15">
                  <c:v>13.149793573864656</c:v>
                </c:pt>
                <c:pt idx="16">
                  <c:v>11.443751026441118</c:v>
                </c:pt>
                <c:pt idx="17">
                  <c:v>7.0296775934169702</c:v>
                </c:pt>
                <c:pt idx="18">
                  <c:v>6.3932893641544473</c:v>
                </c:pt>
                <c:pt idx="19">
                  <c:v>9.5637583892617446</c:v>
                </c:pt>
                <c:pt idx="20">
                  <c:v>8.2296737246627689</c:v>
                </c:pt>
                <c:pt idx="21">
                  <c:v>5.8171021377671845</c:v>
                </c:pt>
                <c:pt idx="22">
                  <c:v>6.3691581895916434</c:v>
                </c:pt>
                <c:pt idx="23">
                  <c:v>11.622408376963374</c:v>
                </c:pt>
                <c:pt idx="24">
                  <c:v>13.501312611571983</c:v>
                </c:pt>
                <c:pt idx="25">
                  <c:v>11.129851501856225</c:v>
                </c:pt>
                <c:pt idx="26">
                  <c:v>9.9671568261551098</c:v>
                </c:pt>
                <c:pt idx="27">
                  <c:v>15.077613915674046</c:v>
                </c:pt>
                <c:pt idx="28">
                  <c:v>12.446670318491275</c:v>
                </c:pt>
                <c:pt idx="29">
                  <c:v>6.5427334437971032</c:v>
                </c:pt>
                <c:pt idx="30">
                  <c:v>4.9897291051483839</c:v>
                </c:pt>
                <c:pt idx="31">
                  <c:v>5.7087995820089734</c:v>
                </c:pt>
                <c:pt idx="32">
                  <c:v>4.2699637476302925</c:v>
                </c:pt>
                <c:pt idx="33">
                  <c:v>2.4122973310052367</c:v>
                </c:pt>
                <c:pt idx="34">
                  <c:v>1.9648157625383931</c:v>
                </c:pt>
                <c:pt idx="35">
                  <c:v>2.4517351184250287</c:v>
                </c:pt>
                <c:pt idx="36">
                  <c:v>2.1824548239854935</c:v>
                </c:pt>
                <c:pt idx="37">
                  <c:v>1.4209829764861581</c:v>
                </c:pt>
                <c:pt idx="38">
                  <c:v>1.2373437448735201</c:v>
                </c:pt>
                <c:pt idx="39">
                  <c:v>1.4601948384891354</c:v>
                </c:pt>
                <c:pt idx="40">
                  <c:v>1.2241929544617769</c:v>
                </c:pt>
                <c:pt idx="41">
                  <c:v>0.71510550237412873</c:v>
                </c:pt>
                <c:pt idx="42">
                  <c:v>0.56774638180564463</c:v>
                </c:pt>
                <c:pt idx="43">
                  <c:v>0.59415736476464387</c:v>
                </c:pt>
              </c:numCache>
            </c:numRef>
          </c:val>
          <c:extLst xmlns:c16r2="http://schemas.microsoft.com/office/drawing/2015/06/chart">
            <c:ext xmlns:c16="http://schemas.microsoft.com/office/drawing/2014/chart" uri="{C3380CC4-5D6E-409C-BE32-E72D297353CC}">
              <c16:uniqueId val="{0000000D-E59E-4FD0-B9A4-C384A13D52D8}"/>
            </c:ext>
          </c:extLst>
        </c:ser>
        <c:ser>
          <c:idx val="4"/>
          <c:order val="4"/>
          <c:tx>
            <c:strRef>
              <c:f>'Graf-UV'!$G$57</c:f>
              <c:strCache>
                <c:ptCount val="1"/>
                <c:pt idx="0">
                  <c:v>Pomocní a nekvalif. pracovníci</c:v>
                </c:pt>
              </c:strCache>
            </c:strRef>
          </c:tx>
          <c:spPr>
            <a:ln w="22225">
              <a:solidFill>
                <a:srgbClr val="48AEE7"/>
              </a:solidFill>
            </a:ln>
          </c:spPr>
          <c:marker>
            <c:symbol val="none"/>
          </c:marker>
          <c:dPt>
            <c:idx val="16"/>
            <c:spPr>
              <a:ln w="22225">
                <a:solidFill>
                  <a:srgbClr val="48AEE7"/>
                </a:solidFill>
                <a:prstDash val="sysDot"/>
              </a:ln>
            </c:spPr>
            <c:extLst xmlns:c16r2="http://schemas.microsoft.com/office/drawing/2015/06/chart">
              <c:ext xmlns:c16="http://schemas.microsoft.com/office/drawing/2014/chart" uri="{C3380CC4-5D6E-409C-BE32-E72D297353CC}">
                <c16:uniqueId val="{0000000E-E59E-4FD0-B9A4-C384A13D52D8}"/>
              </c:ext>
            </c:extLst>
          </c:dPt>
          <c:dPt>
            <c:idx val="24"/>
            <c:spPr>
              <a:ln w="22225">
                <a:solidFill>
                  <a:srgbClr val="48AEE7"/>
                </a:solidFill>
                <a:prstDash val="solid"/>
              </a:ln>
            </c:spPr>
            <c:extLst xmlns:c16r2="http://schemas.microsoft.com/office/drawing/2015/06/chart">
              <c:ext xmlns:c16="http://schemas.microsoft.com/office/drawing/2014/chart" uri="{C3380CC4-5D6E-409C-BE32-E72D297353CC}">
                <c16:uniqueId val="{0000000F-E59E-4FD0-B9A4-C384A13D52D8}"/>
              </c:ext>
            </c:extLst>
          </c:dPt>
          <c:cat>
            <c:multiLvlStrRef>
              <c:f>'Graf-UV'!$A$66:$B$109</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'Graf-UV'!$G$66:$G$109</c:f>
              <c:numCache>
                <c:formatCode>0.0</c:formatCode>
                <c:ptCount val="44"/>
                <c:pt idx="0">
                  <c:v>6.7311523539897324</c:v>
                </c:pt>
                <c:pt idx="1">
                  <c:v>5.4495004498319064</c:v>
                </c:pt>
                <c:pt idx="2">
                  <c:v>4.6093489148580984</c:v>
                </c:pt>
                <c:pt idx="3">
                  <c:v>3.9074551048150528</c:v>
                </c:pt>
                <c:pt idx="4">
                  <c:v>3.1522865176853632</c:v>
                </c:pt>
                <c:pt idx="5">
                  <c:v>3.0553320243345028</c:v>
                </c:pt>
                <c:pt idx="6">
                  <c:v>3.1401146423363033</c:v>
                </c:pt>
                <c:pt idx="7">
                  <c:v>4.6927515326361275</c:v>
                </c:pt>
                <c:pt idx="8">
                  <c:v>6.5818877417326132</c:v>
                </c:pt>
                <c:pt idx="9">
                  <c:v>9.8496676456948506</c:v>
                </c:pt>
                <c:pt idx="10">
                  <c:v>12.569192913385876</c:v>
                </c:pt>
                <c:pt idx="11">
                  <c:v>16.569405784823889</c:v>
                </c:pt>
                <c:pt idx="12">
                  <c:v>16.074562887760656</c:v>
                </c:pt>
                <c:pt idx="13">
                  <c:v>22.773836303858801</c:v>
                </c:pt>
                <c:pt idx="14">
                  <c:v>23.93719351188231</c:v>
                </c:pt>
                <c:pt idx="15">
                  <c:v>31.96238887622485</c:v>
                </c:pt>
                <c:pt idx="16">
                  <c:v>26.203313840155669</c:v>
                </c:pt>
                <c:pt idx="17">
                  <c:v>26.223642842170921</c:v>
                </c:pt>
                <c:pt idx="18">
                  <c:v>22.619002822201317</c:v>
                </c:pt>
                <c:pt idx="19">
                  <c:v>23.475054229934923</c:v>
                </c:pt>
                <c:pt idx="20">
                  <c:v>15.047801857585139</c:v>
                </c:pt>
                <c:pt idx="21">
                  <c:v>11.891856102405654</c:v>
                </c:pt>
                <c:pt idx="22">
                  <c:v>10.614633153556518</c:v>
                </c:pt>
                <c:pt idx="23">
                  <c:v>14.831763122476355</c:v>
                </c:pt>
                <c:pt idx="24">
                  <c:v>11.06402523893477</c:v>
                </c:pt>
                <c:pt idx="25">
                  <c:v>12.532026726057907</c:v>
                </c:pt>
                <c:pt idx="26">
                  <c:v>21.473835886546329</c:v>
                </c:pt>
                <c:pt idx="27">
                  <c:v>26.980451936872289</c:v>
                </c:pt>
                <c:pt idx="28">
                  <c:v>20.327046445984092</c:v>
                </c:pt>
                <c:pt idx="29">
                  <c:v>17.233562781865629</c:v>
                </c:pt>
                <c:pt idx="30">
                  <c:v>15.029040267731837</c:v>
                </c:pt>
                <c:pt idx="31">
                  <c:v>13.497801066716548</c:v>
                </c:pt>
                <c:pt idx="32">
                  <c:v>9.7578570937349571</c:v>
                </c:pt>
                <c:pt idx="33">
                  <c:v>7.033440550133097</c:v>
                </c:pt>
                <c:pt idx="34">
                  <c:v>6.1480065259508505</c:v>
                </c:pt>
                <c:pt idx="35">
                  <c:v>6.7799022503893873</c:v>
                </c:pt>
                <c:pt idx="36">
                  <c:v>5.7094511500797083</c:v>
                </c:pt>
                <c:pt idx="37">
                  <c:v>4.279070647443902</c:v>
                </c:pt>
                <c:pt idx="38">
                  <c:v>3.9636297109403826</c:v>
                </c:pt>
                <c:pt idx="39">
                  <c:v>4.2881330079316724</c:v>
                </c:pt>
                <c:pt idx="40">
                  <c:v>3.2636056473995416</c:v>
                </c:pt>
                <c:pt idx="41">
                  <c:v>2.0747722557950752</c:v>
                </c:pt>
                <c:pt idx="42">
                  <c:v>1.7502058290795341</c:v>
                </c:pt>
                <c:pt idx="43">
                  <c:v>1.6721018017667642</c:v>
                </c:pt>
              </c:numCache>
            </c:numRef>
          </c:val>
          <c:extLst xmlns:c16r2="http://schemas.microsoft.com/office/drawing/2015/06/chart">
            <c:ext xmlns:c16="http://schemas.microsoft.com/office/drawing/2014/chart" uri="{C3380CC4-5D6E-409C-BE32-E72D297353CC}">
              <c16:uniqueId val="{00000010-E59E-4FD0-B9A4-C384A13D52D8}"/>
            </c:ext>
          </c:extLst>
        </c:ser>
        <c:marker val="1"/>
        <c:axId val="124277120"/>
        <c:axId val="124278656"/>
      </c:lineChart>
      <c:catAx>
        <c:axId val="124277120"/>
        <c:scaling>
          <c:orientation val="minMax"/>
        </c:scaling>
        <c:axPos val="b"/>
        <c:numFmt formatCode="General" sourceLinked="1"/>
        <c:tickLblPos val="nextTo"/>
        <c:txPr>
          <a:bodyPr rot="0" vert="horz"/>
          <a:lstStyle/>
          <a:p>
            <a:pPr>
              <a:defRPr sz="800">
                <a:latin typeface="Arial" pitchFamily="34" charset="0"/>
                <a:cs typeface="Arial" pitchFamily="34" charset="0"/>
              </a:defRPr>
            </a:pPr>
            <a:endParaRPr lang="cs-CZ"/>
          </a:p>
        </c:txPr>
        <c:crossAx val="124278656"/>
        <c:crosses val="autoZero"/>
        <c:auto val="1"/>
        <c:lblAlgn val="ctr"/>
        <c:lblOffset val="0"/>
        <c:tickMarkSkip val="4"/>
      </c:catAx>
      <c:valAx>
        <c:axId val="124278656"/>
        <c:scaling>
          <c:orientation val="minMax"/>
        </c:scaling>
        <c:axPos val="l"/>
        <c:numFmt formatCode="0" sourceLinked="0"/>
        <c:tickLblPos val="nextTo"/>
        <c:txPr>
          <a:bodyPr/>
          <a:lstStyle/>
          <a:p>
            <a:pPr>
              <a:defRPr sz="800">
                <a:latin typeface="Arial" pitchFamily="34" charset="0"/>
                <a:cs typeface="Arial" pitchFamily="34" charset="0"/>
              </a:defRPr>
            </a:pPr>
            <a:endParaRPr lang="cs-CZ"/>
          </a:p>
        </c:txPr>
        <c:crossAx val="124277120"/>
        <c:crosses val="autoZero"/>
        <c:crossBetween val="midCat"/>
      </c:valAx>
      <c:spPr>
        <a:ln w="9525">
          <a:solidFill>
            <a:schemeClr val="tx1">
              <a:lumMod val="95000"/>
              <a:lumOff val="5000"/>
            </a:schemeClr>
          </a:solidFill>
        </a:ln>
      </c:spPr>
    </c:plotArea>
    <c:legend>
      <c:legendPos val="r"/>
      <c:layout>
        <c:manualLayout>
          <c:xMode val="edge"/>
          <c:yMode val="edge"/>
          <c:x val="4.2687539606681334E-2"/>
          <c:y val="0.88431757920082021"/>
          <c:w val="0.94498714447540477"/>
          <c:h val="0.11264001684316705"/>
        </c:manualLayout>
      </c:layout>
      <c:spPr>
        <a:ln>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9011887316812913E-2"/>
          <c:y val="1.6233377178020272E-2"/>
          <c:w val="0.93080536961356963"/>
          <c:h val="0.77179151035441029"/>
        </c:manualLayout>
      </c:layout>
      <c:barChart>
        <c:barDir val="col"/>
        <c:grouping val="clustered"/>
        <c:ser>
          <c:idx val="2"/>
          <c:order val="2"/>
          <c:tx>
            <c:strRef>
              <c:f>'Mzdy a produktivita'!$E$90</c:f>
              <c:strCache>
                <c:ptCount val="1"/>
                <c:pt idx="0">
                  <c:v>Vyplacené mzdy a platy na 1 zaměstnance (nominálně)</c:v>
                </c:pt>
              </c:strCache>
            </c:strRef>
          </c:tx>
          <c:spPr>
            <a:solidFill>
              <a:sysClr val="window" lastClr="FFFFFF">
                <a:lumMod val="65000"/>
              </a:sysClr>
            </a:solidFill>
            <a:ln w="22225">
              <a:noFill/>
            </a:ln>
          </c:spP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produktivita'!$E$91:$E$134</c:f>
              <c:numCache>
                <c:formatCode>0.0</c:formatCode>
                <c:ptCount val="44"/>
                <c:pt idx="0">
                  <c:v>7.1145912959309205</c:v>
                </c:pt>
                <c:pt idx="1">
                  <c:v>5.5437905981515794</c:v>
                </c:pt>
                <c:pt idx="2">
                  <c:v>5.4624650955409324</c:v>
                </c:pt>
                <c:pt idx="3">
                  <c:v>5.4263632565805011</c:v>
                </c:pt>
                <c:pt idx="4">
                  <c:v>7.545730709816965</c:v>
                </c:pt>
                <c:pt idx="5">
                  <c:v>5.8316934962009421</c:v>
                </c:pt>
                <c:pt idx="6">
                  <c:v>3.9943327520595053</c:v>
                </c:pt>
                <c:pt idx="7">
                  <c:v>2.1514503433726588</c:v>
                </c:pt>
                <c:pt idx="8">
                  <c:v>-1.0382798579541463</c:v>
                </c:pt>
                <c:pt idx="9">
                  <c:v>-1.0536274040125875</c:v>
                </c:pt>
                <c:pt idx="10">
                  <c:v>1.1791782998793252</c:v>
                </c:pt>
                <c:pt idx="11">
                  <c:v>2.7509155694290972</c:v>
                </c:pt>
                <c:pt idx="12">
                  <c:v>2.1891775485762306</c:v>
                </c:pt>
                <c:pt idx="13">
                  <c:v>3.466288001965907</c:v>
                </c:pt>
                <c:pt idx="14">
                  <c:v>3.1320465347573627</c:v>
                </c:pt>
                <c:pt idx="15">
                  <c:v>2.2052273403621006</c:v>
                </c:pt>
                <c:pt idx="16">
                  <c:v>2.9444945170146894</c:v>
                </c:pt>
                <c:pt idx="17">
                  <c:v>2.9704833798524675</c:v>
                </c:pt>
                <c:pt idx="18">
                  <c:v>2.4267212566699343</c:v>
                </c:pt>
                <c:pt idx="19">
                  <c:v>2.3124255239017502</c:v>
                </c:pt>
                <c:pt idx="20">
                  <c:v>3.7316933373723082</c:v>
                </c:pt>
                <c:pt idx="21">
                  <c:v>1.9158959665629425</c:v>
                </c:pt>
                <c:pt idx="22">
                  <c:v>0.5183374905682856</c:v>
                </c:pt>
                <c:pt idx="23">
                  <c:v>1.7401874530554835</c:v>
                </c:pt>
                <c:pt idx="24">
                  <c:v>-1.2209868455968405</c:v>
                </c:pt>
                <c:pt idx="25">
                  <c:v>-0.41837106779134287</c:v>
                </c:pt>
                <c:pt idx="26">
                  <c:v>1.4028773472451745</c:v>
                </c:pt>
                <c:pt idx="27">
                  <c:v>-1.56675881882542</c:v>
                </c:pt>
                <c:pt idx="28">
                  <c:v>3.1256494200529787</c:v>
                </c:pt>
                <c:pt idx="29">
                  <c:v>3.3574572479724614</c:v>
                </c:pt>
                <c:pt idx="30">
                  <c:v>1.6711665278176184</c:v>
                </c:pt>
                <c:pt idx="31">
                  <c:v>2.6832339945580088</c:v>
                </c:pt>
                <c:pt idx="32">
                  <c:v>2.1198536831547541</c:v>
                </c:pt>
                <c:pt idx="33">
                  <c:v>2.6809651172683151</c:v>
                </c:pt>
                <c:pt idx="34">
                  <c:v>3.3331686574264152</c:v>
                </c:pt>
                <c:pt idx="35">
                  <c:v>3.0786274035115753</c:v>
                </c:pt>
                <c:pt idx="36">
                  <c:v>3.5198331057782508</c:v>
                </c:pt>
                <c:pt idx="37">
                  <c:v>3.6241208063056667</c:v>
                </c:pt>
                <c:pt idx="38">
                  <c:v>3.9496571007880967</c:v>
                </c:pt>
                <c:pt idx="39">
                  <c:v>4.1654698021102465</c:v>
                </c:pt>
                <c:pt idx="40">
                  <c:v>5.4410578367084446</c:v>
                </c:pt>
                <c:pt idx="41">
                  <c:v>6.7790836699442893</c:v>
                </c:pt>
                <c:pt idx="42">
                  <c:v>5.7632737667049838</c:v>
                </c:pt>
                <c:pt idx="43">
                  <c:v>7.0851085183863445</c:v>
                </c:pt>
              </c:numCache>
            </c:numRef>
          </c:val>
          <c:extLst xmlns:c16r2="http://schemas.microsoft.com/office/drawing/2015/06/chart">
            <c:ext xmlns:c16="http://schemas.microsoft.com/office/drawing/2014/chart" uri="{C3380CC4-5D6E-409C-BE32-E72D297353CC}">
              <c16:uniqueId val="{00000000-7797-4C34-B774-8EAA862FA144}"/>
            </c:ext>
          </c:extLst>
        </c:ser>
        <c:gapWidth val="51"/>
        <c:axId val="124307712"/>
        <c:axId val="124318464"/>
      </c:barChart>
      <c:lineChart>
        <c:grouping val="standard"/>
        <c:ser>
          <c:idx val="0"/>
          <c:order val="0"/>
          <c:tx>
            <c:strRef>
              <c:f>'Mzdy a produktivita'!$C$90</c:f>
              <c:strCache>
                <c:ptCount val="1"/>
                <c:pt idx="0">
                  <c:v>Objem vyplacených mezd a platů (nominálně)</c:v>
                </c:pt>
              </c:strCache>
            </c:strRef>
          </c:tx>
          <c:spPr>
            <a:ln w="22225">
              <a:solidFill>
                <a:srgbClr val="0071BC"/>
              </a:solidFill>
              <a:prstDash val="sysDot"/>
            </a:ln>
          </c:spPr>
          <c:marker>
            <c:symbol val="none"/>
          </c:marke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produktivita'!$C$91:$C$134</c:f>
              <c:numCache>
                <c:formatCode>0.0</c:formatCode>
                <c:ptCount val="44"/>
                <c:pt idx="0">
                  <c:v>8.8803530098498147</c:v>
                </c:pt>
                <c:pt idx="1">
                  <c:v>8.0611065809762721</c:v>
                </c:pt>
                <c:pt idx="2">
                  <c:v>8.1594400662353248</c:v>
                </c:pt>
                <c:pt idx="3">
                  <c:v>8.0049905560657777</c:v>
                </c:pt>
                <c:pt idx="4">
                  <c:v>10.395000262433754</c:v>
                </c:pt>
                <c:pt idx="5">
                  <c:v>8.5165581861097195</c:v>
                </c:pt>
                <c:pt idx="6">
                  <c:v>6.9336404713387134</c:v>
                </c:pt>
                <c:pt idx="7">
                  <c:v>4.8359821975786303</c:v>
                </c:pt>
                <c:pt idx="8">
                  <c:v>-1.3319251106258598</c:v>
                </c:pt>
                <c:pt idx="9">
                  <c:v>-3.0893044286401619</c:v>
                </c:pt>
                <c:pt idx="10">
                  <c:v>-2.2917080930602403</c:v>
                </c:pt>
                <c:pt idx="11">
                  <c:v>-1.3243999338871362</c:v>
                </c:pt>
                <c:pt idx="12">
                  <c:v>-1.6407435834776161</c:v>
                </c:pt>
                <c:pt idx="13">
                  <c:v>1.1314017547439335</c:v>
                </c:pt>
                <c:pt idx="14">
                  <c:v>2.1911303315526292</c:v>
                </c:pt>
                <c:pt idx="15">
                  <c:v>1.3170506254904808</c:v>
                </c:pt>
                <c:pt idx="16">
                  <c:v>2.8484246182271202</c:v>
                </c:pt>
                <c:pt idx="17">
                  <c:v>2.7526421800549343</c:v>
                </c:pt>
                <c:pt idx="18">
                  <c:v>1.7266043779146056</c:v>
                </c:pt>
                <c:pt idx="19">
                  <c:v>1.2855406526590856</c:v>
                </c:pt>
                <c:pt idx="20">
                  <c:v>3.4231334549116812</c:v>
                </c:pt>
                <c:pt idx="21">
                  <c:v>1.9795597124091511</c:v>
                </c:pt>
                <c:pt idx="22">
                  <c:v>1.6630395416445083</c:v>
                </c:pt>
                <c:pt idx="23">
                  <c:v>3.2388039851042167</c:v>
                </c:pt>
                <c:pt idx="24">
                  <c:v>0.16448829336816642</c:v>
                </c:pt>
                <c:pt idx="25">
                  <c:v>1.1982465936294631</c:v>
                </c:pt>
                <c:pt idx="26">
                  <c:v>1.725698367053488</c:v>
                </c:pt>
                <c:pt idx="27">
                  <c:v>-1.0917970293985921</c:v>
                </c:pt>
                <c:pt idx="28">
                  <c:v>3.8473033733697122</c:v>
                </c:pt>
                <c:pt idx="29">
                  <c:v>3.4551427592942567</c:v>
                </c:pt>
                <c:pt idx="30">
                  <c:v>2.9445262981881086</c:v>
                </c:pt>
                <c:pt idx="31">
                  <c:v>4.2141034521547169</c:v>
                </c:pt>
                <c:pt idx="32">
                  <c:v>4.0359028043531424</c:v>
                </c:pt>
                <c:pt idx="33">
                  <c:v>4.8431887007589296</c:v>
                </c:pt>
                <c:pt idx="34">
                  <c:v>5.1616027263756052</c:v>
                </c:pt>
                <c:pt idx="35">
                  <c:v>5.1895447857431192</c:v>
                </c:pt>
                <c:pt idx="36">
                  <c:v>6.0523243795371773</c:v>
                </c:pt>
                <c:pt idx="37">
                  <c:v>5.4330761607119404</c:v>
                </c:pt>
                <c:pt idx="38">
                  <c:v>5.6586892660635844</c:v>
                </c:pt>
                <c:pt idx="39">
                  <c:v>5.7471295406184755</c:v>
                </c:pt>
                <c:pt idx="40">
                  <c:v>6.7004531942888041</c:v>
                </c:pt>
                <c:pt idx="41">
                  <c:v>8.3699121277073747</c:v>
                </c:pt>
                <c:pt idx="42">
                  <c:v>8.1819761524521919</c:v>
                </c:pt>
                <c:pt idx="43">
                  <c:v>9.5261320660764426</c:v>
                </c:pt>
              </c:numCache>
            </c:numRef>
          </c:val>
          <c:extLst xmlns:c16r2="http://schemas.microsoft.com/office/drawing/2015/06/chart">
            <c:ext xmlns:c16="http://schemas.microsoft.com/office/drawing/2014/chart" uri="{C3380CC4-5D6E-409C-BE32-E72D297353CC}">
              <c16:uniqueId val="{00000001-7797-4C34-B774-8EAA862FA144}"/>
            </c:ext>
          </c:extLst>
        </c:ser>
        <c:ser>
          <c:idx val="1"/>
          <c:order val="1"/>
          <c:tx>
            <c:strRef>
              <c:f>'Mzdy a produktivita'!$D$90</c:f>
              <c:strCache>
                <c:ptCount val="1"/>
                <c:pt idx="0">
                  <c:v>Objem vyplacených mezd a platů (reálně)</c:v>
                </c:pt>
              </c:strCache>
            </c:strRef>
          </c:tx>
          <c:spPr>
            <a:ln w="22225">
              <a:solidFill>
                <a:srgbClr val="0071BC"/>
              </a:solidFill>
              <a:prstDash val="solid"/>
            </a:ln>
          </c:spPr>
          <c:marker>
            <c:symbol val="none"/>
          </c:marke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produktivita'!$D$91:$D$134</c:f>
              <c:numCache>
                <c:formatCode>#,##0.0</c:formatCode>
                <c:ptCount val="44"/>
                <c:pt idx="0">
                  <c:v>6.6822423590738724</c:v>
                </c:pt>
                <c:pt idx="1">
                  <c:v>5.4869603847052133</c:v>
                </c:pt>
                <c:pt idx="2">
                  <c:v>5.4114386439917324</c:v>
                </c:pt>
                <c:pt idx="3">
                  <c:v>3.4302081595239469</c:v>
                </c:pt>
                <c:pt idx="4">
                  <c:v>4.4066040441991801</c:v>
                </c:pt>
                <c:pt idx="5">
                  <c:v>3.1720008130913726</c:v>
                </c:pt>
                <c:pt idx="6">
                  <c:v>1.7820694304571558</c:v>
                </c:pt>
                <c:pt idx="7">
                  <c:v>1.5073983694903739</c:v>
                </c:pt>
                <c:pt idx="8">
                  <c:v>-3.0275843351882799</c:v>
                </c:pt>
                <c:pt idx="9">
                  <c:v>-4.2613563966589805</c:v>
                </c:pt>
                <c:pt idx="10">
                  <c:v>-2.3479445442104092</c:v>
                </c:pt>
                <c:pt idx="11">
                  <c:v>-1.7921804008888864</c:v>
                </c:pt>
                <c:pt idx="12">
                  <c:v>-1.026885916876898</c:v>
                </c:pt>
                <c:pt idx="13">
                  <c:v>0.98726773012953117</c:v>
                </c:pt>
                <c:pt idx="14">
                  <c:v>1.2456155283742163</c:v>
                </c:pt>
                <c:pt idx="15">
                  <c:v>1.1930485152063911E-2</c:v>
                </c:pt>
                <c:pt idx="16">
                  <c:v>1.1143409784457321</c:v>
                </c:pt>
                <c:pt idx="17">
                  <c:v>0.91232499227259023</c:v>
                </c:pt>
                <c:pt idx="18">
                  <c:v>6.7106080198215123E-2</c:v>
                </c:pt>
                <c:pt idx="19">
                  <c:v>-0.57822053920969563</c:v>
                </c:pt>
                <c:pt idx="20">
                  <c:v>0.69995446854495924</c:v>
                </c:pt>
                <c:pt idx="21">
                  <c:v>-0.23192219608451126</c:v>
                </c:pt>
                <c:pt idx="22">
                  <c:v>-0.47392166339740877</c:v>
                </c:pt>
                <c:pt idx="23">
                  <c:v>1.3359876679448774</c:v>
                </c:pt>
                <c:pt idx="24">
                  <c:v>-0.82142500744606661</c:v>
                </c:pt>
                <c:pt idx="25">
                  <c:v>0.24333633434729204</c:v>
                </c:pt>
                <c:pt idx="26">
                  <c:v>0.91821494232728151</c:v>
                </c:pt>
                <c:pt idx="27">
                  <c:v>-1.7952866708239978</c:v>
                </c:pt>
                <c:pt idx="28">
                  <c:v>3.3606651611940777</c:v>
                </c:pt>
                <c:pt idx="29">
                  <c:v>2.9192137628583912</c:v>
                </c:pt>
                <c:pt idx="30">
                  <c:v>2.0856371015448607</c:v>
                </c:pt>
                <c:pt idx="31">
                  <c:v>3.5997693463677511</c:v>
                </c:pt>
                <c:pt idx="32">
                  <c:v>3.9076300287547392</c:v>
                </c:pt>
                <c:pt idx="33">
                  <c:v>4.3078224221934684</c:v>
                </c:pt>
                <c:pt idx="34">
                  <c:v>5.1916660151557634</c:v>
                </c:pt>
                <c:pt idx="35">
                  <c:v>5.1713798945581972</c:v>
                </c:pt>
                <c:pt idx="36">
                  <c:v>5.9583662867217981</c:v>
                </c:pt>
                <c:pt idx="37">
                  <c:v>5.4199903485808694</c:v>
                </c:pt>
                <c:pt idx="38">
                  <c:v>4.8999581012189566</c:v>
                </c:pt>
                <c:pt idx="39">
                  <c:v>4.4012056651944524</c:v>
                </c:pt>
                <c:pt idx="40">
                  <c:v>4.2135207127115137</c:v>
                </c:pt>
                <c:pt idx="41">
                  <c:v>6.0170589216941863</c:v>
                </c:pt>
                <c:pt idx="42">
                  <c:v>5.7771516212248804</c:v>
                </c:pt>
                <c:pt idx="43">
                  <c:v>6.7933851863724612</c:v>
                </c:pt>
              </c:numCache>
            </c:numRef>
          </c:val>
          <c:extLst xmlns:c16r2="http://schemas.microsoft.com/office/drawing/2015/06/chart">
            <c:ext xmlns:c16="http://schemas.microsoft.com/office/drawing/2014/chart" uri="{C3380CC4-5D6E-409C-BE32-E72D297353CC}">
              <c16:uniqueId val="{00000002-7797-4C34-B774-8EAA862FA144}"/>
            </c:ext>
          </c:extLst>
        </c:ser>
        <c:ser>
          <c:idx val="3"/>
          <c:order val="3"/>
          <c:tx>
            <c:strRef>
              <c:f>'Mzdy a produktivita'!$F$90</c:f>
              <c:strCache>
                <c:ptCount val="1"/>
                <c:pt idx="0">
                  <c:v>Produktivita práce (nominálně)*</c:v>
                </c:pt>
              </c:strCache>
            </c:strRef>
          </c:tx>
          <c:spPr>
            <a:ln w="22225">
              <a:noFill/>
            </a:ln>
          </c:spPr>
          <c:marker>
            <c:symbol val="diamond"/>
            <c:size val="4"/>
            <c:spPr>
              <a:solidFill>
                <a:srgbClr val="FFFF00"/>
              </a:solidFill>
              <a:ln>
                <a:solidFill>
                  <a:schemeClr val="bg1">
                    <a:lumMod val="50000"/>
                  </a:schemeClr>
                </a:solidFill>
              </a:ln>
            </c:spPr>
          </c:marker>
          <c:cat>
            <c:multiLvlStrRef>
              <c:f>'Mzdy a produktivita'!$A$91:$B$134</c:f>
              <c:multiLvlStrCache>
                <c:ptCount val="44"/>
                <c:lvl>
                  <c:pt idx="0">
                    <c:v>1</c:v>
                  </c:pt>
                  <c:pt idx="1">
                    <c:v>2</c:v>
                  </c:pt>
                  <c:pt idx="2">
                    <c:v>3</c:v>
                  </c:pt>
                  <c:pt idx="3">
                    <c:v>4</c:v>
                  </c:pt>
                  <c:pt idx="4">
                    <c:v>1</c:v>
                  </c:pt>
                  <c:pt idx="5">
                    <c:v>2</c:v>
                  </c:pt>
                  <c:pt idx="6">
                    <c:v>3</c:v>
                  </c:pt>
                  <c:pt idx="7">
                    <c:v>4</c:v>
                  </c:pt>
                  <c:pt idx="8">
                    <c:v>1</c:v>
                  </c:pt>
                  <c:pt idx="9">
                    <c:v>2</c:v>
                  </c:pt>
                  <c:pt idx="10">
                    <c:v>3</c:v>
                  </c:pt>
                  <c:pt idx="11">
                    <c:v>4</c:v>
                  </c:pt>
                  <c:pt idx="12">
                    <c:v>1</c:v>
                  </c:pt>
                  <c:pt idx="13">
                    <c:v>2</c:v>
                  </c:pt>
                  <c:pt idx="14">
                    <c:v>3</c:v>
                  </c:pt>
                  <c:pt idx="15">
                    <c:v>4</c:v>
                  </c:pt>
                  <c:pt idx="16">
                    <c:v>1</c:v>
                  </c:pt>
                  <c:pt idx="17">
                    <c:v>2</c:v>
                  </c:pt>
                  <c:pt idx="18">
                    <c:v>3</c:v>
                  </c:pt>
                  <c:pt idx="19">
                    <c:v>4</c:v>
                  </c:pt>
                  <c:pt idx="20">
                    <c:v>1</c:v>
                  </c:pt>
                  <c:pt idx="21">
                    <c:v>2</c:v>
                  </c:pt>
                  <c:pt idx="22">
                    <c:v>3</c:v>
                  </c:pt>
                  <c:pt idx="23">
                    <c:v>4</c:v>
                  </c:pt>
                  <c:pt idx="24">
                    <c:v>1</c:v>
                  </c:pt>
                  <c:pt idx="25">
                    <c:v>2</c:v>
                  </c:pt>
                  <c:pt idx="26">
                    <c:v>3</c:v>
                  </c:pt>
                  <c:pt idx="27">
                    <c:v>4</c:v>
                  </c:pt>
                  <c:pt idx="28">
                    <c:v>1</c:v>
                  </c:pt>
                  <c:pt idx="29">
                    <c:v>2</c:v>
                  </c:pt>
                  <c:pt idx="30">
                    <c:v>3</c:v>
                  </c:pt>
                  <c:pt idx="31">
                    <c:v>4</c:v>
                  </c:pt>
                  <c:pt idx="32">
                    <c:v>1</c:v>
                  </c:pt>
                  <c:pt idx="33">
                    <c:v>2</c:v>
                  </c:pt>
                  <c:pt idx="34">
                    <c:v>3</c:v>
                  </c:pt>
                  <c:pt idx="35">
                    <c:v>4</c:v>
                  </c:pt>
                  <c:pt idx="36">
                    <c:v>1</c:v>
                  </c:pt>
                  <c:pt idx="37">
                    <c:v>2</c:v>
                  </c:pt>
                  <c:pt idx="38">
                    <c:v>3</c:v>
                  </c:pt>
                  <c:pt idx="39">
                    <c:v>4</c:v>
                  </c:pt>
                  <c:pt idx="40">
                    <c:v>1</c:v>
                  </c:pt>
                  <c:pt idx="41">
                    <c:v>2</c:v>
                  </c:pt>
                  <c:pt idx="42">
                    <c:v>3</c:v>
                  </c:pt>
                  <c:pt idx="43">
                    <c:v>4</c:v>
                  </c:pt>
                </c:lvl>
                <c:lvl>
                  <c:pt idx="0">
                    <c:v>2007</c:v>
                  </c:pt>
                  <c:pt idx="4">
                    <c:v>2008</c:v>
                  </c:pt>
                  <c:pt idx="8">
                    <c:v>2009</c:v>
                  </c:pt>
                  <c:pt idx="12">
                    <c:v>2010</c:v>
                  </c:pt>
                  <c:pt idx="16">
                    <c:v>2011</c:v>
                  </c:pt>
                  <c:pt idx="20">
                    <c:v>2012</c:v>
                  </c:pt>
                  <c:pt idx="24">
                    <c:v>2013</c:v>
                  </c:pt>
                  <c:pt idx="28">
                    <c:v>2014</c:v>
                  </c:pt>
                  <c:pt idx="32">
                    <c:v>2015</c:v>
                  </c:pt>
                  <c:pt idx="36">
                    <c:v>2016</c:v>
                  </c:pt>
                  <c:pt idx="40">
                    <c:v>2017</c:v>
                  </c:pt>
                </c:lvl>
              </c:multiLvlStrCache>
            </c:multiLvlStrRef>
          </c:cat>
          <c:val>
            <c:numRef>
              <c:f>'Mzdy a produktivita'!$F$91:$F$134</c:f>
              <c:numCache>
                <c:formatCode>0.0</c:formatCode>
                <c:ptCount val="44"/>
                <c:pt idx="0">
                  <c:v>8.4956516069712364</c:v>
                </c:pt>
                <c:pt idx="1">
                  <c:v>6.9434402333897935</c:v>
                </c:pt>
                <c:pt idx="2">
                  <c:v>6.7461025071596623</c:v>
                </c:pt>
                <c:pt idx="3">
                  <c:v>6.3019257610523454</c:v>
                </c:pt>
                <c:pt idx="4">
                  <c:v>2.806358665043077</c:v>
                </c:pt>
                <c:pt idx="5">
                  <c:v>4.7816448877113924</c:v>
                </c:pt>
                <c:pt idx="6">
                  <c:v>4.0648906158599205</c:v>
                </c:pt>
                <c:pt idx="7">
                  <c:v>-1.1488063230936241</c:v>
                </c:pt>
                <c:pt idx="8">
                  <c:v>0.30656288655466118</c:v>
                </c:pt>
                <c:pt idx="9">
                  <c:v>-1.823421387798243</c:v>
                </c:pt>
                <c:pt idx="10">
                  <c:v>-2.6646686351464837</c:v>
                </c:pt>
                <c:pt idx="11">
                  <c:v>2.2907081676093672</c:v>
                </c:pt>
                <c:pt idx="12">
                  <c:v>1.2317469791325806</c:v>
                </c:pt>
                <c:pt idx="13">
                  <c:v>3.3518502052260377</c:v>
                </c:pt>
                <c:pt idx="14">
                  <c:v>1.8996267146356158</c:v>
                </c:pt>
                <c:pt idx="15">
                  <c:v>0.84387803019754715</c:v>
                </c:pt>
                <c:pt idx="16">
                  <c:v>1.8310133185012205</c:v>
                </c:pt>
                <c:pt idx="17">
                  <c:v>1.2964413283224439</c:v>
                </c:pt>
                <c:pt idx="18">
                  <c:v>2.1573742418612381</c:v>
                </c:pt>
                <c:pt idx="19">
                  <c:v>3.0199821271076104</c:v>
                </c:pt>
                <c:pt idx="20">
                  <c:v>2.3633323320347159</c:v>
                </c:pt>
                <c:pt idx="21">
                  <c:v>0.43933049723523465</c:v>
                </c:pt>
                <c:pt idx="22">
                  <c:v>-0.61589379248633536</c:v>
                </c:pt>
                <c:pt idx="23">
                  <c:v>-1.0810464112920499</c:v>
                </c:pt>
                <c:pt idx="24">
                  <c:v>-1.5327807802749476</c:v>
                </c:pt>
                <c:pt idx="25">
                  <c:v>-0.70062858949981666</c:v>
                </c:pt>
                <c:pt idx="26">
                  <c:v>1.6617179847613472</c:v>
                </c:pt>
                <c:pt idx="27">
                  <c:v>2.8522333487817235</c:v>
                </c:pt>
                <c:pt idx="28">
                  <c:v>3.9010231953977126</c:v>
                </c:pt>
                <c:pt idx="29">
                  <c:v>5.4815294023793983</c:v>
                </c:pt>
                <c:pt idx="30">
                  <c:v>5.9469442046384975</c:v>
                </c:pt>
                <c:pt idx="31">
                  <c:v>3.4050967922386093</c:v>
                </c:pt>
                <c:pt idx="32">
                  <c:v>5.4455456963092095</c:v>
                </c:pt>
                <c:pt idx="33">
                  <c:v>5.4936668933391237</c:v>
                </c:pt>
                <c:pt idx="34">
                  <c:v>4.7962291610104382</c:v>
                </c:pt>
                <c:pt idx="35">
                  <c:v>4.4822959886302982</c:v>
                </c:pt>
                <c:pt idx="36">
                  <c:v>3.0160350625013876</c:v>
                </c:pt>
                <c:pt idx="37">
                  <c:v>3.2419993140823613</c:v>
                </c:pt>
                <c:pt idx="38">
                  <c:v>1.3394077784166143</c:v>
                </c:pt>
                <c:pt idx="39">
                  <c:v>1.032853411561552</c:v>
                </c:pt>
                <c:pt idx="40">
                  <c:v>2.8318877060545589</c:v>
                </c:pt>
                <c:pt idx="41">
                  <c:v>3.3468552602249133</c:v>
                </c:pt>
                <c:pt idx="42">
                  <c:v>4.5042882664808772</c:v>
                </c:pt>
                <c:pt idx="43">
                  <c:v>5.9358236171557905</c:v>
                </c:pt>
              </c:numCache>
            </c:numRef>
          </c:val>
          <c:extLst xmlns:c16r2="http://schemas.microsoft.com/office/drawing/2015/06/chart">
            <c:ext xmlns:c16="http://schemas.microsoft.com/office/drawing/2014/chart" uri="{C3380CC4-5D6E-409C-BE32-E72D297353CC}">
              <c16:uniqueId val="{00000003-7797-4C34-B774-8EAA862FA144}"/>
            </c:ext>
          </c:extLst>
        </c:ser>
        <c:marker val="1"/>
        <c:axId val="124307712"/>
        <c:axId val="124318464"/>
      </c:lineChart>
      <c:catAx>
        <c:axId val="124307712"/>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24318464"/>
        <c:crossesAt val="0"/>
        <c:auto val="1"/>
        <c:lblAlgn val="ctr"/>
        <c:lblOffset val="0"/>
      </c:catAx>
      <c:valAx>
        <c:axId val="124318464"/>
        <c:scaling>
          <c:orientation val="minMax"/>
          <c:max val="11"/>
          <c:min val="-5"/>
        </c:scaling>
        <c:axPos val="l"/>
        <c:majorGridlines>
          <c:spPr>
            <a:ln w="6350">
              <a:solidFill>
                <a:sysClr val="window" lastClr="FFFFFF">
                  <a:lumMod val="75000"/>
                </a:sys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4307712"/>
        <c:crosses val="autoZero"/>
        <c:crossBetween val="between"/>
        <c:majorUnit val="1"/>
      </c:valAx>
      <c:spPr>
        <a:ln>
          <a:solidFill>
            <a:sysClr val="windowText" lastClr="000000"/>
          </a:solidFill>
        </a:ln>
      </c:spPr>
    </c:plotArea>
    <c:legend>
      <c:legendPos val="r"/>
      <c:layout>
        <c:manualLayout>
          <c:xMode val="edge"/>
          <c:yMode val="edge"/>
          <c:x val="4.7906432638921685E-2"/>
          <c:y val="0.88075552074315322"/>
          <c:w val="0.92805738539131122"/>
          <c:h val="0.11226367646452627"/>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solidFill>
      <a:srgbClr val="FFFFFF"/>
    </a:solidFill>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8.6942257217847679E-2"/>
          <c:y val="1.625987732965755E-2"/>
          <c:w val="0.84118730830360999"/>
          <c:h val="0.82953280542833252"/>
        </c:manualLayout>
      </c:layout>
      <c:barChart>
        <c:barDir val="col"/>
        <c:grouping val="clustered"/>
        <c:ser>
          <c:idx val="0"/>
          <c:order val="0"/>
          <c:tx>
            <c:strRef>
              <c:f>'Pohlaví a věk'!$C$238</c:f>
              <c:strCache>
                <c:ptCount val="1"/>
                <c:pt idx="0">
                  <c:v>Průměrná mzda mužů (rok 2017)</c:v>
                </c:pt>
              </c:strCache>
            </c:strRef>
          </c:tx>
          <c:spPr>
            <a:solidFill>
              <a:srgbClr val="A6CDE8"/>
            </a:solidFill>
          </c:spP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věk'!$C$239:$C$249</c:f>
              <c:numCache>
                <c:formatCode>#,##0</c:formatCode>
                <c:ptCount val="11"/>
                <c:pt idx="0">
                  <c:v>20743</c:v>
                </c:pt>
                <c:pt idx="1">
                  <c:v>24252</c:v>
                </c:pt>
                <c:pt idx="2">
                  <c:v>29339</c:v>
                </c:pt>
                <c:pt idx="3">
                  <c:v>33833</c:v>
                </c:pt>
                <c:pt idx="4">
                  <c:v>37283</c:v>
                </c:pt>
                <c:pt idx="5">
                  <c:v>38379</c:v>
                </c:pt>
                <c:pt idx="6">
                  <c:v>36994</c:v>
                </c:pt>
                <c:pt idx="7">
                  <c:v>35015</c:v>
                </c:pt>
                <c:pt idx="8">
                  <c:v>32937</c:v>
                </c:pt>
                <c:pt idx="9">
                  <c:v>32502</c:v>
                </c:pt>
                <c:pt idx="10">
                  <c:v>34306</c:v>
                </c:pt>
              </c:numCache>
            </c:numRef>
          </c:val>
          <c:extLst xmlns:c16r2="http://schemas.microsoft.com/office/drawing/2015/06/chart">
            <c:ext xmlns:c16="http://schemas.microsoft.com/office/drawing/2014/chart" uri="{C3380CC4-5D6E-409C-BE32-E72D297353CC}">
              <c16:uniqueId val="{00000000-E454-4A3A-9A9F-7E5F2E832274}"/>
            </c:ext>
          </c:extLst>
        </c:ser>
        <c:ser>
          <c:idx val="1"/>
          <c:order val="1"/>
          <c:tx>
            <c:strRef>
              <c:f>'Pohlaví a věk'!$D$238</c:f>
              <c:strCache>
                <c:ptCount val="1"/>
                <c:pt idx="0">
                  <c:v>Průměrná mzda žen (rok 2017)</c:v>
                </c:pt>
              </c:strCache>
            </c:strRef>
          </c:tx>
          <c:spPr>
            <a:solidFill>
              <a:srgbClr val="E8AFB2"/>
            </a:solidFill>
          </c:spP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věk'!$D$239:$D$249</c:f>
              <c:numCache>
                <c:formatCode>#,##0</c:formatCode>
                <c:ptCount val="11"/>
                <c:pt idx="0">
                  <c:v>18896</c:v>
                </c:pt>
                <c:pt idx="1">
                  <c:v>21352</c:v>
                </c:pt>
                <c:pt idx="2">
                  <c:v>26089</c:v>
                </c:pt>
                <c:pt idx="3">
                  <c:v>28447</c:v>
                </c:pt>
                <c:pt idx="4">
                  <c:v>27791</c:v>
                </c:pt>
                <c:pt idx="5">
                  <c:v>27544</c:v>
                </c:pt>
                <c:pt idx="6">
                  <c:v>27249</c:v>
                </c:pt>
                <c:pt idx="7">
                  <c:v>27472</c:v>
                </c:pt>
                <c:pt idx="8">
                  <c:v>26992</c:v>
                </c:pt>
                <c:pt idx="9">
                  <c:v>29776</c:v>
                </c:pt>
                <c:pt idx="10">
                  <c:v>27359</c:v>
                </c:pt>
              </c:numCache>
            </c:numRef>
          </c:val>
          <c:extLst xmlns:c16r2="http://schemas.microsoft.com/office/drawing/2015/06/chart">
            <c:ext xmlns:c16="http://schemas.microsoft.com/office/drawing/2014/chart" uri="{C3380CC4-5D6E-409C-BE32-E72D297353CC}">
              <c16:uniqueId val="{00000001-E454-4A3A-9A9F-7E5F2E832274}"/>
            </c:ext>
          </c:extLst>
        </c:ser>
        <c:axId val="124351232"/>
        <c:axId val="124353152"/>
      </c:barChart>
      <c:lineChart>
        <c:grouping val="standard"/>
        <c:ser>
          <c:idx val="2"/>
          <c:order val="2"/>
          <c:tx>
            <c:strRef>
              <c:f>'Pohlaví a věk'!$E$238</c:f>
              <c:strCache>
                <c:ptCount val="1"/>
                <c:pt idx="0">
                  <c:v>Prům. mzda mužů (2017/2012, pravá osa)</c:v>
                </c:pt>
              </c:strCache>
            </c:strRef>
          </c:tx>
          <c:spPr>
            <a:ln>
              <a:noFill/>
            </a:ln>
          </c:spPr>
          <c:marker>
            <c:symbol val="diamond"/>
            <c:size val="7"/>
            <c:spPr>
              <a:solidFill>
                <a:srgbClr val="0071BC"/>
              </a:solidFill>
              <a:ln>
                <a:noFill/>
              </a:ln>
            </c:spPr>
          </c:marke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věk'!$E$239:$E$249</c:f>
              <c:numCache>
                <c:formatCode>0.00</c:formatCode>
                <c:ptCount val="11"/>
                <c:pt idx="0">
                  <c:v>1.2728890525282277</c:v>
                </c:pt>
                <c:pt idx="1">
                  <c:v>1.2704699041332705</c:v>
                </c:pt>
                <c:pt idx="2">
                  <c:v>1.212205098541504</c:v>
                </c:pt>
                <c:pt idx="3">
                  <c:v>1.1488675337023389</c:v>
                </c:pt>
                <c:pt idx="4">
                  <c:v>1.1690026024519486</c:v>
                </c:pt>
                <c:pt idx="5">
                  <c:v>1.2041981738884879</c:v>
                </c:pt>
                <c:pt idx="6">
                  <c:v>1.1874558644154911</c:v>
                </c:pt>
                <c:pt idx="7">
                  <c:v>1.2053356282271868</c:v>
                </c:pt>
                <c:pt idx="8">
                  <c:v>1.1793118264169919</c:v>
                </c:pt>
                <c:pt idx="9">
                  <c:v>1.1268592032728912</c:v>
                </c:pt>
                <c:pt idx="10">
                  <c:v>1.1350206782464838</c:v>
                </c:pt>
              </c:numCache>
            </c:numRef>
          </c:val>
          <c:extLst xmlns:c16r2="http://schemas.microsoft.com/office/drawing/2015/06/chart">
            <c:ext xmlns:c16="http://schemas.microsoft.com/office/drawing/2014/chart" uri="{C3380CC4-5D6E-409C-BE32-E72D297353CC}">
              <c16:uniqueId val="{00000002-E454-4A3A-9A9F-7E5F2E832274}"/>
            </c:ext>
          </c:extLst>
        </c:ser>
        <c:ser>
          <c:idx val="3"/>
          <c:order val="3"/>
          <c:tx>
            <c:strRef>
              <c:f>'Pohlaví a věk'!$F$238</c:f>
              <c:strCache>
                <c:ptCount val="1"/>
                <c:pt idx="0">
                  <c:v>Prům. mzda žen (2017/2012, pravá osa)</c:v>
                </c:pt>
              </c:strCache>
            </c:strRef>
          </c:tx>
          <c:spPr>
            <a:ln>
              <a:noFill/>
            </a:ln>
          </c:spPr>
          <c:marker>
            <c:symbol val="triangle"/>
            <c:size val="7"/>
            <c:spPr>
              <a:solidFill>
                <a:srgbClr val="BD1B21"/>
              </a:solidFill>
              <a:ln>
                <a:noFill/>
              </a:ln>
            </c:spPr>
          </c:marker>
          <c:cat>
            <c:strRef>
              <c:f>'Pohlaví a věk'!$B$239:$B$249</c:f>
              <c:strCache>
                <c:ptCount val="11"/>
                <c:pt idx="0">
                  <c:v>&lt;19 let</c:v>
                </c:pt>
                <c:pt idx="1">
                  <c:v>20-24</c:v>
                </c:pt>
                <c:pt idx="2">
                  <c:v>25-29</c:v>
                </c:pt>
                <c:pt idx="3">
                  <c:v>30-34</c:v>
                </c:pt>
                <c:pt idx="4">
                  <c:v>35-39</c:v>
                </c:pt>
                <c:pt idx="5">
                  <c:v>40-44</c:v>
                </c:pt>
                <c:pt idx="6">
                  <c:v>45-49</c:v>
                </c:pt>
                <c:pt idx="7">
                  <c:v>50-54</c:v>
                </c:pt>
                <c:pt idx="8">
                  <c:v>55-59</c:v>
                </c:pt>
                <c:pt idx="9">
                  <c:v>60-64</c:v>
                </c:pt>
                <c:pt idx="10">
                  <c:v>&gt;65 let</c:v>
                </c:pt>
              </c:strCache>
            </c:strRef>
          </c:cat>
          <c:val>
            <c:numRef>
              <c:f>'Pohlaví a věk'!$F$239:$F$249</c:f>
              <c:numCache>
                <c:formatCode>0.00</c:formatCode>
                <c:ptCount val="11"/>
                <c:pt idx="0">
                  <c:v>1.3425222024866779</c:v>
                </c:pt>
                <c:pt idx="1">
                  <c:v>1.2512159390565563</c:v>
                </c:pt>
                <c:pt idx="2">
                  <c:v>1.1550960772159684</c:v>
                </c:pt>
                <c:pt idx="3">
                  <c:v>1.1789059262329127</c:v>
                </c:pt>
                <c:pt idx="4">
                  <c:v>1.2480801185611001</c:v>
                </c:pt>
                <c:pt idx="5">
                  <c:v>1.2360437982408898</c:v>
                </c:pt>
                <c:pt idx="6">
                  <c:v>1.2037904223361018</c:v>
                </c:pt>
                <c:pt idx="7">
                  <c:v>1.21000704721635</c:v>
                </c:pt>
                <c:pt idx="8">
                  <c:v>1.1859402460456938</c:v>
                </c:pt>
                <c:pt idx="9">
                  <c:v>1.16658830904247</c:v>
                </c:pt>
                <c:pt idx="10">
                  <c:v>1.2339437127908996</c:v>
                </c:pt>
              </c:numCache>
            </c:numRef>
          </c:val>
          <c:extLst xmlns:c16r2="http://schemas.microsoft.com/office/drawing/2015/06/chart">
            <c:ext xmlns:c16="http://schemas.microsoft.com/office/drawing/2014/chart" uri="{C3380CC4-5D6E-409C-BE32-E72D297353CC}">
              <c16:uniqueId val="{00000003-E454-4A3A-9A9F-7E5F2E832274}"/>
            </c:ext>
          </c:extLst>
        </c:ser>
        <c:marker val="1"/>
        <c:axId val="124368768"/>
        <c:axId val="124367232"/>
      </c:lineChart>
      <c:catAx>
        <c:axId val="124351232"/>
        <c:scaling>
          <c:orientation val="minMax"/>
        </c:scaling>
        <c:axPos val="b"/>
        <c:numFmt formatCode="General" sourceLinked="1"/>
        <c:tickLblPos val="nextTo"/>
        <c:txPr>
          <a:bodyPr/>
          <a:lstStyle/>
          <a:p>
            <a:pPr>
              <a:defRPr>
                <a:latin typeface="Arial" pitchFamily="34" charset="0"/>
                <a:cs typeface="Arial" pitchFamily="34" charset="0"/>
              </a:defRPr>
            </a:pPr>
            <a:endParaRPr lang="cs-CZ"/>
          </a:p>
        </c:txPr>
        <c:crossAx val="124353152"/>
        <c:crosses val="autoZero"/>
        <c:auto val="1"/>
        <c:lblAlgn val="ctr"/>
        <c:lblOffset val="0"/>
      </c:catAx>
      <c:valAx>
        <c:axId val="124353152"/>
        <c:scaling>
          <c:orientation val="minMax"/>
        </c:scaling>
        <c:axPos val="l"/>
        <c:majorGridlines>
          <c:spPr>
            <a:ln w="6350">
              <a:solidFill>
                <a:srgbClr val="BFBFBF"/>
              </a:solidFill>
            </a:ln>
          </c:spPr>
        </c:majorGridlines>
        <c:numFmt formatCode="#,##0" sourceLinked="1"/>
        <c:tickLblPos val="nextTo"/>
        <c:txPr>
          <a:bodyPr/>
          <a:lstStyle/>
          <a:p>
            <a:pPr>
              <a:defRPr>
                <a:latin typeface="Arial" pitchFamily="34" charset="0"/>
                <a:cs typeface="Arial" pitchFamily="34" charset="0"/>
              </a:defRPr>
            </a:pPr>
            <a:endParaRPr lang="cs-CZ"/>
          </a:p>
        </c:txPr>
        <c:crossAx val="124351232"/>
        <c:crosses val="autoZero"/>
        <c:crossBetween val="between"/>
      </c:valAx>
      <c:valAx>
        <c:axId val="124367232"/>
        <c:scaling>
          <c:orientation val="minMax"/>
          <c:max val="1.35"/>
          <c:min val="1"/>
        </c:scaling>
        <c:axPos val="r"/>
        <c:numFmt formatCode="0.00" sourceLinked="1"/>
        <c:tickLblPos val="nextTo"/>
        <c:txPr>
          <a:bodyPr/>
          <a:lstStyle/>
          <a:p>
            <a:pPr>
              <a:defRPr>
                <a:latin typeface="Arial" pitchFamily="34" charset="0"/>
                <a:cs typeface="Arial" pitchFamily="34" charset="0"/>
              </a:defRPr>
            </a:pPr>
            <a:endParaRPr lang="cs-CZ"/>
          </a:p>
        </c:txPr>
        <c:crossAx val="124368768"/>
        <c:crosses val="max"/>
        <c:crossBetween val="between"/>
      </c:valAx>
      <c:catAx>
        <c:axId val="124368768"/>
        <c:scaling>
          <c:orientation val="minMax"/>
        </c:scaling>
        <c:delete val="1"/>
        <c:axPos val="b"/>
        <c:numFmt formatCode="General" sourceLinked="1"/>
        <c:tickLblPos val="none"/>
        <c:crossAx val="124367232"/>
        <c:crosses val="autoZero"/>
        <c:auto val="1"/>
        <c:lblAlgn val="ctr"/>
        <c:lblOffset val="100"/>
      </c:catAx>
      <c:spPr>
        <a:ln>
          <a:solidFill>
            <a:sysClr val="windowText" lastClr="000000"/>
          </a:solidFill>
        </a:ln>
      </c:spPr>
    </c:plotArea>
    <c:legend>
      <c:legendPos val="r"/>
      <c:layout>
        <c:manualLayout>
          <c:xMode val="edge"/>
          <c:yMode val="edge"/>
          <c:x val="8.2020324900936206E-2"/>
          <c:y val="0.89530124837032232"/>
          <c:w val="0.87389271912525313"/>
          <c:h val="9.4382536624593949E-2"/>
        </c:manualLayout>
      </c:layout>
      <c:spPr>
        <a:ln>
          <a:solidFill>
            <a:schemeClr val="tx1">
              <a:lumMod val="95000"/>
              <a:lumOff val="5000"/>
            </a:schemeClr>
          </a:solidFill>
        </a:ln>
      </c:spPr>
      <c:txPr>
        <a:bodyPr/>
        <a:lstStyle/>
        <a:p>
          <a:pPr>
            <a:defRPr>
              <a:latin typeface="Arial" pitchFamily="34" charset="0"/>
              <a:cs typeface="Arial" pitchFamily="34" charset="0"/>
            </a:defRPr>
          </a:pPr>
          <a:endParaRPr lang="cs-CZ"/>
        </a:p>
      </c:txPr>
    </c:legend>
    <c:plotVisOnly val="1"/>
    <c:dispBlanksAs val="gap"/>
  </c:chart>
  <c:spPr>
    <a:ln>
      <a:noFill/>
    </a:ln>
  </c:spPr>
  <c:txPr>
    <a:bodyPr/>
    <a:lstStyle/>
    <a:p>
      <a:pPr>
        <a:defRPr sz="800"/>
      </a:pPr>
      <a:endParaRPr lang="cs-CZ"/>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6145390381095747E-2"/>
          <c:y val="1.4829626761507265E-2"/>
          <c:w val="0.89926664048735527"/>
          <c:h val="0.70775056421031568"/>
        </c:manualLayout>
      </c:layout>
      <c:barChart>
        <c:barDir val="col"/>
        <c:grouping val="clustered"/>
        <c:ser>
          <c:idx val="6"/>
          <c:order val="6"/>
          <c:tx>
            <c:strRef>
              <c:f>'odvětví a vzdělání'!$K$342</c:f>
              <c:strCache>
                <c:ptCount val="1"/>
                <c:pt idx="0">
                  <c:v>2017</c:v>
                </c:pt>
              </c:strCache>
            </c:strRef>
          </c:tx>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vzdělání'!$K$343:$K$362</c:f>
              <c:numCache>
                <c:formatCode>0.00</c:formatCode>
                <c:ptCount val="20"/>
                <c:pt idx="0">
                  <c:v>1.5666030800725816</c:v>
                </c:pt>
                <c:pt idx="1">
                  <c:v>2.1181676037126986</c:v>
                </c:pt>
                <c:pt idx="2">
                  <c:v>2.2725742208352155</c:v>
                </c:pt>
                <c:pt idx="3">
                  <c:v>3.4358723623262977</c:v>
                </c:pt>
                <c:pt idx="4">
                  <c:v>2.3687252069151281</c:v>
                </c:pt>
                <c:pt idx="5">
                  <c:v>2.2036602773246412</c:v>
                </c:pt>
                <c:pt idx="6">
                  <c:v>2.5489151873767253</c:v>
                </c:pt>
                <c:pt idx="7">
                  <c:v>2.218527715812975</c:v>
                </c:pt>
                <c:pt idx="8">
                  <c:v>2.022448060719098</c:v>
                </c:pt>
                <c:pt idx="11">
                  <c:v>2.0533191856223891</c:v>
                </c:pt>
                <c:pt idx="13">
                  <c:v>1.8603351955307261</c:v>
                </c:pt>
                <c:pt idx="14">
                  <c:v>2.8965494620834367</c:v>
                </c:pt>
                <c:pt idx="15">
                  <c:v>2.3749431707475477</c:v>
                </c:pt>
                <c:pt idx="16">
                  <c:v>2.7110186041730771</c:v>
                </c:pt>
                <c:pt idx="17">
                  <c:v>1.8424836601307235</c:v>
                </c:pt>
                <c:pt idx="18">
                  <c:v>1.896334647290693</c:v>
                </c:pt>
                <c:pt idx="19">
                  <c:v>2.2736852008655601</c:v>
                </c:pt>
              </c:numCache>
            </c:numRef>
          </c:val>
          <c:extLst xmlns:c16r2="http://schemas.microsoft.com/office/drawing/2015/06/chart">
            <c:ext xmlns:c16="http://schemas.microsoft.com/office/drawing/2014/chart" uri="{C3380CC4-5D6E-409C-BE32-E72D297353CC}">
              <c16:uniqueId val="{00000000-FF17-4EB2-84EB-BF123D623BB2}"/>
            </c:ext>
          </c:extLst>
        </c:ser>
        <c:ser>
          <c:idx val="7"/>
          <c:order val="7"/>
          <c:tx>
            <c:strRef>
              <c:f>'odvětví a vzdělání'!$L$342</c:f>
              <c:strCache>
                <c:ptCount val="1"/>
                <c:pt idx="0">
                  <c:v>2012</c:v>
                </c:pt>
              </c:strCache>
            </c:strRef>
          </c:tx>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vzdělání'!$L$343:$L$362</c:f>
              <c:numCache>
                <c:formatCode>0.00</c:formatCode>
                <c:ptCount val="20"/>
                <c:pt idx="0">
                  <c:v>1.812569036683914</c:v>
                </c:pt>
                <c:pt idx="1">
                  <c:v>2.3231997806491416</c:v>
                </c:pt>
                <c:pt idx="2">
                  <c:v>2.6448524383186793</c:v>
                </c:pt>
                <c:pt idx="3">
                  <c:v>3.4742921194989909</c:v>
                </c:pt>
                <c:pt idx="4">
                  <c:v>2.6405887382435602</c:v>
                </c:pt>
                <c:pt idx="5">
                  <c:v>2.5266859743483567</c:v>
                </c:pt>
                <c:pt idx="6">
                  <c:v>3.0399949373497024</c:v>
                </c:pt>
                <c:pt idx="7">
                  <c:v>2.5808796222611279</c:v>
                </c:pt>
                <c:pt idx="8">
                  <c:v>2.4031830238726792</c:v>
                </c:pt>
                <c:pt idx="10">
                  <c:v>3.1894102453723816</c:v>
                </c:pt>
                <c:pt idx="11">
                  <c:v>2.3491052716427552</c:v>
                </c:pt>
                <c:pt idx="12">
                  <c:v>2.2138187143679082</c:v>
                </c:pt>
                <c:pt idx="13">
                  <c:v>2.5096591801476364</c:v>
                </c:pt>
                <c:pt idx="14">
                  <c:v>2.6191873258031393</c:v>
                </c:pt>
                <c:pt idx="15">
                  <c:v>2.4751271455816912</c:v>
                </c:pt>
                <c:pt idx="16">
                  <c:v>3.0300941270051704</c:v>
                </c:pt>
                <c:pt idx="17">
                  <c:v>1.7970665059272655</c:v>
                </c:pt>
                <c:pt idx="18">
                  <c:v>1.9313774241670871</c:v>
                </c:pt>
                <c:pt idx="19">
                  <c:v>2.5631269662254526</c:v>
                </c:pt>
              </c:numCache>
            </c:numRef>
          </c:val>
          <c:extLst xmlns:c16r2="http://schemas.microsoft.com/office/drawing/2015/06/chart">
            <c:ext xmlns:c16="http://schemas.microsoft.com/office/drawing/2014/chart" uri="{C3380CC4-5D6E-409C-BE32-E72D297353CC}">
              <c16:uniqueId val="{00000001-FF17-4EB2-84EB-BF123D623BB2}"/>
            </c:ext>
          </c:extLst>
        </c:ser>
        <c:axId val="124522496"/>
        <c:axId val="124512512"/>
      </c:barChart>
      <c:lineChart>
        <c:grouping val="standard"/>
        <c:ser>
          <c:idx val="0"/>
          <c:order val="0"/>
          <c:tx>
            <c:strRef>
              <c:f>'odvětví a vzdělání'!$E$342</c:f>
              <c:strCache>
                <c:ptCount val="1"/>
                <c:pt idx="0">
                  <c:v>Celkem</c:v>
                </c:pt>
              </c:strCache>
            </c:strRef>
          </c:tx>
          <c:spPr>
            <a:ln>
              <a:noFill/>
            </a:ln>
          </c:spPr>
          <c:marker>
            <c:symbol val="dash"/>
            <c:size val="7"/>
            <c:spPr>
              <a:solidFill>
                <a:schemeClr val="tx1">
                  <a:lumMod val="95000"/>
                  <a:lumOff val="5000"/>
                </a:schemeClr>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vzdělání'!$E$343:$E$362</c:f>
              <c:numCache>
                <c:formatCode>#,##0.0</c:formatCode>
                <c:ptCount val="20"/>
                <c:pt idx="0">
                  <c:v>25.076000000000001</c:v>
                </c:pt>
                <c:pt idx="1">
                  <c:v>35.499000000000002</c:v>
                </c:pt>
                <c:pt idx="2">
                  <c:v>31.517000000000031</c:v>
                </c:pt>
                <c:pt idx="3">
                  <c:v>44.498000000000012</c:v>
                </c:pt>
                <c:pt idx="4">
                  <c:v>28.342000000000002</c:v>
                </c:pt>
                <c:pt idx="5">
                  <c:v>27.441999999999986</c:v>
                </c:pt>
                <c:pt idx="6">
                  <c:v>28.919</c:v>
                </c:pt>
                <c:pt idx="7">
                  <c:v>28.868000000000002</c:v>
                </c:pt>
                <c:pt idx="8">
                  <c:v>18.315000000000001</c:v>
                </c:pt>
                <c:pt idx="9">
                  <c:v>53.663000000000011</c:v>
                </c:pt>
                <c:pt idx="10">
                  <c:v>53.672000000000011</c:v>
                </c:pt>
                <c:pt idx="11">
                  <c:v>26.708999999999989</c:v>
                </c:pt>
                <c:pt idx="12">
                  <c:v>36.893000000000001</c:v>
                </c:pt>
                <c:pt idx="13">
                  <c:v>21.424999999999986</c:v>
                </c:pt>
                <c:pt idx="14">
                  <c:v>34.408000000000001</c:v>
                </c:pt>
                <c:pt idx="15">
                  <c:v>30.035000000000004</c:v>
                </c:pt>
                <c:pt idx="16">
                  <c:v>31.706</c:v>
                </c:pt>
                <c:pt idx="17">
                  <c:v>26.381</c:v>
                </c:pt>
                <c:pt idx="18">
                  <c:v>24.067999999999987</c:v>
                </c:pt>
                <c:pt idx="19">
                  <c:v>31.108999999999988</c:v>
                </c:pt>
              </c:numCache>
            </c:numRef>
          </c:val>
          <c:extLst xmlns:c16r2="http://schemas.microsoft.com/office/drawing/2015/06/chart">
            <c:ext xmlns:c16="http://schemas.microsoft.com/office/drawing/2014/chart" uri="{C3380CC4-5D6E-409C-BE32-E72D297353CC}">
              <c16:uniqueId val="{00000002-FF17-4EB2-84EB-BF123D623BB2}"/>
            </c:ext>
          </c:extLst>
        </c:ser>
        <c:ser>
          <c:idx val="1"/>
          <c:order val="1"/>
          <c:tx>
            <c:strRef>
              <c:f>'odvětví a vzdělání'!$F$342</c:f>
              <c:strCache>
                <c:ptCount val="1"/>
                <c:pt idx="0">
                  <c:v>ZŠ</c:v>
                </c:pt>
              </c:strCache>
            </c:strRef>
          </c:tx>
          <c:spPr>
            <a:ln>
              <a:noFill/>
            </a:ln>
          </c:spPr>
          <c:marker>
            <c:symbol val="diamond"/>
            <c:size val="5"/>
            <c:spPr>
              <a:solidFill>
                <a:srgbClr val="7030A0"/>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vzdělání'!$F$343:$F$362</c:f>
              <c:numCache>
                <c:formatCode>#,##0.0</c:formatCode>
                <c:ptCount val="20"/>
                <c:pt idx="0">
                  <c:v>21.493000000000002</c:v>
                </c:pt>
                <c:pt idx="1">
                  <c:v>30.058999999999987</c:v>
                </c:pt>
                <c:pt idx="2">
                  <c:v>24.353000000000005</c:v>
                </c:pt>
                <c:pt idx="3">
                  <c:v>19.43</c:v>
                </c:pt>
                <c:pt idx="4">
                  <c:v>20.419</c:v>
                </c:pt>
                <c:pt idx="5">
                  <c:v>19.616000000000035</c:v>
                </c:pt>
                <c:pt idx="6">
                  <c:v>20.279999999999987</c:v>
                </c:pt>
                <c:pt idx="7">
                  <c:v>23.759</c:v>
                </c:pt>
                <c:pt idx="8">
                  <c:v>15.547000000000001</c:v>
                </c:pt>
                <c:pt idx="11">
                  <c:v>15.079000000000002</c:v>
                </c:pt>
                <c:pt idx="13">
                  <c:v>17.721</c:v>
                </c:pt>
                <c:pt idx="14">
                  <c:v>15.243999999999998</c:v>
                </c:pt>
                <c:pt idx="15">
                  <c:v>15.397</c:v>
                </c:pt>
                <c:pt idx="16">
                  <c:v>19.458000000000002</c:v>
                </c:pt>
                <c:pt idx="17">
                  <c:v>18.36</c:v>
                </c:pt>
                <c:pt idx="18">
                  <c:v>16.997</c:v>
                </c:pt>
                <c:pt idx="19">
                  <c:v>21.258000000000003</c:v>
                </c:pt>
              </c:numCache>
            </c:numRef>
          </c:val>
          <c:extLst xmlns:c16r2="http://schemas.microsoft.com/office/drawing/2015/06/chart">
            <c:ext xmlns:c16="http://schemas.microsoft.com/office/drawing/2014/chart" uri="{C3380CC4-5D6E-409C-BE32-E72D297353CC}">
              <c16:uniqueId val="{00000003-FF17-4EB2-84EB-BF123D623BB2}"/>
            </c:ext>
          </c:extLst>
        </c:ser>
        <c:ser>
          <c:idx val="2"/>
          <c:order val="2"/>
          <c:tx>
            <c:strRef>
              <c:f>'odvětví a vzdělání'!$G$342</c:f>
              <c:strCache>
                <c:ptCount val="1"/>
                <c:pt idx="0">
                  <c:v>SŠ bez mat.</c:v>
                </c:pt>
              </c:strCache>
            </c:strRef>
          </c:tx>
          <c:spPr>
            <a:ln>
              <a:noFill/>
            </a:ln>
          </c:spPr>
          <c:marker>
            <c:symbol val="diamond"/>
            <c:size val="5"/>
            <c:spPr>
              <a:solidFill>
                <a:srgbClr val="48AEE7"/>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vzdělání'!$G$343:$G$362</c:f>
              <c:numCache>
                <c:formatCode>#,##0.0</c:formatCode>
                <c:ptCount val="20"/>
                <c:pt idx="0">
                  <c:v>23.411000000000001</c:v>
                </c:pt>
                <c:pt idx="1">
                  <c:v>31.882999999999921</c:v>
                </c:pt>
                <c:pt idx="2">
                  <c:v>27.24</c:v>
                </c:pt>
                <c:pt idx="3">
                  <c:v>32.407000000000004</c:v>
                </c:pt>
                <c:pt idx="4">
                  <c:v>25.341000000000001</c:v>
                </c:pt>
                <c:pt idx="5">
                  <c:v>23.984000000000002</c:v>
                </c:pt>
                <c:pt idx="6">
                  <c:v>21.865000000000002</c:v>
                </c:pt>
                <c:pt idx="7">
                  <c:v>24.369</c:v>
                </c:pt>
                <c:pt idx="8">
                  <c:v>16.259</c:v>
                </c:pt>
                <c:pt idx="9">
                  <c:v>28.939</c:v>
                </c:pt>
                <c:pt idx="10">
                  <c:v>26.23</c:v>
                </c:pt>
                <c:pt idx="11">
                  <c:v>21.849</c:v>
                </c:pt>
                <c:pt idx="12">
                  <c:v>24.780999999999914</c:v>
                </c:pt>
                <c:pt idx="13">
                  <c:v>18.246000000000002</c:v>
                </c:pt>
                <c:pt idx="14">
                  <c:v>22.125999999999987</c:v>
                </c:pt>
                <c:pt idx="15">
                  <c:v>17.233000000000001</c:v>
                </c:pt>
                <c:pt idx="16">
                  <c:v>21.265999999999906</c:v>
                </c:pt>
                <c:pt idx="17">
                  <c:v>21.421999999999986</c:v>
                </c:pt>
                <c:pt idx="18">
                  <c:v>18.624000000000031</c:v>
                </c:pt>
                <c:pt idx="19">
                  <c:v>24.138999999999999</c:v>
                </c:pt>
              </c:numCache>
            </c:numRef>
          </c:val>
          <c:extLst xmlns:c16r2="http://schemas.microsoft.com/office/drawing/2015/06/chart">
            <c:ext xmlns:c16="http://schemas.microsoft.com/office/drawing/2014/chart" uri="{C3380CC4-5D6E-409C-BE32-E72D297353CC}">
              <c16:uniqueId val="{00000004-FF17-4EB2-84EB-BF123D623BB2}"/>
            </c:ext>
          </c:extLst>
        </c:ser>
        <c:ser>
          <c:idx val="3"/>
          <c:order val="3"/>
          <c:tx>
            <c:strRef>
              <c:f>'odvětví a vzdělání'!$H$342</c:f>
              <c:strCache>
                <c:ptCount val="1"/>
                <c:pt idx="0">
                  <c:v>SŠ s mat.</c:v>
                </c:pt>
              </c:strCache>
            </c:strRef>
          </c:tx>
          <c:spPr>
            <a:ln>
              <a:noFill/>
            </a:ln>
          </c:spPr>
          <c:marker>
            <c:symbol val="diamond"/>
            <c:size val="5"/>
            <c:spPr>
              <a:solidFill>
                <a:srgbClr val="7DBB2D"/>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vzdělání'!$H$343:$H$362</c:f>
              <c:numCache>
                <c:formatCode>#,##0.0</c:formatCode>
                <c:ptCount val="20"/>
                <c:pt idx="0">
                  <c:v>26.145999999999987</c:v>
                </c:pt>
                <c:pt idx="1">
                  <c:v>37.20900000000001</c:v>
                </c:pt>
                <c:pt idx="2">
                  <c:v>32.523000000000003</c:v>
                </c:pt>
                <c:pt idx="3">
                  <c:v>40.946999999999996</c:v>
                </c:pt>
                <c:pt idx="4">
                  <c:v>30.077999999999996</c:v>
                </c:pt>
                <c:pt idx="5">
                  <c:v>28.901</c:v>
                </c:pt>
                <c:pt idx="6">
                  <c:v>28.298000000000002</c:v>
                </c:pt>
                <c:pt idx="7">
                  <c:v>30.780999999999914</c:v>
                </c:pt>
                <c:pt idx="8">
                  <c:v>20.234999999999999</c:v>
                </c:pt>
                <c:pt idx="9">
                  <c:v>43.44</c:v>
                </c:pt>
                <c:pt idx="10">
                  <c:v>41.3</c:v>
                </c:pt>
                <c:pt idx="11">
                  <c:v>27.764999999999986</c:v>
                </c:pt>
                <c:pt idx="12">
                  <c:v>28.794999999999987</c:v>
                </c:pt>
                <c:pt idx="13">
                  <c:v>23.428999999999906</c:v>
                </c:pt>
                <c:pt idx="14">
                  <c:v>31.663</c:v>
                </c:pt>
                <c:pt idx="15">
                  <c:v>25.612000000000005</c:v>
                </c:pt>
                <c:pt idx="16">
                  <c:v>28.625999999999987</c:v>
                </c:pt>
                <c:pt idx="17">
                  <c:v>25.3</c:v>
                </c:pt>
                <c:pt idx="18">
                  <c:v>24.192</c:v>
                </c:pt>
                <c:pt idx="19">
                  <c:v>30.267000000000003</c:v>
                </c:pt>
              </c:numCache>
            </c:numRef>
          </c:val>
          <c:extLst xmlns:c16r2="http://schemas.microsoft.com/office/drawing/2015/06/chart">
            <c:ext xmlns:c16="http://schemas.microsoft.com/office/drawing/2014/chart" uri="{C3380CC4-5D6E-409C-BE32-E72D297353CC}">
              <c16:uniqueId val="{00000005-FF17-4EB2-84EB-BF123D623BB2}"/>
            </c:ext>
          </c:extLst>
        </c:ser>
        <c:ser>
          <c:idx val="4"/>
          <c:order val="4"/>
          <c:tx>
            <c:strRef>
              <c:f>'odvětví a vzdělání'!$I$342</c:f>
              <c:strCache>
                <c:ptCount val="1"/>
                <c:pt idx="0">
                  <c:v>VOŠ a bak.</c:v>
                </c:pt>
              </c:strCache>
            </c:strRef>
          </c:tx>
          <c:spPr>
            <a:ln>
              <a:noFill/>
            </a:ln>
          </c:spPr>
          <c:marker>
            <c:symbol val="diamond"/>
            <c:size val="5"/>
            <c:spPr>
              <a:solidFill>
                <a:srgbClr val="F8A124"/>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vzdělání'!$I$343:$I$362</c:f>
              <c:numCache>
                <c:formatCode>#,##0.0</c:formatCode>
                <c:ptCount val="20"/>
                <c:pt idx="1">
                  <c:v>40.720000000000013</c:v>
                </c:pt>
                <c:pt idx="2">
                  <c:v>38.878</c:v>
                </c:pt>
                <c:pt idx="3">
                  <c:v>47.102000000000011</c:v>
                </c:pt>
                <c:pt idx="4">
                  <c:v>31.512</c:v>
                </c:pt>
                <c:pt idx="5">
                  <c:v>29.326000000000001</c:v>
                </c:pt>
                <c:pt idx="6">
                  <c:v>34.050999999999995</c:v>
                </c:pt>
                <c:pt idx="7">
                  <c:v>35.083000000000006</c:v>
                </c:pt>
                <c:pt idx="8">
                  <c:v>25.297000000000001</c:v>
                </c:pt>
                <c:pt idx="9">
                  <c:v>53.684000000000005</c:v>
                </c:pt>
                <c:pt idx="10">
                  <c:v>45.291000000000011</c:v>
                </c:pt>
                <c:pt idx="12">
                  <c:v>36.855000000000004</c:v>
                </c:pt>
                <c:pt idx="13">
                  <c:v>28.767000000000003</c:v>
                </c:pt>
                <c:pt idx="14">
                  <c:v>35.446000000000005</c:v>
                </c:pt>
                <c:pt idx="15">
                  <c:v>29.189</c:v>
                </c:pt>
                <c:pt idx="16">
                  <c:v>32.226000000000013</c:v>
                </c:pt>
                <c:pt idx="17">
                  <c:v>27.633999999999997</c:v>
                </c:pt>
                <c:pt idx="18">
                  <c:v>24.798999999999989</c:v>
                </c:pt>
                <c:pt idx="19">
                  <c:v>35.545000000000002</c:v>
                </c:pt>
              </c:numCache>
            </c:numRef>
          </c:val>
          <c:extLst xmlns:c16r2="http://schemas.microsoft.com/office/drawing/2015/06/chart">
            <c:ext xmlns:c16="http://schemas.microsoft.com/office/drawing/2014/chart" uri="{C3380CC4-5D6E-409C-BE32-E72D297353CC}">
              <c16:uniqueId val="{00000006-FF17-4EB2-84EB-BF123D623BB2}"/>
            </c:ext>
          </c:extLst>
        </c:ser>
        <c:ser>
          <c:idx val="5"/>
          <c:order val="5"/>
          <c:tx>
            <c:strRef>
              <c:f>'odvětví a vzdělání'!$J$342</c:f>
              <c:strCache>
                <c:ptCount val="1"/>
                <c:pt idx="0">
                  <c:v>ost. VŠ</c:v>
                </c:pt>
              </c:strCache>
            </c:strRef>
          </c:tx>
          <c:spPr>
            <a:ln>
              <a:noFill/>
            </a:ln>
          </c:spPr>
          <c:marker>
            <c:symbol val="diamond"/>
            <c:size val="5"/>
            <c:spPr>
              <a:solidFill>
                <a:srgbClr val="BD1B21"/>
              </a:solidFill>
              <a:ln>
                <a:noFill/>
              </a:ln>
            </c:spPr>
          </c:marker>
          <c:cat>
            <c:strRef>
              <c:f>'odvětví a vzdělání'!$D$343:$D$362</c:f>
              <c:strCache>
                <c:ptCount val="20"/>
                <c:pt idx="0">
                  <c:v>Zemědělství (A)</c:v>
                </c:pt>
                <c:pt idx="1">
                  <c:v>Těžba  
a dobývání (B)</c:v>
                </c:pt>
                <c:pt idx="2">
                  <c:v>Zpracovatelský 
průmysl (C)</c:v>
                </c:pt>
                <c:pt idx="3">
                  <c:v>Energetika (D)</c:v>
                </c:pt>
                <c:pt idx="4">
                  <c:v>Odpady, 
zásob. vodou (E)</c:v>
                </c:pt>
                <c:pt idx="5">
                  <c:v>Stavebnictví (F)</c:v>
                </c:pt>
                <c:pt idx="6">
                  <c:v>Obchod (G)</c:v>
                </c:pt>
                <c:pt idx="7">
                  <c:v>Doprava a 
skladování (H)</c:v>
                </c:pt>
                <c:pt idx="8">
                  <c:v>Ubytování, stravo-
vání a pohost. (I)</c:v>
                </c:pt>
                <c:pt idx="9">
                  <c:v>Informační a 
komunikač. čin. (J)</c:v>
                </c:pt>
                <c:pt idx="10">
                  <c:v>Peněžnictví,
pojišť. (NACE (K)</c:v>
                </c:pt>
                <c:pt idx="11">
                  <c:v>Nemovitostí (L)</c:v>
                </c:pt>
                <c:pt idx="12">
                  <c:v>Profesní, vědec.
a technic .čin. (M)</c:v>
                </c:pt>
                <c:pt idx="13">
                  <c:v>Administrativní
a podpůr. čin. (N)</c:v>
                </c:pt>
                <c:pt idx="14">
                  <c:v>Veř.správa,obrana,
soc.zabezpeč. (O)</c:v>
                </c:pt>
                <c:pt idx="15">
                  <c:v>Vzdělávání (P)</c:v>
                </c:pt>
                <c:pt idx="16">
                  <c:v>Zdravotní a 
sociální péče (Q)</c:v>
                </c:pt>
                <c:pt idx="17">
                  <c:v>Kulturní zábavní 
a rekreač. čin. (R)</c:v>
                </c:pt>
                <c:pt idx="18">
                  <c:v>Ost. činnosti (S)</c:v>
                </c:pt>
                <c:pt idx="19">
                  <c:v>Všechna 
odvětví NH</c:v>
                </c:pt>
              </c:strCache>
            </c:strRef>
          </c:cat>
          <c:val>
            <c:numRef>
              <c:f>'odvětví a vzdělání'!$J$343:$J$362</c:f>
              <c:numCache>
                <c:formatCode>#,##0.0</c:formatCode>
                <c:ptCount val="20"/>
                <c:pt idx="0">
                  <c:v>33.671000000000006</c:v>
                </c:pt>
                <c:pt idx="1">
                  <c:v>63.67</c:v>
                </c:pt>
                <c:pt idx="2">
                  <c:v>55.344000000000001</c:v>
                </c:pt>
                <c:pt idx="3">
                  <c:v>66.759</c:v>
                </c:pt>
                <c:pt idx="4">
                  <c:v>48.367000000000004</c:v>
                </c:pt>
                <c:pt idx="5">
                  <c:v>43.227000000000011</c:v>
                </c:pt>
                <c:pt idx="6">
                  <c:v>51.692000000000142</c:v>
                </c:pt>
                <c:pt idx="7">
                  <c:v>52.71</c:v>
                </c:pt>
                <c:pt idx="8">
                  <c:v>31.442999999999905</c:v>
                </c:pt>
                <c:pt idx="9">
                  <c:v>66.298000000000002</c:v>
                </c:pt>
                <c:pt idx="10">
                  <c:v>77.344000000000023</c:v>
                </c:pt>
                <c:pt idx="11">
                  <c:v>30.961999999999989</c:v>
                </c:pt>
                <c:pt idx="12">
                  <c:v>46.923000000000002</c:v>
                </c:pt>
                <c:pt idx="13">
                  <c:v>32.967000000000006</c:v>
                </c:pt>
                <c:pt idx="14">
                  <c:v>44.155000000000001</c:v>
                </c:pt>
                <c:pt idx="15">
                  <c:v>36.567</c:v>
                </c:pt>
                <c:pt idx="16">
                  <c:v>52.751000000000005</c:v>
                </c:pt>
                <c:pt idx="17">
                  <c:v>33.828000000000003</c:v>
                </c:pt>
                <c:pt idx="18">
                  <c:v>32.232000000000063</c:v>
                </c:pt>
                <c:pt idx="19">
                  <c:v>48.334000000000003</c:v>
                </c:pt>
              </c:numCache>
            </c:numRef>
          </c:val>
          <c:extLst xmlns:c16r2="http://schemas.microsoft.com/office/drawing/2015/06/chart">
            <c:ext xmlns:c16="http://schemas.microsoft.com/office/drawing/2014/chart" uri="{C3380CC4-5D6E-409C-BE32-E72D297353CC}">
              <c16:uniqueId val="{00000007-FF17-4EB2-84EB-BF123D623BB2}"/>
            </c:ext>
          </c:extLst>
        </c:ser>
        <c:marker val="1"/>
        <c:axId val="124488320"/>
        <c:axId val="124510976"/>
      </c:lineChart>
      <c:catAx>
        <c:axId val="124488320"/>
        <c:scaling>
          <c:orientation val="minMax"/>
        </c:scaling>
        <c:axPos val="b"/>
        <c:numFmt formatCode="General" sourceLinked="1"/>
        <c:tickLblPos val="nextTo"/>
        <c:txPr>
          <a:bodyPr rot="-5400000" vert="horz"/>
          <a:lstStyle/>
          <a:p>
            <a:pPr>
              <a:defRPr sz="700">
                <a:latin typeface="Arial" pitchFamily="34" charset="0"/>
                <a:cs typeface="Arial" pitchFamily="34" charset="0"/>
              </a:defRPr>
            </a:pPr>
            <a:endParaRPr lang="cs-CZ"/>
          </a:p>
        </c:txPr>
        <c:crossAx val="124510976"/>
        <c:crosses val="autoZero"/>
        <c:auto val="1"/>
        <c:lblAlgn val="ctr"/>
        <c:lblOffset val="0"/>
      </c:catAx>
      <c:valAx>
        <c:axId val="124510976"/>
        <c:scaling>
          <c:orientation val="minMax"/>
          <c:max val="80"/>
        </c:scaling>
        <c:axPos val="l"/>
        <c:majorGridlines>
          <c:spPr>
            <a:ln w="6350">
              <a:solidFill>
                <a:srgbClr val="BFBFBF"/>
              </a:solidFill>
            </a:ln>
          </c:spPr>
        </c:majorGridlines>
        <c:numFmt formatCode="#,##0" sourceLinked="0"/>
        <c:tickLblPos val="nextTo"/>
        <c:txPr>
          <a:bodyPr/>
          <a:lstStyle/>
          <a:p>
            <a:pPr>
              <a:defRPr sz="750">
                <a:latin typeface="Arial" pitchFamily="34" charset="0"/>
                <a:cs typeface="Arial" pitchFamily="34" charset="0"/>
              </a:defRPr>
            </a:pPr>
            <a:endParaRPr lang="cs-CZ"/>
          </a:p>
        </c:txPr>
        <c:crossAx val="124488320"/>
        <c:crosses val="autoZero"/>
        <c:crossBetween val="between"/>
        <c:minorUnit val="10"/>
      </c:valAx>
      <c:valAx>
        <c:axId val="124512512"/>
        <c:scaling>
          <c:orientation val="minMax"/>
          <c:max val="16"/>
          <c:min val="0"/>
        </c:scaling>
        <c:axPos val="r"/>
        <c:numFmt formatCode="0" sourceLinked="0"/>
        <c:tickLblPos val="nextTo"/>
        <c:txPr>
          <a:bodyPr/>
          <a:lstStyle/>
          <a:p>
            <a:pPr>
              <a:defRPr sz="750">
                <a:latin typeface="Arial" pitchFamily="34" charset="0"/>
                <a:cs typeface="Arial" pitchFamily="34" charset="0"/>
              </a:defRPr>
            </a:pPr>
            <a:endParaRPr lang="cs-CZ"/>
          </a:p>
        </c:txPr>
        <c:crossAx val="124522496"/>
        <c:crosses val="max"/>
        <c:crossBetween val="between"/>
        <c:majorUnit val="2"/>
      </c:valAx>
      <c:catAx>
        <c:axId val="124522496"/>
        <c:scaling>
          <c:orientation val="minMax"/>
        </c:scaling>
        <c:delete val="1"/>
        <c:axPos val="b"/>
        <c:numFmt formatCode="General" sourceLinked="1"/>
        <c:tickLblPos val="none"/>
        <c:crossAx val="124512512"/>
        <c:crosses val="autoZero"/>
        <c:auto val="1"/>
        <c:lblAlgn val="ctr"/>
        <c:lblOffset val="100"/>
      </c:catAx>
      <c:spPr>
        <a:ln>
          <a:solidFill>
            <a:sysClr val="windowText" lastClr="000000"/>
          </a:solidFill>
        </a:ln>
      </c:spPr>
    </c:plotArea>
    <c:legend>
      <c:legendPos val="r"/>
      <c:layout>
        <c:manualLayout>
          <c:xMode val="edge"/>
          <c:yMode val="edge"/>
          <c:x val="1.3331771460430363E-2"/>
          <c:y val="0.95375980006580263"/>
          <c:w val="0.96345932054327399"/>
          <c:h val="4.2801461599175784E-2"/>
        </c:manualLayout>
      </c:layout>
      <c:spPr>
        <a:ln>
          <a:noFill/>
        </a:ln>
      </c:spPr>
      <c:txPr>
        <a:bodyPr/>
        <a:lstStyle/>
        <a:p>
          <a:pPr>
            <a:defRPr sz="750">
              <a:latin typeface="Arial" pitchFamily="34" charset="0"/>
              <a:cs typeface="Arial" pitchFamily="34" charset="0"/>
            </a:defRPr>
          </a:pPr>
          <a:endParaRPr lang="cs-CZ"/>
        </a:p>
      </c:txPr>
    </c:legend>
    <c:plotVisOnly val="1"/>
    <c:dispBlanksAs val="gap"/>
  </c:chart>
  <c:spPr>
    <a:ln>
      <a:noFill/>
    </a:ln>
  </c:spPr>
  <c:txPr>
    <a:bodyPr/>
    <a:lstStyle/>
    <a:p>
      <a:pPr>
        <a:defRPr sz="800"/>
      </a:pPr>
      <a:endParaRPr lang="cs-CZ"/>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4794199594732024E-2"/>
          <c:y val="3.9316672295395698E-2"/>
          <c:w val="0.91388086795001688"/>
          <c:h val="0.74980299448384924"/>
        </c:manualLayout>
      </c:layout>
      <c:barChart>
        <c:barDir val="col"/>
        <c:grouping val="stacked"/>
        <c:ser>
          <c:idx val="0"/>
          <c:order val="0"/>
          <c:tx>
            <c:strRef>
              <c:f>HPH!$R$128</c:f>
              <c:strCache>
                <c:ptCount val="1"/>
                <c:pt idx="0">
                  <c:v>Zemědělství, lesnictví a rybářství</c:v>
                </c:pt>
              </c:strCache>
            </c:strRef>
          </c:tx>
          <c:spPr>
            <a:solidFill>
              <a:srgbClr val="7DBB2D"/>
            </a:solidFill>
          </c:spPr>
          <c:cat>
            <c:strRef>
              <c:f>HPH!$P$129:$Q$138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HPH!$R$129:$R$138</c:f>
              <c:numCache>
                <c:formatCode>#,##0.0</c:formatCode>
                <c:ptCount val="10"/>
                <c:pt idx="0">
                  <c:v>0.1949576139718473</c:v>
                </c:pt>
                <c:pt idx="1">
                  <c:v>0.43896169099017596</c:v>
                </c:pt>
                <c:pt idx="2">
                  <c:v>-0.29243392604779683</c:v>
                </c:pt>
                <c:pt idx="3">
                  <c:v>3.2466480175330166E-2</c:v>
                </c:pt>
                <c:pt idx="4">
                  <c:v>9.8144899160173535E-2</c:v>
                </c:pt>
                <c:pt idx="5">
                  <c:v>-6.390559408350989E-2</c:v>
                </c:pt>
                <c:pt idx="6">
                  <c:v>0.21670011561702524</c:v>
                </c:pt>
                <c:pt idx="7">
                  <c:v>0.15079337792048397</c:v>
                </c:pt>
                <c:pt idx="8">
                  <c:v>8.3333675723242767E-2</c:v>
                </c:pt>
                <c:pt idx="9">
                  <c:v>-6.8749235471150485E-2</c:v>
                </c:pt>
              </c:numCache>
            </c:numRef>
          </c:val>
          <c:extLst xmlns:c16r2="http://schemas.microsoft.com/office/drawing/2015/06/chart">
            <c:ext xmlns:c16="http://schemas.microsoft.com/office/drawing/2014/chart" uri="{C3380CC4-5D6E-409C-BE32-E72D297353CC}">
              <c16:uniqueId val="{00000000-CE1F-413D-BB33-40303FD10A6D}"/>
            </c:ext>
          </c:extLst>
        </c:ser>
        <c:ser>
          <c:idx val="4"/>
          <c:order val="1"/>
          <c:tx>
            <c:strRef>
              <c:f>HPH!$V$128</c:f>
              <c:strCache>
                <c:ptCount val="1"/>
                <c:pt idx="0">
                  <c:v>Stavebnictví</c:v>
                </c:pt>
              </c:strCache>
            </c:strRef>
          </c:tx>
          <c:spPr>
            <a:solidFill>
              <a:srgbClr val="F8A124"/>
            </a:solidFill>
          </c:spPr>
          <c:cat>
            <c:strRef>
              <c:f>HPH!$P$129:$Q$138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HPH!$V$129:$V$138</c:f>
              <c:numCache>
                <c:formatCode>#,##0.0</c:formatCode>
                <c:ptCount val="10"/>
                <c:pt idx="0">
                  <c:v>-2.6569444735986263E-2</c:v>
                </c:pt>
                <c:pt idx="1">
                  <c:v>-0.21314333608141803</c:v>
                </c:pt>
                <c:pt idx="2">
                  <c:v>0.25024784323651467</c:v>
                </c:pt>
                <c:pt idx="3">
                  <c:v>-0.45137348298834851</c:v>
                </c:pt>
                <c:pt idx="4">
                  <c:v>-0.1841901189618475</c:v>
                </c:pt>
                <c:pt idx="5">
                  <c:v>6.8922635575265484E-2</c:v>
                </c:pt>
                <c:pt idx="6">
                  <c:v>0.1138718614340874</c:v>
                </c:pt>
                <c:pt idx="7">
                  <c:v>0.22237982073112592</c:v>
                </c:pt>
                <c:pt idx="8">
                  <c:v>-0.21512559385515651</c:v>
                </c:pt>
                <c:pt idx="9">
                  <c:v>-0.13500062096083637</c:v>
                </c:pt>
              </c:numCache>
            </c:numRef>
          </c:val>
          <c:extLst xmlns:c16r2="http://schemas.microsoft.com/office/drawing/2015/06/chart">
            <c:ext xmlns:c16="http://schemas.microsoft.com/office/drawing/2014/chart" uri="{C3380CC4-5D6E-409C-BE32-E72D297353CC}">
              <c16:uniqueId val="{00000001-CE1F-413D-BB33-40303FD10A6D}"/>
            </c:ext>
          </c:extLst>
        </c:ser>
        <c:ser>
          <c:idx val="2"/>
          <c:order val="2"/>
          <c:tx>
            <c:strRef>
              <c:f>HPH!$T$128</c:f>
              <c:strCache>
                <c:ptCount val="1"/>
                <c:pt idx="0">
                  <c:v>Ostatní průmyslová odvětví</c:v>
                </c:pt>
              </c:strCache>
            </c:strRef>
          </c:tx>
          <c:spPr>
            <a:solidFill>
              <a:srgbClr val="E8AFB2"/>
            </a:solidFill>
          </c:spPr>
          <c:cat>
            <c:strRef>
              <c:f>HPH!$P$129:$Q$138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HPH!$T$129:$T$138</c:f>
              <c:numCache>
                <c:formatCode>#,##0.0</c:formatCode>
                <c:ptCount val="10"/>
                <c:pt idx="0">
                  <c:v>0.42640508224019547</c:v>
                </c:pt>
                <c:pt idx="1">
                  <c:v>-0.63328454457038674</c:v>
                </c:pt>
                <c:pt idx="2">
                  <c:v>-0.64030036490961617</c:v>
                </c:pt>
                <c:pt idx="3">
                  <c:v>-0.40605452356977212</c:v>
                </c:pt>
                <c:pt idx="4">
                  <c:v>-8.0682861904159547E-2</c:v>
                </c:pt>
                <c:pt idx="5">
                  <c:v>-0.71973983761235305</c:v>
                </c:pt>
                <c:pt idx="6">
                  <c:v>5.2136733491852112E-2</c:v>
                </c:pt>
                <c:pt idx="7">
                  <c:v>-5.3753977666056073E-2</c:v>
                </c:pt>
                <c:pt idx="8">
                  <c:v>-0.32243461943845242</c:v>
                </c:pt>
                <c:pt idx="9">
                  <c:v>3.1281485749182554E-2</c:v>
                </c:pt>
              </c:numCache>
            </c:numRef>
          </c:val>
          <c:extLst xmlns:c16r2="http://schemas.microsoft.com/office/drawing/2015/06/chart">
            <c:ext xmlns:c16="http://schemas.microsoft.com/office/drawing/2014/chart" uri="{C3380CC4-5D6E-409C-BE32-E72D297353CC}">
              <c16:uniqueId val="{00000002-CE1F-413D-BB33-40303FD10A6D}"/>
            </c:ext>
          </c:extLst>
        </c:ser>
        <c:ser>
          <c:idx val="3"/>
          <c:order val="3"/>
          <c:tx>
            <c:strRef>
              <c:f>HPH!$U$128</c:f>
              <c:strCache>
                <c:ptCount val="1"/>
                <c:pt idx="0">
                  <c:v>Služby</c:v>
                </c:pt>
              </c:strCache>
            </c:strRef>
          </c:tx>
          <c:spPr>
            <a:solidFill>
              <a:srgbClr val="0071BC"/>
            </a:solidFill>
          </c:spPr>
          <c:cat>
            <c:strRef>
              <c:f>HPH!$P$129:$Q$138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HPH!$U$129:$U$138</c:f>
              <c:numCache>
                <c:formatCode>#,##0.0</c:formatCode>
                <c:ptCount val="10"/>
                <c:pt idx="0">
                  <c:v>0.76625818541619273</c:v>
                </c:pt>
                <c:pt idx="1">
                  <c:v>-2.0332156824551131</c:v>
                </c:pt>
                <c:pt idx="2">
                  <c:v>0.89923854120525148</c:v>
                </c:pt>
                <c:pt idx="3">
                  <c:v>0.46827728721044487</c:v>
                </c:pt>
                <c:pt idx="4">
                  <c:v>0.13386645253900856</c:v>
                </c:pt>
                <c:pt idx="5">
                  <c:v>0.89295113895066458</c:v>
                </c:pt>
                <c:pt idx="6">
                  <c:v>1.4835791104033498</c:v>
                </c:pt>
                <c:pt idx="7">
                  <c:v>3.0327506692947344</c:v>
                </c:pt>
                <c:pt idx="8">
                  <c:v>1.8769411997294074</c:v>
                </c:pt>
                <c:pt idx="9">
                  <c:v>1.5866483148616941</c:v>
                </c:pt>
              </c:numCache>
            </c:numRef>
          </c:val>
          <c:extLst xmlns:c16r2="http://schemas.microsoft.com/office/drawing/2015/06/chart">
            <c:ext xmlns:c16="http://schemas.microsoft.com/office/drawing/2014/chart" uri="{C3380CC4-5D6E-409C-BE32-E72D297353CC}">
              <c16:uniqueId val="{00000003-CE1F-413D-BB33-40303FD10A6D}"/>
            </c:ext>
          </c:extLst>
        </c:ser>
        <c:ser>
          <c:idx val="1"/>
          <c:order val="4"/>
          <c:tx>
            <c:strRef>
              <c:f>HPH!$S$128</c:f>
              <c:strCache>
                <c:ptCount val="1"/>
                <c:pt idx="0">
                  <c:v>Zpracovatelský průmysl</c:v>
                </c:pt>
              </c:strCache>
            </c:strRef>
          </c:tx>
          <c:spPr>
            <a:solidFill>
              <a:srgbClr val="BD1B21"/>
            </a:solidFill>
          </c:spPr>
          <c:cat>
            <c:strRef>
              <c:f>HPH!$P$129:$Q$138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HPH!$S$129:$S$138</c:f>
              <c:numCache>
                <c:formatCode>#,##0.0</c:formatCode>
                <c:ptCount val="10"/>
                <c:pt idx="0">
                  <c:v>2.0235910214830217</c:v>
                </c:pt>
                <c:pt idx="1">
                  <c:v>-2.8458435129006725</c:v>
                </c:pt>
                <c:pt idx="2">
                  <c:v>2.4573111997018837</c:v>
                </c:pt>
                <c:pt idx="3">
                  <c:v>2.3666164116101367</c:v>
                </c:pt>
                <c:pt idx="4">
                  <c:v>-0.73073813543941446</c:v>
                </c:pt>
                <c:pt idx="5">
                  <c:v>-0.67096761458594134</c:v>
                </c:pt>
                <c:pt idx="6">
                  <c:v>1.5337525359394428</c:v>
                </c:pt>
                <c:pt idx="7">
                  <c:v>1.4539488775297078</c:v>
                </c:pt>
                <c:pt idx="8">
                  <c:v>0.86644787548672764</c:v>
                </c:pt>
                <c:pt idx="9">
                  <c:v>2.9875452997933554</c:v>
                </c:pt>
              </c:numCache>
            </c:numRef>
          </c:val>
          <c:extLst xmlns:c16r2="http://schemas.microsoft.com/office/drawing/2015/06/chart">
            <c:ext xmlns:c16="http://schemas.microsoft.com/office/drawing/2014/chart" uri="{C3380CC4-5D6E-409C-BE32-E72D297353CC}">
              <c16:uniqueId val="{00000004-CE1F-413D-BB33-40303FD10A6D}"/>
            </c:ext>
          </c:extLst>
        </c:ser>
        <c:gapWidth val="92"/>
        <c:overlap val="100"/>
        <c:axId val="118647808"/>
        <c:axId val="118670080"/>
      </c:barChart>
      <c:lineChart>
        <c:grouping val="standard"/>
        <c:ser>
          <c:idx val="5"/>
          <c:order val="5"/>
          <c:tx>
            <c:strRef>
              <c:f>HPH!$W$128</c:f>
              <c:strCache>
                <c:ptCount val="1"/>
                <c:pt idx="0">
                  <c:v>HPH</c:v>
                </c:pt>
              </c:strCache>
            </c:strRef>
          </c:tx>
          <c:spPr>
            <a:ln>
              <a:solidFill>
                <a:sysClr val="windowText" lastClr="000000"/>
              </a:solidFill>
            </a:ln>
          </c:spPr>
          <c:marker>
            <c:symbol val="none"/>
          </c:marker>
          <c:cat>
            <c:strRef>
              <c:f>HPH!$P$129:$Q$138</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HPH!$W$129:$W$138</c:f>
              <c:numCache>
                <c:formatCode>#,##0.0</c:formatCode>
                <c:ptCount val="10"/>
                <c:pt idx="0">
                  <c:v>3.3846424583752537</c:v>
                </c:pt>
                <c:pt idx="1">
                  <c:v>-5.2865253850174154</c:v>
                </c:pt>
                <c:pt idx="2">
                  <c:v>2.6740632931862427</c:v>
                </c:pt>
                <c:pt idx="3">
                  <c:v>2.0099321724378032</c:v>
                </c:pt>
                <c:pt idx="4">
                  <c:v>-0.76359976460623791</c:v>
                </c:pt>
                <c:pt idx="5">
                  <c:v>-0.49273927175586785</c:v>
                </c:pt>
                <c:pt idx="6">
                  <c:v>3.4000403568857571</c:v>
                </c:pt>
                <c:pt idx="7">
                  <c:v>4.8061187678100055</c:v>
                </c:pt>
                <c:pt idx="8">
                  <c:v>2.2891625376457712</c:v>
                </c:pt>
                <c:pt idx="9">
                  <c:v>4.4017252439722494</c:v>
                </c:pt>
              </c:numCache>
            </c:numRef>
          </c:val>
          <c:extLst xmlns:c16r2="http://schemas.microsoft.com/office/drawing/2015/06/chart">
            <c:ext xmlns:c16="http://schemas.microsoft.com/office/drawing/2014/chart" uri="{C3380CC4-5D6E-409C-BE32-E72D297353CC}">
              <c16:uniqueId val="{00000005-CE1F-413D-BB33-40303FD10A6D}"/>
            </c:ext>
          </c:extLst>
        </c:ser>
        <c:marker val="1"/>
        <c:axId val="118647808"/>
        <c:axId val="118670080"/>
      </c:lineChart>
      <c:catAx>
        <c:axId val="118647808"/>
        <c:scaling>
          <c:orientation val="minMax"/>
        </c:scaling>
        <c:axPos val="b"/>
        <c:numFmt formatCode="General" sourceLinked="0"/>
        <c:tickLblPos val="low"/>
        <c:crossAx val="118670080"/>
        <c:crosses val="autoZero"/>
        <c:auto val="1"/>
        <c:lblAlgn val="ctr"/>
        <c:lblOffset val="100"/>
      </c:catAx>
      <c:valAx>
        <c:axId val="118670080"/>
        <c:scaling>
          <c:orientation val="minMax"/>
          <c:max val="6"/>
          <c:min val="-6"/>
        </c:scaling>
        <c:axPos val="l"/>
        <c:majorGridlines/>
        <c:numFmt formatCode="#,##0" sourceLinked="0"/>
        <c:tickLblPos val="nextTo"/>
        <c:crossAx val="118647808"/>
        <c:crosses val="autoZero"/>
        <c:crossBetween val="between"/>
      </c:valAx>
      <c:spPr>
        <a:ln>
          <a:solidFill>
            <a:sysClr val="windowText" lastClr="000000"/>
          </a:solidFill>
        </a:ln>
      </c:spPr>
    </c:plotArea>
    <c:legend>
      <c:legendPos val="r"/>
      <c:layout>
        <c:manualLayout>
          <c:xMode val="edge"/>
          <c:yMode val="edge"/>
          <c:x val="6.5902566700439036E-2"/>
          <c:y val="0.86729314420803783"/>
          <c:w val="0.91131142350557715"/>
          <c:h val="0.11490149724192275"/>
        </c:manualLayout>
      </c:layout>
      <c:spPr>
        <a:ln>
          <a:solidFill>
            <a:schemeClr val="tx1"/>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5.3160670300827814E-2"/>
          <c:y val="2.1454144318916658E-2"/>
          <c:w val="0.89353506965475449"/>
          <c:h val="0.69692035147392295"/>
        </c:manualLayout>
      </c:layout>
      <c:barChart>
        <c:barDir val="col"/>
        <c:grouping val="clustered"/>
        <c:ser>
          <c:idx val="0"/>
          <c:order val="0"/>
          <c:tx>
            <c:strRef>
              <c:f>'GRAF-ISCO'!$C$66</c:f>
              <c:strCache>
                <c:ptCount val="1"/>
                <c:pt idx="0">
                  <c:v>Mzdový medián, obě pohlaví (y/y, %)</c:v>
                </c:pt>
              </c:strCache>
            </c:strRef>
          </c:tx>
          <c:spPr>
            <a:solidFill>
              <a:srgbClr val="DFF1F5"/>
            </a:solidFill>
            <a:ln w="6350">
              <a:solidFill>
                <a:schemeClr val="bg1">
                  <a:lumMod val="50000"/>
                </a:schemeClr>
              </a:solidFill>
            </a:ln>
          </c:spPr>
          <c:dPt>
            <c:idx val="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0-10BD-4787-AB3E-4A7C79D9F631}"/>
              </c:ext>
            </c:extLst>
          </c:dPt>
          <c:dPt>
            <c:idx val="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1-10BD-4787-AB3E-4A7C79D9F631}"/>
              </c:ext>
            </c:extLst>
          </c:dPt>
          <c:dPt>
            <c:idx val="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2-10BD-4787-AB3E-4A7C79D9F631}"/>
              </c:ext>
            </c:extLst>
          </c:dPt>
          <c:dPt>
            <c:idx val="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3-10BD-4787-AB3E-4A7C79D9F631}"/>
              </c:ext>
            </c:extLst>
          </c:dPt>
          <c:dPt>
            <c:idx val="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4-10BD-4787-AB3E-4A7C79D9F631}"/>
              </c:ext>
            </c:extLst>
          </c:dPt>
          <c:dPt>
            <c:idx val="6"/>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5-10BD-4787-AB3E-4A7C79D9F631}"/>
              </c:ext>
            </c:extLst>
          </c:dPt>
          <c:dPt>
            <c:idx val="7"/>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6-10BD-4787-AB3E-4A7C79D9F631}"/>
              </c:ext>
            </c:extLst>
          </c:dPt>
          <c:dPt>
            <c:idx val="8"/>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7-10BD-4787-AB3E-4A7C79D9F631}"/>
              </c:ext>
            </c:extLst>
          </c:dPt>
          <c:dPt>
            <c:idx val="9"/>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8-10BD-4787-AB3E-4A7C79D9F631}"/>
              </c:ext>
            </c:extLst>
          </c:dPt>
          <c:dPt>
            <c:idx val="10"/>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9-10BD-4787-AB3E-4A7C79D9F631}"/>
              </c:ext>
            </c:extLst>
          </c:dPt>
          <c:dPt>
            <c:idx val="12"/>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A-10BD-4787-AB3E-4A7C79D9F631}"/>
              </c:ext>
            </c:extLst>
          </c:dPt>
          <c:dPt>
            <c:idx val="13"/>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B-10BD-4787-AB3E-4A7C79D9F631}"/>
              </c:ext>
            </c:extLst>
          </c:dPt>
          <c:dPt>
            <c:idx val="14"/>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C-10BD-4787-AB3E-4A7C79D9F631}"/>
              </c:ext>
            </c:extLst>
          </c:dPt>
          <c:dPt>
            <c:idx val="15"/>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D-10BD-4787-AB3E-4A7C79D9F631}"/>
              </c:ext>
            </c:extLst>
          </c:dPt>
          <c:dPt>
            <c:idx val="16"/>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E-10BD-4787-AB3E-4A7C79D9F631}"/>
              </c:ext>
            </c:extLst>
          </c:dPt>
          <c:dPt>
            <c:idx val="18"/>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F-10BD-4787-AB3E-4A7C79D9F631}"/>
              </c:ext>
            </c:extLst>
          </c:dPt>
          <c:dPt>
            <c:idx val="19"/>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0-10BD-4787-AB3E-4A7C79D9F631}"/>
              </c:ext>
            </c:extLst>
          </c:dPt>
          <c:dPt>
            <c:idx val="20"/>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1-10BD-4787-AB3E-4A7C79D9F631}"/>
              </c:ext>
            </c:extLst>
          </c:dPt>
          <c:dPt>
            <c:idx val="21"/>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2-10BD-4787-AB3E-4A7C79D9F631}"/>
              </c:ext>
            </c:extLst>
          </c:dPt>
          <c:dPt>
            <c:idx val="22"/>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3-10BD-4787-AB3E-4A7C79D9F631}"/>
              </c:ext>
            </c:extLst>
          </c:dPt>
          <c:dPt>
            <c:idx val="24"/>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4-10BD-4787-AB3E-4A7C79D9F631}"/>
              </c:ext>
            </c:extLst>
          </c:dPt>
          <c:dPt>
            <c:idx val="25"/>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5-10BD-4787-AB3E-4A7C79D9F631}"/>
              </c:ext>
            </c:extLst>
          </c:dPt>
          <c:dPt>
            <c:idx val="26"/>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6-10BD-4787-AB3E-4A7C79D9F631}"/>
              </c:ext>
            </c:extLst>
          </c:dPt>
          <c:dPt>
            <c:idx val="27"/>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7-10BD-4787-AB3E-4A7C79D9F631}"/>
              </c:ext>
            </c:extLst>
          </c:dPt>
          <c:dPt>
            <c:idx val="28"/>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8-10BD-4787-AB3E-4A7C79D9F631}"/>
              </c:ext>
            </c:extLst>
          </c:dPt>
          <c:dPt>
            <c:idx val="3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9-10BD-4787-AB3E-4A7C79D9F631}"/>
              </c:ext>
            </c:extLst>
          </c:dPt>
          <c:dPt>
            <c:idx val="3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A-10BD-4787-AB3E-4A7C79D9F631}"/>
              </c:ext>
            </c:extLst>
          </c:dPt>
          <c:dPt>
            <c:idx val="3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B-10BD-4787-AB3E-4A7C79D9F631}"/>
              </c:ext>
            </c:extLst>
          </c:dPt>
          <c:dPt>
            <c:idx val="3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C-10BD-4787-AB3E-4A7C79D9F631}"/>
              </c:ext>
            </c:extLst>
          </c:dPt>
          <c:dPt>
            <c:idx val="3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D-10BD-4787-AB3E-4A7C79D9F631}"/>
              </c:ext>
            </c:extLst>
          </c:dPt>
          <c:dPt>
            <c:idx val="36"/>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E-10BD-4787-AB3E-4A7C79D9F631}"/>
              </c:ext>
            </c:extLst>
          </c:dPt>
          <c:dPt>
            <c:idx val="37"/>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F-10BD-4787-AB3E-4A7C79D9F631}"/>
              </c:ext>
            </c:extLst>
          </c:dPt>
          <c:dPt>
            <c:idx val="38"/>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0-10BD-4787-AB3E-4A7C79D9F631}"/>
              </c:ext>
            </c:extLst>
          </c:dPt>
          <c:dPt>
            <c:idx val="39"/>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1-10BD-4787-AB3E-4A7C79D9F631}"/>
              </c:ext>
            </c:extLst>
          </c:dPt>
          <c:dPt>
            <c:idx val="40"/>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2-10BD-4787-AB3E-4A7C79D9F631}"/>
              </c:ext>
            </c:extLst>
          </c:dPt>
          <c:dPt>
            <c:idx val="42"/>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3-10BD-4787-AB3E-4A7C79D9F631}"/>
              </c:ext>
            </c:extLst>
          </c:dPt>
          <c:dPt>
            <c:idx val="43"/>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4-10BD-4787-AB3E-4A7C79D9F631}"/>
              </c:ext>
            </c:extLst>
          </c:dPt>
          <c:dPt>
            <c:idx val="44"/>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5-10BD-4787-AB3E-4A7C79D9F631}"/>
              </c:ext>
            </c:extLst>
          </c:dPt>
          <c:dPt>
            <c:idx val="45"/>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6-10BD-4787-AB3E-4A7C79D9F631}"/>
              </c:ext>
            </c:extLst>
          </c:dPt>
          <c:dPt>
            <c:idx val="46"/>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7-10BD-4787-AB3E-4A7C79D9F631}"/>
              </c:ext>
            </c:extLst>
          </c:dPt>
          <c:dPt>
            <c:idx val="48"/>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8-10BD-4787-AB3E-4A7C79D9F631}"/>
              </c:ext>
            </c:extLst>
          </c:dPt>
          <c:dPt>
            <c:idx val="49"/>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9-10BD-4787-AB3E-4A7C79D9F631}"/>
              </c:ext>
            </c:extLst>
          </c:dPt>
          <c:dPt>
            <c:idx val="50"/>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A-10BD-4787-AB3E-4A7C79D9F631}"/>
              </c:ext>
            </c:extLst>
          </c:dPt>
          <c:dPt>
            <c:idx val="51"/>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B-10BD-4787-AB3E-4A7C79D9F631}"/>
              </c:ext>
            </c:extLst>
          </c:dPt>
          <c:dPt>
            <c:idx val="52"/>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C-10BD-4787-AB3E-4A7C79D9F631}"/>
              </c:ext>
            </c:extLst>
          </c:dPt>
          <c:dPt>
            <c:idx val="54"/>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D-10BD-4787-AB3E-4A7C79D9F631}"/>
              </c:ext>
            </c:extLst>
          </c:dPt>
          <c:dPt>
            <c:idx val="55"/>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E-10BD-4787-AB3E-4A7C79D9F631}"/>
              </c:ext>
            </c:extLst>
          </c:dPt>
          <c:dPt>
            <c:idx val="56"/>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F-10BD-4787-AB3E-4A7C79D9F631}"/>
              </c:ext>
            </c:extLst>
          </c:dPt>
          <c:dPt>
            <c:idx val="57"/>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0-10BD-4787-AB3E-4A7C79D9F631}"/>
              </c:ext>
            </c:extLst>
          </c:dPt>
          <c:dPt>
            <c:idx val="58"/>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1-10BD-4787-AB3E-4A7C79D9F631}"/>
              </c:ext>
            </c:extLst>
          </c:dPt>
          <c:dPt>
            <c:idx val="6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2-10BD-4787-AB3E-4A7C79D9F631}"/>
              </c:ext>
            </c:extLst>
          </c:dPt>
          <c:dPt>
            <c:idx val="6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3-10BD-4787-AB3E-4A7C79D9F631}"/>
              </c:ext>
            </c:extLst>
          </c:dPt>
          <c:dPt>
            <c:idx val="6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4-10BD-4787-AB3E-4A7C79D9F631}"/>
              </c:ext>
            </c:extLst>
          </c:dPt>
          <c:dPt>
            <c:idx val="6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5-10BD-4787-AB3E-4A7C79D9F631}"/>
              </c:ext>
            </c:extLst>
          </c:dPt>
          <c:dPt>
            <c:idx val="6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6-10BD-4787-AB3E-4A7C79D9F631}"/>
              </c:ext>
            </c:extLst>
          </c:dPt>
          <c:cat>
            <c:strRef>
              <c:f>'GRAF-ISCO'!$A$67:$B$131</c:f>
              <c:strCache>
                <c:ptCount val="61"/>
                <c:pt idx="0">
                  <c:v>Zaměstnanci v 
ozbroj. silách</c:v>
                </c:pt>
                <c:pt idx="6">
                  <c:v>Zákonodárci a 
řídící prac.</c:v>
                </c:pt>
                <c:pt idx="12">
                  <c:v>Specialisté</c:v>
                </c:pt>
                <c:pt idx="18">
                  <c:v>Techničtí a 
odborní pracov.</c:v>
                </c:pt>
                <c:pt idx="24">
                  <c:v>Úředníci</c:v>
                </c:pt>
                <c:pt idx="30">
                  <c:v>Pracovníci ve 
službách, prodeji</c:v>
                </c:pt>
                <c:pt idx="36">
                  <c:v>Kvalif. pracov. v
zeměd.,lesn.,ryb.</c:v>
                </c:pt>
                <c:pt idx="42">
                  <c:v>Řemeslníci 
a opraváři</c:v>
                </c:pt>
                <c:pt idx="48">
                  <c:v>Obsluha strojů a
zařízení, montéři</c:v>
                </c:pt>
                <c:pt idx="54">
                  <c:v>Pomocní a 
nekvalif. pracov.</c:v>
                </c:pt>
                <c:pt idx="60">
                  <c:v>NH celkem</c:v>
                </c:pt>
              </c:strCache>
            </c:strRef>
          </c:cat>
          <c:val>
            <c:numRef>
              <c:f>'GRAF-ISCO'!$C$67:$C$131</c:f>
              <c:numCache>
                <c:formatCode>0.0</c:formatCode>
                <c:ptCount val="65"/>
                <c:pt idx="0">
                  <c:v>0.59357245823793725</c:v>
                </c:pt>
                <c:pt idx="1">
                  <c:v>4.7795667200539524</c:v>
                </c:pt>
                <c:pt idx="2">
                  <c:v>9.328238133547849</c:v>
                </c:pt>
                <c:pt idx="3">
                  <c:v>12.1969167371868</c:v>
                </c:pt>
                <c:pt idx="4">
                  <c:v>10.123302944841612</c:v>
                </c:pt>
                <c:pt idx="6">
                  <c:v>3.2909095367713812</c:v>
                </c:pt>
                <c:pt idx="7">
                  <c:v>1.6523824220697605</c:v>
                </c:pt>
                <c:pt idx="8">
                  <c:v>3.9049910082444215</c:v>
                </c:pt>
                <c:pt idx="9">
                  <c:v>1.4767695385376098</c:v>
                </c:pt>
                <c:pt idx="10">
                  <c:v>7.7681300668940665</c:v>
                </c:pt>
                <c:pt idx="12">
                  <c:v>2.3106151370964767</c:v>
                </c:pt>
                <c:pt idx="13">
                  <c:v>2.4223768736616762</c:v>
                </c:pt>
                <c:pt idx="14">
                  <c:v>3.8220305762446145</c:v>
                </c:pt>
                <c:pt idx="15">
                  <c:v>4.9430495248883508</c:v>
                </c:pt>
                <c:pt idx="16">
                  <c:v>7.3636554432884465</c:v>
                </c:pt>
                <c:pt idx="18">
                  <c:v>0.97125401425551339</c:v>
                </c:pt>
                <c:pt idx="19">
                  <c:v>2.4823520285470551</c:v>
                </c:pt>
                <c:pt idx="20">
                  <c:v>4.5189614715010151</c:v>
                </c:pt>
                <c:pt idx="21">
                  <c:v>4.8196697566628606</c:v>
                </c:pt>
                <c:pt idx="22">
                  <c:v>7.503368224686497</c:v>
                </c:pt>
                <c:pt idx="24">
                  <c:v>0.31716599980483323</c:v>
                </c:pt>
                <c:pt idx="25">
                  <c:v>1.6294566856364554</c:v>
                </c:pt>
                <c:pt idx="26">
                  <c:v>2.7232698382310812</c:v>
                </c:pt>
                <c:pt idx="27">
                  <c:v>5.1157806457624755</c:v>
                </c:pt>
                <c:pt idx="28">
                  <c:v>6.5333983422720934</c:v>
                </c:pt>
                <c:pt idx="30">
                  <c:v>0.66225165562915811</c:v>
                </c:pt>
                <c:pt idx="31">
                  <c:v>2.3574561403508767</c:v>
                </c:pt>
                <c:pt idx="32">
                  <c:v>3.8698446705945377</c:v>
                </c:pt>
                <c:pt idx="33">
                  <c:v>8.8758540672940747</c:v>
                </c:pt>
                <c:pt idx="34">
                  <c:v>10.366467349476126</c:v>
                </c:pt>
                <c:pt idx="36">
                  <c:v>2.9386832438541997</c:v>
                </c:pt>
                <c:pt idx="37">
                  <c:v>3.8155366456217341</c:v>
                </c:pt>
                <c:pt idx="38">
                  <c:v>3.072448439978785</c:v>
                </c:pt>
                <c:pt idx="39">
                  <c:v>3.6067928787645602</c:v>
                </c:pt>
                <c:pt idx="40">
                  <c:v>6.5118351985738414</c:v>
                </c:pt>
                <c:pt idx="42">
                  <c:v>1.8073456730303399</c:v>
                </c:pt>
                <c:pt idx="43">
                  <c:v>3.4505735091142578</c:v>
                </c:pt>
                <c:pt idx="44">
                  <c:v>4.2648141332351646</c:v>
                </c:pt>
                <c:pt idx="45">
                  <c:v>5.1317124829017065</c:v>
                </c:pt>
                <c:pt idx="46">
                  <c:v>7.5631662889280555</c:v>
                </c:pt>
                <c:pt idx="48">
                  <c:v>1.2699350265800433</c:v>
                </c:pt>
                <c:pt idx="49">
                  <c:v>2.6927189656848327</c:v>
                </c:pt>
                <c:pt idx="50">
                  <c:v>4.2976145399469239</c:v>
                </c:pt>
                <c:pt idx="51">
                  <c:v>5.590851334180428</c:v>
                </c:pt>
                <c:pt idx="52">
                  <c:v>7.8820697954272134</c:v>
                </c:pt>
                <c:pt idx="54">
                  <c:v>1.4053089449029557</c:v>
                </c:pt>
                <c:pt idx="55">
                  <c:v>2.3830473676491981</c:v>
                </c:pt>
                <c:pt idx="56">
                  <c:v>3.5164362959249473</c:v>
                </c:pt>
                <c:pt idx="57">
                  <c:v>7.6449425764493686</c:v>
                </c:pt>
                <c:pt idx="58">
                  <c:v>8.1367697152773211</c:v>
                </c:pt>
                <c:pt idx="60">
                  <c:v>1.2228940310042158</c:v>
                </c:pt>
                <c:pt idx="61">
                  <c:v>2.5958861043743724</c:v>
                </c:pt>
                <c:pt idx="62">
                  <c:v>3.8609700577832342</c:v>
                </c:pt>
                <c:pt idx="63">
                  <c:v>5.2937705470791627</c:v>
                </c:pt>
                <c:pt idx="64">
                  <c:v>7.4493635417501096</c:v>
                </c:pt>
              </c:numCache>
            </c:numRef>
          </c:val>
          <c:extLst xmlns:c16r2="http://schemas.microsoft.com/office/drawing/2015/06/chart">
            <c:ext xmlns:c16="http://schemas.microsoft.com/office/drawing/2014/chart" uri="{C3380CC4-5D6E-409C-BE32-E72D297353CC}">
              <c16:uniqueId val="{00000037-10BD-4787-AB3E-4A7C79D9F631}"/>
            </c:ext>
          </c:extLst>
        </c:ser>
        <c:gapWidth val="0"/>
        <c:axId val="124683776"/>
        <c:axId val="124685696"/>
      </c:barChart>
      <c:lineChart>
        <c:grouping val="standard"/>
        <c:ser>
          <c:idx val="1"/>
          <c:order val="1"/>
          <c:tx>
            <c:strRef>
              <c:f>'GRAF-ISCO'!$D$66</c:f>
              <c:strCache>
                <c:ptCount val="1"/>
                <c:pt idx="0">
                  <c:v>Medián Ž/M (pravá osa)</c:v>
                </c:pt>
              </c:strCache>
            </c:strRef>
          </c:tx>
          <c:spPr>
            <a:ln w="6350">
              <a:noFill/>
            </a:ln>
          </c:spPr>
          <c:marker>
            <c:symbol val="diamond"/>
            <c:size val="5"/>
            <c:spPr>
              <a:solidFill>
                <a:srgbClr val="FFFF00"/>
              </a:solidFill>
              <a:ln w="6350">
                <a:solidFill>
                  <a:prstClr val="white">
                    <a:lumMod val="50000"/>
                  </a:prstClr>
                </a:solidFill>
              </a:ln>
            </c:spPr>
          </c:marker>
          <c:cat>
            <c:strRef>
              <c:f>'GRAF-ISCO'!$A$67:$B$131</c:f>
              <c:strCache>
                <c:ptCount val="61"/>
                <c:pt idx="0">
                  <c:v>Zaměstnanci v 
ozbroj. silách</c:v>
                </c:pt>
                <c:pt idx="6">
                  <c:v>Zákonodárci a 
řídící prac.</c:v>
                </c:pt>
                <c:pt idx="12">
                  <c:v>Specialisté</c:v>
                </c:pt>
                <c:pt idx="18">
                  <c:v>Techničtí a 
odborní pracov.</c:v>
                </c:pt>
                <c:pt idx="24">
                  <c:v>Úředníci</c:v>
                </c:pt>
                <c:pt idx="30">
                  <c:v>Pracovníci ve 
službách, prodeji</c:v>
                </c:pt>
                <c:pt idx="36">
                  <c:v>Kvalif. pracov. v
zeměd.,lesn.,ryb.</c:v>
                </c:pt>
                <c:pt idx="42">
                  <c:v>Řemeslníci 
a opraváři</c:v>
                </c:pt>
                <c:pt idx="48">
                  <c:v>Obsluha strojů a
zařízení, montéři</c:v>
                </c:pt>
                <c:pt idx="54">
                  <c:v>Pomocní a 
nekvalif. pracov.</c:v>
                </c:pt>
                <c:pt idx="60">
                  <c:v>NH celkem</c:v>
                </c:pt>
              </c:strCache>
            </c:strRef>
          </c:cat>
          <c:val>
            <c:numRef>
              <c:f>'GRAF-ISCO'!$D$67:$D$131</c:f>
              <c:numCache>
                <c:formatCode>#,##0.00</c:formatCode>
                <c:ptCount val="65"/>
                <c:pt idx="0">
                  <c:v>1.0443812112460715</c:v>
                </c:pt>
                <c:pt idx="1">
                  <c:v>1.0810898871828278</c:v>
                </c:pt>
                <c:pt idx="2">
                  <c:v>1.092607818222588</c:v>
                </c:pt>
                <c:pt idx="3">
                  <c:v>1.1068597611960378</c:v>
                </c:pt>
                <c:pt idx="4">
                  <c:v>1.110364741641338</c:v>
                </c:pt>
                <c:pt idx="6">
                  <c:v>0.79885183399798465</c:v>
                </c:pt>
                <c:pt idx="7">
                  <c:v>0.79651846624323686</c:v>
                </c:pt>
                <c:pt idx="8">
                  <c:v>0.79515748435416034</c:v>
                </c:pt>
                <c:pt idx="9">
                  <c:v>0.81118623232944065</c:v>
                </c:pt>
                <c:pt idx="10">
                  <c:v>0.815688299764733</c:v>
                </c:pt>
                <c:pt idx="12">
                  <c:v>0.75867341265429966</c:v>
                </c:pt>
                <c:pt idx="13">
                  <c:v>0.75868050849754765</c:v>
                </c:pt>
                <c:pt idx="14">
                  <c:v>0.75264677574590955</c:v>
                </c:pt>
                <c:pt idx="15">
                  <c:v>0.76137702780633354</c:v>
                </c:pt>
                <c:pt idx="16">
                  <c:v>0.76280146904021162</c:v>
                </c:pt>
                <c:pt idx="18">
                  <c:v>0.82571507722141912</c:v>
                </c:pt>
                <c:pt idx="19">
                  <c:v>0.82465605611006265</c:v>
                </c:pt>
                <c:pt idx="20">
                  <c:v>0.8267959024896343</c:v>
                </c:pt>
                <c:pt idx="21">
                  <c:v>0.82878604463482064</c:v>
                </c:pt>
                <c:pt idx="22">
                  <c:v>0.82976634029402419</c:v>
                </c:pt>
                <c:pt idx="24">
                  <c:v>0.83163586068151096</c:v>
                </c:pt>
                <c:pt idx="25">
                  <c:v>0.82595313333606923</c:v>
                </c:pt>
                <c:pt idx="26">
                  <c:v>0.82224610852342861</c:v>
                </c:pt>
                <c:pt idx="27">
                  <c:v>0.81275410329769615</c:v>
                </c:pt>
                <c:pt idx="28">
                  <c:v>0.8157008683324477</c:v>
                </c:pt>
                <c:pt idx="30">
                  <c:v>0.90451686678101217</c:v>
                </c:pt>
                <c:pt idx="31">
                  <c:v>0.91419803344398598</c:v>
                </c:pt>
                <c:pt idx="32">
                  <c:v>0.91858780929390449</c:v>
                </c:pt>
                <c:pt idx="33">
                  <c:v>0.92912284627433461</c:v>
                </c:pt>
                <c:pt idx="34">
                  <c:v>0.92134097305991169</c:v>
                </c:pt>
                <c:pt idx="36">
                  <c:v>0.90430270950159841</c:v>
                </c:pt>
                <c:pt idx="37">
                  <c:v>0.89428049893519923</c:v>
                </c:pt>
                <c:pt idx="38">
                  <c:v>0.87546839262251264</c:v>
                </c:pt>
                <c:pt idx="39">
                  <c:v>0.84271093927677965</c:v>
                </c:pt>
                <c:pt idx="40">
                  <c:v>0.85670188252685431</c:v>
                </c:pt>
                <c:pt idx="42">
                  <c:v>0.7513784230839976</c:v>
                </c:pt>
                <c:pt idx="43">
                  <c:v>0.75261385787701574</c:v>
                </c:pt>
                <c:pt idx="44">
                  <c:v>0.74196838347781768</c:v>
                </c:pt>
                <c:pt idx="45">
                  <c:v>0.7568203007823584</c:v>
                </c:pt>
                <c:pt idx="46">
                  <c:v>0.76635090764992264</c:v>
                </c:pt>
                <c:pt idx="48">
                  <c:v>0.81413648704615527</c:v>
                </c:pt>
                <c:pt idx="49">
                  <c:v>0.81368702630405765</c:v>
                </c:pt>
                <c:pt idx="50">
                  <c:v>0.82198952879581155</c:v>
                </c:pt>
                <c:pt idx="51">
                  <c:v>0.83034949635007504</c:v>
                </c:pt>
                <c:pt idx="52">
                  <c:v>0.84105784873822409</c:v>
                </c:pt>
                <c:pt idx="54">
                  <c:v>0.75480973478182201</c:v>
                </c:pt>
                <c:pt idx="55">
                  <c:v>0.76832579185520367</c:v>
                </c:pt>
                <c:pt idx="56">
                  <c:v>0.7702852476229366</c:v>
                </c:pt>
                <c:pt idx="57">
                  <c:v>0.75862818631448337</c:v>
                </c:pt>
                <c:pt idx="58">
                  <c:v>0.77515691435513745</c:v>
                </c:pt>
                <c:pt idx="60">
                  <c:v>0.84621164683782091</c:v>
                </c:pt>
                <c:pt idx="61">
                  <c:v>0.83745439805431698</c:v>
                </c:pt>
                <c:pt idx="62">
                  <c:v>0.83544845842417437</c:v>
                </c:pt>
                <c:pt idx="63">
                  <c:v>0.83976569161754777</c:v>
                </c:pt>
                <c:pt idx="64">
                  <c:v>0.84385989105702264</c:v>
                </c:pt>
              </c:numCache>
            </c:numRef>
          </c:val>
          <c:extLst xmlns:c16r2="http://schemas.microsoft.com/office/drawing/2015/06/chart">
            <c:ext xmlns:c16="http://schemas.microsoft.com/office/drawing/2014/chart" uri="{C3380CC4-5D6E-409C-BE32-E72D297353CC}">
              <c16:uniqueId val="{00000038-10BD-4787-AB3E-4A7C79D9F631}"/>
            </c:ext>
          </c:extLst>
        </c:ser>
        <c:marker val="1"/>
        <c:axId val="124689024"/>
        <c:axId val="124687488"/>
      </c:lineChart>
      <c:catAx>
        <c:axId val="124683776"/>
        <c:scaling>
          <c:orientation val="minMax"/>
        </c:scaling>
        <c:axPos val="b"/>
        <c:numFmt formatCode="General" sourceLinked="0"/>
        <c:majorTickMark val="none"/>
        <c:tickLblPos val="low"/>
        <c:txPr>
          <a:bodyPr rot="-5400000" vert="horz"/>
          <a:lstStyle/>
          <a:p>
            <a:pPr>
              <a:defRPr sz="800">
                <a:latin typeface="Arial" pitchFamily="34" charset="0"/>
                <a:cs typeface="Arial" pitchFamily="34" charset="0"/>
              </a:defRPr>
            </a:pPr>
            <a:endParaRPr lang="cs-CZ"/>
          </a:p>
        </c:txPr>
        <c:crossAx val="124685696"/>
        <c:crosses val="autoZero"/>
        <c:auto val="1"/>
        <c:lblAlgn val="ctr"/>
        <c:lblOffset val="0"/>
      </c:catAx>
      <c:valAx>
        <c:axId val="124685696"/>
        <c:scaling>
          <c:orientation val="minMax"/>
          <c:max val="13"/>
          <c:min val="0"/>
        </c:scaling>
        <c:axPos val="l"/>
        <c:majorGridlines/>
        <c:numFmt formatCode="0" sourceLinked="0"/>
        <c:tickLblPos val="nextTo"/>
        <c:txPr>
          <a:bodyPr/>
          <a:lstStyle/>
          <a:p>
            <a:pPr>
              <a:defRPr sz="800">
                <a:latin typeface="Arial" pitchFamily="34" charset="0"/>
                <a:cs typeface="Arial" pitchFamily="34" charset="0"/>
              </a:defRPr>
            </a:pPr>
            <a:endParaRPr lang="cs-CZ"/>
          </a:p>
        </c:txPr>
        <c:crossAx val="124683776"/>
        <c:crosses val="autoZero"/>
        <c:crossBetween val="between"/>
        <c:majorUnit val="1"/>
      </c:valAx>
      <c:valAx>
        <c:axId val="124687488"/>
        <c:scaling>
          <c:orientation val="minMax"/>
          <c:max val="1.1500000000000001"/>
          <c:min val="0.5"/>
        </c:scaling>
        <c:axPos val="r"/>
        <c:numFmt formatCode="#,##0.00" sourceLinked="0"/>
        <c:tickLblPos val="nextTo"/>
        <c:txPr>
          <a:bodyPr/>
          <a:lstStyle/>
          <a:p>
            <a:pPr>
              <a:defRPr sz="800">
                <a:latin typeface="Arial" pitchFamily="34" charset="0"/>
                <a:cs typeface="Arial" pitchFamily="34" charset="0"/>
              </a:defRPr>
            </a:pPr>
            <a:endParaRPr lang="cs-CZ"/>
          </a:p>
        </c:txPr>
        <c:crossAx val="124689024"/>
        <c:crosses val="max"/>
        <c:crossBetween val="between"/>
        <c:majorUnit val="0.1"/>
      </c:valAx>
      <c:catAx>
        <c:axId val="124689024"/>
        <c:scaling>
          <c:orientation val="minMax"/>
        </c:scaling>
        <c:delete val="1"/>
        <c:axPos val="b"/>
        <c:numFmt formatCode="General" sourceLinked="1"/>
        <c:tickLblPos val="none"/>
        <c:crossAx val="124687488"/>
        <c:crosses val="autoZero"/>
        <c:auto val="1"/>
        <c:lblAlgn val="ctr"/>
        <c:lblOffset val="100"/>
      </c:catAx>
    </c:plotArea>
    <c:legend>
      <c:legendPos val="r"/>
      <c:layout>
        <c:manualLayout>
          <c:xMode val="edge"/>
          <c:yMode val="edge"/>
          <c:x val="4.0612466448754582E-2"/>
          <c:y val="0.94845833333333363"/>
          <c:w val="0.89602948609910371"/>
          <c:h val="4.6498866213151906E-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6316626494282913E-2"/>
          <c:y val="1.5755757049289401E-2"/>
          <c:w val="0.93593697124995157"/>
          <c:h val="0.75149239107226351"/>
        </c:manualLayout>
      </c:layout>
      <c:lineChart>
        <c:grouping val="standard"/>
        <c:ser>
          <c:idx val="0"/>
          <c:order val="0"/>
          <c:tx>
            <c:strRef>
              <c:f>'Mzdy-ISCO'!$B$62</c:f>
              <c:strCache>
                <c:ptCount val="1"/>
                <c:pt idx="0">
                  <c:v>Hl. m. Praha</c:v>
                </c:pt>
              </c:strCache>
            </c:strRef>
          </c:tx>
          <c:spPr>
            <a:ln w="19050">
              <a:solidFill>
                <a:srgbClr val="BD1B21"/>
              </a:solidFill>
              <a:prstDash val="sysDot"/>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'Mzdy-ISCO'!$C$62:$R$62</c:f>
              <c:numCache>
                <c:formatCode>0</c:formatCode>
                <c:ptCount val="16"/>
                <c:pt idx="0">
                  <c:v>141.44043078303801</c:v>
                </c:pt>
                <c:pt idx="1">
                  <c:v>129.16762000640645</c:v>
                </c:pt>
                <c:pt idx="2">
                  <c:v>123.75314929699563</c:v>
                </c:pt>
                <c:pt idx="3">
                  <c:v>119.92324113185265</c:v>
                </c:pt>
                <c:pt idx="4">
                  <c:v>119.23263551920145</c:v>
                </c:pt>
                <c:pt idx="5">
                  <c:v>114.56047163203316</c:v>
                </c:pt>
                <c:pt idx="6">
                  <c:v>115.01766784452296</c:v>
                </c:pt>
                <c:pt idx="7">
                  <c:v>113.5212576473328</c:v>
                </c:pt>
                <c:pt idx="8">
                  <c:v>110.70995880785026</c:v>
                </c:pt>
                <c:pt idx="9">
                  <c:v>113.12990325841075</c:v>
                </c:pt>
                <c:pt idx="10">
                  <c:v>110.91376382578366</c:v>
                </c:pt>
                <c:pt idx="11">
                  <c:v>104.29938097917839</c:v>
                </c:pt>
                <c:pt idx="12">
                  <c:v>107.38397620508898</c:v>
                </c:pt>
                <c:pt idx="13">
                  <c:v>106.00077730275828</c:v>
                </c:pt>
                <c:pt idx="14">
                  <c:v>106.82220106108014</c:v>
                </c:pt>
                <c:pt idx="15">
                  <c:v>98.689861375373738</c:v>
                </c:pt>
              </c:numCache>
            </c:numRef>
          </c:val>
          <c:extLst xmlns:c16r2="http://schemas.microsoft.com/office/drawing/2015/06/chart">
            <c:ext xmlns:c16="http://schemas.microsoft.com/office/drawing/2014/chart" uri="{C3380CC4-5D6E-409C-BE32-E72D297353CC}">
              <c16:uniqueId val="{00000000-769A-449F-B106-369F6C2D850C}"/>
            </c:ext>
          </c:extLst>
        </c:ser>
        <c:ser>
          <c:idx val="1"/>
          <c:order val="1"/>
          <c:tx>
            <c:strRef>
              <c:f>'Mzdy-ISCO'!$B$63</c:f>
              <c:strCache>
                <c:ptCount val="1"/>
                <c:pt idx="0">
                  <c:v>Středočeský kraj</c:v>
                </c:pt>
              </c:strCache>
            </c:strRef>
          </c:tx>
          <c:spPr>
            <a:ln w="19050">
              <a:solidFill>
                <a:srgbClr val="7DBB2D"/>
              </a:solidFill>
              <a:prstDash val="sysDot"/>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'Mzdy-ISCO'!$C$63:$R$63</c:f>
              <c:numCache>
                <c:formatCode>0</c:formatCode>
                <c:ptCount val="16"/>
                <c:pt idx="0">
                  <c:v>99.787715089487577</c:v>
                </c:pt>
                <c:pt idx="1">
                  <c:v>109.24053142970453</c:v>
                </c:pt>
                <c:pt idx="2">
                  <c:v>91.731910167149792</c:v>
                </c:pt>
                <c:pt idx="3">
                  <c:v>93.009946859245133</c:v>
                </c:pt>
                <c:pt idx="4">
                  <c:v>102.91140995425005</c:v>
                </c:pt>
                <c:pt idx="5">
                  <c:v>104.0450618725188</c:v>
                </c:pt>
                <c:pt idx="6">
                  <c:v>100.51678445229678</c:v>
                </c:pt>
                <c:pt idx="7">
                  <c:v>99.883837992719705</c:v>
                </c:pt>
                <c:pt idx="8">
                  <c:v>100.92076568936353</c:v>
                </c:pt>
                <c:pt idx="9">
                  <c:v>99.918178755354418</c:v>
                </c:pt>
                <c:pt idx="10">
                  <c:v>111.11570058286244</c:v>
                </c:pt>
                <c:pt idx="11">
                  <c:v>112.26036390921114</c:v>
                </c:pt>
                <c:pt idx="12">
                  <c:v>107.16207922194418</c:v>
                </c:pt>
                <c:pt idx="13">
                  <c:v>107.34162456276798</c:v>
                </c:pt>
                <c:pt idx="14">
                  <c:v>109.40008162154822</c:v>
                </c:pt>
                <c:pt idx="15">
                  <c:v>106.77901603696606</c:v>
                </c:pt>
              </c:numCache>
            </c:numRef>
          </c:val>
          <c:extLst xmlns:c16r2="http://schemas.microsoft.com/office/drawing/2015/06/chart">
            <c:ext xmlns:c16="http://schemas.microsoft.com/office/drawing/2014/chart" uri="{C3380CC4-5D6E-409C-BE32-E72D297353CC}">
              <c16:uniqueId val="{00000001-769A-449F-B106-369F6C2D850C}"/>
            </c:ext>
          </c:extLst>
        </c:ser>
        <c:ser>
          <c:idx val="2"/>
          <c:order val="2"/>
          <c:tx>
            <c:strRef>
              <c:f>'Mzdy-ISCO'!$B$64</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'Mzdy-ISCO'!$C$64:$R$64</c:f>
              <c:numCache>
                <c:formatCode>0</c:formatCode>
                <c:ptCount val="16"/>
                <c:pt idx="0">
                  <c:v>77.371809254241384</c:v>
                </c:pt>
                <c:pt idx="1">
                  <c:v>89.220396894399755</c:v>
                </c:pt>
                <c:pt idx="2">
                  <c:v>84.815647603825212</c:v>
                </c:pt>
                <c:pt idx="3">
                  <c:v>81.630104010537309</c:v>
                </c:pt>
                <c:pt idx="4">
                  <c:v>95.629419104394458</c:v>
                </c:pt>
                <c:pt idx="5">
                  <c:v>94.597828624795696</c:v>
                </c:pt>
                <c:pt idx="6">
                  <c:v>97.014134275618943</c:v>
                </c:pt>
                <c:pt idx="7">
                  <c:v>93.789204677456809</c:v>
                </c:pt>
                <c:pt idx="8">
                  <c:v>97.486067361279396</c:v>
                </c:pt>
                <c:pt idx="9">
                  <c:v>102.75304423160226</c:v>
                </c:pt>
                <c:pt idx="10">
                  <c:v>94.951581073018502</c:v>
                </c:pt>
                <c:pt idx="11">
                  <c:v>94.455074094916512</c:v>
                </c:pt>
                <c:pt idx="12">
                  <c:v>97.743260469289396</c:v>
                </c:pt>
                <c:pt idx="13">
                  <c:v>95.915273999223274</c:v>
                </c:pt>
                <c:pt idx="14">
                  <c:v>95.313562780574074</c:v>
                </c:pt>
                <c:pt idx="15">
                  <c:v>97.401467790160396</c:v>
                </c:pt>
              </c:numCache>
            </c:numRef>
          </c:val>
          <c:extLst xmlns:c16r2="http://schemas.microsoft.com/office/drawing/2015/06/chart">
            <c:ext xmlns:c16="http://schemas.microsoft.com/office/drawing/2014/chart" uri="{C3380CC4-5D6E-409C-BE32-E72D297353CC}">
              <c16:uniqueId val="{00000002-769A-449F-B106-369F6C2D850C}"/>
            </c:ext>
          </c:extLst>
        </c:ser>
        <c:ser>
          <c:idx val="3"/>
          <c:order val="3"/>
          <c:tx>
            <c:strRef>
              <c:f>'Mzdy-ISCO'!$B$65</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'Mzdy-ISCO'!$C$65:$R$65</c:f>
              <c:numCache>
                <c:formatCode>0</c:formatCode>
                <c:ptCount val="16"/>
                <c:pt idx="0">
                  <c:v>88.679863999585749</c:v>
                </c:pt>
                <c:pt idx="1">
                  <c:v>90.786924754801021</c:v>
                </c:pt>
                <c:pt idx="2">
                  <c:v>92.103053124915363</c:v>
                </c:pt>
                <c:pt idx="3">
                  <c:v>91.792705636552768</c:v>
                </c:pt>
                <c:pt idx="4">
                  <c:v>96.579093303757048</c:v>
                </c:pt>
                <c:pt idx="5">
                  <c:v>100.32395517160865</c:v>
                </c:pt>
                <c:pt idx="6">
                  <c:v>102.20848056537102</c:v>
                </c:pt>
                <c:pt idx="7">
                  <c:v>96.999148145279946</c:v>
                </c:pt>
                <c:pt idx="8">
                  <c:v>99.33971407802278</c:v>
                </c:pt>
                <c:pt idx="9">
                  <c:v>101.5401646050931</c:v>
                </c:pt>
                <c:pt idx="10">
                  <c:v>105.86993437055325</c:v>
                </c:pt>
                <c:pt idx="11">
                  <c:v>110.0543987994743</c:v>
                </c:pt>
                <c:pt idx="12">
                  <c:v>103.14904867569985</c:v>
                </c:pt>
                <c:pt idx="13">
                  <c:v>103.15973571706074</c:v>
                </c:pt>
                <c:pt idx="14">
                  <c:v>100.46252210583594</c:v>
                </c:pt>
                <c:pt idx="15">
                  <c:v>111.30198423484643</c:v>
                </c:pt>
              </c:numCache>
            </c:numRef>
          </c:val>
          <c:extLst xmlns:c16r2="http://schemas.microsoft.com/office/drawing/2015/06/chart">
            <c:ext xmlns:c16="http://schemas.microsoft.com/office/drawing/2014/chart" uri="{C3380CC4-5D6E-409C-BE32-E72D297353CC}">
              <c16:uniqueId val="{00000003-769A-449F-B106-369F6C2D850C}"/>
            </c:ext>
          </c:extLst>
        </c:ser>
        <c:ser>
          <c:idx val="4"/>
          <c:order val="4"/>
          <c:tx>
            <c:strRef>
              <c:f>'Mzdy-ISCO'!$B$66</c:f>
              <c:strCache>
                <c:ptCount val="1"/>
                <c:pt idx="0">
                  <c:v>Karlovarský kraj</c:v>
                </c:pt>
              </c:strCache>
            </c:strRef>
          </c:tx>
          <c:spPr>
            <a:ln w="19050">
              <a:solidFill>
                <a:srgbClr val="0071BC"/>
              </a:solidFill>
              <a:prstDash val="sysDot"/>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'Mzdy-ISCO'!$C$66:$R$66</c:f>
              <c:numCache>
                <c:formatCode>0</c:formatCode>
                <c:ptCount val="16"/>
                <c:pt idx="0">
                  <c:v>76.260333787818666</c:v>
                </c:pt>
                <c:pt idx="1">
                  <c:v>72.505681904849055</c:v>
                </c:pt>
                <c:pt idx="2">
                  <c:v>81.467233765882739</c:v>
                </c:pt>
                <c:pt idx="3">
                  <c:v>82.708815914974778</c:v>
                </c:pt>
                <c:pt idx="4">
                  <c:v>87.491335089421852</c:v>
                </c:pt>
                <c:pt idx="5">
                  <c:v>90.780410926920382</c:v>
                </c:pt>
                <c:pt idx="6">
                  <c:v>96.426678445229683</c:v>
                </c:pt>
                <c:pt idx="7">
                  <c:v>98.052350344613558</c:v>
                </c:pt>
                <c:pt idx="8">
                  <c:v>103.0591228495275</c:v>
                </c:pt>
                <c:pt idx="9">
                  <c:v>100.66419598594682</c:v>
                </c:pt>
                <c:pt idx="10">
                  <c:v>97.585937858551361</c:v>
                </c:pt>
                <c:pt idx="11">
                  <c:v>91.735134121178021</c:v>
                </c:pt>
                <c:pt idx="12">
                  <c:v>94.891648175251348</c:v>
                </c:pt>
                <c:pt idx="13">
                  <c:v>98.51923824329576</c:v>
                </c:pt>
                <c:pt idx="14">
                  <c:v>95.095905319004189</c:v>
                </c:pt>
                <c:pt idx="15">
                  <c:v>100.85349279695498</c:v>
                </c:pt>
              </c:numCache>
            </c:numRef>
          </c:val>
          <c:extLst xmlns:c16r2="http://schemas.microsoft.com/office/drawing/2015/06/chart">
            <c:ext xmlns:c16="http://schemas.microsoft.com/office/drawing/2014/chart" uri="{C3380CC4-5D6E-409C-BE32-E72D297353CC}">
              <c16:uniqueId val="{00000004-769A-449F-B106-369F6C2D850C}"/>
            </c:ext>
          </c:extLst>
        </c:ser>
        <c:ser>
          <c:idx val="5"/>
          <c:order val="5"/>
          <c:tx>
            <c:strRef>
              <c:f>'Mzdy-ISCO'!$B$67</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'Mzdy-ISCO'!$C$67:$R$67</c:f>
              <c:numCache>
                <c:formatCode>0</c:formatCode>
                <c:ptCount val="16"/>
                <c:pt idx="0">
                  <c:v>89.896618974474009</c:v>
                </c:pt>
                <c:pt idx="1">
                  <c:v>85.846336887383558</c:v>
                </c:pt>
                <c:pt idx="2">
                  <c:v>87.551811015089058</c:v>
                </c:pt>
                <c:pt idx="3">
                  <c:v>86.337829858745522</c:v>
                </c:pt>
                <c:pt idx="4">
                  <c:v>94.194509912657679</c:v>
                </c:pt>
                <c:pt idx="5">
                  <c:v>91.889446649544709</c:v>
                </c:pt>
                <c:pt idx="6">
                  <c:v>91.886042402826035</c:v>
                </c:pt>
                <c:pt idx="7">
                  <c:v>93.239371176333108</c:v>
                </c:pt>
                <c:pt idx="8">
                  <c:v>92.936757935546382</c:v>
                </c:pt>
                <c:pt idx="9">
                  <c:v>97.28545988352505</c:v>
                </c:pt>
                <c:pt idx="10">
                  <c:v>95.162696773600828</c:v>
                </c:pt>
                <c:pt idx="11">
                  <c:v>97.572688051021544</c:v>
                </c:pt>
                <c:pt idx="12">
                  <c:v>100.98201218072801</c:v>
                </c:pt>
                <c:pt idx="13">
                  <c:v>101.77225029148848</c:v>
                </c:pt>
                <c:pt idx="14">
                  <c:v>96.27941776629028</c:v>
                </c:pt>
                <c:pt idx="15">
                  <c:v>99.537917912476189</c:v>
                </c:pt>
              </c:numCache>
            </c:numRef>
          </c:val>
          <c:extLst xmlns:c16r2="http://schemas.microsoft.com/office/drawing/2015/06/chart">
            <c:ext xmlns:c16="http://schemas.microsoft.com/office/drawing/2014/chart" uri="{C3380CC4-5D6E-409C-BE32-E72D297353CC}">
              <c16:uniqueId val="{00000005-769A-449F-B106-369F6C2D850C}"/>
            </c:ext>
          </c:extLst>
        </c:ser>
        <c:ser>
          <c:idx val="6"/>
          <c:order val="6"/>
          <c:tx>
            <c:strRef>
              <c:f>'Mzdy-ISCO'!$B$68</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'Mzdy-ISCO'!$C$68:$R$68</c:f>
              <c:numCache>
                <c:formatCode>0</c:formatCode>
                <c:ptCount val="16"/>
                <c:pt idx="0">
                  <c:v>86.700264061718912</c:v>
                </c:pt>
                <c:pt idx="1">
                  <c:v>94.647569364999526</c:v>
                </c:pt>
                <c:pt idx="2">
                  <c:v>86.319182943678371</c:v>
                </c:pt>
                <c:pt idx="3">
                  <c:v>87.800336103918866</c:v>
                </c:pt>
                <c:pt idx="4">
                  <c:v>90.409676972133639</c:v>
                </c:pt>
                <c:pt idx="5">
                  <c:v>95.773990193788578</c:v>
                </c:pt>
                <c:pt idx="6">
                  <c:v>91.590106007067135</c:v>
                </c:pt>
                <c:pt idx="7">
                  <c:v>93.09610470068921</c:v>
                </c:pt>
                <c:pt idx="8">
                  <c:v>99.957596316937241</c:v>
                </c:pt>
                <c:pt idx="9">
                  <c:v>98.291379891225873</c:v>
                </c:pt>
                <c:pt idx="10">
                  <c:v>102.22130432787185</c:v>
                </c:pt>
                <c:pt idx="11">
                  <c:v>102.02213468392421</c:v>
                </c:pt>
                <c:pt idx="12">
                  <c:v>97.493036211699149</c:v>
                </c:pt>
                <c:pt idx="13">
                  <c:v>102.63505635444918</c:v>
                </c:pt>
                <c:pt idx="14">
                  <c:v>107.25071418854577</c:v>
                </c:pt>
                <c:pt idx="15">
                  <c:v>108.88284860016275</c:v>
                </c:pt>
              </c:numCache>
            </c:numRef>
          </c:val>
          <c:extLst xmlns:c16r2="http://schemas.microsoft.com/office/drawing/2015/06/chart">
            <c:ext xmlns:c16="http://schemas.microsoft.com/office/drawing/2014/chart" uri="{C3380CC4-5D6E-409C-BE32-E72D297353CC}">
              <c16:uniqueId val="{00000006-769A-449F-B106-369F6C2D850C}"/>
            </c:ext>
          </c:extLst>
        </c:ser>
        <c:ser>
          <c:idx val="7"/>
          <c:order val="7"/>
          <c:tx>
            <c:strRef>
              <c:f>'Mzdy-ISCO'!$B$69</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'Mzdy-ISCO'!$C$69:$R$69</c:f>
              <c:numCache>
                <c:formatCode>0</c:formatCode>
                <c:ptCount val="16"/>
                <c:pt idx="0">
                  <c:v>80.752834780207465</c:v>
                </c:pt>
                <c:pt idx="1">
                  <c:v>84.766393630165197</c:v>
                </c:pt>
                <c:pt idx="2">
                  <c:v>81.935903340286615</c:v>
                </c:pt>
                <c:pt idx="3">
                  <c:v>87.191715492573849</c:v>
                </c:pt>
                <c:pt idx="4">
                  <c:v>88.458339109940383</c:v>
                </c:pt>
                <c:pt idx="5">
                  <c:v>92.972215736633188</c:v>
                </c:pt>
                <c:pt idx="6">
                  <c:v>89.138692579505289</c:v>
                </c:pt>
                <c:pt idx="7">
                  <c:v>89.75063889104004</c:v>
                </c:pt>
                <c:pt idx="8">
                  <c:v>100.6299975769319</c:v>
                </c:pt>
                <c:pt idx="9">
                  <c:v>99.865235597053669</c:v>
                </c:pt>
                <c:pt idx="10">
                  <c:v>98.352379641103312</c:v>
                </c:pt>
                <c:pt idx="11">
                  <c:v>98.506846745450858</c:v>
                </c:pt>
                <c:pt idx="12">
                  <c:v>96.850951324300084</c:v>
                </c:pt>
                <c:pt idx="13">
                  <c:v>99.549164399533623</c:v>
                </c:pt>
                <c:pt idx="14">
                  <c:v>103.31247449326621</c:v>
                </c:pt>
                <c:pt idx="15">
                  <c:v>107.98042946452887</c:v>
                </c:pt>
              </c:numCache>
            </c:numRef>
          </c:val>
          <c:extLst xmlns:c16r2="http://schemas.microsoft.com/office/drawing/2015/06/chart">
            <c:ext xmlns:c16="http://schemas.microsoft.com/office/drawing/2014/chart" uri="{C3380CC4-5D6E-409C-BE32-E72D297353CC}">
              <c16:uniqueId val="{00000007-769A-449F-B106-369F6C2D850C}"/>
            </c:ext>
          </c:extLst>
        </c:ser>
        <c:ser>
          <c:idx val="8"/>
          <c:order val="8"/>
          <c:tx>
            <c:strRef>
              <c:f>'Mzdy-ISCO'!$B$70</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'Mzdy-ISCO'!$C$70:$R$70</c:f>
              <c:numCache>
                <c:formatCode>0</c:formatCode>
                <c:ptCount val="16"/>
                <c:pt idx="0">
                  <c:v>79.187449301876043</c:v>
                </c:pt>
                <c:pt idx="1">
                  <c:v>87.176436492319169</c:v>
                </c:pt>
                <c:pt idx="2">
                  <c:v>82.076775119875649</c:v>
                </c:pt>
                <c:pt idx="3">
                  <c:v>84.716355543443683</c:v>
                </c:pt>
                <c:pt idx="4">
                  <c:v>90.302232080964558</c:v>
                </c:pt>
                <c:pt idx="5">
                  <c:v>92.295120242820445</c:v>
                </c:pt>
                <c:pt idx="6">
                  <c:v>94.076855123674093</c:v>
                </c:pt>
                <c:pt idx="7">
                  <c:v>97.169519089289864</c:v>
                </c:pt>
                <c:pt idx="8">
                  <c:v>96.965107826508358</c:v>
                </c:pt>
                <c:pt idx="9">
                  <c:v>95.957067911633061</c:v>
                </c:pt>
                <c:pt idx="10">
                  <c:v>95.433475606957643</c:v>
                </c:pt>
                <c:pt idx="11">
                  <c:v>95.310448321140498</c:v>
                </c:pt>
                <c:pt idx="12">
                  <c:v>90.274302440866819</c:v>
                </c:pt>
                <c:pt idx="13">
                  <c:v>93.264671589584154</c:v>
                </c:pt>
                <c:pt idx="14">
                  <c:v>96.299823153313</c:v>
                </c:pt>
                <c:pt idx="15">
                  <c:v>98.749660233759172</c:v>
                </c:pt>
              </c:numCache>
            </c:numRef>
          </c:val>
          <c:extLst xmlns:c16r2="http://schemas.microsoft.com/office/drawing/2015/06/chart">
            <c:ext xmlns:c16="http://schemas.microsoft.com/office/drawing/2014/chart" uri="{C3380CC4-5D6E-409C-BE32-E72D297353CC}">
              <c16:uniqueId val="{00000008-769A-449F-B106-369F6C2D850C}"/>
            </c:ext>
          </c:extLst>
        </c:ser>
        <c:ser>
          <c:idx val="9"/>
          <c:order val="9"/>
          <c:tx>
            <c:strRef>
              <c:f>'Mzdy-ISCO'!$B$71</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'Mzdy-ISCO'!$C$71:$R$71</c:f>
              <c:numCache>
                <c:formatCode>0</c:formatCode>
                <c:ptCount val="16"/>
                <c:pt idx="0">
                  <c:v>81.431110957698365</c:v>
                </c:pt>
                <c:pt idx="1">
                  <c:v>90.282036028615408</c:v>
                </c:pt>
                <c:pt idx="2">
                  <c:v>84.563703844174142</c:v>
                </c:pt>
                <c:pt idx="3">
                  <c:v>87.325702865967159</c:v>
                </c:pt>
                <c:pt idx="4">
                  <c:v>91.463330098433389</c:v>
                </c:pt>
                <c:pt idx="5">
                  <c:v>94.054984823721114</c:v>
                </c:pt>
                <c:pt idx="6">
                  <c:v>94.500883392226058</c:v>
                </c:pt>
                <c:pt idx="7">
                  <c:v>100.46464802911875</c:v>
                </c:pt>
                <c:pt idx="8">
                  <c:v>92.736854858250553</c:v>
                </c:pt>
                <c:pt idx="9">
                  <c:v>97.198825624488578</c:v>
                </c:pt>
                <c:pt idx="10">
                  <c:v>96.195327917755847</c:v>
                </c:pt>
                <c:pt idx="11">
                  <c:v>98.334271243669079</c:v>
                </c:pt>
                <c:pt idx="12">
                  <c:v>94.103205703224589</c:v>
                </c:pt>
                <c:pt idx="13">
                  <c:v>98.865137971239719</c:v>
                </c:pt>
                <c:pt idx="14">
                  <c:v>102.56427696912033</c:v>
                </c:pt>
                <c:pt idx="15">
                  <c:v>94.987768415330265</c:v>
                </c:pt>
              </c:numCache>
            </c:numRef>
          </c:val>
          <c:extLst xmlns:c16r2="http://schemas.microsoft.com/office/drawing/2015/06/chart">
            <c:ext xmlns:c16="http://schemas.microsoft.com/office/drawing/2014/chart" uri="{C3380CC4-5D6E-409C-BE32-E72D297353CC}">
              <c16:uniqueId val="{00000009-769A-449F-B106-369F6C2D850C}"/>
            </c:ext>
          </c:extLst>
        </c:ser>
        <c:ser>
          <c:idx val="10"/>
          <c:order val="10"/>
          <c:tx>
            <c:strRef>
              <c:f>'Mzdy-ISCO'!$B$72</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'Mzdy-ISCO'!$C$72:$R$72</c:f>
              <c:numCache>
                <c:formatCode>0</c:formatCode>
                <c:ptCount val="16"/>
                <c:pt idx="0">
                  <c:v>91.448197304154178</c:v>
                </c:pt>
                <c:pt idx="1">
                  <c:v>88.739913665553715</c:v>
                </c:pt>
                <c:pt idx="2">
                  <c:v>94.671254029745626</c:v>
                </c:pt>
                <c:pt idx="3">
                  <c:v>98.816823363764357</c:v>
                </c:pt>
                <c:pt idx="4">
                  <c:v>94.814917510051288</c:v>
                </c:pt>
                <c:pt idx="5">
                  <c:v>94.685384076580505</c:v>
                </c:pt>
                <c:pt idx="6">
                  <c:v>95.711130742049463</c:v>
                </c:pt>
                <c:pt idx="7">
                  <c:v>97.661271586773012</c:v>
                </c:pt>
                <c:pt idx="8">
                  <c:v>95.535497940392531</c:v>
                </c:pt>
                <c:pt idx="9">
                  <c:v>93.483178514703084</c:v>
                </c:pt>
                <c:pt idx="10">
                  <c:v>97.016843361329123</c:v>
                </c:pt>
                <c:pt idx="11">
                  <c:v>97.291314950290797</c:v>
                </c:pt>
                <c:pt idx="12">
                  <c:v>96.822624049856003</c:v>
                </c:pt>
                <c:pt idx="13">
                  <c:v>96.292265837543709</c:v>
                </c:pt>
                <c:pt idx="14">
                  <c:v>102.5370697864236</c:v>
                </c:pt>
                <c:pt idx="15">
                  <c:v>95.797771133459051</c:v>
                </c:pt>
              </c:numCache>
            </c:numRef>
          </c:val>
          <c:extLst xmlns:c16r2="http://schemas.microsoft.com/office/drawing/2015/06/chart">
            <c:ext xmlns:c16="http://schemas.microsoft.com/office/drawing/2014/chart" uri="{C3380CC4-5D6E-409C-BE32-E72D297353CC}">
              <c16:uniqueId val="{0000000A-769A-449F-B106-369F6C2D850C}"/>
            </c:ext>
          </c:extLst>
        </c:ser>
        <c:ser>
          <c:idx val="11"/>
          <c:order val="11"/>
          <c:tx>
            <c:strRef>
              <c:f>'Mzdy-ISCO'!$B$73</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'Mzdy-ISCO'!$C$73:$R$73</c:f>
              <c:numCache>
                <c:formatCode>0</c:formatCode>
                <c:ptCount val="16"/>
                <c:pt idx="0">
                  <c:v>79.974456774995247</c:v>
                </c:pt>
                <c:pt idx="1">
                  <c:v>83.587303040009772</c:v>
                </c:pt>
                <c:pt idx="2">
                  <c:v>82.997859832579309</c:v>
                </c:pt>
                <c:pt idx="3">
                  <c:v>85.870009538083394</c:v>
                </c:pt>
                <c:pt idx="4">
                  <c:v>87.484403160959374</c:v>
                </c:pt>
                <c:pt idx="5">
                  <c:v>86.595260331543315</c:v>
                </c:pt>
                <c:pt idx="6">
                  <c:v>88.175795053002616</c:v>
                </c:pt>
                <c:pt idx="7">
                  <c:v>90.494075737628748</c:v>
                </c:pt>
                <c:pt idx="8">
                  <c:v>98.855100557305548</c:v>
                </c:pt>
                <c:pt idx="9">
                  <c:v>93.348414111758188</c:v>
                </c:pt>
                <c:pt idx="10">
                  <c:v>97.140759098627754</c:v>
                </c:pt>
                <c:pt idx="11">
                  <c:v>94.590133183267696</c:v>
                </c:pt>
                <c:pt idx="12">
                  <c:v>95.462914876540282</c:v>
                </c:pt>
                <c:pt idx="13">
                  <c:v>93.326855810338088</c:v>
                </c:pt>
                <c:pt idx="14">
                  <c:v>93.497483335600592</c:v>
                </c:pt>
                <c:pt idx="15">
                  <c:v>94.623539005164389</c:v>
                </c:pt>
              </c:numCache>
            </c:numRef>
          </c:val>
          <c:extLst xmlns:c16r2="http://schemas.microsoft.com/office/drawing/2015/06/chart">
            <c:ext xmlns:c16="http://schemas.microsoft.com/office/drawing/2014/chart" uri="{C3380CC4-5D6E-409C-BE32-E72D297353CC}">
              <c16:uniqueId val="{0000000B-769A-449F-B106-369F6C2D850C}"/>
            </c:ext>
          </c:extLst>
        </c:ser>
        <c:ser>
          <c:idx val="12"/>
          <c:order val="12"/>
          <c:tx>
            <c:strRef>
              <c:f>'Mzdy-ISCO'!$B$74</c:f>
              <c:strCache>
                <c:ptCount val="1"/>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'Mzdy-ISCO'!$C$74:$R$74</c:f>
              <c:numCache>
                <c:formatCode>0</c:formatCode>
                <c:ptCount val="16"/>
                <c:pt idx="0">
                  <c:v>79.933035329041616</c:v>
                </c:pt>
                <c:pt idx="1">
                  <c:v>73.761039674186605</c:v>
                </c:pt>
                <c:pt idx="2">
                  <c:v>80.743911359141762</c:v>
                </c:pt>
                <c:pt idx="3">
                  <c:v>83.462778761865778</c:v>
                </c:pt>
                <c:pt idx="4">
                  <c:v>88.700956606127832</c:v>
                </c:pt>
                <c:pt idx="5">
                  <c:v>89.852323137986787</c:v>
                </c:pt>
                <c:pt idx="6">
                  <c:v>88.785335689045937</c:v>
                </c:pt>
                <c:pt idx="7">
                  <c:v>88.9065283048091</c:v>
                </c:pt>
                <c:pt idx="8">
                  <c:v>92.100799612309089</c:v>
                </c:pt>
                <c:pt idx="9">
                  <c:v>94.137748471867909</c:v>
                </c:pt>
                <c:pt idx="10">
                  <c:v>98.563495341686149</c:v>
                </c:pt>
                <c:pt idx="11">
                  <c:v>96.368411179890671</c:v>
                </c:pt>
                <c:pt idx="12">
                  <c:v>98.102072612246005</c:v>
                </c:pt>
                <c:pt idx="13">
                  <c:v>96.261173727166721</c:v>
                </c:pt>
                <c:pt idx="14">
                  <c:v>90.790368657325544</c:v>
                </c:pt>
                <c:pt idx="15">
                  <c:v>97.216634955150866</c:v>
                </c:pt>
              </c:numCache>
            </c:numRef>
          </c:val>
          <c:extLst xmlns:c16r2="http://schemas.microsoft.com/office/drawing/2015/06/chart">
            <c:ext xmlns:c16="http://schemas.microsoft.com/office/drawing/2014/chart" uri="{C3380CC4-5D6E-409C-BE32-E72D297353CC}">
              <c16:uniqueId val="{0000000C-769A-449F-B106-369F6C2D850C}"/>
            </c:ext>
          </c:extLst>
        </c:ser>
        <c:ser>
          <c:idx val="13"/>
          <c:order val="13"/>
          <c:tx>
            <c:strRef>
              <c:f>'Mzdy-ISCO'!$B$75</c:f>
              <c:strCache>
                <c:ptCount val="1"/>
                <c:pt idx="0">
                  <c:v>ostatní kraje</c:v>
                </c:pt>
              </c:strCache>
            </c:strRef>
          </c:tx>
          <c:spPr>
            <a:ln>
              <a:noFill/>
            </a:ln>
          </c:spPr>
          <c:marker>
            <c:symbol val="dash"/>
            <c:size val="7"/>
            <c:spPr>
              <a:solidFill>
                <a:sysClr val="windowText" lastClr="000000">
                  <a:lumMod val="95000"/>
                  <a:lumOff val="5000"/>
                </a:sysClr>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'Mzdy-ISCO'!$C$75:$R$75</c:f>
              <c:numCache>
                <c:formatCode>0</c:formatCode>
                <c:ptCount val="16"/>
                <c:pt idx="0">
                  <c:v>85.631935934830253</c:v>
                </c:pt>
                <c:pt idx="1">
                  <c:v>87.325920163516358</c:v>
                </c:pt>
                <c:pt idx="2">
                  <c:v>87.32695798228265</c:v>
                </c:pt>
                <c:pt idx="3">
                  <c:v>86.537675432620219</c:v>
                </c:pt>
                <c:pt idx="4">
                  <c:v>94.312352696519426</c:v>
                </c:pt>
                <c:pt idx="5">
                  <c:v>91.3349287882331</c:v>
                </c:pt>
                <c:pt idx="6">
                  <c:v>93.639575971731418</c:v>
                </c:pt>
                <c:pt idx="7">
                  <c:v>87.214435065437996</c:v>
                </c:pt>
                <c:pt idx="8">
                  <c:v>96.286648897503468</c:v>
                </c:pt>
                <c:pt idx="9">
                  <c:v>94.426529335322726</c:v>
                </c:pt>
                <c:pt idx="10">
                  <c:v>101.12442057919134</c:v>
                </c:pt>
                <c:pt idx="11">
                  <c:v>96.964922153442132</c:v>
                </c:pt>
                <c:pt idx="12">
                  <c:v>107.04404891176054</c:v>
                </c:pt>
                <c:pt idx="13">
                  <c:v>98.705790905557649</c:v>
                </c:pt>
                <c:pt idx="14">
                  <c:v>93.830771323628326</c:v>
                </c:pt>
                <c:pt idx="15">
                  <c:v>95.868442511550924</c:v>
                </c:pt>
              </c:numCache>
            </c:numRef>
          </c:val>
          <c:extLst xmlns:c16r2="http://schemas.microsoft.com/office/drawing/2015/06/chart">
            <c:ext xmlns:c16="http://schemas.microsoft.com/office/drawing/2014/chart" uri="{C3380CC4-5D6E-409C-BE32-E72D297353CC}">
              <c16:uniqueId val="{0000000D-769A-449F-B106-369F6C2D850C}"/>
            </c:ext>
          </c:extLst>
        </c:ser>
        <c:ser>
          <c:idx val="14"/>
          <c:order val="14"/>
          <c:tx>
            <c:strRef>
              <c:f>'Mzdy-ISCO'!$B$76</c:f>
              <c:strCache>
                <c:ptCount val="1"/>
                <c:pt idx="0">
                  <c:v>maximum (kraj)</c:v>
                </c:pt>
              </c:strCache>
            </c:strRef>
          </c:tx>
          <c:spPr>
            <a:ln>
              <a:noFill/>
              <a:prstDash val="sysDot"/>
            </a:ln>
          </c:spPr>
          <c:marker>
            <c:symbol val="circle"/>
            <c:size val="5"/>
            <c:spPr>
              <a:solidFill>
                <a:srgbClr val="FF0000"/>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'Mzdy-ISCO'!$C$76:$R$76</c:f>
              <c:numCache>
                <c:formatCode>0</c:formatCode>
                <c:ptCount val="16"/>
                <c:pt idx="0">
                  <c:v>141.44043078303801</c:v>
                </c:pt>
                <c:pt idx="1">
                  <c:v>129.16762000640645</c:v>
                </c:pt>
                <c:pt idx="2">
                  <c:v>123.75314929699563</c:v>
                </c:pt>
                <c:pt idx="3">
                  <c:v>119.92324113185265</c:v>
                </c:pt>
                <c:pt idx="4">
                  <c:v>119.23263551920145</c:v>
                </c:pt>
                <c:pt idx="5">
                  <c:v>114.56047163203316</c:v>
                </c:pt>
                <c:pt idx="6">
                  <c:v>115.01766784452296</c:v>
                </c:pt>
                <c:pt idx="7">
                  <c:v>113.5212576473328</c:v>
                </c:pt>
                <c:pt idx="8">
                  <c:v>110.70995880785026</c:v>
                </c:pt>
                <c:pt idx="9">
                  <c:v>113.12990325841075</c:v>
                </c:pt>
                <c:pt idx="10">
                  <c:v>111.11570058286244</c:v>
                </c:pt>
                <c:pt idx="11">
                  <c:v>112.26036390921114</c:v>
                </c:pt>
                <c:pt idx="12">
                  <c:v>107.38397620508898</c:v>
                </c:pt>
                <c:pt idx="13">
                  <c:v>107.34162456276798</c:v>
                </c:pt>
                <c:pt idx="14">
                  <c:v>109.40008162154822</c:v>
                </c:pt>
                <c:pt idx="15">
                  <c:v>111.30198423484643</c:v>
                </c:pt>
              </c:numCache>
            </c:numRef>
          </c:val>
          <c:extLst xmlns:c16r2="http://schemas.microsoft.com/office/drawing/2015/06/chart">
            <c:ext xmlns:c16="http://schemas.microsoft.com/office/drawing/2014/chart" uri="{C3380CC4-5D6E-409C-BE32-E72D297353CC}">
              <c16:uniqueId val="{0000000E-769A-449F-B106-369F6C2D850C}"/>
            </c:ext>
          </c:extLst>
        </c:ser>
        <c:ser>
          <c:idx val="15"/>
          <c:order val="15"/>
          <c:tx>
            <c:strRef>
              <c:f>'Mzdy-ISCO'!$B$77</c:f>
              <c:strCache>
                <c:ptCount val="1"/>
                <c:pt idx="0">
                  <c:v>minimum (kraj)</c:v>
                </c:pt>
              </c:strCache>
            </c:strRef>
          </c:tx>
          <c:spPr>
            <a:ln>
              <a:noFill/>
            </a:ln>
          </c:spPr>
          <c:marker>
            <c:symbol val="circle"/>
            <c:size val="5"/>
            <c:spPr>
              <a:solidFill>
                <a:srgbClr val="0071BC"/>
              </a:solidFill>
              <a:ln>
                <a:noFill/>
              </a:ln>
            </c:spPr>
          </c:marker>
          <c:cat>
            <c:multiLvlStrRef>
              <c:f>'Mzdy-ISCO'!$C$60:$R$61</c:f>
              <c:multiLvlStrCache>
                <c:ptCount val="16"/>
                <c:lvl>
                  <c:pt idx="0">
                    <c:v>2012</c:v>
                  </c:pt>
                  <c:pt idx="1">
                    <c:v>2017</c:v>
                  </c:pt>
                  <c:pt idx="2">
                    <c:v>2012</c:v>
                  </c:pt>
                  <c:pt idx="3">
                    <c:v>2017</c:v>
                  </c:pt>
                  <c:pt idx="4">
                    <c:v>2012</c:v>
                  </c:pt>
                  <c:pt idx="5">
                    <c:v>2017</c:v>
                  </c:pt>
                  <c:pt idx="6">
                    <c:v>2012</c:v>
                  </c:pt>
                  <c:pt idx="7">
                    <c:v>2017</c:v>
                  </c:pt>
                  <c:pt idx="8">
                    <c:v>2012</c:v>
                  </c:pt>
                  <c:pt idx="9">
                    <c:v>2017</c:v>
                  </c:pt>
                  <c:pt idx="10">
                    <c:v>2012</c:v>
                  </c:pt>
                  <c:pt idx="11">
                    <c:v>2017</c:v>
                  </c:pt>
                  <c:pt idx="12">
                    <c:v>2012</c:v>
                  </c:pt>
                  <c:pt idx="13">
                    <c:v>2017</c:v>
                  </c:pt>
                  <c:pt idx="14">
                    <c:v>2012</c:v>
                  </c:pt>
                  <c:pt idx="15">
                    <c:v>2017</c:v>
                  </c:pt>
                </c:lvl>
                <c:lvl>
                  <c:pt idx="0">
                    <c:v>Řídící 
pracovníci</c:v>
                  </c:pt>
                  <c:pt idx="2">
                    <c:v>Specialisté</c:v>
                  </c:pt>
                  <c:pt idx="4">
                    <c:v>Techničtí  
a odbor. pracovníci</c:v>
                  </c:pt>
                  <c:pt idx="6">
                    <c:v>Úředníci</c:v>
                  </c:pt>
                  <c:pt idx="8">
                    <c:v>Prac. ve 
službách 
a prodeji</c:v>
                  </c:pt>
                  <c:pt idx="10">
                    <c:v>Řemeslníci 
a opraváři</c:v>
                  </c:pt>
                  <c:pt idx="12">
                    <c:v>Obsluha strojů, zař., montéři</c:v>
                  </c:pt>
                  <c:pt idx="14">
                    <c:v>Pomocní 
a nekvalif. prac.</c:v>
                  </c:pt>
                </c:lvl>
              </c:multiLvlStrCache>
            </c:multiLvlStrRef>
          </c:cat>
          <c:val>
            <c:numRef>
              <c:f>'Mzdy-ISCO'!$C$77:$R$77</c:f>
              <c:numCache>
                <c:formatCode>0</c:formatCode>
                <c:ptCount val="16"/>
                <c:pt idx="0">
                  <c:v>76.260333787818666</c:v>
                </c:pt>
                <c:pt idx="1">
                  <c:v>72.505681904849055</c:v>
                </c:pt>
                <c:pt idx="2">
                  <c:v>80.743911359141762</c:v>
                </c:pt>
                <c:pt idx="3">
                  <c:v>81.630104010537309</c:v>
                </c:pt>
                <c:pt idx="4">
                  <c:v>87.484403160959374</c:v>
                </c:pt>
                <c:pt idx="5">
                  <c:v>86.595260331543315</c:v>
                </c:pt>
                <c:pt idx="6">
                  <c:v>88.175795053002616</c:v>
                </c:pt>
                <c:pt idx="7">
                  <c:v>87.214435065437996</c:v>
                </c:pt>
                <c:pt idx="8">
                  <c:v>92.100799612309089</c:v>
                </c:pt>
                <c:pt idx="9">
                  <c:v>93.348414111758188</c:v>
                </c:pt>
                <c:pt idx="10">
                  <c:v>94.951581073018502</c:v>
                </c:pt>
                <c:pt idx="11">
                  <c:v>91.735134121178021</c:v>
                </c:pt>
                <c:pt idx="12">
                  <c:v>90.274302440866819</c:v>
                </c:pt>
                <c:pt idx="13">
                  <c:v>93.264671589584154</c:v>
                </c:pt>
                <c:pt idx="14">
                  <c:v>90.790368657325544</c:v>
                </c:pt>
                <c:pt idx="15">
                  <c:v>94.623539005164389</c:v>
                </c:pt>
              </c:numCache>
            </c:numRef>
          </c:val>
          <c:extLst xmlns:c16r2="http://schemas.microsoft.com/office/drawing/2015/06/chart">
            <c:ext xmlns:c16="http://schemas.microsoft.com/office/drawing/2014/chart" uri="{C3380CC4-5D6E-409C-BE32-E72D297353CC}">
              <c16:uniqueId val="{0000000F-769A-449F-B106-369F6C2D850C}"/>
            </c:ext>
          </c:extLst>
        </c:ser>
        <c:marker val="1"/>
        <c:axId val="125012224"/>
        <c:axId val="125026688"/>
      </c:lineChart>
      <c:catAx>
        <c:axId val="125012224"/>
        <c:scaling>
          <c:orientation val="minMax"/>
        </c:scaling>
        <c:axPos val="b"/>
        <c:numFmt formatCode="General" sourceLinked="0"/>
        <c:tickLblPos val="nextTo"/>
        <c:txPr>
          <a:bodyPr/>
          <a:lstStyle/>
          <a:p>
            <a:pPr>
              <a:defRPr sz="800">
                <a:latin typeface="Arial" pitchFamily="34" charset="0"/>
                <a:cs typeface="Arial" pitchFamily="34" charset="0"/>
              </a:defRPr>
            </a:pPr>
            <a:endParaRPr lang="cs-CZ"/>
          </a:p>
        </c:txPr>
        <c:crossAx val="125026688"/>
        <c:crosses val="autoZero"/>
        <c:auto val="1"/>
        <c:lblAlgn val="ctr"/>
        <c:lblOffset val="0"/>
      </c:catAx>
      <c:valAx>
        <c:axId val="125026688"/>
        <c:scaling>
          <c:orientation val="minMax"/>
          <c:max val="142"/>
          <c:min val="70"/>
        </c:scaling>
        <c:axPos val="l"/>
        <c:majorGridlines>
          <c:spPr>
            <a:ln w="6350">
              <a:solidFill>
                <a:schemeClr val="bg1">
                  <a:lumMod val="65000"/>
                </a:schemeClr>
              </a:solidFill>
            </a:ln>
          </c:spPr>
        </c:majorGridlines>
        <c:numFmt formatCode="0" sourceLinked="1"/>
        <c:tickLblPos val="nextTo"/>
        <c:txPr>
          <a:bodyPr/>
          <a:lstStyle/>
          <a:p>
            <a:pPr>
              <a:defRPr sz="800">
                <a:latin typeface="Arial" pitchFamily="34" charset="0"/>
                <a:cs typeface="Arial" pitchFamily="34" charset="0"/>
              </a:defRPr>
            </a:pPr>
            <a:endParaRPr lang="cs-CZ"/>
          </a:p>
        </c:txPr>
        <c:crossAx val="125012224"/>
        <c:crosses val="autoZero"/>
        <c:crossBetween val="between"/>
        <c:majorUnit val="10"/>
      </c:valAx>
      <c:spPr>
        <a:ln>
          <a:solidFill>
            <a:sysClr val="windowText" lastClr="000000">
              <a:lumMod val="95000"/>
              <a:lumOff val="5000"/>
            </a:sysClr>
          </a:solidFill>
        </a:ln>
      </c:spPr>
    </c:plotArea>
    <c:legend>
      <c:legendPos val="r"/>
      <c:legendEntry>
        <c:idx val="2"/>
        <c:delete val="1"/>
      </c:legendEntry>
      <c:legendEntry>
        <c:idx val="3"/>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ayout>
        <c:manualLayout>
          <c:xMode val="edge"/>
          <c:yMode val="edge"/>
          <c:x val="6.2166305371347874E-2"/>
          <c:y val="0.91845539551454425"/>
          <c:w val="0.92608605098451768"/>
          <c:h val="6.5886960935409078E-2"/>
        </c:manualLayout>
      </c:layout>
      <c:spPr>
        <a:ln>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txPr>
    <a:bodyPr/>
    <a:lstStyle/>
    <a:p>
      <a:pPr>
        <a:defRPr sz="1400"/>
      </a:pPr>
      <a:endParaRPr lang="cs-CZ"/>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9513175616353004E-2"/>
          <c:w val="0.92433548575002356"/>
          <c:h val="0.80087357874591858"/>
        </c:manualLayout>
      </c:layout>
      <c:barChart>
        <c:barDir val="col"/>
        <c:grouping val="clustered"/>
        <c:ser>
          <c:idx val="0"/>
          <c:order val="0"/>
          <c:tx>
            <c:strRef>
              <c:f>'Sektorové účty'!$B$30</c:f>
              <c:strCache>
                <c:ptCount val="1"/>
                <c:pt idx="0">
                  <c:v>Saldo hospodaření (v mld. korun, pr.osa)</c:v>
                </c:pt>
              </c:strCache>
            </c:strRef>
          </c:tx>
          <c:spPr>
            <a:solidFill>
              <a:srgbClr val="C5C5C5"/>
            </a:solidFill>
            <a:ln w="12700">
              <a:noFill/>
              <a:prstDash val="solid"/>
            </a:ln>
          </c:spPr>
          <c:cat>
            <c:numRef>
              <c:f>'Sektorové účty'!$C$29:$O$29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'Sektorové účty'!$C$30:$O$30</c:f>
              <c:numCache>
                <c:formatCode>0.0</c:formatCode>
                <c:ptCount val="13"/>
                <c:pt idx="0">
                  <c:v>-70.325999999999979</c:v>
                </c:pt>
                <c:pt idx="1">
                  <c:v>-124.30200000000001</c:v>
                </c:pt>
                <c:pt idx="2">
                  <c:v>-209.72499999999999</c:v>
                </c:pt>
                <c:pt idx="3">
                  <c:v>-137.05000000000001</c:v>
                </c:pt>
                <c:pt idx="4">
                  <c:v>9.7479999999999993</c:v>
                </c:pt>
                <c:pt idx="5">
                  <c:v>-61.682000000000002</c:v>
                </c:pt>
                <c:pt idx="6">
                  <c:v>-104.57</c:v>
                </c:pt>
                <c:pt idx="7">
                  <c:v>-49.120000000000012</c:v>
                </c:pt>
                <c:pt idx="8">
                  <c:v>-14.412000000000004</c:v>
                </c:pt>
                <c:pt idx="9">
                  <c:v>-47.303999999999995</c:v>
                </c:pt>
                <c:pt idx="10">
                  <c:v>-47.641000000000005</c:v>
                </c:pt>
                <c:pt idx="11">
                  <c:v>-120.47799999999999</c:v>
                </c:pt>
                <c:pt idx="12">
                  <c:v>-93.483000000000004</c:v>
                </c:pt>
              </c:numCache>
            </c:numRef>
          </c:val>
          <c:extLst xmlns:c16r2="http://schemas.microsoft.com/office/drawing/2015/06/chart">
            <c:ext xmlns:c16="http://schemas.microsoft.com/office/drawing/2014/chart" uri="{C3380CC4-5D6E-409C-BE32-E72D297353CC}">
              <c16:uniqueId val="{00000000-ED62-4B45-96BA-0754909D93D0}"/>
            </c:ext>
          </c:extLst>
        </c:ser>
        <c:gapWidth val="75"/>
        <c:axId val="125202816"/>
        <c:axId val="125287040"/>
      </c:barChart>
      <c:lineChart>
        <c:grouping val="standard"/>
        <c:ser>
          <c:idx val="3"/>
          <c:order val="1"/>
          <c:tx>
            <c:strRef>
              <c:f>'Sektorové účty'!$B$31</c:f>
              <c:strCache>
                <c:ptCount val="1"/>
                <c:pt idx="0">
                  <c:v>Míra zisku (v %)</c:v>
                </c:pt>
              </c:strCache>
            </c:strRef>
          </c:tx>
          <c:spPr>
            <a:ln w="19050">
              <a:solidFill>
                <a:srgbClr val="0071BC"/>
              </a:solidFill>
              <a:prstDash val="solid"/>
            </a:ln>
          </c:spPr>
          <c:marker>
            <c:symbol val="none"/>
          </c:marker>
          <c:cat>
            <c:numRef>
              <c:f>'Sektorové účty'!$C$29:$O$29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'Sektorové účty'!$C$31:$O$31</c:f>
              <c:numCache>
                <c:formatCode>0.0</c:formatCode>
                <c:ptCount val="13"/>
                <c:pt idx="0">
                  <c:v>51.091354181715992</c:v>
                </c:pt>
                <c:pt idx="1">
                  <c:v>52.01162610423679</c:v>
                </c:pt>
                <c:pt idx="2">
                  <c:v>52.050782863143141</c:v>
                </c:pt>
                <c:pt idx="3">
                  <c:v>50.40145167229479</c:v>
                </c:pt>
                <c:pt idx="4">
                  <c:v>50.008232145538663</c:v>
                </c:pt>
                <c:pt idx="5">
                  <c:v>49.190628521923138</c:v>
                </c:pt>
                <c:pt idx="6">
                  <c:v>48.912290245307325</c:v>
                </c:pt>
                <c:pt idx="7">
                  <c:v>48.467856872370753</c:v>
                </c:pt>
                <c:pt idx="8">
                  <c:v>48.541000452922724</c:v>
                </c:pt>
                <c:pt idx="9">
                  <c:v>51.210706156991051</c:v>
                </c:pt>
                <c:pt idx="10">
                  <c:v>51.632696155739993</c:v>
                </c:pt>
                <c:pt idx="11">
                  <c:v>50.535833703082901</c:v>
                </c:pt>
                <c:pt idx="12">
                  <c:v>49.293417299844428</c:v>
                </c:pt>
              </c:numCache>
            </c:numRef>
          </c:val>
          <c:extLst xmlns:c16r2="http://schemas.microsoft.com/office/drawing/2015/06/chart">
            <c:ext xmlns:c16="http://schemas.microsoft.com/office/drawing/2014/chart" uri="{C3380CC4-5D6E-409C-BE32-E72D297353CC}">
              <c16:uniqueId val="{00000001-ED62-4B45-96BA-0754909D93D0}"/>
            </c:ext>
          </c:extLst>
        </c:ser>
        <c:ser>
          <c:idx val="1"/>
          <c:order val="2"/>
          <c:tx>
            <c:strRef>
              <c:f>'Sektorové účty'!$B$32</c:f>
              <c:strCache>
                <c:ptCount val="1"/>
                <c:pt idx="0">
                  <c:v>Míra investic (v %)</c:v>
                </c:pt>
              </c:strCache>
            </c:strRef>
          </c:tx>
          <c:spPr>
            <a:ln w="19050">
              <a:solidFill>
                <a:srgbClr val="7DBB2D"/>
              </a:solidFill>
            </a:ln>
          </c:spPr>
          <c:marker>
            <c:symbol val="none"/>
          </c:marker>
          <c:cat>
            <c:numRef>
              <c:f>'Sektorové účty'!$C$29:$O$29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'Sektorové účty'!$C$32:$O$32</c:f>
              <c:numCache>
                <c:formatCode>0.0</c:formatCode>
                <c:ptCount val="13"/>
                <c:pt idx="0">
                  <c:v>32.507912972555467</c:v>
                </c:pt>
                <c:pt idx="1">
                  <c:v>30.86242077915556</c:v>
                </c:pt>
                <c:pt idx="2">
                  <c:v>33.412433778155361</c:v>
                </c:pt>
                <c:pt idx="3">
                  <c:v>31.846623673494289</c:v>
                </c:pt>
                <c:pt idx="4">
                  <c:v>28.76789646713009</c:v>
                </c:pt>
                <c:pt idx="5">
                  <c:v>29.071391059011141</c:v>
                </c:pt>
                <c:pt idx="6">
                  <c:v>30.543179540687522</c:v>
                </c:pt>
                <c:pt idx="7">
                  <c:v>30.84959940145459</c:v>
                </c:pt>
                <c:pt idx="8">
                  <c:v>30.493649275437399</c:v>
                </c:pt>
                <c:pt idx="9">
                  <c:v>28.605742566164725</c:v>
                </c:pt>
                <c:pt idx="10">
                  <c:v>28.970412227825392</c:v>
                </c:pt>
                <c:pt idx="11">
                  <c:v>28.914541528659125</c:v>
                </c:pt>
                <c:pt idx="12">
                  <c:v>28.093716884990705</c:v>
                </c:pt>
              </c:numCache>
            </c:numRef>
          </c:val>
          <c:extLst xmlns:c16r2="http://schemas.microsoft.com/office/drawing/2015/06/chart">
            <c:ext xmlns:c16="http://schemas.microsoft.com/office/drawing/2014/chart" uri="{C3380CC4-5D6E-409C-BE32-E72D297353CC}">
              <c16:uniqueId val="{00000002-ED62-4B45-96BA-0754909D93D0}"/>
            </c:ext>
          </c:extLst>
        </c:ser>
        <c:ser>
          <c:idx val="7"/>
          <c:order val="3"/>
          <c:tx>
            <c:strRef>
              <c:f>'Sektorové účty'!$B$33</c:f>
              <c:strCache>
                <c:ptCount val="1"/>
                <c:pt idx="0">
                  <c:v>Míra samofinancování (v %, užší pojetí)</c:v>
                </c:pt>
              </c:strCache>
            </c:strRef>
          </c:tx>
          <c:spPr>
            <a:ln w="19050">
              <a:solidFill>
                <a:srgbClr val="F8A124"/>
              </a:solidFill>
              <a:prstDash val="dash"/>
            </a:ln>
          </c:spPr>
          <c:marker>
            <c:symbol val="none"/>
          </c:marker>
          <c:cat>
            <c:numRef>
              <c:f>'Sektorové účty'!$C$29:$O$29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'Sektorové účty'!$C$33:$O$33</c:f>
              <c:numCache>
                <c:formatCode>0.0</c:formatCode>
                <c:ptCount val="13"/>
                <c:pt idx="0">
                  <c:v>86.433463415325718</c:v>
                </c:pt>
                <c:pt idx="1">
                  <c:v>84.066214725960819</c:v>
                </c:pt>
                <c:pt idx="2">
                  <c:v>81.236130749162427</c:v>
                </c:pt>
                <c:pt idx="3">
                  <c:v>85.959915358334754</c:v>
                </c:pt>
                <c:pt idx="4">
                  <c:v>90.257222746238227</c:v>
                </c:pt>
                <c:pt idx="5">
                  <c:v>86.015800256798784</c:v>
                </c:pt>
                <c:pt idx="6">
                  <c:v>82.234399670540327</c:v>
                </c:pt>
                <c:pt idx="7">
                  <c:v>88.267563763402819</c:v>
                </c:pt>
                <c:pt idx="8">
                  <c:v>84.463862891537062</c:v>
                </c:pt>
                <c:pt idx="9">
                  <c:v>90.976599627973627</c:v>
                </c:pt>
                <c:pt idx="10">
                  <c:v>93.272269544939846</c:v>
                </c:pt>
                <c:pt idx="11">
                  <c:v>88.774005253428584</c:v>
                </c:pt>
                <c:pt idx="12">
                  <c:v>92.482688917145055</c:v>
                </c:pt>
              </c:numCache>
            </c:numRef>
          </c:val>
          <c:extLst xmlns:c16r2="http://schemas.microsoft.com/office/drawing/2015/06/chart">
            <c:ext xmlns:c16="http://schemas.microsoft.com/office/drawing/2014/chart" uri="{C3380CC4-5D6E-409C-BE32-E72D297353CC}">
              <c16:uniqueId val="{00000003-ED62-4B45-96BA-0754909D93D0}"/>
            </c:ext>
          </c:extLst>
        </c:ser>
        <c:ser>
          <c:idx val="2"/>
          <c:order val="4"/>
          <c:tx>
            <c:strRef>
              <c:f>'Sektorové účty'!$B$34</c:f>
              <c:strCache>
                <c:ptCount val="1"/>
                <c:pt idx="0">
                  <c:v>Míra samofinancování (v %, širší pojetí)</c:v>
                </c:pt>
              </c:strCache>
            </c:strRef>
          </c:tx>
          <c:spPr>
            <a:ln w="19050">
              <a:solidFill>
                <a:srgbClr val="F8A124"/>
              </a:solidFill>
              <a:prstDash val="solid"/>
            </a:ln>
          </c:spPr>
          <c:marker>
            <c:symbol val="none"/>
          </c:marker>
          <c:cat>
            <c:numRef>
              <c:f>'Sektorové účty'!$C$29:$O$29</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'Sektorové účty'!$C$34:$O$34</c:f>
              <c:numCache>
                <c:formatCode>0.0</c:formatCode>
                <c:ptCount val="13"/>
                <c:pt idx="0">
                  <c:v>88.125963459048023</c:v>
                </c:pt>
                <c:pt idx="1">
                  <c:v>80.963334716774185</c:v>
                </c:pt>
                <c:pt idx="2">
                  <c:v>74.051289919069973</c:v>
                </c:pt>
                <c:pt idx="3">
                  <c:v>82.339327180555088</c:v>
                </c:pt>
                <c:pt idx="4">
                  <c:v>101.74265298716297</c:v>
                </c:pt>
                <c:pt idx="5">
                  <c:v>89.882590681393964</c:v>
                </c:pt>
                <c:pt idx="6">
                  <c:v>84.535343033805688</c:v>
                </c:pt>
                <c:pt idx="7">
                  <c:v>92.803710659943093</c:v>
                </c:pt>
                <c:pt idx="8">
                  <c:v>97.761750344776175</c:v>
                </c:pt>
                <c:pt idx="9">
                  <c:v>93.157972385422994</c:v>
                </c:pt>
                <c:pt idx="10">
                  <c:v>93.879672047748372</c:v>
                </c:pt>
                <c:pt idx="11">
                  <c:v>84.956816306042953</c:v>
                </c:pt>
                <c:pt idx="12">
                  <c:v>88.928826052662799</c:v>
                </c:pt>
              </c:numCache>
            </c:numRef>
          </c:val>
          <c:extLst xmlns:c16r2="http://schemas.microsoft.com/office/drawing/2015/06/chart">
            <c:ext xmlns:c16="http://schemas.microsoft.com/office/drawing/2014/chart" uri="{C3380CC4-5D6E-409C-BE32-E72D297353CC}">
              <c16:uniqueId val="{00000004-ED62-4B45-96BA-0754909D93D0}"/>
            </c:ext>
          </c:extLst>
        </c:ser>
        <c:marker val="1"/>
        <c:axId val="125044608"/>
        <c:axId val="125285504"/>
      </c:lineChart>
      <c:catAx>
        <c:axId val="125044608"/>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25285504"/>
        <c:crossesAt val="110"/>
        <c:lblAlgn val="ctr"/>
        <c:lblOffset val="0"/>
        <c:tickLblSkip val="1"/>
        <c:tickMarkSkip val="4"/>
      </c:catAx>
      <c:valAx>
        <c:axId val="125285504"/>
        <c:scaling>
          <c:orientation val="minMax"/>
          <c:max val="120"/>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25044608"/>
        <c:crosses val="autoZero"/>
        <c:crossBetween val="between"/>
        <c:majorUnit val="10"/>
      </c:valAx>
      <c:valAx>
        <c:axId val="125287040"/>
        <c:scaling>
          <c:orientation val="minMax"/>
          <c:max val="20"/>
          <c:min val="-220"/>
        </c:scaling>
        <c:axPos val="r"/>
        <c:numFmt formatCode="0" sourceLinked="0"/>
        <c:tickLblPos val="nextTo"/>
        <c:crossAx val="125202816"/>
        <c:crosses val="max"/>
        <c:crossBetween val="between"/>
        <c:majorUnit val="20"/>
      </c:valAx>
      <c:catAx>
        <c:axId val="125202816"/>
        <c:scaling>
          <c:orientation val="minMax"/>
        </c:scaling>
        <c:delete val="1"/>
        <c:axPos val="b"/>
        <c:numFmt formatCode="General" sourceLinked="1"/>
        <c:tickLblPos val="none"/>
        <c:crossAx val="125287040"/>
        <c:crosses val="autoZero"/>
        <c:auto val="1"/>
        <c:lblAlgn val="ctr"/>
        <c:lblOffset val="100"/>
      </c:catAx>
      <c:spPr>
        <a:noFill/>
        <a:ln w="9525">
          <a:solidFill>
            <a:schemeClr val="tx1"/>
          </a:solidFill>
        </a:ln>
      </c:spPr>
    </c:plotArea>
    <c:legend>
      <c:legendPos val="b"/>
      <c:layout>
        <c:manualLayout>
          <c:xMode val="edge"/>
          <c:yMode val="edge"/>
          <c:x val="3.3663135107558401E-3"/>
          <c:y val="0.88286164584036597"/>
          <c:w val="0.98108250301190203"/>
          <c:h val="0.11356411122368647"/>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9513175616353011E-2"/>
          <c:w val="0.92433548575002356"/>
          <c:h val="0.65432961837218151"/>
        </c:manualLayout>
      </c:layout>
      <c:lineChart>
        <c:grouping val="standard"/>
        <c:ser>
          <c:idx val="0"/>
          <c:order val="2"/>
          <c:tx>
            <c:strRef>
              <c:f>'2-Sektor účty-Náhrady zam'!$B$44</c:f>
              <c:strCache>
                <c:ptCount val="1"/>
                <c:pt idx="0">
                  <c:v>Podíl vyplacených náhrad zaměstnancům na HPH (v %)</c:v>
                </c:pt>
              </c:strCache>
            </c:strRef>
          </c:tx>
          <c:spPr>
            <a:ln>
              <a:noFill/>
            </a:ln>
          </c:spPr>
          <c:marker>
            <c:symbol val="none"/>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zam'!$C$44:$T$44</c:f>
              <c:numCache>
                <c:formatCode>0.0</c:formatCode>
                <c:ptCount val="18"/>
                <c:pt idx="0">
                  <c:v>-999</c:v>
                </c:pt>
                <c:pt idx="1">
                  <c:v>-999</c:v>
                </c:pt>
                <c:pt idx="2">
                  <c:v>-999</c:v>
                </c:pt>
                <c:pt idx="3">
                  <c:v>-999</c:v>
                </c:pt>
                <c:pt idx="4">
                  <c:v>-999</c:v>
                </c:pt>
                <c:pt idx="5">
                  <c:v>-999</c:v>
                </c:pt>
                <c:pt idx="6">
                  <c:v>-999</c:v>
                </c:pt>
                <c:pt idx="7">
                  <c:v>-999</c:v>
                </c:pt>
                <c:pt idx="8">
                  <c:v>-999</c:v>
                </c:pt>
                <c:pt idx="9">
                  <c:v>-999</c:v>
                </c:pt>
                <c:pt idx="10">
                  <c:v>-999</c:v>
                </c:pt>
                <c:pt idx="11">
                  <c:v>-999</c:v>
                </c:pt>
                <c:pt idx="12">
                  <c:v>-999</c:v>
                </c:pt>
                <c:pt idx="13">
                  <c:v>-999</c:v>
                </c:pt>
                <c:pt idx="14">
                  <c:v>-999</c:v>
                </c:pt>
                <c:pt idx="15">
                  <c:v>-999</c:v>
                </c:pt>
                <c:pt idx="16">
                  <c:v>-999</c:v>
                </c:pt>
                <c:pt idx="17">
                  <c:v>-999</c:v>
                </c:pt>
              </c:numCache>
            </c:numRef>
          </c:val>
          <c:extLst xmlns:c16r2="http://schemas.microsoft.com/office/drawing/2015/06/chart">
            <c:ext xmlns:c16="http://schemas.microsoft.com/office/drawing/2014/chart" uri="{C3380CC4-5D6E-409C-BE32-E72D297353CC}">
              <c16:uniqueId val="{00000000-3CFA-4F34-87C0-027F79ED8099}"/>
            </c:ext>
          </c:extLst>
        </c:ser>
        <c:ser>
          <c:idx val="2"/>
          <c:order val="1"/>
          <c:tx>
            <c:strRef>
              <c:f>'2-Sektor účty-Náhrady zam'!$B$43</c:f>
              <c:strCache>
                <c:ptCount val="1"/>
                <c:pt idx="0">
                  <c:v>  veřejné nefinanční podniky</c:v>
                </c:pt>
              </c:strCache>
            </c:strRef>
          </c:tx>
          <c:spPr>
            <a:ln w="19050">
              <a:solidFill>
                <a:srgbClr val="80BB2D"/>
              </a:solidFill>
              <a:prstDash val="sysDash"/>
            </a:ln>
          </c:spPr>
          <c:marker>
            <c:symbol val="none"/>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zam'!$C$43:$T$43</c:f>
              <c:numCache>
                <c:formatCode>0.0</c:formatCode>
                <c:ptCount val="18"/>
                <c:pt idx="0">
                  <c:v>45.774374341046546</c:v>
                </c:pt>
                <c:pt idx="1">
                  <c:v>51.663152267530215</c:v>
                </c:pt>
                <c:pt idx="2">
                  <c:v>50.791122754268201</c:v>
                </c:pt>
                <c:pt idx="3">
                  <c:v>51.552749805223421</c:v>
                </c:pt>
                <c:pt idx="4">
                  <c:v>53.097787050654944</c:v>
                </c:pt>
                <c:pt idx="5">
                  <c:v>51.508600176762315</c:v>
                </c:pt>
                <c:pt idx="6">
                  <c:v>48.413486996721645</c:v>
                </c:pt>
                <c:pt idx="7">
                  <c:v>46.793020589921113</c:v>
                </c:pt>
                <c:pt idx="8">
                  <c:v>43.396245366976011</c:v>
                </c:pt>
                <c:pt idx="9">
                  <c:v>39.307695304131038</c:v>
                </c:pt>
                <c:pt idx="10">
                  <c:v>42.631077216396328</c:v>
                </c:pt>
                <c:pt idx="11">
                  <c:v>44.561445171875931</c:v>
                </c:pt>
                <c:pt idx="12">
                  <c:v>42.486651835372385</c:v>
                </c:pt>
                <c:pt idx="13">
                  <c:v>44.56186578460504</c:v>
                </c:pt>
                <c:pt idx="14">
                  <c:v>41.623538960226021</c:v>
                </c:pt>
                <c:pt idx="15">
                  <c:v>41.711571833044104</c:v>
                </c:pt>
                <c:pt idx="16">
                  <c:v>44.089147790809555</c:v>
                </c:pt>
              </c:numCache>
            </c:numRef>
          </c:val>
          <c:extLst xmlns:c16r2="http://schemas.microsoft.com/office/drawing/2015/06/chart">
            <c:ext xmlns:c16="http://schemas.microsoft.com/office/drawing/2014/chart" uri="{C3380CC4-5D6E-409C-BE32-E72D297353CC}">
              <c16:uniqueId val="{00000001-3CFA-4F34-87C0-027F79ED8099}"/>
            </c:ext>
          </c:extLst>
        </c:ser>
        <c:ser>
          <c:idx val="5"/>
          <c:order val="3"/>
          <c:tx>
            <c:strRef>
              <c:f>'2-Sektor účty-Náhrady zam'!$B$45</c:f>
              <c:strCache>
                <c:ptCount val="1"/>
                <c:pt idx="0">
                  <c:v>  národní soukromé nefinanční podniky</c:v>
                </c:pt>
              </c:strCache>
            </c:strRef>
          </c:tx>
          <c:spPr>
            <a:ln w="19050">
              <a:solidFill>
                <a:srgbClr val="0071BC"/>
              </a:solidFill>
              <a:prstDash val="sysDash"/>
            </a:ln>
          </c:spPr>
          <c:marker>
            <c:symbol val="none"/>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zam'!$C$45:$T$45</c:f>
              <c:numCache>
                <c:formatCode>0.0</c:formatCode>
                <c:ptCount val="18"/>
                <c:pt idx="0">
                  <c:v>54.560810118279136</c:v>
                </c:pt>
                <c:pt idx="1">
                  <c:v>52.486272624275266</c:v>
                </c:pt>
                <c:pt idx="2">
                  <c:v>53.401666003241971</c:v>
                </c:pt>
                <c:pt idx="3">
                  <c:v>55.047094700156194</c:v>
                </c:pt>
                <c:pt idx="4">
                  <c:v>55.60871009858127</c:v>
                </c:pt>
                <c:pt idx="5">
                  <c:v>54.163956155889679</c:v>
                </c:pt>
                <c:pt idx="6">
                  <c:v>56.412266045360269</c:v>
                </c:pt>
                <c:pt idx="7">
                  <c:v>56.278575970855883</c:v>
                </c:pt>
                <c:pt idx="8">
                  <c:v>58.09473369246215</c:v>
                </c:pt>
                <c:pt idx="9">
                  <c:v>62.941206911283608</c:v>
                </c:pt>
                <c:pt idx="10">
                  <c:v>61.07234562058116</c:v>
                </c:pt>
                <c:pt idx="11">
                  <c:v>58.547345665849775</c:v>
                </c:pt>
                <c:pt idx="12">
                  <c:v>59.642538986904107</c:v>
                </c:pt>
                <c:pt idx="13">
                  <c:v>58.309092519642562</c:v>
                </c:pt>
                <c:pt idx="14">
                  <c:v>56.145230427730198</c:v>
                </c:pt>
                <c:pt idx="15">
                  <c:v>54.654308062585699</c:v>
                </c:pt>
                <c:pt idx="16">
                  <c:v>55.483596763190128</c:v>
                </c:pt>
              </c:numCache>
            </c:numRef>
          </c:val>
          <c:extLst xmlns:c16r2="http://schemas.microsoft.com/office/drawing/2015/06/chart">
            <c:ext xmlns:c16="http://schemas.microsoft.com/office/drawing/2014/chart" uri="{C3380CC4-5D6E-409C-BE32-E72D297353CC}">
              <c16:uniqueId val="{00000002-3CFA-4F34-87C0-027F79ED8099}"/>
            </c:ext>
          </c:extLst>
        </c:ser>
        <c:ser>
          <c:idx val="4"/>
          <c:order val="4"/>
          <c:tx>
            <c:strRef>
              <c:f>'2-Sektor účty-Náhrady zam'!$B$46</c:f>
              <c:strCache>
                <c:ptCount val="1"/>
                <c:pt idx="0">
                  <c:v>  nefinanční podniky pod zahraniční kontrolou</c:v>
                </c:pt>
              </c:strCache>
            </c:strRef>
          </c:tx>
          <c:spPr>
            <a:ln w="19050">
              <a:solidFill>
                <a:srgbClr val="BD1B21"/>
              </a:solidFill>
              <a:prstDash val="sysDash"/>
            </a:ln>
          </c:spPr>
          <c:marker>
            <c:symbol val="none"/>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zam'!$C$46:$T$46</c:f>
              <c:numCache>
                <c:formatCode>0.0</c:formatCode>
                <c:ptCount val="18"/>
                <c:pt idx="0">
                  <c:v>41.609837764340249</c:v>
                </c:pt>
                <c:pt idx="1">
                  <c:v>41.347744015501995</c:v>
                </c:pt>
                <c:pt idx="2">
                  <c:v>42.955864180948794</c:v>
                </c:pt>
                <c:pt idx="3">
                  <c:v>42.712768381282196</c:v>
                </c:pt>
                <c:pt idx="4">
                  <c:v>43.138371022701463</c:v>
                </c:pt>
                <c:pt idx="5">
                  <c:v>44.869386514609893</c:v>
                </c:pt>
                <c:pt idx="6">
                  <c:v>42.645488388426969</c:v>
                </c:pt>
                <c:pt idx="7">
                  <c:v>42.985795181594057</c:v>
                </c:pt>
                <c:pt idx="8">
                  <c:v>45.671216976704152</c:v>
                </c:pt>
                <c:pt idx="9">
                  <c:v>45.093472845234963</c:v>
                </c:pt>
                <c:pt idx="10">
                  <c:v>45.928102056443336</c:v>
                </c:pt>
                <c:pt idx="11">
                  <c:v>47.72693087742465</c:v>
                </c:pt>
                <c:pt idx="12">
                  <c:v>48.006906638101171</c:v>
                </c:pt>
                <c:pt idx="13">
                  <c:v>48.913749227152294</c:v>
                </c:pt>
                <c:pt idx="14">
                  <c:v>45.825233060978213</c:v>
                </c:pt>
                <c:pt idx="15">
                  <c:v>45.794856567451205</c:v>
                </c:pt>
                <c:pt idx="16">
                  <c:v>46.921428599409992</c:v>
                </c:pt>
              </c:numCache>
            </c:numRef>
          </c:val>
          <c:extLst xmlns:c16r2="http://schemas.microsoft.com/office/drawing/2015/06/chart">
            <c:ext xmlns:c16="http://schemas.microsoft.com/office/drawing/2014/chart" uri="{C3380CC4-5D6E-409C-BE32-E72D297353CC}">
              <c16:uniqueId val="{00000003-3CFA-4F34-87C0-027F79ED8099}"/>
            </c:ext>
          </c:extLst>
        </c:ser>
        <c:ser>
          <c:idx val="3"/>
          <c:order val="5"/>
          <c:tx>
            <c:strRef>
              <c:f>'2-Sektor účty-Náhrady zam'!$B$47</c:f>
              <c:strCache>
                <c:ptCount val="1"/>
                <c:pt idx="0">
                  <c:v>Nefinanční podniky celkem</c:v>
                </c:pt>
              </c:strCache>
            </c:strRef>
          </c:tx>
          <c:spPr>
            <a:ln w="19050">
              <a:noFill/>
              <a:prstDash val="solid"/>
            </a:ln>
          </c:spPr>
          <c:marker>
            <c:symbol val="none"/>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zam'!$C$47:$T$47</c:f>
              <c:numCache>
                <c:formatCode>0.0</c:formatCode>
                <c:ptCount val="18"/>
                <c:pt idx="0">
                  <c:v>-999</c:v>
                </c:pt>
                <c:pt idx="1">
                  <c:v>-999</c:v>
                </c:pt>
                <c:pt idx="2">
                  <c:v>-999</c:v>
                </c:pt>
                <c:pt idx="3">
                  <c:v>-999</c:v>
                </c:pt>
                <c:pt idx="4">
                  <c:v>-999</c:v>
                </c:pt>
                <c:pt idx="5">
                  <c:v>-999</c:v>
                </c:pt>
                <c:pt idx="6">
                  <c:v>-999</c:v>
                </c:pt>
                <c:pt idx="7">
                  <c:v>-999</c:v>
                </c:pt>
                <c:pt idx="8">
                  <c:v>-999</c:v>
                </c:pt>
                <c:pt idx="9">
                  <c:v>-999</c:v>
                </c:pt>
                <c:pt idx="10">
                  <c:v>-999</c:v>
                </c:pt>
                <c:pt idx="11">
                  <c:v>-999</c:v>
                </c:pt>
                <c:pt idx="12">
                  <c:v>-999</c:v>
                </c:pt>
                <c:pt idx="13">
                  <c:v>-999</c:v>
                </c:pt>
                <c:pt idx="14">
                  <c:v>-999</c:v>
                </c:pt>
                <c:pt idx="15">
                  <c:v>-999</c:v>
                </c:pt>
                <c:pt idx="16">
                  <c:v>-999</c:v>
                </c:pt>
                <c:pt idx="17">
                  <c:v>-999</c:v>
                </c:pt>
              </c:numCache>
            </c:numRef>
          </c:val>
          <c:extLst xmlns:c16r2="http://schemas.microsoft.com/office/drawing/2015/06/chart">
            <c:ext xmlns:c16="http://schemas.microsoft.com/office/drawing/2014/chart" uri="{C3380CC4-5D6E-409C-BE32-E72D297353CC}">
              <c16:uniqueId val="{00000004-3CFA-4F34-87C0-027F79ED8099}"/>
            </c:ext>
          </c:extLst>
        </c:ser>
        <c:ser>
          <c:idx val="1"/>
          <c:order val="0"/>
          <c:tx>
            <c:strRef>
              <c:f>'2-Sektor účty-Náhrady zam'!$B$42</c:f>
              <c:strCache>
                <c:ptCount val="1"/>
                <c:pt idx="0">
                  <c:v>  podíl vyplacených náhrad zaměstnancům na HPH (v %)</c:v>
                </c:pt>
              </c:strCache>
            </c:strRef>
          </c:tx>
          <c:spPr>
            <a:ln w="22225">
              <a:solidFill>
                <a:srgbClr val="808080"/>
              </a:solidFill>
            </a:ln>
          </c:spPr>
          <c:marker>
            <c:symbol val="none"/>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zam'!$C$42:$T$42</c:f>
              <c:numCache>
                <c:formatCode>0.0</c:formatCode>
                <c:ptCount val="18"/>
                <c:pt idx="0">
                  <c:v>49.878281294412304</c:v>
                </c:pt>
                <c:pt idx="1">
                  <c:v>48.908956016108142</c:v>
                </c:pt>
                <c:pt idx="2">
                  <c:v>49.831042370360244</c:v>
                </c:pt>
                <c:pt idx="3">
                  <c:v>50.393367441834421</c:v>
                </c:pt>
                <c:pt idx="4">
                  <c:v>50.387734572041936</c:v>
                </c:pt>
                <c:pt idx="5">
                  <c:v>50.242526349234481</c:v>
                </c:pt>
                <c:pt idx="6">
                  <c:v>49.203132658797962</c:v>
                </c:pt>
                <c:pt idx="7">
                  <c:v>49.132467287293288</c:v>
                </c:pt>
                <c:pt idx="8">
                  <c:v>50.831533448153863</c:v>
                </c:pt>
                <c:pt idx="9">
                  <c:v>51.680154349107667</c:v>
                </c:pt>
                <c:pt idx="10">
                  <c:v>52.200315487645</c:v>
                </c:pt>
                <c:pt idx="11">
                  <c:v>52.235967734224623</c:v>
                </c:pt>
                <c:pt idx="12">
                  <c:v>52.767239737172467</c:v>
                </c:pt>
                <c:pt idx="13">
                  <c:v>52.768598452764913</c:v>
                </c:pt>
                <c:pt idx="14">
                  <c:v>50.004420309738393</c:v>
                </c:pt>
                <c:pt idx="15">
                  <c:v>49.440924193216077</c:v>
                </c:pt>
                <c:pt idx="16">
                  <c:v>50.563100780543536</c:v>
                </c:pt>
                <c:pt idx="17">
                  <c:v>51.556440657903259</c:v>
                </c:pt>
              </c:numCache>
            </c:numRef>
          </c:val>
          <c:extLst xmlns:c16r2="http://schemas.microsoft.com/office/drawing/2015/06/chart">
            <c:ext xmlns:c16="http://schemas.microsoft.com/office/drawing/2014/chart" uri="{C3380CC4-5D6E-409C-BE32-E72D297353CC}">
              <c16:uniqueId val="{00000005-3CFA-4F34-87C0-027F79ED8099}"/>
            </c:ext>
          </c:extLst>
        </c:ser>
        <c:marker val="1"/>
        <c:axId val="125288448"/>
        <c:axId val="125290368"/>
      </c:lineChart>
      <c:lineChart>
        <c:grouping val="standard"/>
        <c:ser>
          <c:idx val="7"/>
          <c:order val="6"/>
          <c:tx>
            <c:strRef>
              <c:f>'2-Sektor účty-Náhrady zam'!$B$48</c:f>
              <c:strCache>
                <c:ptCount val="1"/>
                <c:pt idx="0">
                  <c:v>  podíl vyplacených mezd a platů na celkových náhradách zam. (v %, pravá osa)</c:v>
                </c:pt>
              </c:strCache>
            </c:strRef>
          </c:tx>
          <c:spPr>
            <a:ln w="19050">
              <a:noFill/>
            </a:ln>
          </c:spPr>
          <c:marker>
            <c:symbol val="diamond"/>
            <c:size val="5"/>
            <c:spPr>
              <a:solidFill>
                <a:srgbClr val="FFFF00"/>
              </a:solidFill>
              <a:ln w="6350">
                <a:solidFill>
                  <a:sysClr val="windowText" lastClr="000000">
                    <a:lumMod val="65000"/>
                    <a:lumOff val="35000"/>
                  </a:sysClr>
                </a:solidFill>
              </a:ln>
            </c:spPr>
          </c:marker>
          <c:cat>
            <c:numRef>
              <c:f>'2-Sektor účty-Náhrady zam'!$C$41:$T$41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'2-Sektor účty-Náhrady zam'!$C$48:$T$48</c:f>
              <c:numCache>
                <c:formatCode>0.0</c:formatCode>
                <c:ptCount val="18"/>
                <c:pt idx="0">
                  <c:v>75.248889244490314</c:v>
                </c:pt>
                <c:pt idx="1">
                  <c:v>75.496405917072821</c:v>
                </c:pt>
                <c:pt idx="2">
                  <c:v>75.332526861372514</c:v>
                </c:pt>
                <c:pt idx="3">
                  <c:v>75.082562793170212</c:v>
                </c:pt>
                <c:pt idx="4">
                  <c:v>75.301959592588048</c:v>
                </c:pt>
                <c:pt idx="5">
                  <c:v>75.416035615352527</c:v>
                </c:pt>
                <c:pt idx="6">
                  <c:v>75.279313458076203</c:v>
                </c:pt>
                <c:pt idx="7">
                  <c:v>75.099588773052858</c:v>
                </c:pt>
                <c:pt idx="8">
                  <c:v>75.746175801967965</c:v>
                </c:pt>
                <c:pt idx="9">
                  <c:v>76.504545611669954</c:v>
                </c:pt>
                <c:pt idx="10">
                  <c:v>75.924720690519322</c:v>
                </c:pt>
                <c:pt idx="11">
                  <c:v>75.958713859966181</c:v>
                </c:pt>
                <c:pt idx="12">
                  <c:v>76.225888247599414</c:v>
                </c:pt>
                <c:pt idx="13">
                  <c:v>76.028015935511078</c:v>
                </c:pt>
                <c:pt idx="14">
                  <c:v>76.132771030682278</c:v>
                </c:pt>
                <c:pt idx="15">
                  <c:v>76.009481346993567</c:v>
                </c:pt>
                <c:pt idx="16">
                  <c:v>75.876088457803206</c:v>
                </c:pt>
                <c:pt idx="17">
                  <c:v>75.790258405154304</c:v>
                </c:pt>
              </c:numCache>
            </c:numRef>
          </c:val>
          <c:extLst xmlns:c16r2="http://schemas.microsoft.com/office/drawing/2015/06/chart">
            <c:ext xmlns:c16="http://schemas.microsoft.com/office/drawing/2014/chart" uri="{C3380CC4-5D6E-409C-BE32-E72D297353CC}">
              <c16:uniqueId val="{00000006-3CFA-4F34-87C0-027F79ED8099}"/>
            </c:ext>
          </c:extLst>
        </c:ser>
        <c:marker val="1"/>
        <c:axId val="125572224"/>
        <c:axId val="125291904"/>
      </c:lineChart>
      <c:catAx>
        <c:axId val="125288448"/>
        <c:scaling>
          <c:orientation val="minMax"/>
        </c:scaling>
        <c:axPos val="b"/>
        <c:numFmt formatCode="General" sourceLinked="1"/>
        <c:tickLblPos val="low"/>
        <c:spPr>
          <a:ln w="9525">
            <a:solidFill>
              <a:schemeClr val="tx1"/>
            </a:solidFill>
            <a:prstDash val="solid"/>
          </a:ln>
        </c:spPr>
        <c:txPr>
          <a:bodyPr rot="-5400000" vert="horz" anchor="t" anchorCtr="0"/>
          <a:lstStyle/>
          <a:p>
            <a:pPr>
              <a:defRPr/>
            </a:pPr>
            <a:endParaRPr lang="cs-CZ"/>
          </a:p>
        </c:txPr>
        <c:crossAx val="125290368"/>
        <c:crossesAt val="0"/>
        <c:lblAlgn val="ctr"/>
        <c:lblOffset val="0"/>
        <c:tickLblSkip val="1"/>
        <c:tickMarkSkip val="4"/>
      </c:catAx>
      <c:valAx>
        <c:axId val="125290368"/>
        <c:scaling>
          <c:orientation val="minMax"/>
          <c:max val="65"/>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25288448"/>
        <c:crosses val="autoZero"/>
        <c:crossBetween val="between"/>
        <c:majorUnit val="5"/>
      </c:valAx>
      <c:valAx>
        <c:axId val="125291904"/>
        <c:scaling>
          <c:orientation val="minMax"/>
          <c:max val="81.5"/>
          <c:min val="75"/>
        </c:scaling>
        <c:axPos val="r"/>
        <c:numFmt formatCode="0.0" sourceLinked="1"/>
        <c:tickLblPos val="nextTo"/>
        <c:crossAx val="125572224"/>
        <c:crosses val="max"/>
        <c:crossBetween val="between"/>
      </c:valAx>
      <c:catAx>
        <c:axId val="125572224"/>
        <c:scaling>
          <c:orientation val="minMax"/>
        </c:scaling>
        <c:delete val="1"/>
        <c:axPos val="b"/>
        <c:numFmt formatCode="General" sourceLinked="1"/>
        <c:tickLblPos val="none"/>
        <c:crossAx val="125291904"/>
        <c:crosses val="autoZero"/>
        <c:auto val="1"/>
        <c:lblAlgn val="ctr"/>
        <c:lblOffset val="100"/>
      </c:catAx>
      <c:spPr>
        <a:noFill/>
        <a:ln w="9525">
          <a:solidFill>
            <a:schemeClr val="tx1"/>
          </a:solidFill>
        </a:ln>
      </c:spPr>
    </c:plotArea>
    <c:legend>
      <c:legendPos val="b"/>
      <c:layout>
        <c:manualLayout>
          <c:xMode val="edge"/>
          <c:yMode val="edge"/>
          <c:x val="4.7133710169576334E-2"/>
          <c:y val="0.75776314308229198"/>
          <c:w val="0.88531755998340556"/>
          <c:h val="0.23151412810987279"/>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7.3699724781365911E-2"/>
          <c:y val="2.1390374331550797E-2"/>
          <c:w val="0.91022729446268613"/>
          <c:h val="0.65373756087975632"/>
        </c:manualLayout>
      </c:layout>
      <c:barChart>
        <c:barDir val="col"/>
        <c:grouping val="stacked"/>
        <c:ser>
          <c:idx val="0"/>
          <c:order val="0"/>
          <c:tx>
            <c:strRef>
              <c:f>'3-Sektor účty-odlivy zisků ČR'!$B$116</c:f>
              <c:strCache>
                <c:ptCount val="1"/>
                <c:pt idx="0">
                  <c:v>Ostatní vlastnické důchody (D.44+45) (-)</c:v>
                </c:pt>
              </c:strCache>
            </c:strRef>
          </c:tx>
          <c:spPr>
            <a:solidFill>
              <a:srgbClr val="BABABA"/>
            </a:solidFill>
            <a:ln w="22225"/>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ČR'!$C$116:$T$116</c:f>
              <c:numCache>
                <c:formatCode>0.0</c:formatCode>
                <c:ptCount val="18"/>
                <c:pt idx="0">
                  <c:v>-6.0030000000000001</c:v>
                </c:pt>
                <c:pt idx="1">
                  <c:v>-6.9690000000000003</c:v>
                </c:pt>
                <c:pt idx="2">
                  <c:v>-7.1369999999999996</c:v>
                </c:pt>
                <c:pt idx="3">
                  <c:v>-7.8209999999999855</c:v>
                </c:pt>
                <c:pt idx="4">
                  <c:v>-8.447000000000001</c:v>
                </c:pt>
                <c:pt idx="5">
                  <c:v>-7.3890000000000002</c:v>
                </c:pt>
                <c:pt idx="6">
                  <c:v>-8.847999999999999</c:v>
                </c:pt>
                <c:pt idx="7">
                  <c:v>-9.1650000000000027</c:v>
                </c:pt>
                <c:pt idx="8">
                  <c:v>-9.5610000000000035</c:v>
                </c:pt>
                <c:pt idx="9">
                  <c:v>-9.3590000000000266</c:v>
                </c:pt>
                <c:pt idx="10">
                  <c:v>-9.327</c:v>
                </c:pt>
                <c:pt idx="11">
                  <c:v>-9.5409999999999986</c:v>
                </c:pt>
                <c:pt idx="12">
                  <c:v>-10.522</c:v>
                </c:pt>
                <c:pt idx="13">
                  <c:v>-10.002000000000002</c:v>
                </c:pt>
                <c:pt idx="14">
                  <c:v>-11.692</c:v>
                </c:pt>
                <c:pt idx="15">
                  <c:v>-12.373000000000006</c:v>
                </c:pt>
                <c:pt idx="16">
                  <c:v>-12.646999999999998</c:v>
                </c:pt>
                <c:pt idx="17">
                  <c:v>-12.715</c:v>
                </c:pt>
              </c:numCache>
            </c:numRef>
          </c:val>
          <c:extLst xmlns:c16r2="http://schemas.microsoft.com/office/drawing/2015/06/chart">
            <c:ext xmlns:c16="http://schemas.microsoft.com/office/drawing/2014/chart" uri="{C3380CC4-5D6E-409C-BE32-E72D297353CC}">
              <c16:uniqueId val="{00000000-E707-4627-99AD-0A630E162320}"/>
            </c:ext>
          </c:extLst>
        </c:ser>
        <c:ser>
          <c:idx val="2"/>
          <c:order val="1"/>
          <c:tx>
            <c:strRef>
              <c:f>'3-Sektor účty-odlivy zisků ČR'!$B$112</c:f>
              <c:strCache>
                <c:ptCount val="1"/>
                <c:pt idx="0">
                  <c:v>Ostatní vlastnické důchody (D.44+45) (+)</c:v>
                </c:pt>
              </c:strCache>
            </c:strRef>
          </c:tx>
          <c:spPr>
            <a:solidFill>
              <a:srgbClr val="A6A6A6"/>
            </a:solidFill>
            <a:ln w="22225">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ČR'!$C$112:$T$112</c:f>
              <c:numCache>
                <c:formatCode>0.0</c:formatCode>
                <c:ptCount val="18"/>
                <c:pt idx="0">
                  <c:v>4.8860000000000001</c:v>
                </c:pt>
                <c:pt idx="1">
                  <c:v>4.9390000000000134</c:v>
                </c:pt>
                <c:pt idx="2">
                  <c:v>2.5830000000000002</c:v>
                </c:pt>
                <c:pt idx="3">
                  <c:v>2.5209999999999999</c:v>
                </c:pt>
                <c:pt idx="4">
                  <c:v>4.0279999999999845</c:v>
                </c:pt>
                <c:pt idx="5">
                  <c:v>2.4259999999999997</c:v>
                </c:pt>
                <c:pt idx="6">
                  <c:v>3.2490000000000001</c:v>
                </c:pt>
                <c:pt idx="7">
                  <c:v>3.1869999999999998</c:v>
                </c:pt>
                <c:pt idx="8">
                  <c:v>3.4589999999999987</c:v>
                </c:pt>
                <c:pt idx="9">
                  <c:v>3.7850000000000001</c:v>
                </c:pt>
                <c:pt idx="10">
                  <c:v>3.823</c:v>
                </c:pt>
                <c:pt idx="11">
                  <c:v>3.6269999999999998</c:v>
                </c:pt>
                <c:pt idx="12">
                  <c:v>4.8549999999999756</c:v>
                </c:pt>
                <c:pt idx="13">
                  <c:v>5.0249999999999755</c:v>
                </c:pt>
                <c:pt idx="14">
                  <c:v>4.0179999999999945</c:v>
                </c:pt>
                <c:pt idx="15">
                  <c:v>3.734</c:v>
                </c:pt>
                <c:pt idx="16">
                  <c:v>4.0750000000000002</c:v>
                </c:pt>
                <c:pt idx="17">
                  <c:v>3.9509999999999987</c:v>
                </c:pt>
              </c:numCache>
            </c:numRef>
          </c:val>
          <c:extLst xmlns:c16r2="http://schemas.microsoft.com/office/drawing/2015/06/chart">
            <c:ext xmlns:c16="http://schemas.microsoft.com/office/drawing/2014/chart" uri="{C3380CC4-5D6E-409C-BE32-E72D297353CC}">
              <c16:uniqueId val="{00000001-E707-4627-99AD-0A630E162320}"/>
            </c:ext>
          </c:extLst>
        </c:ser>
        <c:ser>
          <c:idx val="4"/>
          <c:order val="2"/>
          <c:tx>
            <c:strRef>
              <c:f>'3-Sektor účty-odlivy zisků ČR'!$B$115</c:f>
              <c:strCache>
                <c:ptCount val="1"/>
                <c:pt idx="0">
                  <c:v>Reinvestované zisky z PZI (D.43) (-)</c:v>
                </c:pt>
              </c:strCache>
            </c:strRef>
          </c:tx>
          <c:spPr>
            <a:solidFill>
              <a:srgbClr val="A6CDE8"/>
            </a:solidFill>
            <a:ln w="22225">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ČR'!$C$115:$T$115</c:f>
              <c:numCache>
                <c:formatCode>0.0</c:formatCode>
                <c:ptCount val="18"/>
                <c:pt idx="0">
                  <c:v>-10.259</c:v>
                </c:pt>
                <c:pt idx="1">
                  <c:v>-41.997</c:v>
                </c:pt>
                <c:pt idx="2">
                  <c:v>-51.309000000000005</c:v>
                </c:pt>
                <c:pt idx="3">
                  <c:v>-50.549000000000007</c:v>
                </c:pt>
                <c:pt idx="4">
                  <c:v>-67.116</c:v>
                </c:pt>
                <c:pt idx="5">
                  <c:v>-78.361999999999995</c:v>
                </c:pt>
                <c:pt idx="6">
                  <c:v>-102.399</c:v>
                </c:pt>
                <c:pt idx="7">
                  <c:v>-103.04700000000012</c:v>
                </c:pt>
                <c:pt idx="8">
                  <c:v>-91.60899999999998</c:v>
                </c:pt>
                <c:pt idx="9">
                  <c:v>-66.63</c:v>
                </c:pt>
                <c:pt idx="10">
                  <c:v>-53.595000000000013</c:v>
                </c:pt>
                <c:pt idx="11">
                  <c:v>-53.379000000000005</c:v>
                </c:pt>
                <c:pt idx="12">
                  <c:v>-61.031000000000006</c:v>
                </c:pt>
                <c:pt idx="13">
                  <c:v>-46.958999999999996</c:v>
                </c:pt>
                <c:pt idx="14">
                  <c:v>-108.55200000000001</c:v>
                </c:pt>
                <c:pt idx="15">
                  <c:v>-109.75700000000002</c:v>
                </c:pt>
                <c:pt idx="16">
                  <c:v>-98.715999999999994</c:v>
                </c:pt>
                <c:pt idx="17">
                  <c:v>-150.494</c:v>
                </c:pt>
              </c:numCache>
            </c:numRef>
          </c:val>
          <c:extLst xmlns:c16r2="http://schemas.microsoft.com/office/drawing/2015/06/chart">
            <c:ext xmlns:c16="http://schemas.microsoft.com/office/drawing/2014/chart" uri="{C3380CC4-5D6E-409C-BE32-E72D297353CC}">
              <c16:uniqueId val="{00000002-E707-4627-99AD-0A630E162320}"/>
            </c:ext>
          </c:extLst>
        </c:ser>
        <c:ser>
          <c:idx val="6"/>
          <c:order val="3"/>
          <c:tx>
            <c:strRef>
              <c:f>'3-Sektor účty-odlivy zisků ČR'!$B$111</c:f>
              <c:strCache>
                <c:ptCount val="1"/>
                <c:pt idx="0">
                  <c:v>Reinvestované zisky z PZI (D.43) (+)</c:v>
                </c:pt>
              </c:strCache>
            </c:strRef>
          </c:tx>
          <c:spPr>
            <a:solidFill>
              <a:srgbClr val="0071BC"/>
            </a:solidFill>
            <a:ln>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ČR'!$C$111:$T$111</c:f>
              <c:numCache>
                <c:formatCode>0.0</c:formatCode>
                <c:ptCount val="18"/>
                <c:pt idx="0">
                  <c:v>-0.55600000000000005</c:v>
                </c:pt>
                <c:pt idx="1">
                  <c:v>2.5319999999999987</c:v>
                </c:pt>
                <c:pt idx="2">
                  <c:v>-3.3169999999999855</c:v>
                </c:pt>
                <c:pt idx="3">
                  <c:v>3.484</c:v>
                </c:pt>
                <c:pt idx="4">
                  <c:v>6.0750000000000002</c:v>
                </c:pt>
                <c:pt idx="5">
                  <c:v>-8.0570000000000004</c:v>
                </c:pt>
                <c:pt idx="6">
                  <c:v>5.5869999999999997</c:v>
                </c:pt>
                <c:pt idx="7">
                  <c:v>14.412000000000004</c:v>
                </c:pt>
                <c:pt idx="8">
                  <c:v>56.383999999999993</c:v>
                </c:pt>
                <c:pt idx="9">
                  <c:v>0.72000000000000064</c:v>
                </c:pt>
                <c:pt idx="10">
                  <c:v>0.74900000000000344</c:v>
                </c:pt>
                <c:pt idx="11">
                  <c:v>5.5490000000000004</c:v>
                </c:pt>
                <c:pt idx="12">
                  <c:v>24.600999999999999</c:v>
                </c:pt>
                <c:pt idx="13">
                  <c:v>7.7639999999999985</c:v>
                </c:pt>
                <c:pt idx="14">
                  <c:v>2.8859999999999997</c:v>
                </c:pt>
                <c:pt idx="15">
                  <c:v>10.351000000000004</c:v>
                </c:pt>
                <c:pt idx="16">
                  <c:v>9.5630000000000006</c:v>
                </c:pt>
                <c:pt idx="17">
                  <c:v>18.794</c:v>
                </c:pt>
              </c:numCache>
            </c:numRef>
          </c:val>
          <c:extLst xmlns:c16r2="http://schemas.microsoft.com/office/drawing/2015/06/chart">
            <c:ext xmlns:c16="http://schemas.microsoft.com/office/drawing/2014/chart" uri="{C3380CC4-5D6E-409C-BE32-E72D297353CC}">
              <c16:uniqueId val="{00000003-E707-4627-99AD-0A630E162320}"/>
            </c:ext>
          </c:extLst>
        </c:ser>
        <c:ser>
          <c:idx val="1"/>
          <c:order val="4"/>
          <c:tx>
            <c:strRef>
              <c:f>'3-Sektor účty-odlivy zisků ČR'!$B$114</c:f>
              <c:strCache>
                <c:ptCount val="1"/>
                <c:pt idx="0">
                  <c:v>Rozděl. důchody společností (D.42) (-)</c:v>
                </c:pt>
              </c:strCache>
            </c:strRef>
          </c:tx>
          <c:spPr>
            <a:solidFill>
              <a:srgbClr val="E8AFB2"/>
            </a:solidFill>
            <a:ln w="22225">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ČR'!$C$114:$T$114</c:f>
              <c:numCache>
                <c:formatCode>0.0</c:formatCode>
                <c:ptCount val="18"/>
                <c:pt idx="0">
                  <c:v>-80.122999999999948</c:v>
                </c:pt>
                <c:pt idx="1">
                  <c:v>-101.334</c:v>
                </c:pt>
                <c:pt idx="2">
                  <c:v>-118.94800000000002</c:v>
                </c:pt>
                <c:pt idx="3">
                  <c:v>-140.11499999999998</c:v>
                </c:pt>
                <c:pt idx="4">
                  <c:v>-185.35200000000097</c:v>
                </c:pt>
                <c:pt idx="5">
                  <c:v>-185.31300000000002</c:v>
                </c:pt>
                <c:pt idx="6">
                  <c:v>-243.35900000000001</c:v>
                </c:pt>
                <c:pt idx="7">
                  <c:v>-292.76799999999969</c:v>
                </c:pt>
                <c:pt idx="8">
                  <c:v>-327.13900000000001</c:v>
                </c:pt>
                <c:pt idx="9">
                  <c:v>-313.55200000000002</c:v>
                </c:pt>
                <c:pt idx="10">
                  <c:v>-303.08699999999823</c:v>
                </c:pt>
                <c:pt idx="11">
                  <c:v>-337.33099999999899</c:v>
                </c:pt>
                <c:pt idx="12">
                  <c:v>-330.95299999999969</c:v>
                </c:pt>
                <c:pt idx="13">
                  <c:v>-346.245</c:v>
                </c:pt>
                <c:pt idx="14">
                  <c:v>-382.93599999999759</c:v>
                </c:pt>
                <c:pt idx="15">
                  <c:v>-417.42299999999869</c:v>
                </c:pt>
                <c:pt idx="16">
                  <c:v>-480.55700000000002</c:v>
                </c:pt>
                <c:pt idx="17">
                  <c:v>-448.76400000000001</c:v>
                </c:pt>
              </c:numCache>
            </c:numRef>
          </c:val>
          <c:extLst xmlns:c16r2="http://schemas.microsoft.com/office/drawing/2015/06/chart">
            <c:ext xmlns:c16="http://schemas.microsoft.com/office/drawing/2014/chart" uri="{C3380CC4-5D6E-409C-BE32-E72D297353CC}">
              <c16:uniqueId val="{00000004-E707-4627-99AD-0A630E162320}"/>
            </c:ext>
          </c:extLst>
        </c:ser>
        <c:ser>
          <c:idx val="3"/>
          <c:order val="5"/>
          <c:tx>
            <c:strRef>
              <c:f>'3-Sektor účty-odlivy zisků ČR'!$B$110</c:f>
              <c:strCache>
                <c:ptCount val="1"/>
                <c:pt idx="0">
                  <c:v>Rozděl. důchody společností (D.42) (+)</c:v>
                </c:pt>
              </c:strCache>
            </c:strRef>
          </c:tx>
          <c:spPr>
            <a:solidFill>
              <a:srgbClr val="BD1B21"/>
            </a:solidFill>
            <a:ln w="22225">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ČR'!$C$110:$T$110</c:f>
              <c:numCache>
                <c:formatCode>0.0</c:formatCode>
                <c:ptCount val="18"/>
                <c:pt idx="0">
                  <c:v>4.4509999999999996</c:v>
                </c:pt>
                <c:pt idx="1">
                  <c:v>6.0960000000000001</c:v>
                </c:pt>
                <c:pt idx="2">
                  <c:v>7.2889999999999997</c:v>
                </c:pt>
                <c:pt idx="3">
                  <c:v>9.6060000000000034</c:v>
                </c:pt>
                <c:pt idx="4">
                  <c:v>24.282999999999859</c:v>
                </c:pt>
                <c:pt idx="5">
                  <c:v>36.935000000000002</c:v>
                </c:pt>
                <c:pt idx="6">
                  <c:v>31.356999999999999</c:v>
                </c:pt>
                <c:pt idx="7">
                  <c:v>39.437000000000005</c:v>
                </c:pt>
                <c:pt idx="8">
                  <c:v>41.107000000000006</c:v>
                </c:pt>
                <c:pt idx="9">
                  <c:v>30.630000000000031</c:v>
                </c:pt>
                <c:pt idx="10">
                  <c:v>25.077000000000005</c:v>
                </c:pt>
                <c:pt idx="11">
                  <c:v>36.535000000000011</c:v>
                </c:pt>
                <c:pt idx="12">
                  <c:v>55.308</c:v>
                </c:pt>
                <c:pt idx="13">
                  <c:v>48.564</c:v>
                </c:pt>
                <c:pt idx="14">
                  <c:v>64.063000000000002</c:v>
                </c:pt>
                <c:pt idx="15">
                  <c:v>65.233999999999995</c:v>
                </c:pt>
                <c:pt idx="16">
                  <c:v>74.498000000000005</c:v>
                </c:pt>
                <c:pt idx="17">
                  <c:v>81.078999999999979</c:v>
                </c:pt>
              </c:numCache>
            </c:numRef>
          </c:val>
          <c:extLst xmlns:c16r2="http://schemas.microsoft.com/office/drawing/2015/06/chart">
            <c:ext xmlns:c16="http://schemas.microsoft.com/office/drawing/2014/chart" uri="{C3380CC4-5D6E-409C-BE32-E72D297353CC}">
              <c16:uniqueId val="{00000005-E707-4627-99AD-0A630E162320}"/>
            </c:ext>
          </c:extLst>
        </c:ser>
        <c:ser>
          <c:idx val="5"/>
          <c:order val="6"/>
          <c:tx>
            <c:strRef>
              <c:f>'3-Sektor účty-odlivy zisků ČR'!$B$113</c:f>
              <c:strCache>
                <c:ptCount val="1"/>
                <c:pt idx="0">
                  <c:v>Úroky (D.41) (-)</c:v>
                </c:pt>
              </c:strCache>
            </c:strRef>
          </c:tx>
          <c:spPr>
            <a:solidFill>
              <a:srgbClr val="FDDEB3"/>
            </a:solidFill>
            <a:ln w="22225">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ČR'!$C$113:$T$113</c:f>
              <c:numCache>
                <c:formatCode>0.0</c:formatCode>
                <c:ptCount val="18"/>
                <c:pt idx="0">
                  <c:v>-104.886</c:v>
                </c:pt>
                <c:pt idx="1">
                  <c:v>-99.897999999999996</c:v>
                </c:pt>
                <c:pt idx="2">
                  <c:v>-63.379000000000005</c:v>
                </c:pt>
                <c:pt idx="3">
                  <c:v>-80.588999999999999</c:v>
                </c:pt>
                <c:pt idx="4">
                  <c:v>-82.789000000000001</c:v>
                </c:pt>
                <c:pt idx="5">
                  <c:v>-77.986000000000004</c:v>
                </c:pt>
                <c:pt idx="6">
                  <c:v>-88.402000000000001</c:v>
                </c:pt>
                <c:pt idx="7">
                  <c:v>-80.164999999999992</c:v>
                </c:pt>
                <c:pt idx="8">
                  <c:v>-84.937000000000026</c:v>
                </c:pt>
                <c:pt idx="9">
                  <c:v>-61.022000000000013</c:v>
                </c:pt>
                <c:pt idx="10">
                  <c:v>-81.127999999999986</c:v>
                </c:pt>
                <c:pt idx="11">
                  <c:v>-82.881999999999991</c:v>
                </c:pt>
                <c:pt idx="12">
                  <c:v>-78.632999999999981</c:v>
                </c:pt>
                <c:pt idx="13">
                  <c:v>-71.799000000000007</c:v>
                </c:pt>
                <c:pt idx="14">
                  <c:v>-82.391000000000005</c:v>
                </c:pt>
                <c:pt idx="15">
                  <c:v>-76.095000000000013</c:v>
                </c:pt>
                <c:pt idx="16">
                  <c:v>-62.977000000000004</c:v>
                </c:pt>
                <c:pt idx="17">
                  <c:v>-54.127000000000002</c:v>
                </c:pt>
              </c:numCache>
            </c:numRef>
          </c:val>
          <c:extLst xmlns:c16r2="http://schemas.microsoft.com/office/drawing/2015/06/chart">
            <c:ext xmlns:c16="http://schemas.microsoft.com/office/drawing/2014/chart" uri="{C3380CC4-5D6E-409C-BE32-E72D297353CC}">
              <c16:uniqueId val="{00000006-E707-4627-99AD-0A630E162320}"/>
            </c:ext>
          </c:extLst>
        </c:ser>
        <c:ser>
          <c:idx val="7"/>
          <c:order val="7"/>
          <c:tx>
            <c:strRef>
              <c:f>'3-Sektor účty-odlivy zisků ČR'!$B$109</c:f>
              <c:strCache>
                <c:ptCount val="1"/>
                <c:pt idx="0">
                  <c:v>Úroky (D.41) (+)</c:v>
                </c:pt>
              </c:strCache>
            </c:strRef>
          </c:tx>
          <c:spPr>
            <a:solidFill>
              <a:srgbClr val="F8A124"/>
            </a:solidFill>
            <a:ln>
              <a:noFill/>
            </a:ln>
          </c:spP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ČR'!$C$109:$T$109</c:f>
              <c:numCache>
                <c:formatCode>0.0</c:formatCode>
                <c:ptCount val="18"/>
                <c:pt idx="0">
                  <c:v>11.944000000000001</c:v>
                </c:pt>
                <c:pt idx="1">
                  <c:v>22.477</c:v>
                </c:pt>
                <c:pt idx="2">
                  <c:v>12.106</c:v>
                </c:pt>
                <c:pt idx="3">
                  <c:v>30.521000000000001</c:v>
                </c:pt>
                <c:pt idx="4">
                  <c:v>40.677</c:v>
                </c:pt>
                <c:pt idx="5">
                  <c:v>43.350999999999999</c:v>
                </c:pt>
                <c:pt idx="6">
                  <c:v>45.239000000000011</c:v>
                </c:pt>
                <c:pt idx="7">
                  <c:v>60.167000000000002</c:v>
                </c:pt>
                <c:pt idx="8">
                  <c:v>51.206000000000003</c:v>
                </c:pt>
                <c:pt idx="9">
                  <c:v>38.328000000000003</c:v>
                </c:pt>
                <c:pt idx="10">
                  <c:v>30.872</c:v>
                </c:pt>
                <c:pt idx="11">
                  <c:v>36.07</c:v>
                </c:pt>
                <c:pt idx="12">
                  <c:v>38.867000000000004</c:v>
                </c:pt>
                <c:pt idx="13">
                  <c:v>37.486000000000004</c:v>
                </c:pt>
                <c:pt idx="14">
                  <c:v>42.303000000000004</c:v>
                </c:pt>
                <c:pt idx="15">
                  <c:v>49.033000000000001</c:v>
                </c:pt>
                <c:pt idx="16">
                  <c:v>56.641000000000005</c:v>
                </c:pt>
                <c:pt idx="17">
                  <c:v>53.656000000000006</c:v>
                </c:pt>
              </c:numCache>
            </c:numRef>
          </c:val>
          <c:extLst xmlns:c16r2="http://schemas.microsoft.com/office/drawing/2015/06/chart">
            <c:ext xmlns:c16="http://schemas.microsoft.com/office/drawing/2014/chart" uri="{C3380CC4-5D6E-409C-BE32-E72D297353CC}">
              <c16:uniqueId val="{00000007-E707-4627-99AD-0A630E162320}"/>
            </c:ext>
          </c:extLst>
        </c:ser>
        <c:overlap val="100"/>
        <c:axId val="128914176"/>
        <c:axId val="128915712"/>
      </c:barChart>
      <c:lineChart>
        <c:grouping val="standard"/>
        <c:ser>
          <c:idx val="8"/>
          <c:order val="8"/>
          <c:tx>
            <c:strRef>
              <c:f>'3-Sektor účty-odlivy zisků ČR'!$B$117</c:f>
              <c:strCache>
                <c:ptCount val="1"/>
                <c:pt idx="0">
                  <c:v>Důchod z vlastnictví celkem (D.4) (saldo)</c:v>
                </c:pt>
              </c:strCache>
            </c:strRef>
          </c:tx>
          <c:spPr>
            <a:ln>
              <a:noFill/>
            </a:ln>
          </c:spPr>
          <c:marker>
            <c:symbol val="none"/>
          </c:marke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ČR'!$C$117:$T$117</c:f>
              <c:numCache>
                <c:formatCode>General</c:formatCode>
                <c:ptCount val="18"/>
              </c:numCache>
            </c:numRef>
          </c:val>
          <c:extLst xmlns:c16r2="http://schemas.microsoft.com/office/drawing/2015/06/chart">
            <c:ext xmlns:c16="http://schemas.microsoft.com/office/drawing/2014/chart" uri="{C3380CC4-5D6E-409C-BE32-E72D297353CC}">
              <c16:uniqueId val="{00000008-E707-4627-99AD-0A630E162320}"/>
            </c:ext>
          </c:extLst>
        </c:ser>
        <c:ser>
          <c:idx val="9"/>
          <c:order val="9"/>
          <c:tx>
            <c:strRef>
              <c:f>'3-Sektor účty-odlivy zisků ČR'!$B$118</c:f>
              <c:strCache>
                <c:ptCount val="1"/>
              </c:strCache>
            </c:strRef>
          </c:tx>
          <c:spPr>
            <a:ln>
              <a:noFill/>
            </a:ln>
          </c:spPr>
          <c:marker>
            <c:symbol val="none"/>
          </c:marke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ČR'!$C$118:$T$118</c:f>
              <c:numCache>
                <c:formatCode>General</c:formatCode>
                <c:ptCount val="18"/>
              </c:numCache>
            </c:numRef>
          </c:val>
          <c:extLst xmlns:c16r2="http://schemas.microsoft.com/office/drawing/2015/06/chart">
            <c:ext xmlns:c16="http://schemas.microsoft.com/office/drawing/2014/chart" uri="{C3380CC4-5D6E-409C-BE32-E72D297353CC}">
              <c16:uniqueId val="{00000009-E707-4627-99AD-0A630E162320}"/>
            </c:ext>
          </c:extLst>
        </c:ser>
        <c:ser>
          <c:idx val="10"/>
          <c:order val="10"/>
          <c:tx>
            <c:strRef>
              <c:f>'3-Sektor účty-odlivy zisků ČR'!$B$119</c:f>
              <c:strCache>
                <c:ptCount val="1"/>
                <c:pt idx="0">
                  <c:v>   veřejné nefinanční podniky</c:v>
                </c:pt>
              </c:strCache>
            </c:strRef>
          </c:tx>
          <c:spPr>
            <a:ln w="19050">
              <a:solidFill>
                <a:srgbClr val="80BB2D"/>
              </a:solidFill>
              <a:prstDash val="sysDash"/>
            </a:ln>
          </c:spPr>
          <c:marker>
            <c:symbol val="none"/>
          </c:marke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ČR'!$C$119:$T$119</c:f>
              <c:numCache>
                <c:formatCode>0.0</c:formatCode>
                <c:ptCount val="18"/>
                <c:pt idx="0">
                  <c:v>-14.027999999999999</c:v>
                </c:pt>
                <c:pt idx="1">
                  <c:v>-13.287000000000001</c:v>
                </c:pt>
                <c:pt idx="2">
                  <c:v>-6.9009999999999998</c:v>
                </c:pt>
                <c:pt idx="3">
                  <c:v>-4.5759999999999996</c:v>
                </c:pt>
                <c:pt idx="4">
                  <c:v>-5.5359999999999996</c:v>
                </c:pt>
                <c:pt idx="5">
                  <c:v>1.093</c:v>
                </c:pt>
                <c:pt idx="6">
                  <c:v>-14.747999999999999</c:v>
                </c:pt>
                <c:pt idx="7">
                  <c:v>-3.1000000000000052E-2</c:v>
                </c:pt>
                <c:pt idx="8">
                  <c:v>-13.196</c:v>
                </c:pt>
                <c:pt idx="9">
                  <c:v>-20.460999999999871</c:v>
                </c:pt>
                <c:pt idx="10">
                  <c:v>-18.09</c:v>
                </c:pt>
                <c:pt idx="11">
                  <c:v>-9.9600000000000026</c:v>
                </c:pt>
                <c:pt idx="12">
                  <c:v>-16.449000000000002</c:v>
                </c:pt>
                <c:pt idx="13">
                  <c:v>-14.557</c:v>
                </c:pt>
                <c:pt idx="14">
                  <c:v>-18.341999999999999</c:v>
                </c:pt>
                <c:pt idx="15">
                  <c:v>-13.989000000000004</c:v>
                </c:pt>
                <c:pt idx="16">
                  <c:v>-14.392000000000024</c:v>
                </c:pt>
              </c:numCache>
            </c:numRef>
          </c:val>
          <c:extLst xmlns:c16r2="http://schemas.microsoft.com/office/drawing/2015/06/chart">
            <c:ext xmlns:c16="http://schemas.microsoft.com/office/drawing/2014/chart" uri="{C3380CC4-5D6E-409C-BE32-E72D297353CC}">
              <c16:uniqueId val="{0000000A-E707-4627-99AD-0A630E162320}"/>
            </c:ext>
          </c:extLst>
        </c:ser>
        <c:ser>
          <c:idx val="11"/>
          <c:order val="11"/>
          <c:tx>
            <c:strRef>
              <c:f>'3-Sektor účty-odlivy zisků ČR'!$B$120</c:f>
              <c:strCache>
                <c:ptCount val="1"/>
                <c:pt idx="0">
                  <c:v>   národní soukromé nefinanční podniky</c:v>
                </c:pt>
              </c:strCache>
            </c:strRef>
          </c:tx>
          <c:spPr>
            <a:ln w="19050">
              <a:solidFill>
                <a:srgbClr val="0071BC"/>
              </a:solidFill>
              <a:prstDash val="sysDash"/>
            </a:ln>
          </c:spPr>
          <c:marker>
            <c:symbol val="none"/>
          </c:marke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ČR'!$C$120:$T$120</c:f>
              <c:numCache>
                <c:formatCode>0.0</c:formatCode>
                <c:ptCount val="18"/>
                <c:pt idx="0">
                  <c:v>-118.44400000000046</c:v>
                </c:pt>
                <c:pt idx="1">
                  <c:v>-129.72999999999999</c:v>
                </c:pt>
                <c:pt idx="2">
                  <c:v>-111.88500000000001</c:v>
                </c:pt>
                <c:pt idx="3">
                  <c:v>-115.926</c:v>
                </c:pt>
                <c:pt idx="4">
                  <c:v>-114.932</c:v>
                </c:pt>
                <c:pt idx="5">
                  <c:v>-131.31900000000002</c:v>
                </c:pt>
                <c:pt idx="6">
                  <c:v>-125.151</c:v>
                </c:pt>
                <c:pt idx="7">
                  <c:v>-116.979</c:v>
                </c:pt>
                <c:pt idx="8">
                  <c:v>-92.537999999999997</c:v>
                </c:pt>
                <c:pt idx="9">
                  <c:v>-112.21899999999999</c:v>
                </c:pt>
                <c:pt idx="10">
                  <c:v>-146.12900000000002</c:v>
                </c:pt>
                <c:pt idx="11">
                  <c:v>-165.137</c:v>
                </c:pt>
                <c:pt idx="12">
                  <c:v>-124.45699999999999</c:v>
                </c:pt>
                <c:pt idx="13">
                  <c:v>-153.98700000000088</c:v>
                </c:pt>
                <c:pt idx="14">
                  <c:v>-160.07399999999998</c:v>
                </c:pt>
                <c:pt idx="15">
                  <c:v>-173.24599999999998</c:v>
                </c:pt>
                <c:pt idx="16">
                  <c:v>-162.405</c:v>
                </c:pt>
              </c:numCache>
            </c:numRef>
          </c:val>
          <c:extLst xmlns:c16r2="http://schemas.microsoft.com/office/drawing/2015/06/chart">
            <c:ext xmlns:c16="http://schemas.microsoft.com/office/drawing/2014/chart" uri="{C3380CC4-5D6E-409C-BE32-E72D297353CC}">
              <c16:uniqueId val="{0000000B-E707-4627-99AD-0A630E162320}"/>
            </c:ext>
          </c:extLst>
        </c:ser>
        <c:ser>
          <c:idx val="12"/>
          <c:order val="12"/>
          <c:tx>
            <c:strRef>
              <c:f>'3-Sektor účty-odlivy zisků ČR'!$B$121</c:f>
              <c:strCache>
                <c:ptCount val="1"/>
                <c:pt idx="0">
                  <c:v>   nef. podniky pod zahraniční kontrolou</c:v>
                </c:pt>
              </c:strCache>
            </c:strRef>
          </c:tx>
          <c:spPr>
            <a:ln w="19050">
              <a:solidFill>
                <a:srgbClr val="BD1B21"/>
              </a:solidFill>
              <a:prstDash val="sysDash"/>
            </a:ln>
          </c:spPr>
          <c:marker>
            <c:symbol val="none"/>
          </c:marke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ČR'!$C$121:$T$121</c:f>
              <c:numCache>
                <c:formatCode>0.0</c:formatCode>
                <c:ptCount val="18"/>
                <c:pt idx="0">
                  <c:v>-48.074000000000005</c:v>
                </c:pt>
                <c:pt idx="1">
                  <c:v>-71.137</c:v>
                </c:pt>
                <c:pt idx="2">
                  <c:v>-103.32599999999998</c:v>
                </c:pt>
                <c:pt idx="3">
                  <c:v>-112.44000000000032</c:v>
                </c:pt>
                <c:pt idx="4">
                  <c:v>-148.17299999999997</c:v>
                </c:pt>
                <c:pt idx="5">
                  <c:v>-144.16899999999998</c:v>
                </c:pt>
                <c:pt idx="6">
                  <c:v>-217.67699999999999</c:v>
                </c:pt>
                <c:pt idx="7">
                  <c:v>-250.93200000000004</c:v>
                </c:pt>
                <c:pt idx="8">
                  <c:v>-255.35600000000088</c:v>
                </c:pt>
                <c:pt idx="9">
                  <c:v>-244.42000000000004</c:v>
                </c:pt>
                <c:pt idx="10">
                  <c:v>-222.39700000000047</c:v>
                </c:pt>
                <c:pt idx="11">
                  <c:v>-226.255</c:v>
                </c:pt>
                <c:pt idx="12">
                  <c:v>-216.602</c:v>
                </c:pt>
                <c:pt idx="13">
                  <c:v>-207.62200000000001</c:v>
                </c:pt>
                <c:pt idx="14">
                  <c:v>-293.88499999999999</c:v>
                </c:pt>
                <c:pt idx="15">
                  <c:v>-300.06099999999969</c:v>
                </c:pt>
                <c:pt idx="16">
                  <c:v>-333.32299999999969</c:v>
                </c:pt>
              </c:numCache>
            </c:numRef>
          </c:val>
          <c:extLst xmlns:c16r2="http://schemas.microsoft.com/office/drawing/2015/06/chart">
            <c:ext xmlns:c16="http://schemas.microsoft.com/office/drawing/2014/chart" uri="{C3380CC4-5D6E-409C-BE32-E72D297353CC}">
              <c16:uniqueId val="{0000000C-E707-4627-99AD-0A630E162320}"/>
            </c:ext>
          </c:extLst>
        </c:ser>
        <c:ser>
          <c:idx val="13"/>
          <c:order val="13"/>
          <c:tx>
            <c:strRef>
              <c:f>'3-Sektor účty-odlivy zisků ČR'!$B$122</c:f>
              <c:strCache>
                <c:ptCount val="1"/>
                <c:pt idx="0">
                  <c:v>   nefinanční podniky celkem</c:v>
                </c:pt>
              </c:strCache>
            </c:strRef>
          </c:tx>
          <c:spPr>
            <a:ln w="22225">
              <a:solidFill>
                <a:srgbClr val="808080"/>
              </a:solidFill>
            </a:ln>
          </c:spPr>
          <c:marker>
            <c:symbol val="none"/>
          </c:marker>
          <c:cat>
            <c:numRef>
              <c:f>'3-Sektor účty-odlivy zisků ČR'!$C$108:$T$108</c:f>
              <c:numCache>
                <c:formatCode>0</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'3-Sektor účty-odlivy zisků ČR'!$C$122:$T$122</c:f>
              <c:numCache>
                <c:formatCode>0.0</c:formatCode>
                <c:ptCount val="18"/>
                <c:pt idx="0">
                  <c:v>-180.54599999999999</c:v>
                </c:pt>
                <c:pt idx="1">
                  <c:v>-214.154</c:v>
                </c:pt>
                <c:pt idx="2">
                  <c:v>-222.11199999999999</c:v>
                </c:pt>
                <c:pt idx="3">
                  <c:v>-232.94200000000001</c:v>
                </c:pt>
                <c:pt idx="4">
                  <c:v>-268.64100000000002</c:v>
                </c:pt>
                <c:pt idx="5">
                  <c:v>-274.39499999999964</c:v>
                </c:pt>
                <c:pt idx="6">
                  <c:v>-357.57599999999923</c:v>
                </c:pt>
                <c:pt idx="7">
                  <c:v>-367.94200000000001</c:v>
                </c:pt>
                <c:pt idx="8">
                  <c:v>-361.09</c:v>
                </c:pt>
                <c:pt idx="9">
                  <c:v>-377.1</c:v>
                </c:pt>
                <c:pt idx="10">
                  <c:v>-386.61599999999999</c:v>
                </c:pt>
                <c:pt idx="11">
                  <c:v>-401.35199999999969</c:v>
                </c:pt>
                <c:pt idx="12">
                  <c:v>-357.50799999999964</c:v>
                </c:pt>
                <c:pt idx="13">
                  <c:v>-376.166</c:v>
                </c:pt>
                <c:pt idx="14">
                  <c:v>-472.30099999999999</c:v>
                </c:pt>
                <c:pt idx="15">
                  <c:v>-487.29599999999863</c:v>
                </c:pt>
                <c:pt idx="16">
                  <c:v>-510.12</c:v>
                </c:pt>
                <c:pt idx="17">
                  <c:v>-508.62</c:v>
                </c:pt>
              </c:numCache>
            </c:numRef>
          </c:val>
          <c:extLst xmlns:c16r2="http://schemas.microsoft.com/office/drawing/2015/06/chart">
            <c:ext xmlns:c16="http://schemas.microsoft.com/office/drawing/2014/chart" uri="{C3380CC4-5D6E-409C-BE32-E72D297353CC}">
              <c16:uniqueId val="{0000000D-E707-4627-99AD-0A630E162320}"/>
            </c:ext>
          </c:extLst>
        </c:ser>
        <c:marker val="1"/>
        <c:axId val="128914176"/>
        <c:axId val="128915712"/>
      </c:lineChart>
      <c:catAx>
        <c:axId val="128914176"/>
        <c:scaling>
          <c:orientation val="minMax"/>
        </c:scaling>
        <c:axPos val="b"/>
        <c:numFmt formatCode="0" sourceLinked="1"/>
        <c:majorTickMark val="none"/>
        <c:tickLblPos val="low"/>
        <c:txPr>
          <a:bodyPr rot="-5400000" vert="horz"/>
          <a:lstStyle/>
          <a:p>
            <a:pPr>
              <a:defRPr sz="800">
                <a:latin typeface="Arial" pitchFamily="34" charset="0"/>
                <a:cs typeface="Arial" pitchFamily="34" charset="0"/>
              </a:defRPr>
            </a:pPr>
            <a:endParaRPr lang="cs-CZ"/>
          </a:p>
        </c:txPr>
        <c:crossAx val="128915712"/>
        <c:crosses val="autoZero"/>
        <c:auto val="1"/>
        <c:lblAlgn val="ctr"/>
        <c:lblOffset val="20"/>
      </c:catAx>
      <c:valAx>
        <c:axId val="128915712"/>
        <c:scaling>
          <c:orientation val="minMax"/>
          <c:max val="200"/>
          <c:min val="-700"/>
        </c:scaling>
        <c:axPos val="l"/>
        <c:majorGridlines>
          <c:spPr>
            <a:ln w="9525">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8914176"/>
        <c:crosses val="autoZero"/>
        <c:crossBetween val="between"/>
      </c:valAx>
      <c:spPr>
        <a:ln>
          <a:solidFill>
            <a:sysClr val="windowText" lastClr="000000">
              <a:lumMod val="95000"/>
              <a:lumOff val="5000"/>
            </a:sysClr>
          </a:solidFill>
        </a:ln>
      </c:spPr>
    </c:plotArea>
    <c:legend>
      <c:legendPos val="r"/>
      <c:layout>
        <c:manualLayout>
          <c:xMode val="edge"/>
          <c:yMode val="edge"/>
          <c:x val="4.1478849707789287E-3"/>
          <c:y val="0.76711749266635865"/>
          <c:w val="0.98653429122823388"/>
          <c:h val="0.21862225777927491"/>
        </c:manualLayout>
      </c:layout>
      <c:spPr>
        <a:ln w="6350">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6721833227243804E-2"/>
          <c:y val="2.1390374331550797E-2"/>
          <c:w val="0.94675610830925916"/>
          <c:h val="0.73929905820595965"/>
        </c:manualLayout>
      </c:layout>
      <c:barChart>
        <c:barDir val="col"/>
        <c:grouping val="clustered"/>
        <c:ser>
          <c:idx val="8"/>
          <c:order val="7"/>
          <c:tx>
            <c:strRef>
              <c:f>'4-Sektor účty-investice'!$A$52</c:f>
              <c:strCache>
                <c:ptCount val="1"/>
                <c:pt idx="0">
                  <c:v>Veřejné nef. podniky (ČR)</c:v>
                </c:pt>
              </c:strCache>
            </c:strRef>
          </c:tx>
          <c:spPr>
            <a:solidFill>
              <a:srgbClr val="CBCBCB"/>
            </a:solidFill>
          </c:spP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účty-investice'!$G$52:$S$52</c:f>
              <c:numCache>
                <c:formatCode>0.0</c:formatCode>
                <c:ptCount val="13"/>
                <c:pt idx="0">
                  <c:v>34.578829288190903</c:v>
                </c:pt>
                <c:pt idx="1">
                  <c:v>39.260321407959637</c:v>
                </c:pt>
                <c:pt idx="2">
                  <c:v>43.544707023499846</c:v>
                </c:pt>
                <c:pt idx="3">
                  <c:v>40.311078075875997</c:v>
                </c:pt>
                <c:pt idx="4">
                  <c:v>40.473871803361398</c:v>
                </c:pt>
                <c:pt idx="5">
                  <c:v>43.145853193517624</c:v>
                </c:pt>
                <c:pt idx="6">
                  <c:v>45.959876726450375</c:v>
                </c:pt>
                <c:pt idx="7">
                  <c:v>41.516685205783986</c:v>
                </c:pt>
                <c:pt idx="8">
                  <c:v>46.257778774457584</c:v>
                </c:pt>
                <c:pt idx="9">
                  <c:v>42.531851042830446</c:v>
                </c:pt>
                <c:pt idx="10">
                  <c:v>40.382683350077393</c:v>
                </c:pt>
                <c:pt idx="11">
                  <c:v>35.572257041063104</c:v>
                </c:pt>
              </c:numCache>
            </c:numRef>
          </c:val>
          <c:extLst xmlns:c16r2="http://schemas.microsoft.com/office/drawing/2015/06/chart">
            <c:ext xmlns:c16="http://schemas.microsoft.com/office/drawing/2014/chart" uri="{C3380CC4-5D6E-409C-BE32-E72D297353CC}">
              <c16:uniqueId val="{00000000-EA9A-4BDF-99F3-9C8030C10036}"/>
            </c:ext>
          </c:extLst>
        </c:ser>
        <c:ser>
          <c:idx val="9"/>
          <c:order val="8"/>
          <c:tx>
            <c:strRef>
              <c:f>'4-Sektor účty-investice'!$A$53</c:f>
              <c:strCache>
                <c:ptCount val="1"/>
                <c:pt idx="0">
                  <c:v>Soukromé národní podniky (ČR)</c:v>
                </c:pt>
              </c:strCache>
            </c:strRef>
          </c:tx>
          <c:spPr>
            <a:solidFill>
              <a:srgbClr val="BFE3F8"/>
            </a:solidFill>
          </c:spP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účty-investice'!$G$53:$S$53</c:f>
              <c:numCache>
                <c:formatCode>0.0</c:formatCode>
                <c:ptCount val="13"/>
                <c:pt idx="0">
                  <c:v>30.209379312492146</c:v>
                </c:pt>
                <c:pt idx="1">
                  <c:v>29.559065048325788</c:v>
                </c:pt>
                <c:pt idx="2">
                  <c:v>31.41982560708783</c:v>
                </c:pt>
                <c:pt idx="3">
                  <c:v>30.743776148828189</c:v>
                </c:pt>
                <c:pt idx="4">
                  <c:v>26.645533744679089</c:v>
                </c:pt>
                <c:pt idx="5">
                  <c:v>30.608494102607768</c:v>
                </c:pt>
                <c:pt idx="6">
                  <c:v>30.493199118915889</c:v>
                </c:pt>
                <c:pt idx="7">
                  <c:v>30.908346218039725</c:v>
                </c:pt>
                <c:pt idx="8">
                  <c:v>30.381537001646372</c:v>
                </c:pt>
                <c:pt idx="9">
                  <c:v>28.511007070713788</c:v>
                </c:pt>
                <c:pt idx="10">
                  <c:v>29.215115898961038</c:v>
                </c:pt>
                <c:pt idx="11">
                  <c:v>29.89640104909909</c:v>
                </c:pt>
              </c:numCache>
            </c:numRef>
          </c:val>
          <c:extLst xmlns:c16r2="http://schemas.microsoft.com/office/drawing/2015/06/chart">
            <c:ext xmlns:c16="http://schemas.microsoft.com/office/drawing/2014/chart" uri="{C3380CC4-5D6E-409C-BE32-E72D297353CC}">
              <c16:uniqueId val="{00000001-EA9A-4BDF-99F3-9C8030C10036}"/>
            </c:ext>
          </c:extLst>
        </c:ser>
        <c:ser>
          <c:idx val="10"/>
          <c:order val="9"/>
          <c:tx>
            <c:strRef>
              <c:f>'4-Sektor účty-investice'!$A$54</c:f>
              <c:strCache>
                <c:ptCount val="1"/>
                <c:pt idx="0">
                  <c:v>Podniky pod zahr. kontrolou (ČR)</c:v>
                </c:pt>
              </c:strCache>
            </c:strRef>
          </c:tx>
          <c:spPr>
            <a:ln w="19050"/>
          </c:spP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účty-investice'!$G$54:$S$54</c:f>
              <c:numCache>
                <c:formatCode>0.0</c:formatCode>
                <c:ptCount val="13"/>
                <c:pt idx="0">
                  <c:v>35.058540891789811</c:v>
                </c:pt>
                <c:pt idx="1">
                  <c:v>30.515759470535556</c:v>
                </c:pt>
                <c:pt idx="2">
                  <c:v>33.422577747138213</c:v>
                </c:pt>
                <c:pt idx="3">
                  <c:v>31.25633141482254</c:v>
                </c:pt>
                <c:pt idx="4">
                  <c:v>28.148922641629689</c:v>
                </c:pt>
                <c:pt idx="5">
                  <c:v>25.09391374849233</c:v>
                </c:pt>
                <c:pt idx="6">
                  <c:v>27.781846709523009</c:v>
                </c:pt>
                <c:pt idx="7">
                  <c:v>28.917193713589739</c:v>
                </c:pt>
                <c:pt idx="8">
                  <c:v>27.875429548269082</c:v>
                </c:pt>
                <c:pt idx="9">
                  <c:v>26.267307242603167</c:v>
                </c:pt>
                <c:pt idx="10">
                  <c:v>26.900975140103277</c:v>
                </c:pt>
                <c:pt idx="11">
                  <c:v>26.990374934873014</c:v>
                </c:pt>
              </c:numCache>
            </c:numRef>
          </c:val>
          <c:extLst xmlns:c16r2="http://schemas.microsoft.com/office/drawing/2015/06/chart">
            <c:ext xmlns:c16="http://schemas.microsoft.com/office/drawing/2014/chart" uri="{C3380CC4-5D6E-409C-BE32-E72D297353CC}">
              <c16:uniqueId val="{00000002-EA9A-4BDF-99F3-9C8030C10036}"/>
            </c:ext>
          </c:extLst>
        </c:ser>
        <c:axId val="129012864"/>
        <c:axId val="129014400"/>
      </c:barChart>
      <c:lineChart>
        <c:grouping val="standard"/>
        <c:ser>
          <c:idx val="0"/>
          <c:order val="0"/>
          <c:tx>
            <c:strRef>
              <c:f>'4-Sektor účty-investice'!$A$45</c:f>
              <c:strCache>
                <c:ptCount val="1"/>
                <c:pt idx="0">
                  <c:v>ČR (nefinanční podniky celkem)</c:v>
                </c:pt>
              </c:strCache>
            </c:strRef>
          </c:tx>
          <c:spPr>
            <a:ln w="22225">
              <a:solidFill>
                <a:schemeClr val="tx1">
                  <a:lumMod val="95000"/>
                  <a:lumOff val="5000"/>
                </a:schemeClr>
              </a:solidFill>
            </a:ln>
          </c:spPr>
          <c:marker>
            <c:symbol val="none"/>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účty-investice'!$G$45:$S$45</c:f>
              <c:numCache>
                <c:formatCode>#,##0.00</c:formatCode>
                <c:ptCount val="13"/>
                <c:pt idx="0">
                  <c:v>32.51</c:v>
                </c:pt>
                <c:pt idx="1">
                  <c:v>30.86</c:v>
                </c:pt>
                <c:pt idx="2">
                  <c:v>33.410000000000004</c:v>
                </c:pt>
                <c:pt idx="3">
                  <c:v>31.85</c:v>
                </c:pt>
                <c:pt idx="4">
                  <c:v>28.77</c:v>
                </c:pt>
                <c:pt idx="5">
                  <c:v>29.07</c:v>
                </c:pt>
                <c:pt idx="6">
                  <c:v>30.54</c:v>
                </c:pt>
                <c:pt idx="7">
                  <c:v>30.85</c:v>
                </c:pt>
                <c:pt idx="8">
                  <c:v>30.49</c:v>
                </c:pt>
                <c:pt idx="9">
                  <c:v>28.610000000000031</c:v>
                </c:pt>
                <c:pt idx="10">
                  <c:v>28.97</c:v>
                </c:pt>
                <c:pt idx="11">
                  <c:v>28.91</c:v>
                </c:pt>
                <c:pt idx="12">
                  <c:v>28.09</c:v>
                </c:pt>
              </c:numCache>
            </c:numRef>
          </c:val>
          <c:extLst xmlns:c16r2="http://schemas.microsoft.com/office/drawing/2015/06/chart">
            <c:ext xmlns:c16="http://schemas.microsoft.com/office/drawing/2014/chart" uri="{C3380CC4-5D6E-409C-BE32-E72D297353CC}">
              <c16:uniqueId val="{00000003-EA9A-4BDF-99F3-9C8030C10036}"/>
            </c:ext>
          </c:extLst>
        </c:ser>
        <c:ser>
          <c:idx val="1"/>
          <c:order val="1"/>
          <c:tx>
            <c:strRef>
              <c:f>'4-Sektor účty-investice'!$A$46</c:f>
              <c:strCache>
                <c:ptCount val="1"/>
                <c:pt idx="0">
                  <c:v>EU28</c:v>
                </c:pt>
              </c:strCache>
            </c:strRef>
          </c:tx>
          <c:spPr>
            <a:ln w="22225">
              <a:noFill/>
            </a:ln>
          </c:spPr>
          <c:marker>
            <c:symbol val="diamond"/>
            <c:size val="7"/>
            <c:spPr>
              <a:solidFill>
                <a:srgbClr val="FFFF00"/>
              </a:solidFill>
              <a:ln>
                <a:solidFill>
                  <a:schemeClr val="tx1">
                    <a:lumMod val="95000"/>
                    <a:lumOff val="5000"/>
                  </a:schemeClr>
                </a:solidFill>
              </a:ln>
            </c:spPr>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účty-investice'!$G$46:$S$46</c:f>
              <c:numCache>
                <c:formatCode>#,##0.00</c:formatCode>
                <c:ptCount val="13"/>
                <c:pt idx="0">
                  <c:v>23.19</c:v>
                </c:pt>
                <c:pt idx="1">
                  <c:v>23.87</c:v>
                </c:pt>
                <c:pt idx="2">
                  <c:v>24.459999999999987</c:v>
                </c:pt>
                <c:pt idx="3">
                  <c:v>24.17</c:v>
                </c:pt>
                <c:pt idx="4">
                  <c:v>21.43</c:v>
                </c:pt>
                <c:pt idx="5">
                  <c:v>21.150000000000031</c:v>
                </c:pt>
                <c:pt idx="6">
                  <c:v>21.85</c:v>
                </c:pt>
                <c:pt idx="7">
                  <c:v>21.9</c:v>
                </c:pt>
                <c:pt idx="8">
                  <c:v>21.68</c:v>
                </c:pt>
                <c:pt idx="9">
                  <c:v>22.01</c:v>
                </c:pt>
                <c:pt idx="10">
                  <c:v>22.37</c:v>
                </c:pt>
                <c:pt idx="11">
                  <c:v>22.86</c:v>
                </c:pt>
                <c:pt idx="12">
                  <c:v>22.95</c:v>
                </c:pt>
              </c:numCache>
            </c:numRef>
          </c:val>
          <c:extLst xmlns:c16r2="http://schemas.microsoft.com/office/drawing/2015/06/chart">
            <c:ext xmlns:c16="http://schemas.microsoft.com/office/drawing/2014/chart" uri="{C3380CC4-5D6E-409C-BE32-E72D297353CC}">
              <c16:uniqueId val="{00000004-EA9A-4BDF-99F3-9C8030C10036}"/>
            </c:ext>
          </c:extLst>
        </c:ser>
        <c:ser>
          <c:idx val="2"/>
          <c:order val="2"/>
          <c:tx>
            <c:strRef>
              <c:f>'4-Sektor účty-investice'!$A$47</c:f>
              <c:strCache>
                <c:ptCount val="1"/>
                <c:pt idx="0">
                  <c:v>Německo</c:v>
                </c:pt>
              </c:strCache>
            </c:strRef>
          </c:tx>
          <c:spPr>
            <a:ln w="19050">
              <a:solidFill>
                <a:srgbClr val="BD1B21"/>
              </a:solidFill>
              <a:prstDash val="solid"/>
            </a:ln>
          </c:spPr>
          <c:marker>
            <c:symbol val="none"/>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účty-investice'!$G$47:$S$47</c:f>
              <c:numCache>
                <c:formatCode>#,##0.00</c:formatCode>
                <c:ptCount val="13"/>
                <c:pt idx="0">
                  <c:v>19.920000000000002</c:v>
                </c:pt>
                <c:pt idx="1">
                  <c:v>20.09</c:v>
                </c:pt>
                <c:pt idx="2">
                  <c:v>20.77</c:v>
                </c:pt>
                <c:pt idx="3">
                  <c:v>21.21</c:v>
                </c:pt>
                <c:pt idx="4">
                  <c:v>21.51</c:v>
                </c:pt>
                <c:pt idx="5">
                  <c:v>19.600000000000001</c:v>
                </c:pt>
                <c:pt idx="6">
                  <c:v>19.600000000000001</c:v>
                </c:pt>
                <c:pt idx="7">
                  <c:v>20.29</c:v>
                </c:pt>
                <c:pt idx="8">
                  <c:v>19.899999999999999</c:v>
                </c:pt>
                <c:pt idx="9">
                  <c:v>19.52</c:v>
                </c:pt>
                <c:pt idx="10">
                  <c:v>19.89</c:v>
                </c:pt>
                <c:pt idx="11">
                  <c:v>19.88</c:v>
                </c:pt>
                <c:pt idx="12">
                  <c:v>19.989999999999867</c:v>
                </c:pt>
              </c:numCache>
            </c:numRef>
          </c:val>
          <c:extLst xmlns:c16r2="http://schemas.microsoft.com/office/drawing/2015/06/chart">
            <c:ext xmlns:c16="http://schemas.microsoft.com/office/drawing/2014/chart" uri="{C3380CC4-5D6E-409C-BE32-E72D297353CC}">
              <c16:uniqueId val="{00000005-EA9A-4BDF-99F3-9C8030C10036}"/>
            </c:ext>
          </c:extLst>
        </c:ser>
        <c:ser>
          <c:idx val="3"/>
          <c:order val="3"/>
          <c:tx>
            <c:strRef>
              <c:f>'4-Sektor účty-investice'!$A$48</c:f>
              <c:strCache>
                <c:ptCount val="1"/>
                <c:pt idx="0">
                  <c:v>Rakousko</c:v>
                </c:pt>
              </c:strCache>
            </c:strRef>
          </c:tx>
          <c:spPr>
            <a:ln w="19050">
              <a:solidFill>
                <a:srgbClr val="F8A124"/>
              </a:solidFill>
              <a:prstDash val="solid"/>
            </a:ln>
          </c:spPr>
          <c:marker>
            <c:symbol val="none"/>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účty-investice'!$G$48:$S$48</c:f>
              <c:numCache>
                <c:formatCode>#,##0.00</c:formatCode>
                <c:ptCount val="13"/>
                <c:pt idx="0">
                  <c:v>27.74</c:v>
                </c:pt>
                <c:pt idx="1">
                  <c:v>26.150000000000031</c:v>
                </c:pt>
                <c:pt idx="2">
                  <c:v>25.35</c:v>
                </c:pt>
                <c:pt idx="3">
                  <c:v>25.759999999999987</c:v>
                </c:pt>
                <c:pt idx="4">
                  <c:v>25.97</c:v>
                </c:pt>
                <c:pt idx="5">
                  <c:v>24.7</c:v>
                </c:pt>
                <c:pt idx="6">
                  <c:v>23.19</c:v>
                </c:pt>
                <c:pt idx="7">
                  <c:v>24.779999999999987</c:v>
                </c:pt>
                <c:pt idx="8">
                  <c:v>25.3</c:v>
                </c:pt>
                <c:pt idx="9">
                  <c:v>25.830000000000005</c:v>
                </c:pt>
                <c:pt idx="10">
                  <c:v>25.310000000000031</c:v>
                </c:pt>
                <c:pt idx="11">
                  <c:v>25.130000000000031</c:v>
                </c:pt>
                <c:pt idx="12">
                  <c:v>26.02</c:v>
                </c:pt>
              </c:numCache>
            </c:numRef>
          </c:val>
          <c:extLst xmlns:c16r2="http://schemas.microsoft.com/office/drawing/2015/06/chart">
            <c:ext xmlns:c16="http://schemas.microsoft.com/office/drawing/2014/chart" uri="{C3380CC4-5D6E-409C-BE32-E72D297353CC}">
              <c16:uniqueId val="{00000006-EA9A-4BDF-99F3-9C8030C10036}"/>
            </c:ext>
          </c:extLst>
        </c:ser>
        <c:ser>
          <c:idx val="4"/>
          <c:order val="4"/>
          <c:tx>
            <c:strRef>
              <c:f>'4-Sektor účty-investice'!$A$49</c:f>
              <c:strCache>
                <c:ptCount val="1"/>
                <c:pt idx="0">
                  <c:v>Polsko</c:v>
                </c:pt>
              </c:strCache>
            </c:strRef>
          </c:tx>
          <c:spPr>
            <a:ln w="19050">
              <a:solidFill>
                <a:srgbClr val="7030A0"/>
              </a:solidFill>
              <a:prstDash val="solid"/>
            </a:ln>
          </c:spPr>
          <c:marker>
            <c:symbol val="none"/>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účty-investice'!$G$49:$S$49</c:f>
              <c:numCache>
                <c:formatCode>#,##0.00</c:formatCode>
                <c:ptCount val="13"/>
                <c:pt idx="0">
                  <c:v>23.29</c:v>
                </c:pt>
                <c:pt idx="1">
                  <c:v>23.24</c:v>
                </c:pt>
                <c:pt idx="2">
                  <c:v>24.89</c:v>
                </c:pt>
                <c:pt idx="3">
                  <c:v>27.610000000000031</c:v>
                </c:pt>
                <c:pt idx="4">
                  <c:v>27.68</c:v>
                </c:pt>
                <c:pt idx="5">
                  <c:v>23.87</c:v>
                </c:pt>
                <c:pt idx="6">
                  <c:v>21.16</c:v>
                </c:pt>
                <c:pt idx="7">
                  <c:v>21.830000000000005</c:v>
                </c:pt>
                <c:pt idx="8">
                  <c:v>21.630000000000031</c:v>
                </c:pt>
                <c:pt idx="9">
                  <c:v>21.54</c:v>
                </c:pt>
                <c:pt idx="10">
                  <c:v>22.1</c:v>
                </c:pt>
                <c:pt idx="11">
                  <c:v>23.06</c:v>
                </c:pt>
                <c:pt idx="12">
                  <c:v>21.59</c:v>
                </c:pt>
              </c:numCache>
            </c:numRef>
          </c:val>
          <c:extLst xmlns:c16r2="http://schemas.microsoft.com/office/drawing/2015/06/chart">
            <c:ext xmlns:c16="http://schemas.microsoft.com/office/drawing/2014/chart" uri="{C3380CC4-5D6E-409C-BE32-E72D297353CC}">
              <c16:uniqueId val="{00000007-EA9A-4BDF-99F3-9C8030C10036}"/>
            </c:ext>
          </c:extLst>
        </c:ser>
        <c:ser>
          <c:idx val="5"/>
          <c:order val="5"/>
          <c:tx>
            <c:strRef>
              <c:f>'4-Sektor účty-investice'!$A$50</c:f>
              <c:strCache>
                <c:ptCount val="1"/>
                <c:pt idx="0">
                  <c:v>Slovensko</c:v>
                </c:pt>
              </c:strCache>
            </c:strRef>
          </c:tx>
          <c:spPr>
            <a:ln w="19050">
              <a:solidFill>
                <a:srgbClr val="0071BC"/>
              </a:solidFill>
              <a:prstDash val="solid"/>
            </a:ln>
          </c:spPr>
          <c:marker>
            <c:symbol val="none"/>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účty-investice'!$G$50:$S$50</c:f>
              <c:numCache>
                <c:formatCode>#,##0.00</c:formatCode>
                <c:ptCount val="13"/>
                <c:pt idx="0">
                  <c:v>36.47</c:v>
                </c:pt>
                <c:pt idx="1">
                  <c:v>40.75</c:v>
                </c:pt>
                <c:pt idx="2">
                  <c:v>37.800000000000004</c:v>
                </c:pt>
                <c:pt idx="3">
                  <c:v>37.97</c:v>
                </c:pt>
                <c:pt idx="4">
                  <c:v>35.550000000000004</c:v>
                </c:pt>
                <c:pt idx="5">
                  <c:v>27.759999999999987</c:v>
                </c:pt>
                <c:pt idx="6">
                  <c:v>29.45</c:v>
                </c:pt>
                <c:pt idx="7">
                  <c:v>32.760000000000012</c:v>
                </c:pt>
                <c:pt idx="8">
                  <c:v>27.7</c:v>
                </c:pt>
                <c:pt idx="9">
                  <c:v>27.279999999999987</c:v>
                </c:pt>
                <c:pt idx="10">
                  <c:v>26.37</c:v>
                </c:pt>
                <c:pt idx="11">
                  <c:v>27.91</c:v>
                </c:pt>
                <c:pt idx="12">
                  <c:v>27.939999999999987</c:v>
                </c:pt>
              </c:numCache>
            </c:numRef>
          </c:val>
          <c:extLst xmlns:c16r2="http://schemas.microsoft.com/office/drawing/2015/06/chart">
            <c:ext xmlns:c16="http://schemas.microsoft.com/office/drawing/2014/chart" uri="{C3380CC4-5D6E-409C-BE32-E72D297353CC}">
              <c16:uniqueId val="{00000008-EA9A-4BDF-99F3-9C8030C10036}"/>
            </c:ext>
          </c:extLst>
        </c:ser>
        <c:ser>
          <c:idx val="7"/>
          <c:order val="6"/>
          <c:tx>
            <c:strRef>
              <c:f>'4-Sektor účty-investice'!$A$51</c:f>
              <c:strCache>
                <c:ptCount val="1"/>
                <c:pt idx="0">
                  <c:v>Rumunsko</c:v>
                </c:pt>
              </c:strCache>
            </c:strRef>
          </c:tx>
          <c:spPr>
            <a:ln w="19050">
              <a:solidFill>
                <a:srgbClr val="80BB2D"/>
              </a:solidFill>
              <a:prstDash val="solid"/>
            </a:ln>
          </c:spPr>
          <c:marker>
            <c:symbol val="none"/>
          </c:marker>
          <c:cat>
            <c:strRef>
              <c:f>'4-Sektor účty-investice'!$G$44:$S$44</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'4-Sektor účty-investice'!$G$51:$S$51</c:f>
              <c:numCache>
                <c:formatCode>#,##0.00</c:formatCode>
                <c:ptCount val="13"/>
                <c:pt idx="0">
                  <c:v>34.520000000000003</c:v>
                </c:pt>
                <c:pt idx="1">
                  <c:v>36.65</c:v>
                </c:pt>
                <c:pt idx="2">
                  <c:v>37.61</c:v>
                </c:pt>
                <c:pt idx="3">
                  <c:v>41.08</c:v>
                </c:pt>
                <c:pt idx="4">
                  <c:v>44.78</c:v>
                </c:pt>
                <c:pt idx="5">
                  <c:v>31.97</c:v>
                </c:pt>
                <c:pt idx="6">
                  <c:v>25.66</c:v>
                </c:pt>
                <c:pt idx="7">
                  <c:v>31.610000000000031</c:v>
                </c:pt>
                <c:pt idx="8">
                  <c:v>32.14</c:v>
                </c:pt>
                <c:pt idx="9">
                  <c:v>29.04</c:v>
                </c:pt>
                <c:pt idx="10">
                  <c:v>27.23</c:v>
                </c:pt>
                <c:pt idx="11">
                  <c:v>26.72</c:v>
                </c:pt>
                <c:pt idx="12">
                  <c:v>25.36</c:v>
                </c:pt>
              </c:numCache>
            </c:numRef>
          </c:val>
          <c:extLst xmlns:c16r2="http://schemas.microsoft.com/office/drawing/2015/06/chart">
            <c:ext xmlns:c16="http://schemas.microsoft.com/office/drawing/2014/chart" uri="{C3380CC4-5D6E-409C-BE32-E72D297353CC}">
              <c16:uniqueId val="{00000009-EA9A-4BDF-99F3-9C8030C10036}"/>
            </c:ext>
          </c:extLst>
        </c:ser>
        <c:marker val="1"/>
        <c:axId val="129012864"/>
        <c:axId val="129014400"/>
      </c:lineChart>
      <c:catAx>
        <c:axId val="129012864"/>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cs-CZ"/>
          </a:p>
        </c:txPr>
        <c:crossAx val="129014400"/>
        <c:crosses val="autoZero"/>
        <c:auto val="1"/>
        <c:lblAlgn val="ctr"/>
        <c:lblOffset val="20"/>
      </c:catAx>
      <c:valAx>
        <c:axId val="129014400"/>
        <c:scaling>
          <c:orientation val="minMax"/>
        </c:scaling>
        <c:axPos val="l"/>
        <c:majorGridlines>
          <c:spPr>
            <a:ln w="9525">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9012864"/>
        <c:crosses val="autoZero"/>
        <c:crossBetween val="between"/>
      </c:valAx>
      <c:spPr>
        <a:ln>
          <a:solidFill>
            <a:sysClr val="windowText" lastClr="000000">
              <a:lumMod val="95000"/>
              <a:lumOff val="5000"/>
            </a:sysClr>
          </a:solidFill>
        </a:ln>
      </c:spPr>
    </c:plotArea>
    <c:legend>
      <c:legendPos val="r"/>
      <c:layout>
        <c:manualLayout>
          <c:xMode val="edge"/>
          <c:yMode val="edge"/>
          <c:x val="4.9965831362338904E-2"/>
          <c:y val="0.80989824132945964"/>
          <c:w val="0.93865122230052633"/>
          <c:h val="0.17940657150476524"/>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0608838874897725"/>
          <c:y val="2.1390374331550797E-2"/>
          <c:w val="0.87783863049508692"/>
          <c:h val="0.72503880865159931"/>
        </c:manualLayout>
      </c:layout>
      <c:lineChart>
        <c:grouping val="standard"/>
        <c:ser>
          <c:idx val="0"/>
          <c:order val="0"/>
          <c:tx>
            <c:strRef>
              <c:f>'5-Sektor-nef. podn-úvěry'!$AB$5</c:f>
              <c:strCache>
                <c:ptCount val="1"/>
                <c:pt idx="0">
                  <c:v>Klientské úvěry nefinančním podnikům celkem (y/y, v %)</c:v>
                </c:pt>
              </c:strCache>
            </c:strRef>
          </c:tx>
          <c:spPr>
            <a:ln w="22225">
              <a:solidFill>
                <a:schemeClr val="tx1">
                  <a:lumMod val="95000"/>
                  <a:lumOff val="5000"/>
                </a:schemeClr>
              </a:solidFill>
            </a:ln>
          </c:spPr>
          <c:marker>
            <c:symbol val="none"/>
          </c:marker>
          <c:cat>
            <c:multiLvlStrRef>
              <c:f>'5-Sektor-nef. podn-úvěry'!$Z$6:$AA$137</c:f>
              <c:multiLvlStrCache>
                <c:ptCount val="129"/>
                <c:lvl>
                  <c:pt idx="0">
                    <c:v>1</c:v>
                  </c:pt>
                  <c:pt idx="4">
                    <c:v>5</c:v>
                  </c:pt>
                  <c:pt idx="8">
                    <c:v>9</c:v>
                  </c:pt>
                  <c:pt idx="12">
                    <c:v>1</c:v>
                  </c:pt>
                  <c:pt idx="16">
                    <c:v>5</c:v>
                  </c:pt>
                  <c:pt idx="20">
                    <c:v>9</c:v>
                  </c:pt>
                  <c:pt idx="24">
                    <c:v>1</c:v>
                  </c:pt>
                  <c:pt idx="28">
                    <c:v>5</c:v>
                  </c:pt>
                  <c:pt idx="32">
                    <c:v>9</c:v>
                  </c:pt>
                  <c:pt idx="36">
                    <c:v>1</c:v>
                  </c:pt>
                  <c:pt idx="40">
                    <c:v>5</c:v>
                  </c:pt>
                  <c:pt idx="44">
                    <c:v>9</c:v>
                  </c:pt>
                  <c:pt idx="48">
                    <c:v>1</c:v>
                  </c:pt>
                  <c:pt idx="52">
                    <c:v>5</c:v>
                  </c:pt>
                  <c:pt idx="56">
                    <c:v>9</c:v>
                  </c:pt>
                  <c:pt idx="60">
                    <c:v>1</c:v>
                  </c:pt>
                  <c:pt idx="64">
                    <c:v>5</c:v>
                  </c:pt>
                  <c:pt idx="68">
                    <c:v>9</c:v>
                  </c:pt>
                  <c:pt idx="72">
                    <c:v>1</c:v>
                  </c:pt>
                  <c:pt idx="76">
                    <c:v>5</c:v>
                  </c:pt>
                  <c:pt idx="80">
                    <c:v>9</c:v>
                  </c:pt>
                  <c:pt idx="84">
                    <c:v>1</c:v>
                  </c:pt>
                  <c:pt idx="88">
                    <c:v>5</c:v>
                  </c:pt>
                  <c:pt idx="92">
                    <c:v>9</c:v>
                  </c:pt>
                  <c:pt idx="96">
                    <c:v>1</c:v>
                  </c:pt>
                  <c:pt idx="100">
                    <c:v>5</c:v>
                  </c:pt>
                  <c:pt idx="104">
                    <c:v>9</c:v>
                  </c:pt>
                  <c:pt idx="108">
                    <c:v>1</c:v>
                  </c:pt>
                  <c:pt idx="112">
                    <c:v>5</c:v>
                  </c:pt>
                  <c:pt idx="116">
                    <c:v>9</c:v>
                  </c:pt>
                  <c:pt idx="120">
                    <c:v>1</c:v>
                  </c:pt>
                  <c:pt idx="124">
                    <c:v>5</c:v>
                  </c:pt>
                  <c:pt idx="128">
                    <c:v>9</c:v>
                  </c:pt>
                </c:lvl>
                <c:lvl>
                  <c:pt idx="0">
                    <c:v>2008</c:v>
                  </c:pt>
                  <c:pt idx="12">
                    <c:v>2009</c:v>
                  </c:pt>
                  <c:pt idx="24">
                    <c:v>2010</c:v>
                  </c:pt>
                  <c:pt idx="36">
                    <c:v>2011</c:v>
                  </c:pt>
                  <c:pt idx="48">
                    <c:v>2012</c:v>
                  </c:pt>
                  <c:pt idx="60">
                    <c:v>2013</c:v>
                  </c:pt>
                  <c:pt idx="72">
                    <c:v>2014</c:v>
                  </c:pt>
                  <c:pt idx="84">
                    <c:v>2015</c:v>
                  </c:pt>
                  <c:pt idx="96">
                    <c:v>2016</c:v>
                  </c:pt>
                  <c:pt idx="108">
                    <c:v>2017</c:v>
                  </c:pt>
                  <c:pt idx="120">
                    <c:v>2018</c:v>
                  </c:pt>
                </c:lvl>
              </c:multiLvlStrCache>
            </c:multiLvlStrRef>
          </c:cat>
          <c:val>
            <c:numRef>
              <c:f>'5-Sektor-nef. podn-úvěry'!$AB$6:$AB$137</c:f>
              <c:numCache>
                <c:formatCode>0.0</c:formatCode>
                <c:ptCount val="132"/>
                <c:pt idx="0">
                  <c:v>16.442496165672289</c:v>
                </c:pt>
                <c:pt idx="1">
                  <c:v>16.67307612994999</c:v>
                </c:pt>
                <c:pt idx="2">
                  <c:v>16.540607122939829</c:v>
                </c:pt>
                <c:pt idx="3">
                  <c:v>16.079863277964179</c:v>
                </c:pt>
                <c:pt idx="4">
                  <c:v>16.306179607415046</c:v>
                </c:pt>
                <c:pt idx="5">
                  <c:v>15.523992309238508</c:v>
                </c:pt>
                <c:pt idx="6">
                  <c:v>13.963941251569729</c:v>
                </c:pt>
                <c:pt idx="7">
                  <c:v>13.84590013961116</c:v>
                </c:pt>
                <c:pt idx="8">
                  <c:v>14.342194396868249</c:v>
                </c:pt>
                <c:pt idx="9">
                  <c:v>15.233431182923397</c:v>
                </c:pt>
                <c:pt idx="10">
                  <c:v>15.562951921750448</c:v>
                </c:pt>
                <c:pt idx="11">
                  <c:v>14.082757136323353</c:v>
                </c:pt>
                <c:pt idx="12">
                  <c:v>13.652450828420712</c:v>
                </c:pt>
                <c:pt idx="13">
                  <c:v>12.4425981224287</c:v>
                </c:pt>
                <c:pt idx="14">
                  <c:v>9.5117362438631048</c:v>
                </c:pt>
                <c:pt idx="15">
                  <c:v>6.3508949958355458</c:v>
                </c:pt>
                <c:pt idx="16">
                  <c:v>3.7725426672167544</c:v>
                </c:pt>
                <c:pt idx="17">
                  <c:v>1.2746259251352261</c:v>
                </c:pt>
                <c:pt idx="18">
                  <c:v>0.29449198330830673</c:v>
                </c:pt>
                <c:pt idx="19">
                  <c:v>-1.8342001571820106</c:v>
                </c:pt>
                <c:pt idx="20">
                  <c:v>-4.7211958704195665</c:v>
                </c:pt>
                <c:pt idx="21">
                  <c:v>-5.8812635595394482</c:v>
                </c:pt>
                <c:pt idx="22">
                  <c:v>-7.0959308507602357</c:v>
                </c:pt>
                <c:pt idx="23">
                  <c:v>-7.7687012038179946</c:v>
                </c:pt>
                <c:pt idx="24">
                  <c:v>-7.6654904744944865</c:v>
                </c:pt>
                <c:pt idx="25">
                  <c:v>-7.6864427520000804</c:v>
                </c:pt>
                <c:pt idx="26">
                  <c:v>-7.0984230980361804</c:v>
                </c:pt>
                <c:pt idx="27">
                  <c:v>-7.3611445117315055</c:v>
                </c:pt>
                <c:pt idx="28">
                  <c:v>-6.4475039005946924</c:v>
                </c:pt>
                <c:pt idx="29">
                  <c:v>-5.6762330489077186</c:v>
                </c:pt>
                <c:pt idx="30">
                  <c:v>-4.6642201857598904</c:v>
                </c:pt>
                <c:pt idx="31">
                  <c:v>-3.6842239817954412</c:v>
                </c:pt>
                <c:pt idx="32">
                  <c:v>-3.3338030181673401</c:v>
                </c:pt>
                <c:pt idx="33">
                  <c:v>-2.2297299150858132</c:v>
                </c:pt>
                <c:pt idx="34">
                  <c:v>-1.0995435951385133</c:v>
                </c:pt>
                <c:pt idx="35">
                  <c:v>-0.22501085102044271</c:v>
                </c:pt>
                <c:pt idx="36">
                  <c:v>0.50967148387792349</c:v>
                </c:pt>
                <c:pt idx="37">
                  <c:v>1.4999685795771278</c:v>
                </c:pt>
                <c:pt idx="38">
                  <c:v>2.2490280255224802</c:v>
                </c:pt>
                <c:pt idx="39">
                  <c:v>5.3931865091606745</c:v>
                </c:pt>
                <c:pt idx="40">
                  <c:v>5.6532238599180289</c:v>
                </c:pt>
                <c:pt idx="41">
                  <c:v>5.4232937854628478</c:v>
                </c:pt>
                <c:pt idx="42">
                  <c:v>6.2976429509488838</c:v>
                </c:pt>
                <c:pt idx="43">
                  <c:v>5.5203290960219107</c:v>
                </c:pt>
                <c:pt idx="44">
                  <c:v>6.4114675658127034</c:v>
                </c:pt>
                <c:pt idx="45">
                  <c:v>6.4382123785680294</c:v>
                </c:pt>
                <c:pt idx="46">
                  <c:v>6.5650233173152355</c:v>
                </c:pt>
                <c:pt idx="47">
                  <c:v>6.1030887677154757</c:v>
                </c:pt>
                <c:pt idx="48">
                  <c:v>5.8446021805605834</c:v>
                </c:pt>
                <c:pt idx="49">
                  <c:v>5.5634996158659362</c:v>
                </c:pt>
                <c:pt idx="50">
                  <c:v>5.1376493359477564</c:v>
                </c:pt>
                <c:pt idx="51">
                  <c:v>3.6508056562632727</c:v>
                </c:pt>
                <c:pt idx="52">
                  <c:v>3.9435281777768982</c:v>
                </c:pt>
                <c:pt idx="53">
                  <c:v>3.5770864220429246</c:v>
                </c:pt>
                <c:pt idx="54">
                  <c:v>3.0883901352973742</c:v>
                </c:pt>
                <c:pt idx="55">
                  <c:v>2.5411380159263612</c:v>
                </c:pt>
                <c:pt idx="56">
                  <c:v>2.2676337873413721</c:v>
                </c:pt>
                <c:pt idx="57">
                  <c:v>0.47632182541784507</c:v>
                </c:pt>
                <c:pt idx="58">
                  <c:v>0.12365359010524912</c:v>
                </c:pt>
                <c:pt idx="59">
                  <c:v>0.88385486704076754</c:v>
                </c:pt>
                <c:pt idx="60">
                  <c:v>2.00485329422267</c:v>
                </c:pt>
                <c:pt idx="61">
                  <c:v>2.0837988391289883</c:v>
                </c:pt>
                <c:pt idx="62">
                  <c:v>2.6492224473234813</c:v>
                </c:pt>
                <c:pt idx="63">
                  <c:v>1.4566725955156699</c:v>
                </c:pt>
                <c:pt idx="64">
                  <c:v>-0.69472904591432894</c:v>
                </c:pt>
                <c:pt idx="65">
                  <c:v>0.1488648386323223</c:v>
                </c:pt>
                <c:pt idx="66">
                  <c:v>-0.84555600048584267</c:v>
                </c:pt>
                <c:pt idx="67">
                  <c:v>0.54248772689247449</c:v>
                </c:pt>
                <c:pt idx="68">
                  <c:v>0.70248292112380251</c:v>
                </c:pt>
                <c:pt idx="69">
                  <c:v>1.5543857933519831</c:v>
                </c:pt>
                <c:pt idx="70">
                  <c:v>3.9906488120227777</c:v>
                </c:pt>
                <c:pt idx="71">
                  <c:v>3.8028747148131137</c:v>
                </c:pt>
                <c:pt idx="72">
                  <c:v>2.6617386457154608</c:v>
                </c:pt>
                <c:pt idx="73">
                  <c:v>1.5481505727698845</c:v>
                </c:pt>
                <c:pt idx="74">
                  <c:v>0.55426346561351669</c:v>
                </c:pt>
                <c:pt idx="75">
                  <c:v>1.8083726621550937</c:v>
                </c:pt>
                <c:pt idx="76">
                  <c:v>2.9646806983957958</c:v>
                </c:pt>
                <c:pt idx="77">
                  <c:v>2.8494553282885127</c:v>
                </c:pt>
                <c:pt idx="78">
                  <c:v>2.0001323046111592</c:v>
                </c:pt>
                <c:pt idx="79">
                  <c:v>0.95424838149563129</c:v>
                </c:pt>
                <c:pt idx="80">
                  <c:v>0.18220456587496894</c:v>
                </c:pt>
                <c:pt idx="81">
                  <c:v>1.5031275720841182</c:v>
                </c:pt>
                <c:pt idx="82">
                  <c:v>-0.71079844504200262</c:v>
                </c:pt>
                <c:pt idx="83">
                  <c:v>0.86704419059635995</c:v>
                </c:pt>
                <c:pt idx="84">
                  <c:v>0.76530079948895491</c:v>
                </c:pt>
                <c:pt idx="85">
                  <c:v>2.1733692644034392</c:v>
                </c:pt>
                <c:pt idx="86">
                  <c:v>2.9045020468612002</c:v>
                </c:pt>
                <c:pt idx="87">
                  <c:v>3.4901072843260592</c:v>
                </c:pt>
                <c:pt idx="88">
                  <c:v>4.8157307633670285</c:v>
                </c:pt>
                <c:pt idx="89">
                  <c:v>4.7676959490357245</c:v>
                </c:pt>
                <c:pt idx="90">
                  <c:v>7.4175607016924801</c:v>
                </c:pt>
                <c:pt idx="91">
                  <c:v>10.02076952235965</c:v>
                </c:pt>
                <c:pt idx="92">
                  <c:v>10.791995325977695</c:v>
                </c:pt>
                <c:pt idx="93">
                  <c:v>9.5289720979861219</c:v>
                </c:pt>
                <c:pt idx="94">
                  <c:v>8.7581413286795389</c:v>
                </c:pt>
                <c:pt idx="95">
                  <c:v>5.2864541650469885</c:v>
                </c:pt>
                <c:pt idx="96">
                  <c:v>6.2857247532561473</c:v>
                </c:pt>
                <c:pt idx="97">
                  <c:v>5.8154933748081294</c:v>
                </c:pt>
                <c:pt idx="98">
                  <c:v>8.5297220548762738</c:v>
                </c:pt>
                <c:pt idx="99">
                  <c:v>8.2931999364527229</c:v>
                </c:pt>
                <c:pt idx="100">
                  <c:v>6.889877915514643</c:v>
                </c:pt>
                <c:pt idx="101">
                  <c:v>6.6540498059641804</c:v>
                </c:pt>
                <c:pt idx="102">
                  <c:v>7.338862873070056</c:v>
                </c:pt>
                <c:pt idx="103">
                  <c:v>5.1308896280441587</c:v>
                </c:pt>
                <c:pt idx="104">
                  <c:v>5.9131605271810059</c:v>
                </c:pt>
                <c:pt idx="105">
                  <c:v>6.0978180846423129</c:v>
                </c:pt>
                <c:pt idx="106">
                  <c:v>6.7846256283677056</c:v>
                </c:pt>
                <c:pt idx="107">
                  <c:v>5.9414365426808624</c:v>
                </c:pt>
                <c:pt idx="108">
                  <c:v>5.2220562132695365</c:v>
                </c:pt>
                <c:pt idx="109">
                  <c:v>5.9484185310608684</c:v>
                </c:pt>
                <c:pt idx="110">
                  <c:v>4.7197124127546655</c:v>
                </c:pt>
                <c:pt idx="111">
                  <c:v>6.0288676168249955</c:v>
                </c:pt>
                <c:pt idx="112">
                  <c:v>7.1295425377703845</c:v>
                </c:pt>
                <c:pt idx="113">
                  <c:v>5.770390389613774</c:v>
                </c:pt>
                <c:pt idx="114">
                  <c:v>5.0313029238100944</c:v>
                </c:pt>
                <c:pt idx="115">
                  <c:v>5.4692899664564845</c:v>
                </c:pt>
                <c:pt idx="116">
                  <c:v>4.364436685765992</c:v>
                </c:pt>
                <c:pt idx="117">
                  <c:v>2.4799911355999313</c:v>
                </c:pt>
                <c:pt idx="118">
                  <c:v>1.62852286220894</c:v>
                </c:pt>
                <c:pt idx="119">
                  <c:v>4.7508484664668771</c:v>
                </c:pt>
                <c:pt idx="120">
                  <c:v>3.6618185676755401</c:v>
                </c:pt>
                <c:pt idx="121">
                  <c:v>4.0241127386282143</c:v>
                </c:pt>
                <c:pt idx="122">
                  <c:v>2.5146249534500953</c:v>
                </c:pt>
                <c:pt idx="123">
                  <c:v>1.6128317824752398</c:v>
                </c:pt>
                <c:pt idx="124">
                  <c:v>1.6349324704967587</c:v>
                </c:pt>
                <c:pt idx="125">
                  <c:v>4.1608493072521364</c:v>
                </c:pt>
                <c:pt idx="126">
                  <c:v>4.3427969895394885</c:v>
                </c:pt>
                <c:pt idx="127">
                  <c:v>4.4934150077158677</c:v>
                </c:pt>
              </c:numCache>
            </c:numRef>
          </c:val>
          <c:extLst xmlns:c16r2="http://schemas.microsoft.com/office/drawing/2015/06/chart">
            <c:ext xmlns:c16="http://schemas.microsoft.com/office/drawing/2014/chart" uri="{C3380CC4-5D6E-409C-BE32-E72D297353CC}">
              <c16:uniqueId val="{00000000-B9FA-43ED-9640-2DCB6756FBF8}"/>
            </c:ext>
          </c:extLst>
        </c:ser>
        <c:ser>
          <c:idx val="1"/>
          <c:order val="1"/>
          <c:tx>
            <c:strRef>
              <c:f>'5-Sektor-nef. podn-úvěry'!$AC$5</c:f>
              <c:strCache>
                <c:ptCount val="1"/>
                <c:pt idx="0">
                  <c:v>Krátkodobé úvěry nefinančním podnikům (y/y, %)</c:v>
                </c:pt>
              </c:strCache>
            </c:strRef>
          </c:tx>
          <c:spPr>
            <a:ln w="22225">
              <a:solidFill>
                <a:srgbClr val="48AEE7"/>
              </a:solidFill>
            </a:ln>
          </c:spPr>
          <c:marker>
            <c:symbol val="none"/>
          </c:marker>
          <c:cat>
            <c:multiLvlStrRef>
              <c:f>'5-Sektor-nef. podn-úvěry'!$Z$6:$AA$137</c:f>
              <c:multiLvlStrCache>
                <c:ptCount val="129"/>
                <c:lvl>
                  <c:pt idx="0">
                    <c:v>1</c:v>
                  </c:pt>
                  <c:pt idx="4">
                    <c:v>5</c:v>
                  </c:pt>
                  <c:pt idx="8">
                    <c:v>9</c:v>
                  </c:pt>
                  <c:pt idx="12">
                    <c:v>1</c:v>
                  </c:pt>
                  <c:pt idx="16">
                    <c:v>5</c:v>
                  </c:pt>
                  <c:pt idx="20">
                    <c:v>9</c:v>
                  </c:pt>
                  <c:pt idx="24">
                    <c:v>1</c:v>
                  </c:pt>
                  <c:pt idx="28">
                    <c:v>5</c:v>
                  </c:pt>
                  <c:pt idx="32">
                    <c:v>9</c:v>
                  </c:pt>
                  <c:pt idx="36">
                    <c:v>1</c:v>
                  </c:pt>
                  <c:pt idx="40">
                    <c:v>5</c:v>
                  </c:pt>
                  <c:pt idx="44">
                    <c:v>9</c:v>
                  </c:pt>
                  <c:pt idx="48">
                    <c:v>1</c:v>
                  </c:pt>
                  <c:pt idx="52">
                    <c:v>5</c:v>
                  </c:pt>
                  <c:pt idx="56">
                    <c:v>9</c:v>
                  </c:pt>
                  <c:pt idx="60">
                    <c:v>1</c:v>
                  </c:pt>
                  <c:pt idx="64">
                    <c:v>5</c:v>
                  </c:pt>
                  <c:pt idx="68">
                    <c:v>9</c:v>
                  </c:pt>
                  <c:pt idx="72">
                    <c:v>1</c:v>
                  </c:pt>
                  <c:pt idx="76">
                    <c:v>5</c:v>
                  </c:pt>
                  <c:pt idx="80">
                    <c:v>9</c:v>
                  </c:pt>
                  <c:pt idx="84">
                    <c:v>1</c:v>
                  </c:pt>
                  <c:pt idx="88">
                    <c:v>5</c:v>
                  </c:pt>
                  <c:pt idx="92">
                    <c:v>9</c:v>
                  </c:pt>
                  <c:pt idx="96">
                    <c:v>1</c:v>
                  </c:pt>
                  <c:pt idx="100">
                    <c:v>5</c:v>
                  </c:pt>
                  <c:pt idx="104">
                    <c:v>9</c:v>
                  </c:pt>
                  <c:pt idx="108">
                    <c:v>1</c:v>
                  </c:pt>
                  <c:pt idx="112">
                    <c:v>5</c:v>
                  </c:pt>
                  <c:pt idx="116">
                    <c:v>9</c:v>
                  </c:pt>
                  <c:pt idx="120">
                    <c:v>1</c:v>
                  </c:pt>
                  <c:pt idx="124">
                    <c:v>5</c:v>
                  </c:pt>
                  <c:pt idx="128">
                    <c:v>9</c:v>
                  </c:pt>
                </c:lvl>
                <c:lvl>
                  <c:pt idx="0">
                    <c:v>2008</c:v>
                  </c:pt>
                  <c:pt idx="12">
                    <c:v>2009</c:v>
                  </c:pt>
                  <c:pt idx="24">
                    <c:v>2010</c:v>
                  </c:pt>
                  <c:pt idx="36">
                    <c:v>2011</c:v>
                  </c:pt>
                  <c:pt idx="48">
                    <c:v>2012</c:v>
                  </c:pt>
                  <c:pt idx="60">
                    <c:v>2013</c:v>
                  </c:pt>
                  <c:pt idx="72">
                    <c:v>2014</c:v>
                  </c:pt>
                  <c:pt idx="84">
                    <c:v>2015</c:v>
                  </c:pt>
                  <c:pt idx="96">
                    <c:v>2016</c:v>
                  </c:pt>
                  <c:pt idx="108">
                    <c:v>2017</c:v>
                  </c:pt>
                  <c:pt idx="120">
                    <c:v>2018</c:v>
                  </c:pt>
                </c:lvl>
              </c:multiLvlStrCache>
            </c:multiLvlStrRef>
          </c:cat>
          <c:val>
            <c:numRef>
              <c:f>'5-Sektor-nef. podn-úvěry'!$AC$6:$AC$137</c:f>
              <c:numCache>
                <c:formatCode>0.0</c:formatCode>
                <c:ptCount val="132"/>
                <c:pt idx="0">
                  <c:v>25.000916323063066</c:v>
                </c:pt>
                <c:pt idx="1">
                  <c:v>26.712979807453827</c:v>
                </c:pt>
                <c:pt idx="2">
                  <c:v>28.040917136623687</c:v>
                </c:pt>
                <c:pt idx="3">
                  <c:v>30.292510262008626</c:v>
                </c:pt>
                <c:pt idx="4">
                  <c:v>32.152542768080011</c:v>
                </c:pt>
                <c:pt idx="5">
                  <c:v>33.608335956292009</c:v>
                </c:pt>
                <c:pt idx="6">
                  <c:v>27.567374639876505</c:v>
                </c:pt>
                <c:pt idx="7">
                  <c:v>26.879559773577526</c:v>
                </c:pt>
                <c:pt idx="8">
                  <c:v>26.333182777595187</c:v>
                </c:pt>
                <c:pt idx="9">
                  <c:v>26.341955647032194</c:v>
                </c:pt>
                <c:pt idx="10">
                  <c:v>20.464529426811087</c:v>
                </c:pt>
                <c:pt idx="11">
                  <c:v>10.370444659884148</c:v>
                </c:pt>
                <c:pt idx="12">
                  <c:v>3.8266718749947377</c:v>
                </c:pt>
                <c:pt idx="13">
                  <c:v>0.56039914487877263</c:v>
                </c:pt>
                <c:pt idx="14">
                  <c:v>-2.8799246937307137</c:v>
                </c:pt>
                <c:pt idx="15">
                  <c:v>-8.9171566817928181</c:v>
                </c:pt>
                <c:pt idx="16">
                  <c:v>-12.920302402353798</c:v>
                </c:pt>
                <c:pt idx="17">
                  <c:v>-16.146126142528427</c:v>
                </c:pt>
                <c:pt idx="18">
                  <c:v>-17.269128146997176</c:v>
                </c:pt>
                <c:pt idx="19">
                  <c:v>-18.042940357825589</c:v>
                </c:pt>
                <c:pt idx="20">
                  <c:v>-22.750193506312112</c:v>
                </c:pt>
                <c:pt idx="21">
                  <c:v>-25.018339749811574</c:v>
                </c:pt>
                <c:pt idx="22">
                  <c:v>-24.598909359523784</c:v>
                </c:pt>
                <c:pt idx="23">
                  <c:v>-22.660667169242391</c:v>
                </c:pt>
                <c:pt idx="24">
                  <c:v>-15.375373874157546</c:v>
                </c:pt>
                <c:pt idx="25">
                  <c:v>-15.84912408739892</c:v>
                </c:pt>
                <c:pt idx="26">
                  <c:v>-15.20978060311468</c:v>
                </c:pt>
                <c:pt idx="27">
                  <c:v>-15.541826294907709</c:v>
                </c:pt>
                <c:pt idx="28">
                  <c:v>-14.254318701856656</c:v>
                </c:pt>
                <c:pt idx="29">
                  <c:v>-13.393836350506927</c:v>
                </c:pt>
                <c:pt idx="30">
                  <c:v>-9.306103580082862</c:v>
                </c:pt>
                <c:pt idx="31">
                  <c:v>-9.8344434292599505</c:v>
                </c:pt>
                <c:pt idx="32">
                  <c:v>-9.1295514406389682</c:v>
                </c:pt>
                <c:pt idx="33">
                  <c:v>-4.8989195753097246</c:v>
                </c:pt>
                <c:pt idx="34">
                  <c:v>-4.3126808807849386</c:v>
                </c:pt>
                <c:pt idx="35">
                  <c:v>-3.7610475059072286</c:v>
                </c:pt>
                <c:pt idx="36">
                  <c:v>-5.7647478970482755</c:v>
                </c:pt>
                <c:pt idx="37">
                  <c:v>-3.3788403518089325</c:v>
                </c:pt>
                <c:pt idx="38">
                  <c:v>-3.4199863124027985</c:v>
                </c:pt>
                <c:pt idx="39">
                  <c:v>3.737628821422831</c:v>
                </c:pt>
                <c:pt idx="40">
                  <c:v>4.2771417385037314</c:v>
                </c:pt>
                <c:pt idx="41">
                  <c:v>2.6106970135314498</c:v>
                </c:pt>
                <c:pt idx="42">
                  <c:v>4.6395227645090102</c:v>
                </c:pt>
                <c:pt idx="43">
                  <c:v>2.9584929563170448</c:v>
                </c:pt>
                <c:pt idx="44">
                  <c:v>5.5228083081123165</c:v>
                </c:pt>
                <c:pt idx="45">
                  <c:v>5.6186841348627752</c:v>
                </c:pt>
                <c:pt idx="46">
                  <c:v>4.6840627021368988</c:v>
                </c:pt>
                <c:pt idx="47">
                  <c:v>3.7093671385586759</c:v>
                </c:pt>
                <c:pt idx="48">
                  <c:v>5.9709815976891996</c:v>
                </c:pt>
                <c:pt idx="49">
                  <c:v>6.4816431282690923</c:v>
                </c:pt>
                <c:pt idx="50">
                  <c:v>7.6214244887102875</c:v>
                </c:pt>
                <c:pt idx="51">
                  <c:v>4.3671811940206595</c:v>
                </c:pt>
                <c:pt idx="52">
                  <c:v>3.9957866705007627</c:v>
                </c:pt>
                <c:pt idx="53">
                  <c:v>4.0900637541785594</c:v>
                </c:pt>
                <c:pt idx="54">
                  <c:v>3.2239600360180591</c:v>
                </c:pt>
                <c:pt idx="55">
                  <c:v>3.2690034389568008</c:v>
                </c:pt>
                <c:pt idx="56">
                  <c:v>3.6746207326555012</c:v>
                </c:pt>
                <c:pt idx="57">
                  <c:v>-0.54386088035725433</c:v>
                </c:pt>
                <c:pt idx="58">
                  <c:v>-0.41821063262334235</c:v>
                </c:pt>
                <c:pt idx="59">
                  <c:v>2.5317875544986066</c:v>
                </c:pt>
                <c:pt idx="60">
                  <c:v>0.26838661500983496</c:v>
                </c:pt>
                <c:pt idx="61">
                  <c:v>-0.83531711161882072</c:v>
                </c:pt>
                <c:pt idx="62">
                  <c:v>-0.68367297880396849</c:v>
                </c:pt>
                <c:pt idx="63">
                  <c:v>-1.5934147314195144</c:v>
                </c:pt>
                <c:pt idx="64">
                  <c:v>-2.8636605444200995</c:v>
                </c:pt>
                <c:pt idx="65">
                  <c:v>-2.0825053056265972</c:v>
                </c:pt>
                <c:pt idx="66">
                  <c:v>-5.5375595488786855</c:v>
                </c:pt>
                <c:pt idx="67">
                  <c:v>-4.3082882839383974</c:v>
                </c:pt>
                <c:pt idx="68">
                  <c:v>-4.4455079736917753</c:v>
                </c:pt>
                <c:pt idx="69">
                  <c:v>-2.0547533115005336</c:v>
                </c:pt>
                <c:pt idx="70">
                  <c:v>0.36026433040481731</c:v>
                </c:pt>
                <c:pt idx="71">
                  <c:v>-1.4234924969374332</c:v>
                </c:pt>
                <c:pt idx="72">
                  <c:v>-0.75523278554629758</c:v>
                </c:pt>
                <c:pt idx="73">
                  <c:v>-0.63766296886333851</c:v>
                </c:pt>
                <c:pt idx="74">
                  <c:v>-2.5137830905739542</c:v>
                </c:pt>
                <c:pt idx="75">
                  <c:v>-2.7271517539732746</c:v>
                </c:pt>
                <c:pt idx="76">
                  <c:v>-1.7408715535299211</c:v>
                </c:pt>
                <c:pt idx="77">
                  <c:v>-1.5580675795729559</c:v>
                </c:pt>
                <c:pt idx="78">
                  <c:v>-1.1038057358371698</c:v>
                </c:pt>
                <c:pt idx="79">
                  <c:v>-1.8372406961913719</c:v>
                </c:pt>
                <c:pt idx="80">
                  <c:v>-0.56872102603339492</c:v>
                </c:pt>
                <c:pt idx="81">
                  <c:v>-1.159726382685043</c:v>
                </c:pt>
                <c:pt idx="82">
                  <c:v>-3.5009793494210402</c:v>
                </c:pt>
                <c:pt idx="83">
                  <c:v>-0.79543444783304551</c:v>
                </c:pt>
                <c:pt idx="84">
                  <c:v>-1.6418545923793118</c:v>
                </c:pt>
                <c:pt idx="85">
                  <c:v>-0.72719130273642962</c:v>
                </c:pt>
                <c:pt idx="86">
                  <c:v>-0.10338621871403575</c:v>
                </c:pt>
                <c:pt idx="87">
                  <c:v>1.8761670505031141</c:v>
                </c:pt>
                <c:pt idx="88">
                  <c:v>3.7683824614756212</c:v>
                </c:pt>
                <c:pt idx="89">
                  <c:v>3.4095081905994777</c:v>
                </c:pt>
                <c:pt idx="90">
                  <c:v>4.5400764781358545</c:v>
                </c:pt>
                <c:pt idx="91">
                  <c:v>4.6106039224493864</c:v>
                </c:pt>
                <c:pt idx="92">
                  <c:v>1.2846535191460686</c:v>
                </c:pt>
                <c:pt idx="93">
                  <c:v>0.79557290417868387</c:v>
                </c:pt>
                <c:pt idx="94">
                  <c:v>-1.249890878269373</c:v>
                </c:pt>
                <c:pt idx="95">
                  <c:v>-8.4766237549752503</c:v>
                </c:pt>
                <c:pt idx="96">
                  <c:v>-5.7444194102759045</c:v>
                </c:pt>
                <c:pt idx="97">
                  <c:v>-7.8408138122208726</c:v>
                </c:pt>
                <c:pt idx="98">
                  <c:v>-4.8136190082670254</c:v>
                </c:pt>
                <c:pt idx="99">
                  <c:v>-5.3968379062558256</c:v>
                </c:pt>
                <c:pt idx="100">
                  <c:v>-7.0822791292242524</c:v>
                </c:pt>
                <c:pt idx="101">
                  <c:v>-7.4772739412624833</c:v>
                </c:pt>
                <c:pt idx="102">
                  <c:v>-5.3546138295410755</c:v>
                </c:pt>
                <c:pt idx="103">
                  <c:v>-5.1955464153194075</c:v>
                </c:pt>
                <c:pt idx="104">
                  <c:v>-3.2311354584598182</c:v>
                </c:pt>
                <c:pt idx="105">
                  <c:v>-1.5368729621114041</c:v>
                </c:pt>
                <c:pt idx="106">
                  <c:v>-1.8615113447043958</c:v>
                </c:pt>
                <c:pt idx="107">
                  <c:v>1.7374197198671553</c:v>
                </c:pt>
                <c:pt idx="108">
                  <c:v>-0.62855451198963408</c:v>
                </c:pt>
                <c:pt idx="109">
                  <c:v>0.17997413267447487</c:v>
                </c:pt>
                <c:pt idx="110">
                  <c:v>0.96279417974413661</c:v>
                </c:pt>
                <c:pt idx="111">
                  <c:v>2.6112964361119566</c:v>
                </c:pt>
                <c:pt idx="112">
                  <c:v>2.3844262770242182</c:v>
                </c:pt>
                <c:pt idx="113">
                  <c:v>2.586531448277126</c:v>
                </c:pt>
                <c:pt idx="114">
                  <c:v>4.1070725836895425</c:v>
                </c:pt>
                <c:pt idx="115">
                  <c:v>3.9889467915833876</c:v>
                </c:pt>
                <c:pt idx="116">
                  <c:v>3.2180681164754077</c:v>
                </c:pt>
                <c:pt idx="117">
                  <c:v>2.6668001529165002</c:v>
                </c:pt>
                <c:pt idx="118">
                  <c:v>4.4956638992129534</c:v>
                </c:pt>
                <c:pt idx="119">
                  <c:v>7.3099908004773368</c:v>
                </c:pt>
                <c:pt idx="120">
                  <c:v>5.7898982026770414</c:v>
                </c:pt>
                <c:pt idx="121">
                  <c:v>4.2919483582906821</c:v>
                </c:pt>
                <c:pt idx="122">
                  <c:v>-0.22782614739438145</c:v>
                </c:pt>
                <c:pt idx="123">
                  <c:v>-1.8682859581793423</c:v>
                </c:pt>
                <c:pt idx="124">
                  <c:v>-6.7464921829214028E-2</c:v>
                </c:pt>
                <c:pt idx="125">
                  <c:v>0.84506260787200849</c:v>
                </c:pt>
                <c:pt idx="126">
                  <c:v>2.0786499553480543E-2</c:v>
                </c:pt>
                <c:pt idx="127">
                  <c:v>0.90066913751308331</c:v>
                </c:pt>
              </c:numCache>
            </c:numRef>
          </c:val>
          <c:extLst xmlns:c16r2="http://schemas.microsoft.com/office/drawing/2015/06/chart">
            <c:ext xmlns:c16="http://schemas.microsoft.com/office/drawing/2014/chart" uri="{C3380CC4-5D6E-409C-BE32-E72D297353CC}">
              <c16:uniqueId val="{00000001-B9FA-43ED-9640-2DCB6756FBF8}"/>
            </c:ext>
          </c:extLst>
        </c:ser>
        <c:ser>
          <c:idx val="2"/>
          <c:order val="2"/>
          <c:tx>
            <c:strRef>
              <c:f>'5-Sektor-nef. podn-úvěry'!$AD$5</c:f>
              <c:strCache>
                <c:ptCount val="1"/>
                <c:pt idx="0">
                  <c:v>Dlouhodobé úvěry nefinančním podnikům (y/y, %)</c:v>
                </c:pt>
              </c:strCache>
            </c:strRef>
          </c:tx>
          <c:spPr>
            <a:ln w="22225">
              <a:solidFill>
                <a:schemeClr val="accent5">
                  <a:lumMod val="60000"/>
                  <a:lumOff val="40000"/>
                </a:schemeClr>
              </a:solidFill>
            </a:ln>
          </c:spPr>
          <c:marker>
            <c:symbol val="none"/>
          </c:marker>
          <c:cat>
            <c:multiLvlStrRef>
              <c:f>'5-Sektor-nef. podn-úvěry'!$Z$6:$AA$137</c:f>
              <c:multiLvlStrCache>
                <c:ptCount val="129"/>
                <c:lvl>
                  <c:pt idx="0">
                    <c:v>1</c:v>
                  </c:pt>
                  <c:pt idx="4">
                    <c:v>5</c:v>
                  </c:pt>
                  <c:pt idx="8">
                    <c:v>9</c:v>
                  </c:pt>
                  <c:pt idx="12">
                    <c:v>1</c:v>
                  </c:pt>
                  <c:pt idx="16">
                    <c:v>5</c:v>
                  </c:pt>
                  <c:pt idx="20">
                    <c:v>9</c:v>
                  </c:pt>
                  <c:pt idx="24">
                    <c:v>1</c:v>
                  </c:pt>
                  <c:pt idx="28">
                    <c:v>5</c:v>
                  </c:pt>
                  <c:pt idx="32">
                    <c:v>9</c:v>
                  </c:pt>
                  <c:pt idx="36">
                    <c:v>1</c:v>
                  </c:pt>
                  <c:pt idx="40">
                    <c:v>5</c:v>
                  </c:pt>
                  <c:pt idx="44">
                    <c:v>9</c:v>
                  </c:pt>
                  <c:pt idx="48">
                    <c:v>1</c:v>
                  </c:pt>
                  <c:pt idx="52">
                    <c:v>5</c:v>
                  </c:pt>
                  <c:pt idx="56">
                    <c:v>9</c:v>
                  </c:pt>
                  <c:pt idx="60">
                    <c:v>1</c:v>
                  </c:pt>
                  <c:pt idx="64">
                    <c:v>5</c:v>
                  </c:pt>
                  <c:pt idx="68">
                    <c:v>9</c:v>
                  </c:pt>
                  <c:pt idx="72">
                    <c:v>1</c:v>
                  </c:pt>
                  <c:pt idx="76">
                    <c:v>5</c:v>
                  </c:pt>
                  <c:pt idx="80">
                    <c:v>9</c:v>
                  </c:pt>
                  <c:pt idx="84">
                    <c:v>1</c:v>
                  </c:pt>
                  <c:pt idx="88">
                    <c:v>5</c:v>
                  </c:pt>
                  <c:pt idx="92">
                    <c:v>9</c:v>
                  </c:pt>
                  <c:pt idx="96">
                    <c:v>1</c:v>
                  </c:pt>
                  <c:pt idx="100">
                    <c:v>5</c:v>
                  </c:pt>
                  <c:pt idx="104">
                    <c:v>9</c:v>
                  </c:pt>
                  <c:pt idx="108">
                    <c:v>1</c:v>
                  </c:pt>
                  <c:pt idx="112">
                    <c:v>5</c:v>
                  </c:pt>
                  <c:pt idx="116">
                    <c:v>9</c:v>
                  </c:pt>
                  <c:pt idx="120">
                    <c:v>1</c:v>
                  </c:pt>
                  <c:pt idx="124">
                    <c:v>5</c:v>
                  </c:pt>
                  <c:pt idx="128">
                    <c:v>9</c:v>
                  </c:pt>
                </c:lvl>
                <c:lvl>
                  <c:pt idx="0">
                    <c:v>2008</c:v>
                  </c:pt>
                  <c:pt idx="12">
                    <c:v>2009</c:v>
                  </c:pt>
                  <c:pt idx="24">
                    <c:v>2010</c:v>
                  </c:pt>
                  <c:pt idx="36">
                    <c:v>2011</c:v>
                  </c:pt>
                  <c:pt idx="48">
                    <c:v>2012</c:v>
                  </c:pt>
                  <c:pt idx="60">
                    <c:v>2013</c:v>
                  </c:pt>
                  <c:pt idx="72">
                    <c:v>2014</c:v>
                  </c:pt>
                  <c:pt idx="84">
                    <c:v>2015</c:v>
                  </c:pt>
                  <c:pt idx="96">
                    <c:v>2016</c:v>
                  </c:pt>
                  <c:pt idx="108">
                    <c:v>2017</c:v>
                  </c:pt>
                  <c:pt idx="120">
                    <c:v>2018</c:v>
                  </c:pt>
                </c:lvl>
              </c:multiLvlStrCache>
            </c:multiLvlStrRef>
          </c:cat>
          <c:val>
            <c:numRef>
              <c:f>'5-Sektor-nef. podn-úvěry'!$AD$6:$AD$137</c:f>
              <c:numCache>
                <c:formatCode>0.0</c:formatCode>
                <c:ptCount val="132"/>
                <c:pt idx="0">
                  <c:v>16.701490991548269</c:v>
                </c:pt>
                <c:pt idx="1">
                  <c:v>16.05328378449639</c:v>
                </c:pt>
                <c:pt idx="2">
                  <c:v>15.175713359619509</c:v>
                </c:pt>
                <c:pt idx="3">
                  <c:v>14.779480291862551</c:v>
                </c:pt>
                <c:pt idx="4">
                  <c:v>15.556312790982602</c:v>
                </c:pt>
                <c:pt idx="5">
                  <c:v>12.406617438460406</c:v>
                </c:pt>
                <c:pt idx="6">
                  <c:v>14.566673677333327</c:v>
                </c:pt>
                <c:pt idx="7">
                  <c:v>12.621799781141823</c:v>
                </c:pt>
                <c:pt idx="8">
                  <c:v>13.117325231892448</c:v>
                </c:pt>
                <c:pt idx="9">
                  <c:v>14.453408111671024</c:v>
                </c:pt>
                <c:pt idx="10">
                  <c:v>14.95265100963417</c:v>
                </c:pt>
                <c:pt idx="11">
                  <c:v>20.680895286176806</c:v>
                </c:pt>
                <c:pt idx="12">
                  <c:v>21.460445981302712</c:v>
                </c:pt>
                <c:pt idx="13">
                  <c:v>21.813872051256226</c:v>
                </c:pt>
                <c:pt idx="14">
                  <c:v>19.36491603556123</c:v>
                </c:pt>
                <c:pt idx="15">
                  <c:v>16.621282574966077</c:v>
                </c:pt>
                <c:pt idx="16">
                  <c:v>15.375465600405109</c:v>
                </c:pt>
                <c:pt idx="17">
                  <c:v>15.138106175902163</c:v>
                </c:pt>
                <c:pt idx="18">
                  <c:v>13.866993983566434</c:v>
                </c:pt>
                <c:pt idx="19">
                  <c:v>12.748045972116948</c:v>
                </c:pt>
                <c:pt idx="20">
                  <c:v>11.558184690599974</c:v>
                </c:pt>
                <c:pt idx="21">
                  <c:v>10.869681064069299</c:v>
                </c:pt>
                <c:pt idx="22">
                  <c:v>8.7654153141111237</c:v>
                </c:pt>
                <c:pt idx="23">
                  <c:v>4.3594223558932184</c:v>
                </c:pt>
                <c:pt idx="24">
                  <c:v>1.3723636684117801</c:v>
                </c:pt>
                <c:pt idx="25">
                  <c:v>1.476905221688128</c:v>
                </c:pt>
                <c:pt idx="26">
                  <c:v>2.1804783069950582</c:v>
                </c:pt>
                <c:pt idx="27">
                  <c:v>3.8287766885141821</c:v>
                </c:pt>
                <c:pt idx="28">
                  <c:v>3.9222043535695827</c:v>
                </c:pt>
                <c:pt idx="29">
                  <c:v>5.3012838399558007</c:v>
                </c:pt>
                <c:pt idx="30">
                  <c:v>4.1875709812905475</c:v>
                </c:pt>
                <c:pt idx="31">
                  <c:v>6.0651154646295655</c:v>
                </c:pt>
                <c:pt idx="32">
                  <c:v>5.9898231905262795</c:v>
                </c:pt>
                <c:pt idx="33">
                  <c:v>6.6395703947932434</c:v>
                </c:pt>
                <c:pt idx="34">
                  <c:v>7.9871843704600245</c:v>
                </c:pt>
                <c:pt idx="35">
                  <c:v>8.629416819487485</c:v>
                </c:pt>
                <c:pt idx="36">
                  <c:v>10.255020953768772</c:v>
                </c:pt>
                <c:pt idx="37">
                  <c:v>11.363137034828775</c:v>
                </c:pt>
                <c:pt idx="38">
                  <c:v>12.203461707299041</c:v>
                </c:pt>
                <c:pt idx="39">
                  <c:v>12.289103100702548</c:v>
                </c:pt>
                <c:pt idx="40">
                  <c:v>12.993664437646014</c:v>
                </c:pt>
                <c:pt idx="41">
                  <c:v>12.058177697620437</c:v>
                </c:pt>
                <c:pt idx="42">
                  <c:v>12.313849912230484</c:v>
                </c:pt>
                <c:pt idx="43">
                  <c:v>10.651027560592951</c:v>
                </c:pt>
                <c:pt idx="44">
                  <c:v>10.371839136465848</c:v>
                </c:pt>
                <c:pt idx="45">
                  <c:v>9.0115184902079637</c:v>
                </c:pt>
                <c:pt idx="46">
                  <c:v>8.7478741662491419</c:v>
                </c:pt>
                <c:pt idx="47">
                  <c:v>7.1071038067006356</c:v>
                </c:pt>
                <c:pt idx="48">
                  <c:v>6.1033161205086088</c:v>
                </c:pt>
                <c:pt idx="49">
                  <c:v>5.3867588110691154</c:v>
                </c:pt>
                <c:pt idx="50">
                  <c:v>4.1583279970024565</c:v>
                </c:pt>
                <c:pt idx="51">
                  <c:v>2.9350137521902013</c:v>
                </c:pt>
                <c:pt idx="52">
                  <c:v>3.2624918959225115</c:v>
                </c:pt>
                <c:pt idx="53">
                  <c:v>2.5329493558837273</c:v>
                </c:pt>
                <c:pt idx="54">
                  <c:v>2.2317107787646386</c:v>
                </c:pt>
                <c:pt idx="55">
                  <c:v>1.9983085759198997</c:v>
                </c:pt>
                <c:pt idx="56">
                  <c:v>1.8330613605998418</c:v>
                </c:pt>
                <c:pt idx="57">
                  <c:v>1.1905590905530101</c:v>
                </c:pt>
                <c:pt idx="58">
                  <c:v>1.1205606750106079</c:v>
                </c:pt>
                <c:pt idx="59">
                  <c:v>1.2520197041513661</c:v>
                </c:pt>
                <c:pt idx="60">
                  <c:v>2.8143403219368377</c:v>
                </c:pt>
                <c:pt idx="61">
                  <c:v>2.7036545144388797</c:v>
                </c:pt>
                <c:pt idx="62">
                  <c:v>3.1958968781431447</c:v>
                </c:pt>
                <c:pt idx="63">
                  <c:v>2.9588424687880042</c:v>
                </c:pt>
                <c:pt idx="64">
                  <c:v>0.79627813036869444</c:v>
                </c:pt>
                <c:pt idx="65">
                  <c:v>1.7501220910354498</c:v>
                </c:pt>
                <c:pt idx="66">
                  <c:v>1.952547501841756</c:v>
                </c:pt>
                <c:pt idx="67">
                  <c:v>2.6345194614417271</c:v>
                </c:pt>
                <c:pt idx="68">
                  <c:v>2.0365530508407375</c:v>
                </c:pt>
                <c:pt idx="69">
                  <c:v>2.2588623681519806</c:v>
                </c:pt>
                <c:pt idx="70">
                  <c:v>4.9981998910946395</c:v>
                </c:pt>
                <c:pt idx="71">
                  <c:v>5.5869401676527559</c:v>
                </c:pt>
                <c:pt idx="72">
                  <c:v>4.9464757467863336</c:v>
                </c:pt>
                <c:pt idx="73">
                  <c:v>4.0302915530554895</c:v>
                </c:pt>
                <c:pt idx="74">
                  <c:v>3.3788042326339678</c:v>
                </c:pt>
                <c:pt idx="75">
                  <c:v>4.609100740021205</c:v>
                </c:pt>
                <c:pt idx="76">
                  <c:v>5.54647820872853</c:v>
                </c:pt>
                <c:pt idx="77">
                  <c:v>4.7013122603976294</c:v>
                </c:pt>
                <c:pt idx="78">
                  <c:v>3.8376892817232147</c:v>
                </c:pt>
                <c:pt idx="79">
                  <c:v>3.4023503625123377</c:v>
                </c:pt>
                <c:pt idx="80">
                  <c:v>2.8658133787271822</c:v>
                </c:pt>
                <c:pt idx="81">
                  <c:v>6.0662997910299934</c:v>
                </c:pt>
                <c:pt idx="82">
                  <c:v>3.2321413203773552</c:v>
                </c:pt>
                <c:pt idx="83">
                  <c:v>3.8489207749894012</c:v>
                </c:pt>
                <c:pt idx="84">
                  <c:v>3.7128098025928287</c:v>
                </c:pt>
                <c:pt idx="85">
                  <c:v>4.2299706255458602</c:v>
                </c:pt>
                <c:pt idx="86">
                  <c:v>5.1334552663161697</c:v>
                </c:pt>
                <c:pt idx="87">
                  <c:v>4.7459627928416079</c:v>
                </c:pt>
                <c:pt idx="88">
                  <c:v>6.0726056443848524</c:v>
                </c:pt>
                <c:pt idx="89">
                  <c:v>7.4356827248019561</c:v>
                </c:pt>
                <c:pt idx="90">
                  <c:v>10.846003191136131</c:v>
                </c:pt>
                <c:pt idx="91">
                  <c:v>13.363887787827474</c:v>
                </c:pt>
                <c:pt idx="92">
                  <c:v>15.487173138732848</c:v>
                </c:pt>
                <c:pt idx="93">
                  <c:v>13.61884942892668</c:v>
                </c:pt>
                <c:pt idx="94">
                  <c:v>12.816776586209826</c:v>
                </c:pt>
                <c:pt idx="95">
                  <c:v>10.544026511058775</c:v>
                </c:pt>
                <c:pt idx="96">
                  <c:v>10.580193737818561</c:v>
                </c:pt>
                <c:pt idx="97">
                  <c:v>11.356690168059361</c:v>
                </c:pt>
                <c:pt idx="98">
                  <c:v>11.747735926897461</c:v>
                </c:pt>
                <c:pt idx="99">
                  <c:v>12.31590718419568</c:v>
                </c:pt>
                <c:pt idx="100">
                  <c:v>12.06370972836355</c:v>
                </c:pt>
                <c:pt idx="101">
                  <c:v>11.320156207706725</c:v>
                </c:pt>
                <c:pt idx="102">
                  <c:v>11.10089803983697</c:v>
                </c:pt>
                <c:pt idx="103">
                  <c:v>8.875248383939871</c:v>
                </c:pt>
                <c:pt idx="104">
                  <c:v>9.4554886997590692</c:v>
                </c:pt>
                <c:pt idx="105">
                  <c:v>7.9947957819463804</c:v>
                </c:pt>
                <c:pt idx="106">
                  <c:v>8.8987469613178209</c:v>
                </c:pt>
                <c:pt idx="107">
                  <c:v>6.8343795540251477</c:v>
                </c:pt>
                <c:pt idx="108">
                  <c:v>7.1627213335097455</c:v>
                </c:pt>
                <c:pt idx="109">
                  <c:v>7.7859036515534283</c:v>
                </c:pt>
                <c:pt idx="110">
                  <c:v>7.3677776024321844</c:v>
                </c:pt>
                <c:pt idx="111">
                  <c:v>7.6614466215618791</c:v>
                </c:pt>
                <c:pt idx="112">
                  <c:v>8.4399252389656567</c:v>
                </c:pt>
                <c:pt idx="113">
                  <c:v>5.0437580778617264</c:v>
                </c:pt>
                <c:pt idx="114">
                  <c:v>3.1884281628145041</c:v>
                </c:pt>
                <c:pt idx="115">
                  <c:v>3.6978422806000566</c:v>
                </c:pt>
                <c:pt idx="116">
                  <c:v>2.0985469133339967</c:v>
                </c:pt>
                <c:pt idx="117">
                  <c:v>0.98025468272385297</c:v>
                </c:pt>
                <c:pt idx="118">
                  <c:v>4.4905324016440533E-2</c:v>
                </c:pt>
                <c:pt idx="119">
                  <c:v>3.8430536079415991</c:v>
                </c:pt>
                <c:pt idx="120">
                  <c:v>2.7062142449740652</c:v>
                </c:pt>
                <c:pt idx="121">
                  <c:v>2.1797608709456284</c:v>
                </c:pt>
                <c:pt idx="122">
                  <c:v>2.5077907466600413</c:v>
                </c:pt>
                <c:pt idx="123">
                  <c:v>2.0266649834359778</c:v>
                </c:pt>
                <c:pt idx="124">
                  <c:v>0.6980067681632105</c:v>
                </c:pt>
                <c:pt idx="125">
                  <c:v>5.1843236515613853</c:v>
                </c:pt>
                <c:pt idx="126">
                  <c:v>5.8641888143896646</c:v>
                </c:pt>
                <c:pt idx="127">
                  <c:v>5.7004231444736053</c:v>
                </c:pt>
              </c:numCache>
            </c:numRef>
          </c:val>
          <c:extLst xmlns:c16r2="http://schemas.microsoft.com/office/drawing/2015/06/chart">
            <c:ext xmlns:c16="http://schemas.microsoft.com/office/drawing/2014/chart" uri="{C3380CC4-5D6E-409C-BE32-E72D297353CC}">
              <c16:uniqueId val="{00000002-B9FA-43ED-9640-2DCB6756FBF8}"/>
            </c:ext>
          </c:extLst>
        </c:ser>
        <c:marker val="1"/>
        <c:axId val="129043456"/>
        <c:axId val="129053440"/>
      </c:lineChart>
      <c:lineChart>
        <c:grouping val="standard"/>
        <c:ser>
          <c:idx val="3"/>
          <c:order val="3"/>
          <c:tx>
            <c:strRef>
              <c:f>'5-Sektor-nef. podn-úvěry'!$AE$5</c:f>
              <c:strCache>
                <c:ptCount val="1"/>
                <c:pt idx="0">
                  <c:v>% nevýkonných úvěrů nefinančním podnikům (pravá osa)</c:v>
                </c:pt>
              </c:strCache>
            </c:strRef>
          </c:tx>
          <c:spPr>
            <a:ln w="22225">
              <a:solidFill>
                <a:srgbClr val="BD1B21"/>
              </a:solidFill>
            </a:ln>
          </c:spPr>
          <c:marker>
            <c:symbol val="none"/>
          </c:marker>
          <c:cat>
            <c:multiLvlStrRef>
              <c:f>'5-Sektor-nef. podn-úvěry'!$Z$6:$AA$137</c:f>
              <c:multiLvlStrCache>
                <c:ptCount val="129"/>
                <c:lvl>
                  <c:pt idx="0">
                    <c:v>1</c:v>
                  </c:pt>
                  <c:pt idx="4">
                    <c:v>5</c:v>
                  </c:pt>
                  <c:pt idx="8">
                    <c:v>9</c:v>
                  </c:pt>
                  <c:pt idx="12">
                    <c:v>1</c:v>
                  </c:pt>
                  <c:pt idx="16">
                    <c:v>5</c:v>
                  </c:pt>
                  <c:pt idx="20">
                    <c:v>9</c:v>
                  </c:pt>
                  <c:pt idx="24">
                    <c:v>1</c:v>
                  </c:pt>
                  <c:pt idx="28">
                    <c:v>5</c:v>
                  </c:pt>
                  <c:pt idx="32">
                    <c:v>9</c:v>
                  </c:pt>
                  <c:pt idx="36">
                    <c:v>1</c:v>
                  </c:pt>
                  <c:pt idx="40">
                    <c:v>5</c:v>
                  </c:pt>
                  <c:pt idx="44">
                    <c:v>9</c:v>
                  </c:pt>
                  <c:pt idx="48">
                    <c:v>1</c:v>
                  </c:pt>
                  <c:pt idx="52">
                    <c:v>5</c:v>
                  </c:pt>
                  <c:pt idx="56">
                    <c:v>9</c:v>
                  </c:pt>
                  <c:pt idx="60">
                    <c:v>1</c:v>
                  </c:pt>
                  <c:pt idx="64">
                    <c:v>5</c:v>
                  </c:pt>
                  <c:pt idx="68">
                    <c:v>9</c:v>
                  </c:pt>
                  <c:pt idx="72">
                    <c:v>1</c:v>
                  </c:pt>
                  <c:pt idx="76">
                    <c:v>5</c:v>
                  </c:pt>
                  <c:pt idx="80">
                    <c:v>9</c:v>
                  </c:pt>
                  <c:pt idx="84">
                    <c:v>1</c:v>
                  </c:pt>
                  <c:pt idx="88">
                    <c:v>5</c:v>
                  </c:pt>
                  <c:pt idx="92">
                    <c:v>9</c:v>
                  </c:pt>
                  <c:pt idx="96">
                    <c:v>1</c:v>
                  </c:pt>
                  <c:pt idx="100">
                    <c:v>5</c:v>
                  </c:pt>
                  <c:pt idx="104">
                    <c:v>9</c:v>
                  </c:pt>
                  <c:pt idx="108">
                    <c:v>1</c:v>
                  </c:pt>
                  <c:pt idx="112">
                    <c:v>5</c:v>
                  </c:pt>
                  <c:pt idx="116">
                    <c:v>9</c:v>
                  </c:pt>
                  <c:pt idx="120">
                    <c:v>1</c:v>
                  </c:pt>
                  <c:pt idx="124">
                    <c:v>5</c:v>
                  </c:pt>
                  <c:pt idx="128">
                    <c:v>9</c:v>
                  </c:pt>
                </c:lvl>
                <c:lvl>
                  <c:pt idx="0">
                    <c:v>2008</c:v>
                  </c:pt>
                  <c:pt idx="12">
                    <c:v>2009</c:v>
                  </c:pt>
                  <c:pt idx="24">
                    <c:v>2010</c:v>
                  </c:pt>
                  <c:pt idx="36">
                    <c:v>2011</c:v>
                  </c:pt>
                  <c:pt idx="48">
                    <c:v>2012</c:v>
                  </c:pt>
                  <c:pt idx="60">
                    <c:v>2013</c:v>
                  </c:pt>
                  <c:pt idx="72">
                    <c:v>2014</c:v>
                  </c:pt>
                  <c:pt idx="84">
                    <c:v>2015</c:v>
                  </c:pt>
                  <c:pt idx="96">
                    <c:v>2016</c:v>
                  </c:pt>
                  <c:pt idx="108">
                    <c:v>2017</c:v>
                  </c:pt>
                  <c:pt idx="120">
                    <c:v>2018</c:v>
                  </c:pt>
                </c:lvl>
              </c:multiLvlStrCache>
            </c:multiLvlStrRef>
          </c:cat>
          <c:val>
            <c:numRef>
              <c:f>'5-Sektor-nef. podn-úvěry'!$AE$6:$AE$137</c:f>
              <c:numCache>
                <c:formatCode>0.0</c:formatCode>
                <c:ptCount val="132"/>
                <c:pt idx="0">
                  <c:v>3.3109008178175112</c:v>
                </c:pt>
                <c:pt idx="1">
                  <c:v>3.307727023740211</c:v>
                </c:pt>
                <c:pt idx="2">
                  <c:v>3.5258714162305518</c:v>
                </c:pt>
                <c:pt idx="3">
                  <c:v>3.4390418478732143</c:v>
                </c:pt>
                <c:pt idx="4">
                  <c:v>3.4134248089705692</c:v>
                </c:pt>
                <c:pt idx="5">
                  <c:v>3.393113178934025</c:v>
                </c:pt>
                <c:pt idx="6">
                  <c:v>3.7397851148120598</c:v>
                </c:pt>
                <c:pt idx="7">
                  <c:v>3.7969391711285736</c:v>
                </c:pt>
                <c:pt idx="8">
                  <c:v>3.9885869675908641</c:v>
                </c:pt>
                <c:pt idx="9">
                  <c:v>4.1539954129847754</c:v>
                </c:pt>
                <c:pt idx="10">
                  <c:v>4.1634746459844347</c:v>
                </c:pt>
                <c:pt idx="11">
                  <c:v>4.3483289556915894</c:v>
                </c:pt>
                <c:pt idx="12">
                  <c:v>4.6453830819406434</c:v>
                </c:pt>
                <c:pt idx="13">
                  <c:v>4.9440202580309345</c:v>
                </c:pt>
                <c:pt idx="14">
                  <c:v>5.4290218349484949</c:v>
                </c:pt>
                <c:pt idx="15">
                  <c:v>5.5442057008161774</c:v>
                </c:pt>
                <c:pt idx="16">
                  <c:v>6.0791020152703537</c:v>
                </c:pt>
                <c:pt idx="17">
                  <c:v>6.5485880412236437</c:v>
                </c:pt>
                <c:pt idx="18">
                  <c:v>6.7567081324117124</c:v>
                </c:pt>
                <c:pt idx="19">
                  <c:v>7.1075922092277599</c:v>
                </c:pt>
                <c:pt idx="20">
                  <c:v>7.5165671891896793</c:v>
                </c:pt>
                <c:pt idx="21">
                  <c:v>7.9139764284401339</c:v>
                </c:pt>
                <c:pt idx="22">
                  <c:v>8.1355624328145559</c:v>
                </c:pt>
                <c:pt idx="23">
                  <c:v>8.5944596846533194</c:v>
                </c:pt>
                <c:pt idx="24">
                  <c:v>8.6930331622885539</c:v>
                </c:pt>
                <c:pt idx="25">
                  <c:v>8.7652937924691692</c:v>
                </c:pt>
                <c:pt idx="26">
                  <c:v>8.9973215837097289</c:v>
                </c:pt>
                <c:pt idx="27">
                  <c:v>9.3949172937938457</c:v>
                </c:pt>
                <c:pt idx="28">
                  <c:v>9.2554991853825506</c:v>
                </c:pt>
                <c:pt idx="29">
                  <c:v>9.5367301056861287</c:v>
                </c:pt>
                <c:pt idx="30">
                  <c:v>9.6061270237677174</c:v>
                </c:pt>
                <c:pt idx="31">
                  <c:v>9.5526350225030718</c:v>
                </c:pt>
                <c:pt idx="32">
                  <c:v>9.945328198721219</c:v>
                </c:pt>
                <c:pt idx="33">
                  <c:v>9.8093156308356448</c:v>
                </c:pt>
                <c:pt idx="34">
                  <c:v>9.7059080371286708</c:v>
                </c:pt>
                <c:pt idx="35">
                  <c:v>9.878935661048569</c:v>
                </c:pt>
                <c:pt idx="36">
                  <c:v>9.7362498495691092</c:v>
                </c:pt>
                <c:pt idx="37">
                  <c:v>9.6546349844895207</c:v>
                </c:pt>
                <c:pt idx="38">
                  <c:v>9.6037763883778684</c:v>
                </c:pt>
                <c:pt idx="39">
                  <c:v>9.3467269969160203</c:v>
                </c:pt>
                <c:pt idx="40">
                  <c:v>9.2249788365549659</c:v>
                </c:pt>
                <c:pt idx="41">
                  <c:v>9.2957041415285175</c:v>
                </c:pt>
                <c:pt idx="42">
                  <c:v>9.0847188325859225</c:v>
                </c:pt>
                <c:pt idx="43">
                  <c:v>9.2761516878558439</c:v>
                </c:pt>
                <c:pt idx="44">
                  <c:v>9.2920819621418111</c:v>
                </c:pt>
                <c:pt idx="45">
                  <c:v>8.9446792734602028</c:v>
                </c:pt>
                <c:pt idx="46">
                  <c:v>8.8514594951797143</c:v>
                </c:pt>
                <c:pt idx="47">
                  <c:v>8.9289555018985389</c:v>
                </c:pt>
                <c:pt idx="48">
                  <c:v>8.7805994852465137</c:v>
                </c:pt>
                <c:pt idx="49">
                  <c:v>8.8125622516460584</c:v>
                </c:pt>
                <c:pt idx="50">
                  <c:v>8.761283818126854</c:v>
                </c:pt>
                <c:pt idx="51">
                  <c:v>8.5996806972785222</c:v>
                </c:pt>
                <c:pt idx="52">
                  <c:v>8.5305232749609257</c:v>
                </c:pt>
                <c:pt idx="53">
                  <c:v>8.5019209950418411</c:v>
                </c:pt>
                <c:pt idx="54">
                  <c:v>8.4317595513323269</c:v>
                </c:pt>
                <c:pt idx="55">
                  <c:v>8.1611905294903053</c:v>
                </c:pt>
                <c:pt idx="56">
                  <c:v>8.0229771447746483</c:v>
                </c:pt>
                <c:pt idx="57">
                  <c:v>8.1180372662670841</c:v>
                </c:pt>
                <c:pt idx="58">
                  <c:v>8.119042313183261</c:v>
                </c:pt>
                <c:pt idx="59">
                  <c:v>7.9442625861375431</c:v>
                </c:pt>
                <c:pt idx="60">
                  <c:v>7.9709943254132094</c:v>
                </c:pt>
                <c:pt idx="61">
                  <c:v>8.018866966716045</c:v>
                </c:pt>
                <c:pt idx="62">
                  <c:v>7.9851771358559454</c:v>
                </c:pt>
                <c:pt idx="63">
                  <c:v>8.0975686105617193</c:v>
                </c:pt>
                <c:pt idx="64">
                  <c:v>8.244609062593506</c:v>
                </c:pt>
                <c:pt idx="65">
                  <c:v>8.2194109004263733</c:v>
                </c:pt>
                <c:pt idx="66">
                  <c:v>8.2335058570674846</c:v>
                </c:pt>
                <c:pt idx="67">
                  <c:v>8.0265866528584766</c:v>
                </c:pt>
                <c:pt idx="68">
                  <c:v>7.8784384100927474</c:v>
                </c:pt>
                <c:pt idx="69">
                  <c:v>7.9738267399770884</c:v>
                </c:pt>
                <c:pt idx="70">
                  <c:v>7.7036556003236933</c:v>
                </c:pt>
                <c:pt idx="71">
                  <c:v>7.7047914233767489</c:v>
                </c:pt>
                <c:pt idx="72">
                  <c:v>7.6502283749733424</c:v>
                </c:pt>
                <c:pt idx="73">
                  <c:v>7.6639960398372606</c:v>
                </c:pt>
                <c:pt idx="74">
                  <c:v>7.8010264419302784</c:v>
                </c:pt>
                <c:pt idx="75">
                  <c:v>7.9168117029483094</c:v>
                </c:pt>
                <c:pt idx="76">
                  <c:v>7.7888397037114334</c:v>
                </c:pt>
                <c:pt idx="77">
                  <c:v>7.5143970608595057</c:v>
                </c:pt>
                <c:pt idx="78">
                  <c:v>7.6590796316708527</c:v>
                </c:pt>
                <c:pt idx="79">
                  <c:v>7.4306267417914524</c:v>
                </c:pt>
                <c:pt idx="80">
                  <c:v>7.3917852691761947</c:v>
                </c:pt>
                <c:pt idx="81">
                  <c:v>7.3498452727557355</c:v>
                </c:pt>
                <c:pt idx="82">
                  <c:v>7.3679117077027581</c:v>
                </c:pt>
                <c:pt idx="83">
                  <c:v>7.1931393253447693</c:v>
                </c:pt>
                <c:pt idx="84">
                  <c:v>7.1174156026415245</c:v>
                </c:pt>
                <c:pt idx="85">
                  <c:v>7.0876957009899737</c:v>
                </c:pt>
                <c:pt idx="86">
                  <c:v>6.8349931945227924</c:v>
                </c:pt>
                <c:pt idx="87">
                  <c:v>6.5678451032415737</c:v>
                </c:pt>
                <c:pt idx="88">
                  <c:v>6.4686194061301121</c:v>
                </c:pt>
                <c:pt idx="89">
                  <c:v>6.3665123466750417</c:v>
                </c:pt>
                <c:pt idx="90">
                  <c:v>6.2342656697835794</c:v>
                </c:pt>
                <c:pt idx="91">
                  <c:v>6.059874691609215</c:v>
                </c:pt>
                <c:pt idx="92">
                  <c:v>5.9387887509232424</c:v>
                </c:pt>
                <c:pt idx="93">
                  <c:v>5.9170252474749789</c:v>
                </c:pt>
                <c:pt idx="94">
                  <c:v>5.9276065104363056</c:v>
                </c:pt>
                <c:pt idx="95">
                  <c:v>6.0672190218740294</c:v>
                </c:pt>
                <c:pt idx="96">
                  <c:v>5.8207386889486674</c:v>
                </c:pt>
                <c:pt idx="97">
                  <c:v>5.7065079065221598</c:v>
                </c:pt>
                <c:pt idx="98">
                  <c:v>5.4327181516567409</c:v>
                </c:pt>
                <c:pt idx="99">
                  <c:v>5.3817580076625511</c:v>
                </c:pt>
                <c:pt idx="100">
                  <c:v>5.2182344034203494</c:v>
                </c:pt>
                <c:pt idx="101">
                  <c:v>5.454915374792896</c:v>
                </c:pt>
                <c:pt idx="102">
                  <c:v>5.2607184712459247</c:v>
                </c:pt>
                <c:pt idx="103">
                  <c:v>5.3552582365324755</c:v>
                </c:pt>
                <c:pt idx="104">
                  <c:v>5.4222791919250524</c:v>
                </c:pt>
                <c:pt idx="105">
                  <c:v>5.2781881961543924</c:v>
                </c:pt>
                <c:pt idx="106">
                  <c:v>5.1783098335308084</c:v>
                </c:pt>
                <c:pt idx="107">
                  <c:v>5.4367504644948337</c:v>
                </c:pt>
                <c:pt idx="108">
                  <c:v>5.4765579796613197</c:v>
                </c:pt>
                <c:pt idx="109">
                  <c:v>5.4482841329749574</c:v>
                </c:pt>
                <c:pt idx="110">
                  <c:v>5.2166700671707789</c:v>
                </c:pt>
                <c:pt idx="111">
                  <c:v>4.9110715869160364</c:v>
                </c:pt>
                <c:pt idx="112">
                  <c:v>4.8411707503129495</c:v>
                </c:pt>
                <c:pt idx="113">
                  <c:v>4.8684132791672035</c:v>
                </c:pt>
                <c:pt idx="114">
                  <c:v>4.7135839727091486</c:v>
                </c:pt>
                <c:pt idx="115">
                  <c:v>4.7077744382450355</c:v>
                </c:pt>
                <c:pt idx="116">
                  <c:v>4.6043491814790114</c:v>
                </c:pt>
                <c:pt idx="117">
                  <c:v>4.5661883377460173</c:v>
                </c:pt>
                <c:pt idx="118">
                  <c:v>4.5442468988194875</c:v>
                </c:pt>
                <c:pt idx="119">
                  <c:v>4.4164121977906534</c:v>
                </c:pt>
                <c:pt idx="120">
                  <c:v>4.4105226980265941</c:v>
                </c:pt>
                <c:pt idx="121">
                  <c:v>4.1003019534435969</c:v>
                </c:pt>
                <c:pt idx="122">
                  <c:v>4.0410313296539098</c:v>
                </c:pt>
                <c:pt idx="123">
                  <c:v>3.9972627300764838</c:v>
                </c:pt>
                <c:pt idx="124">
                  <c:v>3.9052530624484225</c:v>
                </c:pt>
                <c:pt idx="125">
                  <c:v>3.7217238694295682</c:v>
                </c:pt>
                <c:pt idx="126">
                  <c:v>3.6037644717569113</c:v>
                </c:pt>
                <c:pt idx="127">
                  <c:v>3.5794622350804377</c:v>
                </c:pt>
              </c:numCache>
            </c:numRef>
          </c:val>
          <c:extLst xmlns:c16r2="http://schemas.microsoft.com/office/drawing/2015/06/chart">
            <c:ext xmlns:c16="http://schemas.microsoft.com/office/drawing/2014/chart" uri="{C3380CC4-5D6E-409C-BE32-E72D297353CC}">
              <c16:uniqueId val="{00000003-B9FA-43ED-9640-2DCB6756FBF8}"/>
            </c:ext>
          </c:extLst>
        </c:ser>
        <c:marker val="1"/>
        <c:axId val="129060864"/>
        <c:axId val="129054976"/>
      </c:lineChart>
      <c:catAx>
        <c:axId val="129043456"/>
        <c:scaling>
          <c:orientation val="minMax"/>
        </c:scaling>
        <c:axPos val="b"/>
        <c:numFmt formatCode="General" sourceLinked="1"/>
        <c:majorTickMark val="none"/>
        <c:tickLblPos val="low"/>
        <c:txPr>
          <a:bodyPr rot="0" vert="horz"/>
          <a:lstStyle/>
          <a:p>
            <a:pPr>
              <a:defRPr sz="800">
                <a:latin typeface="Arial" pitchFamily="34" charset="0"/>
                <a:cs typeface="Arial" pitchFamily="34" charset="0"/>
              </a:defRPr>
            </a:pPr>
            <a:endParaRPr lang="cs-CZ"/>
          </a:p>
        </c:txPr>
        <c:crossAx val="129053440"/>
        <c:crosses val="autoZero"/>
        <c:auto val="1"/>
        <c:lblAlgn val="ctr"/>
        <c:lblOffset val="0"/>
        <c:tickLblSkip val="12"/>
        <c:tickMarkSkip val="12"/>
      </c:catAx>
      <c:valAx>
        <c:axId val="129053440"/>
        <c:scaling>
          <c:orientation val="minMax"/>
          <c:min val="-30"/>
        </c:scaling>
        <c:axPos val="l"/>
        <c:majorGridlines>
          <c:spPr>
            <a:ln w="9525">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9043456"/>
        <c:crosses val="autoZero"/>
        <c:crossBetween val="between"/>
      </c:valAx>
      <c:valAx>
        <c:axId val="129054976"/>
        <c:scaling>
          <c:orientation val="minMax"/>
          <c:max val="14"/>
          <c:min val="0"/>
        </c:scaling>
        <c:axPos val="r"/>
        <c:numFmt formatCode="0" sourceLinked="0"/>
        <c:tickLblPos val="nextTo"/>
        <c:txPr>
          <a:bodyPr/>
          <a:lstStyle/>
          <a:p>
            <a:pPr>
              <a:defRPr sz="800">
                <a:latin typeface="Arial" pitchFamily="34" charset="0"/>
                <a:cs typeface="Arial" pitchFamily="34" charset="0"/>
              </a:defRPr>
            </a:pPr>
            <a:endParaRPr lang="cs-CZ"/>
          </a:p>
        </c:txPr>
        <c:crossAx val="129060864"/>
        <c:crosses val="max"/>
        <c:crossBetween val="between"/>
      </c:valAx>
      <c:catAx>
        <c:axId val="129060864"/>
        <c:scaling>
          <c:orientation val="minMax"/>
        </c:scaling>
        <c:delete val="1"/>
        <c:axPos val="b"/>
        <c:numFmt formatCode="General" sourceLinked="1"/>
        <c:tickLblPos val="none"/>
        <c:crossAx val="129054976"/>
        <c:crosses val="autoZero"/>
        <c:auto val="1"/>
        <c:lblAlgn val="ctr"/>
        <c:lblOffset val="100"/>
      </c:catAx>
      <c:spPr>
        <a:ln>
          <a:solidFill>
            <a:sysClr val="windowText" lastClr="000000">
              <a:lumMod val="95000"/>
              <a:lumOff val="5000"/>
            </a:sysClr>
          </a:solidFill>
        </a:ln>
      </c:spPr>
    </c:plotArea>
    <c:legend>
      <c:legendPos val="r"/>
      <c:layout>
        <c:manualLayout>
          <c:xMode val="edge"/>
          <c:yMode val="edge"/>
          <c:x val="5.5451985505860349E-2"/>
          <c:y val="0.84911392760396931"/>
          <c:w val="0.86504723346829482"/>
          <c:h val="0.14019088523025533"/>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608838874897725"/>
          <c:y val="2.1390374331550797E-2"/>
          <c:w val="0.87783863049508692"/>
          <c:h val="0.70364843432004764"/>
        </c:manualLayout>
      </c:layout>
      <c:barChart>
        <c:barDir val="col"/>
        <c:grouping val="stacked"/>
        <c:ser>
          <c:idx val="0"/>
          <c:order val="0"/>
          <c:tx>
            <c:strRef>
              <c:f>'6-Sektor-nef. zadluženoist'!$P$168</c:f>
              <c:strCache>
                <c:ptCount val="1"/>
                <c:pt idx="0">
                  <c:v>Dluhové cenné papíry (AF.3)</c:v>
                </c:pt>
              </c:strCache>
            </c:strRef>
          </c:tx>
          <c:spPr>
            <a:solidFill>
              <a:schemeClr val="accent1"/>
            </a:solidFill>
            <a:ln w="22225">
              <a:noFill/>
            </a:ln>
          </c:spPr>
          <c:cat>
            <c:strRef>
              <c:f>'6-Sektor-nef. zadluženoist'!$L$169:$L$198</c:f>
              <c:strCache>
                <c:ptCount val="30"/>
                <c:pt idx="0">
                  <c:v>Lucemburs.</c:v>
                </c:pt>
                <c:pt idx="1">
                  <c:v>Irsko</c:v>
                </c:pt>
                <c:pt idx="2">
                  <c:v>Kypr</c:v>
                </c:pt>
                <c:pt idx="3">
                  <c:v>Nizozemsko</c:v>
                </c:pt>
                <c:pt idx="4">
                  <c:v>Belgie</c:v>
                </c:pt>
                <c:pt idx="5">
                  <c:v>Švédsko</c:v>
                </c:pt>
                <c:pt idx="6">
                  <c:v>Dánsko</c:v>
                </c:pt>
                <c:pt idx="7">
                  <c:v>Portugalsko</c:v>
                </c:pt>
                <c:pt idx="8">
                  <c:v>Malta</c:v>
                </c:pt>
                <c:pt idx="9">
                  <c:v>Francie</c:v>
                </c:pt>
                <c:pt idx="10">
                  <c:v>Bulharsko</c:v>
                </c:pt>
                <c:pt idx="11">
                  <c:v>Eurozóna (19)</c:v>
                </c:pt>
                <c:pt idx="12">
                  <c:v>Lotyšsko</c:v>
                </c:pt>
                <c:pt idx="13">
                  <c:v>EU28</c:v>
                </c:pt>
                <c:pt idx="14">
                  <c:v>V. Británie</c:v>
                </c:pt>
                <c:pt idx="15">
                  <c:v>Slovensko</c:v>
                </c:pt>
                <c:pt idx="16">
                  <c:v>Španělsko</c:v>
                </c:pt>
                <c:pt idx="17">
                  <c:v>Finsko</c:v>
                </c:pt>
                <c:pt idx="18">
                  <c:v>Estonsko</c:v>
                </c:pt>
                <c:pt idx="19">
                  <c:v>Chorvatsko</c:v>
                </c:pt>
                <c:pt idx="20">
                  <c:v>Rakousko</c:v>
                </c:pt>
                <c:pt idx="21">
                  <c:v>Itálie</c:v>
                </c:pt>
                <c:pt idx="22">
                  <c:v>Maďarsko</c:v>
                </c:pt>
                <c:pt idx="23">
                  <c:v>Slovinsko</c:v>
                </c:pt>
                <c:pt idx="24">
                  <c:v>Řecko</c:v>
                </c:pt>
                <c:pt idx="25">
                  <c:v>Německo</c:v>
                </c:pt>
                <c:pt idx="26">
                  <c:v>Rumunsko</c:v>
                </c:pt>
                <c:pt idx="27">
                  <c:v>Polsko</c:v>
                </c:pt>
                <c:pt idx="28">
                  <c:v>Česko</c:v>
                </c:pt>
                <c:pt idx="29">
                  <c:v>Litva</c:v>
                </c:pt>
              </c:strCache>
            </c:strRef>
          </c:cat>
          <c:val>
            <c:numRef>
              <c:f>'6-Sektor-nef. zadluženoist'!$P$169:$P$198</c:f>
              <c:numCache>
                <c:formatCode>#,##0.0</c:formatCode>
                <c:ptCount val="30"/>
                <c:pt idx="0">
                  <c:v>41.3</c:v>
                </c:pt>
                <c:pt idx="1">
                  <c:v>5.9</c:v>
                </c:pt>
                <c:pt idx="2">
                  <c:v>0.5</c:v>
                </c:pt>
                <c:pt idx="3">
                  <c:v>19.600000000000001</c:v>
                </c:pt>
                <c:pt idx="4">
                  <c:v>14.7</c:v>
                </c:pt>
                <c:pt idx="5">
                  <c:v>21.1</c:v>
                </c:pt>
                <c:pt idx="6">
                  <c:v>8.9</c:v>
                </c:pt>
                <c:pt idx="7">
                  <c:v>17.600000000000001</c:v>
                </c:pt>
                <c:pt idx="8">
                  <c:v>6.1</c:v>
                </c:pt>
                <c:pt idx="9">
                  <c:v>28.3</c:v>
                </c:pt>
                <c:pt idx="10">
                  <c:v>4.0999999999999996</c:v>
                </c:pt>
                <c:pt idx="11">
                  <c:v>12.6</c:v>
                </c:pt>
                <c:pt idx="12">
                  <c:v>0.70000000000000062</c:v>
                </c:pt>
                <c:pt idx="13">
                  <c:v>13.2</c:v>
                </c:pt>
                <c:pt idx="14">
                  <c:v>19.3</c:v>
                </c:pt>
                <c:pt idx="15">
                  <c:v>8.5</c:v>
                </c:pt>
                <c:pt idx="16">
                  <c:v>2.5</c:v>
                </c:pt>
                <c:pt idx="17">
                  <c:v>13.7</c:v>
                </c:pt>
                <c:pt idx="18">
                  <c:v>5.8</c:v>
                </c:pt>
                <c:pt idx="19">
                  <c:v>3.5</c:v>
                </c:pt>
                <c:pt idx="20">
                  <c:v>10.9</c:v>
                </c:pt>
                <c:pt idx="21">
                  <c:v>9.4</c:v>
                </c:pt>
                <c:pt idx="22">
                  <c:v>1.5</c:v>
                </c:pt>
                <c:pt idx="23">
                  <c:v>2.2000000000000002</c:v>
                </c:pt>
                <c:pt idx="24">
                  <c:v>0.4</c:v>
                </c:pt>
                <c:pt idx="25">
                  <c:v>6.4</c:v>
                </c:pt>
                <c:pt idx="26">
                  <c:v>0</c:v>
                </c:pt>
                <c:pt idx="27">
                  <c:v>4.5</c:v>
                </c:pt>
                <c:pt idx="28">
                  <c:v>6.5</c:v>
                </c:pt>
                <c:pt idx="29">
                  <c:v>1.3</c:v>
                </c:pt>
              </c:numCache>
            </c:numRef>
          </c:val>
          <c:extLst xmlns:c16r2="http://schemas.microsoft.com/office/drawing/2015/06/chart">
            <c:ext xmlns:c16="http://schemas.microsoft.com/office/drawing/2014/chart" uri="{C3380CC4-5D6E-409C-BE32-E72D297353CC}">
              <c16:uniqueId val="{00000000-AD02-4F37-BAF3-FA42EF95A8D6}"/>
            </c:ext>
          </c:extLst>
        </c:ser>
        <c:ser>
          <c:idx val="1"/>
          <c:order val="1"/>
          <c:tx>
            <c:strRef>
              <c:f>'6-Sektor-nef. zadluženoist'!$Q$168</c:f>
              <c:strCache>
                <c:ptCount val="1"/>
                <c:pt idx="0">
                  <c:v>Půjčky (AF.4)</c:v>
                </c:pt>
              </c:strCache>
            </c:strRef>
          </c:tx>
          <c:spPr>
            <a:ln>
              <a:noFill/>
            </a:ln>
          </c:spPr>
          <c:cat>
            <c:strRef>
              <c:f>'6-Sektor-nef. zadluženoist'!$L$169:$L$198</c:f>
              <c:strCache>
                <c:ptCount val="30"/>
                <c:pt idx="0">
                  <c:v>Lucemburs.</c:v>
                </c:pt>
                <c:pt idx="1">
                  <c:v>Irsko</c:v>
                </c:pt>
                <c:pt idx="2">
                  <c:v>Kypr</c:v>
                </c:pt>
                <c:pt idx="3">
                  <c:v>Nizozemsko</c:v>
                </c:pt>
                <c:pt idx="4">
                  <c:v>Belgie</c:v>
                </c:pt>
                <c:pt idx="5">
                  <c:v>Švédsko</c:v>
                </c:pt>
                <c:pt idx="6">
                  <c:v>Dánsko</c:v>
                </c:pt>
                <c:pt idx="7">
                  <c:v>Portugalsko</c:v>
                </c:pt>
                <c:pt idx="8">
                  <c:v>Malta</c:v>
                </c:pt>
                <c:pt idx="9">
                  <c:v>Francie</c:v>
                </c:pt>
                <c:pt idx="10">
                  <c:v>Bulharsko</c:v>
                </c:pt>
                <c:pt idx="11">
                  <c:v>Eurozóna (19)</c:v>
                </c:pt>
                <c:pt idx="12">
                  <c:v>Lotyšsko</c:v>
                </c:pt>
                <c:pt idx="13">
                  <c:v>EU28</c:v>
                </c:pt>
                <c:pt idx="14">
                  <c:v>V. Británie</c:v>
                </c:pt>
                <c:pt idx="15">
                  <c:v>Slovensko</c:v>
                </c:pt>
                <c:pt idx="16">
                  <c:v>Španělsko</c:v>
                </c:pt>
                <c:pt idx="17">
                  <c:v>Finsko</c:v>
                </c:pt>
                <c:pt idx="18">
                  <c:v>Estonsko</c:v>
                </c:pt>
                <c:pt idx="19">
                  <c:v>Chorvatsko</c:v>
                </c:pt>
                <c:pt idx="20">
                  <c:v>Rakousko</c:v>
                </c:pt>
                <c:pt idx="21">
                  <c:v>Itálie</c:v>
                </c:pt>
                <c:pt idx="22">
                  <c:v>Maďarsko</c:v>
                </c:pt>
                <c:pt idx="23">
                  <c:v>Slovinsko</c:v>
                </c:pt>
                <c:pt idx="24">
                  <c:v>Řecko</c:v>
                </c:pt>
                <c:pt idx="25">
                  <c:v>Německo</c:v>
                </c:pt>
                <c:pt idx="26">
                  <c:v>Rumunsko</c:v>
                </c:pt>
                <c:pt idx="27">
                  <c:v>Polsko</c:v>
                </c:pt>
                <c:pt idx="28">
                  <c:v>Česko</c:v>
                </c:pt>
                <c:pt idx="29">
                  <c:v>Litva</c:v>
                </c:pt>
              </c:strCache>
            </c:strRef>
          </c:cat>
          <c:val>
            <c:numRef>
              <c:f>'6-Sektor-nef. zadluženoist'!$Q$169:$Q$198</c:f>
              <c:numCache>
                <c:formatCode>#,##0.0</c:formatCode>
                <c:ptCount val="30"/>
                <c:pt idx="0">
                  <c:v>249.2</c:v>
                </c:pt>
                <c:pt idx="1">
                  <c:v>190.1</c:v>
                </c:pt>
                <c:pt idx="2">
                  <c:v>208.3</c:v>
                </c:pt>
                <c:pt idx="3">
                  <c:v>128</c:v>
                </c:pt>
                <c:pt idx="4">
                  <c:v>113</c:v>
                </c:pt>
                <c:pt idx="5">
                  <c:v>85.1</c:v>
                </c:pt>
                <c:pt idx="6">
                  <c:v>67.099999999999994</c:v>
                </c:pt>
                <c:pt idx="7">
                  <c:v>75.7</c:v>
                </c:pt>
                <c:pt idx="8">
                  <c:v>63.7</c:v>
                </c:pt>
                <c:pt idx="9">
                  <c:v>61.4</c:v>
                </c:pt>
                <c:pt idx="10">
                  <c:v>75.599999999999994</c:v>
                </c:pt>
                <c:pt idx="11">
                  <c:v>69.3</c:v>
                </c:pt>
                <c:pt idx="12">
                  <c:v>60.7</c:v>
                </c:pt>
                <c:pt idx="13">
                  <c:v>66.7</c:v>
                </c:pt>
                <c:pt idx="14">
                  <c:v>63.5</c:v>
                </c:pt>
                <c:pt idx="15">
                  <c:v>47.1</c:v>
                </c:pt>
                <c:pt idx="16">
                  <c:v>75.2</c:v>
                </c:pt>
                <c:pt idx="17">
                  <c:v>65.5</c:v>
                </c:pt>
                <c:pt idx="18">
                  <c:v>61.2</c:v>
                </c:pt>
                <c:pt idx="19">
                  <c:v>60.8</c:v>
                </c:pt>
                <c:pt idx="20">
                  <c:v>61.2</c:v>
                </c:pt>
                <c:pt idx="21">
                  <c:v>60.3</c:v>
                </c:pt>
                <c:pt idx="22">
                  <c:v>51.2</c:v>
                </c:pt>
                <c:pt idx="23">
                  <c:v>46.2</c:v>
                </c:pt>
                <c:pt idx="24">
                  <c:v>60.6</c:v>
                </c:pt>
                <c:pt idx="25">
                  <c:v>40.9</c:v>
                </c:pt>
                <c:pt idx="26">
                  <c:v>34.700000000000003</c:v>
                </c:pt>
                <c:pt idx="27">
                  <c:v>37</c:v>
                </c:pt>
                <c:pt idx="28">
                  <c:v>31.3</c:v>
                </c:pt>
                <c:pt idx="29">
                  <c:v>32.300000000000004</c:v>
                </c:pt>
              </c:numCache>
            </c:numRef>
          </c:val>
          <c:extLst xmlns:c16r2="http://schemas.microsoft.com/office/drawing/2015/06/chart">
            <c:ext xmlns:c16="http://schemas.microsoft.com/office/drawing/2014/chart" uri="{C3380CC4-5D6E-409C-BE32-E72D297353CC}">
              <c16:uniqueId val="{00000001-AD02-4F37-BAF3-FA42EF95A8D6}"/>
            </c:ext>
          </c:extLst>
        </c:ser>
        <c:ser>
          <c:idx val="2"/>
          <c:order val="2"/>
          <c:tx>
            <c:strRef>
              <c:f>'6-Sektor-nef. zadluženoist'!$R$168</c:f>
              <c:strCache>
                <c:ptCount val="1"/>
                <c:pt idx="0">
                  <c:v>Ostatní pohledávky/závazky (AF.8)</c:v>
                </c:pt>
              </c:strCache>
            </c:strRef>
          </c:tx>
          <c:spPr>
            <a:ln>
              <a:noFill/>
            </a:ln>
          </c:spPr>
          <c:cat>
            <c:strRef>
              <c:f>'6-Sektor-nef. zadluženoist'!$L$169:$L$198</c:f>
              <c:strCache>
                <c:ptCount val="30"/>
                <c:pt idx="0">
                  <c:v>Lucemburs.</c:v>
                </c:pt>
                <c:pt idx="1">
                  <c:v>Irsko</c:v>
                </c:pt>
                <c:pt idx="2">
                  <c:v>Kypr</c:v>
                </c:pt>
                <c:pt idx="3">
                  <c:v>Nizozemsko</c:v>
                </c:pt>
                <c:pt idx="4">
                  <c:v>Belgie</c:v>
                </c:pt>
                <c:pt idx="5">
                  <c:v>Švédsko</c:v>
                </c:pt>
                <c:pt idx="6">
                  <c:v>Dánsko</c:v>
                </c:pt>
                <c:pt idx="7">
                  <c:v>Portugalsko</c:v>
                </c:pt>
                <c:pt idx="8">
                  <c:v>Malta</c:v>
                </c:pt>
                <c:pt idx="9">
                  <c:v>Francie</c:v>
                </c:pt>
                <c:pt idx="10">
                  <c:v>Bulharsko</c:v>
                </c:pt>
                <c:pt idx="11">
                  <c:v>Eurozóna (19)</c:v>
                </c:pt>
                <c:pt idx="12">
                  <c:v>Lotyšsko</c:v>
                </c:pt>
                <c:pt idx="13">
                  <c:v>EU28</c:v>
                </c:pt>
                <c:pt idx="14">
                  <c:v>V. Británie</c:v>
                </c:pt>
                <c:pt idx="15">
                  <c:v>Slovensko</c:v>
                </c:pt>
                <c:pt idx="16">
                  <c:v>Španělsko</c:v>
                </c:pt>
                <c:pt idx="17">
                  <c:v>Finsko</c:v>
                </c:pt>
                <c:pt idx="18">
                  <c:v>Estonsko</c:v>
                </c:pt>
                <c:pt idx="19">
                  <c:v>Chorvatsko</c:v>
                </c:pt>
                <c:pt idx="20">
                  <c:v>Rakousko</c:v>
                </c:pt>
                <c:pt idx="21">
                  <c:v>Itálie</c:v>
                </c:pt>
                <c:pt idx="22">
                  <c:v>Maďarsko</c:v>
                </c:pt>
                <c:pt idx="23">
                  <c:v>Slovinsko</c:v>
                </c:pt>
                <c:pt idx="24">
                  <c:v>Řecko</c:v>
                </c:pt>
                <c:pt idx="25">
                  <c:v>Německo</c:v>
                </c:pt>
                <c:pt idx="26">
                  <c:v>Rumunsko</c:v>
                </c:pt>
                <c:pt idx="27">
                  <c:v>Polsko</c:v>
                </c:pt>
                <c:pt idx="28">
                  <c:v>Česko</c:v>
                </c:pt>
                <c:pt idx="29">
                  <c:v>Litva</c:v>
                </c:pt>
              </c:strCache>
            </c:strRef>
          </c:cat>
          <c:val>
            <c:numRef>
              <c:f>'6-Sektor-nef. zadluženoist'!$R$169:$R$198</c:f>
              <c:numCache>
                <c:formatCode>#,##0.0</c:formatCode>
                <c:ptCount val="30"/>
                <c:pt idx="0">
                  <c:v>27.3</c:v>
                </c:pt>
                <c:pt idx="1">
                  <c:v>69.099999999999994</c:v>
                </c:pt>
                <c:pt idx="2">
                  <c:v>15.3</c:v>
                </c:pt>
                <c:pt idx="3">
                  <c:v>15.9</c:v>
                </c:pt>
                <c:pt idx="4">
                  <c:v>12.9</c:v>
                </c:pt>
                <c:pt idx="5">
                  <c:v>19.2</c:v>
                </c:pt>
                <c:pt idx="6">
                  <c:v>48</c:v>
                </c:pt>
                <c:pt idx="7">
                  <c:v>29.5</c:v>
                </c:pt>
                <c:pt idx="8">
                  <c:v>47.1</c:v>
                </c:pt>
                <c:pt idx="9">
                  <c:v>22</c:v>
                </c:pt>
                <c:pt idx="10">
                  <c:v>23.1</c:v>
                </c:pt>
                <c:pt idx="11">
                  <c:v>15.7</c:v>
                </c:pt>
                <c:pt idx="12">
                  <c:v>34.5</c:v>
                </c:pt>
                <c:pt idx="13">
                  <c:v>15.4</c:v>
                </c:pt>
                <c:pt idx="14">
                  <c:v>7.4</c:v>
                </c:pt>
                <c:pt idx="15">
                  <c:v>32.9</c:v>
                </c:pt>
                <c:pt idx="16">
                  <c:v>10.3</c:v>
                </c:pt>
                <c:pt idx="17">
                  <c:v>8.6</c:v>
                </c:pt>
                <c:pt idx="18">
                  <c:v>18.7</c:v>
                </c:pt>
                <c:pt idx="19">
                  <c:v>19.2</c:v>
                </c:pt>
                <c:pt idx="20">
                  <c:v>10.5</c:v>
                </c:pt>
                <c:pt idx="21">
                  <c:v>7.8</c:v>
                </c:pt>
                <c:pt idx="22">
                  <c:v>16.8</c:v>
                </c:pt>
                <c:pt idx="23">
                  <c:v>20.2</c:v>
                </c:pt>
                <c:pt idx="24">
                  <c:v>7.3</c:v>
                </c:pt>
                <c:pt idx="25">
                  <c:v>14.7</c:v>
                </c:pt>
                <c:pt idx="26">
                  <c:v>26.9</c:v>
                </c:pt>
                <c:pt idx="27">
                  <c:v>19</c:v>
                </c:pt>
                <c:pt idx="28">
                  <c:v>19.399999999999999</c:v>
                </c:pt>
                <c:pt idx="29">
                  <c:v>22.2</c:v>
                </c:pt>
              </c:numCache>
            </c:numRef>
          </c:val>
          <c:extLst xmlns:c16r2="http://schemas.microsoft.com/office/drawing/2015/06/chart">
            <c:ext xmlns:c16="http://schemas.microsoft.com/office/drawing/2014/chart" uri="{C3380CC4-5D6E-409C-BE32-E72D297353CC}">
              <c16:uniqueId val="{00000002-AD02-4F37-BAF3-FA42EF95A8D6}"/>
            </c:ext>
          </c:extLst>
        </c:ser>
        <c:gapWidth val="72"/>
        <c:overlap val="100"/>
        <c:axId val="129076224"/>
        <c:axId val="129086208"/>
      </c:barChart>
      <c:catAx>
        <c:axId val="129076224"/>
        <c:scaling>
          <c:orientation val="minMax"/>
        </c:scaling>
        <c:axPos val="b"/>
        <c:numFmt formatCode="General" sourceLinked="1"/>
        <c:majorTickMark val="none"/>
        <c:tickLblPos val="low"/>
        <c:txPr>
          <a:bodyPr rot="-5400000" vert="horz"/>
          <a:lstStyle/>
          <a:p>
            <a:pPr>
              <a:defRPr sz="800">
                <a:latin typeface="Arial" pitchFamily="34" charset="0"/>
                <a:cs typeface="Arial" pitchFamily="34" charset="0"/>
              </a:defRPr>
            </a:pPr>
            <a:endParaRPr lang="cs-CZ"/>
          </a:p>
        </c:txPr>
        <c:crossAx val="129086208"/>
        <c:crosses val="autoZero"/>
        <c:auto val="1"/>
        <c:lblAlgn val="ctr"/>
        <c:lblOffset val="0"/>
        <c:tickLblSkip val="1"/>
        <c:tickMarkSkip val="1"/>
      </c:catAx>
      <c:valAx>
        <c:axId val="129086208"/>
        <c:scaling>
          <c:orientation val="minMax"/>
          <c:max val="350"/>
          <c:min val="0"/>
        </c:scaling>
        <c:axPos val="l"/>
        <c:majorGridlines>
          <c:spPr>
            <a:ln w="9525">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29076224"/>
        <c:crosses val="autoZero"/>
        <c:crossBetween val="between"/>
        <c:majorUnit val="50"/>
      </c:valAx>
      <c:spPr>
        <a:ln>
          <a:solidFill>
            <a:sysClr val="windowText" lastClr="000000">
              <a:lumMod val="95000"/>
              <a:lumOff val="5000"/>
            </a:sysClr>
          </a:solidFill>
        </a:ln>
      </c:spPr>
    </c:plotArea>
    <c:legend>
      <c:legendPos val="r"/>
      <c:layout>
        <c:manualLayout>
          <c:xMode val="edge"/>
          <c:yMode val="edge"/>
          <c:x val="0.11213214744918103"/>
          <c:y val="0.91685011298721342"/>
          <c:w val="0.85914132921761699"/>
          <c:h val="6.8889637458419514E-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6871833839919001E-2"/>
          <c:y val="3.9316672295395698E-2"/>
          <c:w val="0.91329111786559058"/>
          <c:h val="0.73908026567601071"/>
        </c:manualLayout>
      </c:layout>
      <c:barChart>
        <c:barDir val="col"/>
        <c:grouping val="stacked"/>
        <c:ser>
          <c:idx val="7"/>
          <c:order val="1"/>
          <c:tx>
            <c:strRef>
              <c:f>ST001201_CZ!$W$24</c:f>
              <c:strCache>
                <c:ptCount val="1"/>
                <c:pt idx="0">
                  <c:v>Pojišťovací společnosti</c:v>
                </c:pt>
              </c:strCache>
            </c:strRef>
          </c:tx>
          <c:spPr>
            <a:solidFill>
              <a:srgbClr val="A6CDE8"/>
            </a:solidFill>
          </c:spPr>
          <c:cat>
            <c:numRef>
              <c:f>ST001201_CZ!$AE$16:$AN$16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ST001201_CZ!$AE$24:$AN$24</c:f>
              <c:numCache>
                <c:formatCode>General</c:formatCode>
                <c:ptCount val="10"/>
                <c:pt idx="0">
                  <c:v>4.3049999999999855</c:v>
                </c:pt>
                <c:pt idx="1">
                  <c:v>-7.851</c:v>
                </c:pt>
                <c:pt idx="2">
                  <c:v>3.4149999999999987</c:v>
                </c:pt>
                <c:pt idx="3">
                  <c:v>-0.15800000000000086</c:v>
                </c:pt>
                <c:pt idx="4">
                  <c:v>-0.54300000000000004</c:v>
                </c:pt>
                <c:pt idx="5">
                  <c:v>3.6919999999999997</c:v>
                </c:pt>
                <c:pt idx="6">
                  <c:v>-4.3129999999999855</c:v>
                </c:pt>
                <c:pt idx="7">
                  <c:v>1.6930000000000001</c:v>
                </c:pt>
                <c:pt idx="8">
                  <c:v>1.306</c:v>
                </c:pt>
              </c:numCache>
            </c:numRef>
          </c:val>
          <c:extLst xmlns:c16r2="http://schemas.microsoft.com/office/drawing/2015/06/chart">
            <c:ext xmlns:c16="http://schemas.microsoft.com/office/drawing/2014/chart" uri="{C3380CC4-5D6E-409C-BE32-E72D297353CC}">
              <c16:uniqueId val="{00000000-4F23-461C-91C0-05C8C2754E13}"/>
            </c:ext>
          </c:extLst>
        </c:ser>
        <c:ser>
          <c:idx val="4"/>
          <c:order val="2"/>
          <c:tx>
            <c:strRef>
              <c:f>ST001201_CZ!$W$21</c:f>
              <c:strCache>
                <c:ptCount val="1"/>
                <c:pt idx="0">
                  <c:v>Ostatní finanční zprostředkovatelé kromě pojišťovacích společností a penzijních fondů</c:v>
                </c:pt>
              </c:strCache>
            </c:strRef>
          </c:tx>
          <c:spPr>
            <a:solidFill>
              <a:srgbClr val="BD1B21"/>
            </a:solidFill>
          </c:spPr>
          <c:cat>
            <c:numRef>
              <c:f>ST001201_CZ!$AE$16:$AN$16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ST001201_CZ!$AE$21:$AN$21</c:f>
              <c:numCache>
                <c:formatCode>General</c:formatCode>
                <c:ptCount val="10"/>
                <c:pt idx="0">
                  <c:v>8.0250000000000004</c:v>
                </c:pt>
                <c:pt idx="1">
                  <c:v>8.3890000000000047</c:v>
                </c:pt>
                <c:pt idx="2">
                  <c:v>-0.33500000000000207</c:v>
                </c:pt>
                <c:pt idx="3">
                  <c:v>0.78400000000000003</c:v>
                </c:pt>
                <c:pt idx="4">
                  <c:v>-2.1959999999999997</c:v>
                </c:pt>
                <c:pt idx="5">
                  <c:v>5.5750000000000002</c:v>
                </c:pt>
                <c:pt idx="6">
                  <c:v>-0.86500000000000321</c:v>
                </c:pt>
                <c:pt idx="7">
                  <c:v>1.8340000000000001</c:v>
                </c:pt>
                <c:pt idx="8">
                  <c:v>7.0000000000000034E-2</c:v>
                </c:pt>
              </c:numCache>
            </c:numRef>
          </c:val>
          <c:extLst xmlns:c16r2="http://schemas.microsoft.com/office/drawing/2015/06/chart">
            <c:ext xmlns:c16="http://schemas.microsoft.com/office/drawing/2014/chart" uri="{C3380CC4-5D6E-409C-BE32-E72D297353CC}">
              <c16:uniqueId val="{00000001-4F23-461C-91C0-05C8C2754E13}"/>
            </c:ext>
          </c:extLst>
        </c:ser>
        <c:ser>
          <c:idx val="2"/>
          <c:order val="3"/>
          <c:tx>
            <c:strRef>
              <c:f>ST001201_CZ!$W$19</c:f>
              <c:strCache>
                <c:ptCount val="1"/>
                <c:pt idx="0">
                  <c:v>Instituce přijímající vklady (kromě centrální banky) a fondy peněžního trhu</c:v>
                </c:pt>
              </c:strCache>
            </c:strRef>
          </c:tx>
          <c:spPr>
            <a:solidFill>
              <a:srgbClr val="0071BC"/>
            </a:solidFill>
          </c:spPr>
          <c:cat>
            <c:numRef>
              <c:f>ST001201_CZ!$AE$16:$AN$16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ST001201_CZ!$AE$19:$AN$19</c:f>
              <c:numCache>
                <c:formatCode>General</c:formatCode>
                <c:ptCount val="10"/>
                <c:pt idx="0">
                  <c:v>9.109</c:v>
                </c:pt>
                <c:pt idx="1">
                  <c:v>5.7359999999999998</c:v>
                </c:pt>
                <c:pt idx="2">
                  <c:v>8.7239999999999984</c:v>
                </c:pt>
                <c:pt idx="3">
                  <c:v>0.17100000000000001</c:v>
                </c:pt>
                <c:pt idx="4">
                  <c:v>0.26100000000000001</c:v>
                </c:pt>
                <c:pt idx="5">
                  <c:v>-8.8120000000000047</c:v>
                </c:pt>
                <c:pt idx="6">
                  <c:v>1.649</c:v>
                </c:pt>
                <c:pt idx="7">
                  <c:v>4.2530000000000001</c:v>
                </c:pt>
                <c:pt idx="8">
                  <c:v>-2.5319999999999987</c:v>
                </c:pt>
              </c:numCache>
            </c:numRef>
          </c:val>
          <c:extLst xmlns:c16r2="http://schemas.microsoft.com/office/drawing/2015/06/chart">
            <c:ext xmlns:c16="http://schemas.microsoft.com/office/drawing/2014/chart" uri="{C3380CC4-5D6E-409C-BE32-E72D297353CC}">
              <c16:uniqueId val="{00000002-4F23-461C-91C0-05C8C2754E13}"/>
            </c:ext>
          </c:extLst>
        </c:ser>
        <c:ser>
          <c:idx val="9"/>
          <c:order val="4"/>
          <c:tx>
            <c:strRef>
              <c:f>ST001201_CZ!$W$26</c:f>
              <c:strCache>
                <c:ptCount val="1"/>
                <c:pt idx="0">
                  <c:v>Ostatní</c:v>
                </c:pt>
              </c:strCache>
            </c:strRef>
          </c:tx>
          <c:spPr>
            <a:solidFill>
              <a:srgbClr val="808080"/>
            </a:solidFill>
          </c:spPr>
          <c:cat>
            <c:numRef>
              <c:f>ST001201_CZ!$AE$16:$AN$16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ST001201_CZ!$AE$26:$AN$26</c:f>
              <c:numCache>
                <c:formatCode>General</c:formatCode>
                <c:ptCount val="10"/>
                <c:pt idx="0">
                  <c:v>1.03</c:v>
                </c:pt>
                <c:pt idx="1">
                  <c:v>4.68</c:v>
                </c:pt>
                <c:pt idx="2">
                  <c:v>-0.83500000000000063</c:v>
                </c:pt>
                <c:pt idx="3">
                  <c:v>-1.022</c:v>
                </c:pt>
                <c:pt idx="4">
                  <c:v>-2.8529999999999927</c:v>
                </c:pt>
                <c:pt idx="5">
                  <c:v>5.9119999999999999</c:v>
                </c:pt>
                <c:pt idx="6">
                  <c:v>1.0569999999999935</c:v>
                </c:pt>
                <c:pt idx="7">
                  <c:v>1.1020000000000001</c:v>
                </c:pt>
                <c:pt idx="8">
                  <c:v>3.1219999999999999</c:v>
                </c:pt>
              </c:numCache>
            </c:numRef>
          </c:val>
          <c:extLst xmlns:c16r2="http://schemas.microsoft.com/office/drawing/2015/06/chart">
            <c:ext xmlns:c16="http://schemas.microsoft.com/office/drawing/2014/chart" uri="{C3380CC4-5D6E-409C-BE32-E72D297353CC}">
              <c16:uniqueId val="{00000003-4F23-461C-91C0-05C8C2754E13}"/>
            </c:ext>
          </c:extLst>
        </c:ser>
        <c:gapWidth val="93"/>
        <c:overlap val="100"/>
        <c:axId val="129147264"/>
        <c:axId val="129148800"/>
      </c:barChart>
      <c:lineChart>
        <c:grouping val="standard"/>
        <c:ser>
          <c:idx val="0"/>
          <c:order val="0"/>
          <c:tx>
            <c:strRef>
              <c:f>ST001201_CZ!$W$17</c:f>
              <c:strCache>
                <c:ptCount val="1"/>
                <c:pt idx="0">
                  <c:v>Celkem</c:v>
                </c:pt>
              </c:strCache>
            </c:strRef>
          </c:tx>
          <c:spPr>
            <a:ln>
              <a:solidFill>
                <a:sysClr val="windowText" lastClr="000000"/>
              </a:solidFill>
            </a:ln>
          </c:spPr>
          <c:marker>
            <c:symbol val="none"/>
          </c:marker>
          <c:cat>
            <c:numRef>
              <c:f>ST001201_CZ!$AE$16:$AN$16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ST001201_CZ!$AE$17:$AN$17</c:f>
              <c:numCache>
                <c:formatCode>General</c:formatCode>
                <c:ptCount val="10"/>
                <c:pt idx="0">
                  <c:v>22.468999999999866</c:v>
                </c:pt>
                <c:pt idx="1">
                  <c:v>10.954000000000002</c:v>
                </c:pt>
                <c:pt idx="2">
                  <c:v>10.969000000000024</c:v>
                </c:pt>
                <c:pt idx="3">
                  <c:v>-0.22500000000000003</c:v>
                </c:pt>
                <c:pt idx="4">
                  <c:v>-5.3310000000000004</c:v>
                </c:pt>
                <c:pt idx="5">
                  <c:v>6.3669999999999956</c:v>
                </c:pt>
                <c:pt idx="6">
                  <c:v>-2.4719999999999978</c:v>
                </c:pt>
                <c:pt idx="7">
                  <c:v>8.8820000000000068</c:v>
                </c:pt>
                <c:pt idx="8">
                  <c:v>1.9660000000000062</c:v>
                </c:pt>
                <c:pt idx="9">
                  <c:v>2.59</c:v>
                </c:pt>
              </c:numCache>
            </c:numRef>
          </c:val>
          <c:extLst xmlns:c16r2="http://schemas.microsoft.com/office/drawing/2015/06/chart">
            <c:ext xmlns:c16="http://schemas.microsoft.com/office/drawing/2014/chart" uri="{C3380CC4-5D6E-409C-BE32-E72D297353CC}">
              <c16:uniqueId val="{00000004-4F23-461C-91C0-05C8C2754E13}"/>
            </c:ext>
          </c:extLst>
        </c:ser>
        <c:marker val="1"/>
        <c:axId val="129147264"/>
        <c:axId val="129148800"/>
      </c:lineChart>
      <c:catAx>
        <c:axId val="129147264"/>
        <c:scaling>
          <c:orientation val="minMax"/>
        </c:scaling>
        <c:axPos val="b"/>
        <c:numFmt formatCode="General" sourceLinked="1"/>
        <c:tickLblPos val="low"/>
        <c:crossAx val="129148800"/>
        <c:crosses val="autoZero"/>
        <c:auto val="1"/>
        <c:lblAlgn val="ctr"/>
        <c:lblOffset val="100"/>
      </c:catAx>
      <c:valAx>
        <c:axId val="129148800"/>
        <c:scaling>
          <c:orientation val="minMax"/>
          <c:min val="-10"/>
        </c:scaling>
        <c:axPos val="l"/>
        <c:majorGridlines/>
        <c:numFmt formatCode="General" sourceLinked="1"/>
        <c:tickLblPos val="nextTo"/>
        <c:crossAx val="129147264"/>
        <c:crosses val="autoZero"/>
        <c:crossBetween val="between"/>
      </c:valAx>
      <c:spPr>
        <a:ln>
          <a:solidFill>
            <a:sysClr val="windowText" lastClr="000000"/>
          </a:solidFill>
        </a:ln>
      </c:spPr>
    </c:plotArea>
    <c:legend>
      <c:legendPos val="r"/>
      <c:layout>
        <c:manualLayout>
          <c:xMode val="edge"/>
          <c:yMode val="edge"/>
          <c:x val="6.6862335359675909E-2"/>
          <c:y val="0.84709557581898065"/>
          <c:w val="0.91518490374873351"/>
          <c:h val="0.14265450861195517"/>
        </c:manualLayout>
      </c:layout>
      <c:spPr>
        <a:ln>
          <a:solidFill>
            <a:schemeClr val="tx1"/>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3.7321251928936032E-2"/>
          <c:y val="3.5031847133758232E-2"/>
          <c:w val="0.93679684511797823"/>
          <c:h val="0.76585460654998627"/>
        </c:manualLayout>
      </c:layout>
      <c:barChart>
        <c:barDir val="col"/>
        <c:grouping val="clustered"/>
        <c:ser>
          <c:idx val="0"/>
          <c:order val="0"/>
          <c:tx>
            <c:strRef>
              <c:f>'S14'!$J$138</c:f>
              <c:strCache>
                <c:ptCount val="1"/>
                <c:pt idx="0">
                  <c:v>Hrubý disponibilní důchod (reálný)</c:v>
                </c:pt>
              </c:strCache>
            </c:strRef>
          </c:tx>
          <c:spPr>
            <a:solidFill>
              <a:srgbClr val="0071BC"/>
            </a:solidFill>
          </c:spPr>
          <c:cat>
            <c:numRef>
              <c:f>'S14'!$A$147:$A$156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'S14'!$J$147:$J$156</c:f>
              <c:numCache>
                <c:formatCode>0.0_ ;[Red]\-0.0\ </c:formatCode>
                <c:ptCount val="10"/>
                <c:pt idx="0">
                  <c:v>2.4880525209405278</c:v>
                </c:pt>
                <c:pt idx="1">
                  <c:v>2.1224798911363791</c:v>
                </c:pt>
                <c:pt idx="2">
                  <c:v>0.38045661249113039</c:v>
                </c:pt>
                <c:pt idx="3">
                  <c:v>-1.5072017978109236</c:v>
                </c:pt>
                <c:pt idx="4">
                  <c:v>-1.2083775182866681</c:v>
                </c:pt>
                <c:pt idx="5">
                  <c:v>-0.77268860218298641</c:v>
                </c:pt>
                <c:pt idx="6">
                  <c:v>2.8574548678216192</c:v>
                </c:pt>
                <c:pt idx="7">
                  <c:v>4.1609466264007295</c:v>
                </c:pt>
                <c:pt idx="8">
                  <c:v>3.2596098637410336</c:v>
                </c:pt>
                <c:pt idx="9">
                  <c:v>1.6769656319444977</c:v>
                </c:pt>
              </c:numCache>
            </c:numRef>
          </c:val>
          <c:extLst xmlns:c16r2="http://schemas.microsoft.com/office/drawing/2015/06/chart">
            <c:ext xmlns:c16="http://schemas.microsoft.com/office/drawing/2014/chart" uri="{C3380CC4-5D6E-409C-BE32-E72D297353CC}">
              <c16:uniqueId val="{00000000-2729-499A-B374-2A885779BFC3}"/>
            </c:ext>
          </c:extLst>
        </c:ser>
        <c:ser>
          <c:idx val="1"/>
          <c:order val="1"/>
          <c:tx>
            <c:strRef>
              <c:f>'S14'!$K$138</c:f>
              <c:strCache>
                <c:ptCount val="1"/>
                <c:pt idx="0">
                  <c:v>Mzdy a platy (reálně)</c:v>
                </c:pt>
              </c:strCache>
            </c:strRef>
          </c:tx>
          <c:spPr>
            <a:solidFill>
              <a:srgbClr val="BD1B21"/>
            </a:solidFill>
          </c:spPr>
          <c:cat>
            <c:numRef>
              <c:f>'S14'!$A$147:$A$156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'S14'!$K$147:$K$156</c:f>
              <c:numCache>
                <c:formatCode>0.0_ ;[Red]\-0.0\ </c:formatCode>
                <c:ptCount val="10"/>
                <c:pt idx="0">
                  <c:v>1.6116857512015641</c:v>
                </c:pt>
                <c:pt idx="1">
                  <c:v>-2.3505250334645909</c:v>
                </c:pt>
                <c:pt idx="2">
                  <c:v>1.0013085286431931</c:v>
                </c:pt>
                <c:pt idx="3">
                  <c:v>0.63369283008314237</c:v>
                </c:pt>
                <c:pt idx="4">
                  <c:v>0.61870883091997708</c:v>
                </c:pt>
                <c:pt idx="5">
                  <c:v>0.25996660899677698</c:v>
                </c:pt>
                <c:pt idx="6">
                  <c:v>3.5646890971557208</c:v>
                </c:pt>
                <c:pt idx="7">
                  <c:v>4.9990711632544089</c:v>
                </c:pt>
                <c:pt idx="8">
                  <c:v>5.3043299690453445</c:v>
                </c:pt>
                <c:pt idx="9">
                  <c:v>5.6832476581176792</c:v>
                </c:pt>
              </c:numCache>
            </c:numRef>
          </c:val>
          <c:extLst xmlns:c16r2="http://schemas.microsoft.com/office/drawing/2015/06/chart">
            <c:ext xmlns:c16="http://schemas.microsoft.com/office/drawing/2014/chart" uri="{C3380CC4-5D6E-409C-BE32-E72D297353CC}">
              <c16:uniqueId val="{00000001-2729-499A-B374-2A885779BFC3}"/>
            </c:ext>
          </c:extLst>
        </c:ser>
        <c:gapWidth val="96"/>
        <c:axId val="129188992"/>
        <c:axId val="129190912"/>
      </c:barChart>
      <c:lineChart>
        <c:grouping val="standard"/>
        <c:ser>
          <c:idx val="2"/>
          <c:order val="2"/>
          <c:tx>
            <c:strRef>
              <c:f>'S14'!$C$138</c:f>
              <c:strCache>
                <c:ptCount val="1"/>
                <c:pt idx="0">
                  <c:v>Hrubý disponibilní důchod (nominální)</c:v>
                </c:pt>
              </c:strCache>
            </c:strRef>
          </c:tx>
          <c:spPr>
            <a:ln>
              <a:noFill/>
            </a:ln>
          </c:spPr>
          <c:marker>
            <c:symbol val="square"/>
            <c:size val="8"/>
            <c:spPr>
              <a:solidFill>
                <a:srgbClr val="A6CDE8"/>
              </a:solidFill>
              <a:ln>
                <a:noFill/>
              </a:ln>
            </c:spPr>
          </c:marker>
          <c:val>
            <c:numRef>
              <c:f>'S14'!$C$147:$C$156</c:f>
              <c:numCache>
                <c:formatCode>0.0_ ;[Red]\-0.0\ </c:formatCode>
                <c:ptCount val="10"/>
                <c:pt idx="0">
                  <c:v>7.3841421438789636</c:v>
                </c:pt>
                <c:pt idx="1">
                  <c:v>2.9950916701381178</c:v>
                </c:pt>
                <c:pt idx="2">
                  <c:v>0.83969447985913737</c:v>
                </c:pt>
                <c:pt idx="3">
                  <c:v>0.23524012757853191</c:v>
                </c:pt>
                <c:pt idx="4">
                  <c:v>0.99131205543875556</c:v>
                </c:pt>
                <c:pt idx="5">
                  <c:v>8.3914067642627266E-2</c:v>
                </c:pt>
                <c:pt idx="6">
                  <c:v>3.4846551514056161</c:v>
                </c:pt>
                <c:pt idx="7">
                  <c:v>4.3207393475207345</c:v>
                </c:pt>
                <c:pt idx="8">
                  <c:v>3.8202575314026097</c:v>
                </c:pt>
                <c:pt idx="9">
                  <c:v>4.0791393364775681</c:v>
                </c:pt>
              </c:numCache>
            </c:numRef>
          </c:val>
          <c:extLst xmlns:c16r2="http://schemas.microsoft.com/office/drawing/2015/06/chart">
            <c:ext xmlns:c16="http://schemas.microsoft.com/office/drawing/2014/chart" uri="{C3380CC4-5D6E-409C-BE32-E72D297353CC}">
              <c16:uniqueId val="{00000002-2729-499A-B374-2A885779BFC3}"/>
            </c:ext>
          </c:extLst>
        </c:ser>
        <c:ser>
          <c:idx val="3"/>
          <c:order val="3"/>
          <c:tx>
            <c:strRef>
              <c:f>'S14'!$G$138</c:f>
              <c:strCache>
                <c:ptCount val="1"/>
                <c:pt idx="0">
                  <c:v>Mzdy a platy (nominálně)</c:v>
                </c:pt>
              </c:strCache>
            </c:strRef>
          </c:tx>
          <c:spPr>
            <a:ln>
              <a:noFill/>
            </a:ln>
          </c:spPr>
          <c:marker>
            <c:symbol val="square"/>
            <c:size val="8"/>
            <c:spPr>
              <a:solidFill>
                <a:srgbClr val="E8AFB2"/>
              </a:solidFill>
              <a:ln>
                <a:noFill/>
              </a:ln>
            </c:spPr>
          </c:marker>
          <c:val>
            <c:numRef>
              <c:f>'S14'!$G$147:$G$156</c:f>
              <c:numCache>
                <c:formatCode>0.0_ ;[Red]\-0.0\ </c:formatCode>
                <c:ptCount val="10"/>
                <c:pt idx="0">
                  <c:v>6.4659093210570671</c:v>
                </c:pt>
                <c:pt idx="1">
                  <c:v>-1.5161339947827341</c:v>
                </c:pt>
                <c:pt idx="2">
                  <c:v>1.4633867766943158</c:v>
                </c:pt>
                <c:pt idx="3">
                  <c:v>2.4140094491108566</c:v>
                </c:pt>
                <c:pt idx="4">
                  <c:v>2.8590802225129952</c:v>
                </c:pt>
                <c:pt idx="5">
                  <c:v>1.125483913295938</c:v>
                </c:pt>
                <c:pt idx="6">
                  <c:v>4.1962019267750845</c:v>
                </c:pt>
                <c:pt idx="7">
                  <c:v>5.1601496465022665</c:v>
                </c:pt>
                <c:pt idx="8">
                  <c:v>5.8760794369129492</c:v>
                </c:pt>
                <c:pt idx="9">
                  <c:v>8.1800719580574999</c:v>
                </c:pt>
              </c:numCache>
            </c:numRef>
          </c:val>
          <c:extLst xmlns:c16r2="http://schemas.microsoft.com/office/drawing/2015/06/chart">
            <c:ext xmlns:c16="http://schemas.microsoft.com/office/drawing/2014/chart" uri="{C3380CC4-5D6E-409C-BE32-E72D297353CC}">
              <c16:uniqueId val="{00000003-2729-499A-B374-2A885779BFC3}"/>
            </c:ext>
          </c:extLst>
        </c:ser>
        <c:marker val="1"/>
        <c:axId val="129188992"/>
        <c:axId val="129190912"/>
      </c:lineChart>
      <c:catAx>
        <c:axId val="129188992"/>
        <c:scaling>
          <c:orientation val="minMax"/>
        </c:scaling>
        <c:axPos val="b"/>
        <c:numFmt formatCode="General" sourceLinked="1"/>
        <c:tickLblPos val="low"/>
        <c:crossAx val="129190912"/>
        <c:crosses val="autoZero"/>
        <c:auto val="1"/>
        <c:lblAlgn val="ctr"/>
        <c:lblOffset val="100"/>
      </c:catAx>
      <c:valAx>
        <c:axId val="129190912"/>
        <c:scaling>
          <c:orientation val="minMax"/>
        </c:scaling>
        <c:axPos val="l"/>
        <c:majorGridlines/>
        <c:numFmt formatCode="0" sourceLinked="0"/>
        <c:tickLblPos val="nextTo"/>
        <c:crossAx val="129188992"/>
        <c:crosses val="autoZero"/>
        <c:crossBetween val="between"/>
      </c:valAx>
      <c:spPr>
        <a:ln>
          <a:solidFill>
            <a:sysClr val="windowText" lastClr="000000"/>
          </a:solidFill>
        </a:ln>
      </c:spPr>
    </c:plotArea>
    <c:legend>
      <c:legendPos val="r"/>
      <c:layout>
        <c:manualLayout>
          <c:xMode val="edge"/>
          <c:yMode val="edge"/>
          <c:x val="3.7769766730965881E-2"/>
          <c:y val="0.87996443067568053"/>
          <c:w val="0.93375454574201944"/>
          <c:h val="0.10312866629376248"/>
        </c:manualLayout>
      </c:layout>
      <c:spPr>
        <a:ln>
          <a:solidFill>
            <a:schemeClr val="tx1"/>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7798674434313494E-2"/>
          <c:y val="3.9316672295395698E-2"/>
          <c:w val="0.9365421310368115"/>
          <c:h val="0.68301249577845258"/>
        </c:manualLayout>
      </c:layout>
      <c:barChart>
        <c:barDir val="col"/>
        <c:grouping val="clustered"/>
        <c:ser>
          <c:idx val="0"/>
          <c:order val="0"/>
          <c:tx>
            <c:strRef>
              <c:f>Data!$J$10</c:f>
              <c:strCache>
                <c:ptCount val="1"/>
                <c:pt idx="0">
                  <c:v>2016</c:v>
                </c:pt>
              </c:strCache>
            </c:strRef>
          </c:tx>
          <c:spPr>
            <a:solidFill>
              <a:srgbClr val="A6CDE8"/>
            </a:solidFill>
          </c:spPr>
          <c:dPt>
            <c:idx val="7"/>
            <c:spPr>
              <a:solidFill>
                <a:srgbClr val="0071BC"/>
              </a:solidFill>
            </c:spPr>
            <c:extLst xmlns:c16r2="http://schemas.microsoft.com/office/drawing/2015/06/chart">
              <c:ext xmlns:c16="http://schemas.microsoft.com/office/drawing/2014/chart" uri="{C3380CC4-5D6E-409C-BE32-E72D297353CC}">
                <c16:uniqueId val="{00000000-7FF4-4278-A823-194EF95285C8}"/>
              </c:ext>
            </c:extLst>
          </c:dPt>
          <c:dPt>
            <c:idx val="19"/>
            <c:spPr>
              <a:solidFill>
                <a:srgbClr val="0071BC"/>
              </a:solidFill>
            </c:spPr>
            <c:extLst xmlns:c16r2="http://schemas.microsoft.com/office/drawing/2015/06/chart">
              <c:ext xmlns:c16="http://schemas.microsoft.com/office/drawing/2014/chart" uri="{C3380CC4-5D6E-409C-BE32-E72D297353CC}">
                <c16:uniqueId val="{00000001-7FF4-4278-A823-194EF95285C8}"/>
              </c:ext>
            </c:extLst>
          </c:dPt>
          <c:cat>
            <c:strRef>
              <c:f>Data!$A$11:$A$40</c:f>
              <c:strCache>
                <c:ptCount val="30"/>
                <c:pt idx="0">
                  <c:v>Irsko</c:v>
                </c:pt>
                <c:pt idx="1">
                  <c:v>Rumunsko</c:v>
                </c:pt>
                <c:pt idx="2">
                  <c:v>Malta</c:v>
                </c:pt>
                <c:pt idx="3">
                  <c:v>Slovinsko</c:v>
                </c:pt>
                <c:pt idx="4">
                  <c:v>Estonsko</c:v>
                </c:pt>
                <c:pt idx="5">
                  <c:v>Polsko</c:v>
                </c:pt>
                <c:pt idx="6">
                  <c:v>Lotyšsko</c:v>
                </c:pt>
                <c:pt idx="7">
                  <c:v>ČR</c:v>
                </c:pt>
                <c:pt idx="8">
                  <c:v>Maďarsko</c:v>
                </c:pt>
                <c:pt idx="9">
                  <c:v>Kypr</c:v>
                </c:pt>
                <c:pt idx="10">
                  <c:v>Litva</c:v>
                </c:pt>
                <c:pt idx="11">
                  <c:v>Bulharsko</c:v>
                </c:pt>
                <c:pt idx="12">
                  <c:v>Slovensko</c:v>
                </c:pt>
                <c:pt idx="13">
                  <c:v>Španělsko</c:v>
                </c:pt>
                <c:pt idx="14">
                  <c:v>Rakousko</c:v>
                </c:pt>
                <c:pt idx="15">
                  <c:v>Chorvatsko</c:v>
                </c:pt>
                <c:pt idx="16">
                  <c:v>Nizozemí</c:v>
                </c:pt>
                <c:pt idx="17">
                  <c:v>Finsko</c:v>
                </c:pt>
                <c:pt idx="18">
                  <c:v>Portugalsko</c:v>
                </c:pt>
                <c:pt idx="19">
                  <c:v>EU 28</c:v>
                </c:pt>
                <c:pt idx="20">
                  <c:v>Eurozóna</c:v>
                </c:pt>
                <c:pt idx="21">
                  <c:v>Dánsko</c:v>
                </c:pt>
                <c:pt idx="22">
                  <c:v>Lucembursko</c:v>
                </c:pt>
                <c:pt idx="23">
                  <c:v>Švédsko</c:v>
                </c:pt>
                <c:pt idx="24">
                  <c:v>Německo</c:v>
                </c:pt>
                <c:pt idx="25">
                  <c:v>Francie</c:v>
                </c:pt>
                <c:pt idx="26">
                  <c:v>Belgie</c:v>
                </c:pt>
                <c:pt idx="27">
                  <c:v>Velká Británie</c:v>
                </c:pt>
                <c:pt idx="28">
                  <c:v>Itálie</c:v>
                </c:pt>
                <c:pt idx="29">
                  <c:v>Řecko</c:v>
                </c:pt>
              </c:strCache>
            </c:strRef>
          </c:cat>
          <c:val>
            <c:numRef>
              <c:f>Data!$J$11:$J$40</c:f>
              <c:numCache>
                <c:formatCode>#,##0.0</c:formatCode>
                <c:ptCount val="30"/>
                <c:pt idx="0">
                  <c:v>5</c:v>
                </c:pt>
                <c:pt idx="1">
                  <c:v>4.8</c:v>
                </c:pt>
                <c:pt idx="2">
                  <c:v>5.2</c:v>
                </c:pt>
                <c:pt idx="3">
                  <c:v>3.1</c:v>
                </c:pt>
                <c:pt idx="4">
                  <c:v>2.1</c:v>
                </c:pt>
                <c:pt idx="5">
                  <c:v>3</c:v>
                </c:pt>
                <c:pt idx="6">
                  <c:v>2.2000000000000002</c:v>
                </c:pt>
                <c:pt idx="7">
                  <c:v>2.5</c:v>
                </c:pt>
                <c:pt idx="8">
                  <c:v>2.2000000000000002</c:v>
                </c:pt>
                <c:pt idx="9">
                  <c:v>3.4</c:v>
                </c:pt>
                <c:pt idx="10">
                  <c:v>2.2999999999999998</c:v>
                </c:pt>
                <c:pt idx="11">
                  <c:v>3.9</c:v>
                </c:pt>
                <c:pt idx="12">
                  <c:v>3.3</c:v>
                </c:pt>
                <c:pt idx="13">
                  <c:v>3.3</c:v>
                </c:pt>
                <c:pt idx="14">
                  <c:v>1.5</c:v>
                </c:pt>
                <c:pt idx="15">
                  <c:v>3.5</c:v>
                </c:pt>
                <c:pt idx="16">
                  <c:v>2.2000000000000002</c:v>
                </c:pt>
                <c:pt idx="17">
                  <c:v>2.5</c:v>
                </c:pt>
                <c:pt idx="18">
                  <c:v>1.6</c:v>
                </c:pt>
                <c:pt idx="19">
                  <c:v>1.9000000000000001</c:v>
                </c:pt>
                <c:pt idx="20">
                  <c:v>1.8</c:v>
                </c:pt>
                <c:pt idx="21">
                  <c:v>2</c:v>
                </c:pt>
                <c:pt idx="22">
                  <c:v>3.1</c:v>
                </c:pt>
                <c:pt idx="23">
                  <c:v>3.2</c:v>
                </c:pt>
                <c:pt idx="24">
                  <c:v>1.9000000000000001</c:v>
                </c:pt>
                <c:pt idx="25">
                  <c:v>1.2</c:v>
                </c:pt>
                <c:pt idx="26">
                  <c:v>1.4</c:v>
                </c:pt>
                <c:pt idx="27">
                  <c:v>1.8</c:v>
                </c:pt>
                <c:pt idx="28">
                  <c:v>0.9</c:v>
                </c:pt>
                <c:pt idx="29">
                  <c:v>-0.2</c:v>
                </c:pt>
              </c:numCache>
            </c:numRef>
          </c:val>
          <c:extLst xmlns:c16r2="http://schemas.microsoft.com/office/drawing/2015/06/chart">
            <c:ext xmlns:c16="http://schemas.microsoft.com/office/drawing/2014/chart" uri="{C3380CC4-5D6E-409C-BE32-E72D297353CC}">
              <c16:uniqueId val="{00000002-7FF4-4278-A823-194EF95285C8}"/>
            </c:ext>
          </c:extLst>
        </c:ser>
        <c:ser>
          <c:idx val="1"/>
          <c:order val="1"/>
          <c:tx>
            <c:strRef>
              <c:f>Data!$K$10</c:f>
              <c:strCache>
                <c:ptCount val="1"/>
                <c:pt idx="0">
                  <c:v>2017</c:v>
                </c:pt>
              </c:strCache>
            </c:strRef>
          </c:tx>
          <c:spPr>
            <a:solidFill>
              <a:srgbClr val="E8AFB2"/>
            </a:solidFill>
          </c:spPr>
          <c:dPt>
            <c:idx val="7"/>
            <c:spPr>
              <a:solidFill>
                <a:srgbClr val="BD1B21"/>
              </a:solidFill>
            </c:spPr>
            <c:extLst xmlns:c16r2="http://schemas.microsoft.com/office/drawing/2015/06/chart">
              <c:ext xmlns:c16="http://schemas.microsoft.com/office/drawing/2014/chart" uri="{C3380CC4-5D6E-409C-BE32-E72D297353CC}">
                <c16:uniqueId val="{00000003-7FF4-4278-A823-194EF95285C8}"/>
              </c:ext>
            </c:extLst>
          </c:dPt>
          <c:dPt>
            <c:idx val="19"/>
            <c:spPr>
              <a:solidFill>
                <a:srgbClr val="BD1B21"/>
              </a:solidFill>
            </c:spPr>
            <c:extLst xmlns:c16r2="http://schemas.microsoft.com/office/drawing/2015/06/chart">
              <c:ext xmlns:c16="http://schemas.microsoft.com/office/drawing/2014/chart" uri="{C3380CC4-5D6E-409C-BE32-E72D297353CC}">
                <c16:uniqueId val="{00000004-7FF4-4278-A823-194EF95285C8}"/>
              </c:ext>
            </c:extLst>
          </c:dPt>
          <c:cat>
            <c:strRef>
              <c:f>Data!$A$11:$A$40</c:f>
              <c:strCache>
                <c:ptCount val="30"/>
                <c:pt idx="0">
                  <c:v>Irsko</c:v>
                </c:pt>
                <c:pt idx="1">
                  <c:v>Rumunsko</c:v>
                </c:pt>
                <c:pt idx="2">
                  <c:v>Malta</c:v>
                </c:pt>
                <c:pt idx="3">
                  <c:v>Slovinsko</c:v>
                </c:pt>
                <c:pt idx="4">
                  <c:v>Estonsko</c:v>
                </c:pt>
                <c:pt idx="5">
                  <c:v>Polsko</c:v>
                </c:pt>
                <c:pt idx="6">
                  <c:v>Lotyšsko</c:v>
                </c:pt>
                <c:pt idx="7">
                  <c:v>ČR</c:v>
                </c:pt>
                <c:pt idx="8">
                  <c:v>Maďarsko</c:v>
                </c:pt>
                <c:pt idx="9">
                  <c:v>Kypr</c:v>
                </c:pt>
                <c:pt idx="10">
                  <c:v>Litva</c:v>
                </c:pt>
                <c:pt idx="11">
                  <c:v>Bulharsko</c:v>
                </c:pt>
                <c:pt idx="12">
                  <c:v>Slovensko</c:v>
                </c:pt>
                <c:pt idx="13">
                  <c:v>Španělsko</c:v>
                </c:pt>
                <c:pt idx="14">
                  <c:v>Rakousko</c:v>
                </c:pt>
                <c:pt idx="15">
                  <c:v>Chorvatsko</c:v>
                </c:pt>
                <c:pt idx="16">
                  <c:v>Nizozemí</c:v>
                </c:pt>
                <c:pt idx="17">
                  <c:v>Finsko</c:v>
                </c:pt>
                <c:pt idx="18">
                  <c:v>Portugalsko</c:v>
                </c:pt>
                <c:pt idx="19">
                  <c:v>EU 28</c:v>
                </c:pt>
                <c:pt idx="20">
                  <c:v>Eurozóna</c:v>
                </c:pt>
                <c:pt idx="21">
                  <c:v>Dánsko</c:v>
                </c:pt>
                <c:pt idx="22">
                  <c:v>Lucembursko</c:v>
                </c:pt>
                <c:pt idx="23">
                  <c:v>Švédsko</c:v>
                </c:pt>
                <c:pt idx="24">
                  <c:v>Německo</c:v>
                </c:pt>
                <c:pt idx="25">
                  <c:v>Francie</c:v>
                </c:pt>
                <c:pt idx="26">
                  <c:v>Belgie</c:v>
                </c:pt>
                <c:pt idx="27">
                  <c:v>Velká Británie</c:v>
                </c:pt>
                <c:pt idx="28">
                  <c:v>Itálie</c:v>
                </c:pt>
                <c:pt idx="29">
                  <c:v>Řecko</c:v>
                </c:pt>
              </c:strCache>
            </c:strRef>
          </c:cat>
          <c:val>
            <c:numRef>
              <c:f>Data!$K$11:$K$40</c:f>
              <c:numCache>
                <c:formatCode>#,##0.0</c:formatCode>
                <c:ptCount val="30"/>
                <c:pt idx="0">
                  <c:v>7.2</c:v>
                </c:pt>
                <c:pt idx="1">
                  <c:v>6.9</c:v>
                </c:pt>
                <c:pt idx="2">
                  <c:v>6.4</c:v>
                </c:pt>
                <c:pt idx="3">
                  <c:v>5</c:v>
                </c:pt>
                <c:pt idx="4">
                  <c:v>4.9000000000000004</c:v>
                </c:pt>
                <c:pt idx="5">
                  <c:v>4.5999999999999996</c:v>
                </c:pt>
                <c:pt idx="6">
                  <c:v>4.5</c:v>
                </c:pt>
                <c:pt idx="7">
                  <c:v>4.3</c:v>
                </c:pt>
                <c:pt idx="8">
                  <c:v>4</c:v>
                </c:pt>
                <c:pt idx="9">
                  <c:v>3.9</c:v>
                </c:pt>
                <c:pt idx="10">
                  <c:v>3.8</c:v>
                </c:pt>
                <c:pt idx="11">
                  <c:v>3.6</c:v>
                </c:pt>
                <c:pt idx="12">
                  <c:v>3.4</c:v>
                </c:pt>
                <c:pt idx="13">
                  <c:v>3.1</c:v>
                </c:pt>
                <c:pt idx="14">
                  <c:v>3</c:v>
                </c:pt>
                <c:pt idx="15">
                  <c:v>2.9</c:v>
                </c:pt>
                <c:pt idx="16">
                  <c:v>2.9</c:v>
                </c:pt>
                <c:pt idx="17">
                  <c:v>2.8</c:v>
                </c:pt>
                <c:pt idx="18">
                  <c:v>2.7</c:v>
                </c:pt>
                <c:pt idx="19">
                  <c:v>2.4</c:v>
                </c:pt>
                <c:pt idx="20">
                  <c:v>2.4</c:v>
                </c:pt>
                <c:pt idx="21">
                  <c:v>2.2999999999999998</c:v>
                </c:pt>
                <c:pt idx="22">
                  <c:v>2.2999999999999998</c:v>
                </c:pt>
                <c:pt idx="23">
                  <c:v>2.2999999999999998</c:v>
                </c:pt>
                <c:pt idx="24">
                  <c:v>2.2000000000000002</c:v>
                </c:pt>
                <c:pt idx="25">
                  <c:v>2.2000000000000002</c:v>
                </c:pt>
                <c:pt idx="26">
                  <c:v>1.7</c:v>
                </c:pt>
                <c:pt idx="27">
                  <c:v>1.7</c:v>
                </c:pt>
                <c:pt idx="28">
                  <c:v>1.5</c:v>
                </c:pt>
                <c:pt idx="29">
                  <c:v>1.4</c:v>
                </c:pt>
              </c:numCache>
            </c:numRef>
          </c:val>
          <c:extLst xmlns:c16r2="http://schemas.microsoft.com/office/drawing/2015/06/chart">
            <c:ext xmlns:c16="http://schemas.microsoft.com/office/drawing/2014/chart" uri="{C3380CC4-5D6E-409C-BE32-E72D297353CC}">
              <c16:uniqueId val="{00000005-7FF4-4278-A823-194EF95285C8}"/>
            </c:ext>
          </c:extLst>
        </c:ser>
        <c:gapWidth val="94"/>
        <c:axId val="118691328"/>
        <c:axId val="118692864"/>
      </c:barChart>
      <c:catAx>
        <c:axId val="118691328"/>
        <c:scaling>
          <c:orientation val="minMax"/>
        </c:scaling>
        <c:axPos val="b"/>
        <c:numFmt formatCode="General" sourceLinked="0"/>
        <c:tickLblPos val="low"/>
        <c:crossAx val="118692864"/>
        <c:crosses val="autoZero"/>
        <c:auto val="1"/>
        <c:lblAlgn val="ctr"/>
        <c:lblOffset val="100"/>
      </c:catAx>
      <c:valAx>
        <c:axId val="118692864"/>
        <c:scaling>
          <c:orientation val="minMax"/>
          <c:min val="0"/>
        </c:scaling>
        <c:axPos val="l"/>
        <c:majorGridlines/>
        <c:numFmt formatCode="#,##0" sourceLinked="0"/>
        <c:tickLblPos val="nextTo"/>
        <c:crossAx val="118691328"/>
        <c:crosses val="autoZero"/>
        <c:crossBetween val="between"/>
      </c:valAx>
      <c:spPr>
        <a:ln>
          <a:solidFill>
            <a:sysClr val="windowText" lastClr="000000"/>
          </a:solidFill>
        </a:ln>
      </c:spPr>
    </c:plotArea>
    <c:legend>
      <c:legendPos val="r"/>
      <c:layout>
        <c:manualLayout>
          <c:xMode val="edge"/>
          <c:yMode val="edge"/>
          <c:x val="4.8782716987504533E-2"/>
          <c:y val="0.93303529213103764"/>
          <c:w val="0.93245250759878462"/>
          <c:h val="5.6084093211752784E-2"/>
        </c:manualLayout>
      </c:layout>
      <c:spPr>
        <a:ln>
          <a:solidFill>
            <a:sysClr val="windowText" lastClr="000000"/>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5.8253335021952041E-2"/>
          <c:y val="3.9316672295395698E-2"/>
          <c:w val="0.91401110266802066"/>
          <c:h val="0.76409996622762888"/>
        </c:manualLayout>
      </c:layout>
      <c:barChart>
        <c:barDir val="col"/>
        <c:grouping val="stacked"/>
        <c:ser>
          <c:idx val="5"/>
          <c:order val="1"/>
          <c:tx>
            <c:strRef>
              <c:f>'S14'!$Q$117</c:f>
              <c:strCache>
                <c:ptCount val="1"/>
                <c:pt idx="0">
                  <c:v>Saldo druhotného rozdělení</c:v>
                </c:pt>
              </c:strCache>
            </c:strRef>
          </c:tx>
          <c:spPr>
            <a:solidFill>
              <a:srgbClr val="A6CDE8"/>
            </a:solidFill>
          </c:spPr>
          <c:cat>
            <c:numRef>
              <c:f>'S14'!$K$126:$K$135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'S14'!$Q$126:$Q$135</c:f>
              <c:numCache>
                <c:formatCode>0.0</c:formatCode>
                <c:ptCount val="10"/>
                <c:pt idx="0">
                  <c:v>33.453999999999994</c:v>
                </c:pt>
                <c:pt idx="1">
                  <c:v>54.823</c:v>
                </c:pt>
                <c:pt idx="2">
                  <c:v>13.253</c:v>
                </c:pt>
                <c:pt idx="3">
                  <c:v>-14.133000000000001</c:v>
                </c:pt>
                <c:pt idx="4">
                  <c:v>4.9960000000000004</c:v>
                </c:pt>
                <c:pt idx="5">
                  <c:v>-9.3050000000000068</c:v>
                </c:pt>
                <c:pt idx="6">
                  <c:v>-5.8159999999999945</c:v>
                </c:pt>
                <c:pt idx="7">
                  <c:v>-1.02</c:v>
                </c:pt>
                <c:pt idx="8">
                  <c:v>-21.481000000000002</c:v>
                </c:pt>
                <c:pt idx="9">
                  <c:v>-27.835000000000001</c:v>
                </c:pt>
              </c:numCache>
            </c:numRef>
          </c:val>
          <c:extLst xmlns:c16r2="http://schemas.microsoft.com/office/drawing/2015/06/chart">
            <c:ext xmlns:c16="http://schemas.microsoft.com/office/drawing/2014/chart" uri="{C3380CC4-5D6E-409C-BE32-E72D297353CC}">
              <c16:uniqueId val="{00000000-0D15-4EEB-9583-BB942B300C2C}"/>
            </c:ext>
          </c:extLst>
        </c:ser>
        <c:ser>
          <c:idx val="4"/>
          <c:order val="2"/>
          <c:tx>
            <c:strRef>
              <c:f>'S14'!$P$117</c:f>
              <c:strCache>
                <c:ptCount val="1"/>
                <c:pt idx="0">
                  <c:v>Saldo důchodů z vlastnictví</c:v>
                </c:pt>
              </c:strCache>
            </c:strRef>
          </c:tx>
          <c:spPr>
            <a:solidFill>
              <a:srgbClr val="7DBB2D"/>
            </a:solidFill>
          </c:spPr>
          <c:cat>
            <c:numRef>
              <c:f>'S14'!$K$126:$K$135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'S14'!$P$126:$P$135</c:f>
              <c:numCache>
                <c:formatCode>0.0</c:formatCode>
                <c:ptCount val="10"/>
                <c:pt idx="0">
                  <c:v>12.567</c:v>
                </c:pt>
                <c:pt idx="1">
                  <c:v>-7.8229999999999773</c:v>
                </c:pt>
                <c:pt idx="2">
                  <c:v>-7.3679999999999755</c:v>
                </c:pt>
                <c:pt idx="3">
                  <c:v>0.92800000000000005</c:v>
                </c:pt>
                <c:pt idx="4">
                  <c:v>-0.51300000000000001</c:v>
                </c:pt>
                <c:pt idx="5">
                  <c:v>5.2729999999999997</c:v>
                </c:pt>
                <c:pt idx="6">
                  <c:v>13.262</c:v>
                </c:pt>
                <c:pt idx="7">
                  <c:v>1.113</c:v>
                </c:pt>
                <c:pt idx="8">
                  <c:v>9.3520000000000536</c:v>
                </c:pt>
                <c:pt idx="9">
                  <c:v>-11.308</c:v>
                </c:pt>
              </c:numCache>
            </c:numRef>
          </c:val>
          <c:extLst xmlns:c16r2="http://schemas.microsoft.com/office/drawing/2015/06/chart">
            <c:ext xmlns:c16="http://schemas.microsoft.com/office/drawing/2014/chart" uri="{C3380CC4-5D6E-409C-BE32-E72D297353CC}">
              <c16:uniqueId val="{00000001-0D15-4EEB-9583-BB942B300C2C}"/>
            </c:ext>
          </c:extLst>
        </c:ser>
        <c:ser>
          <c:idx val="1"/>
          <c:order val="3"/>
          <c:tx>
            <c:strRef>
              <c:f>'S14'!$M$117</c:f>
              <c:strCache>
                <c:ptCount val="1"/>
                <c:pt idx="0">
                  <c:v>Hrubý provozní přebytek</c:v>
                </c:pt>
              </c:strCache>
            </c:strRef>
          </c:tx>
          <c:spPr>
            <a:solidFill>
              <a:srgbClr val="BD1B21"/>
            </a:solidFill>
          </c:spPr>
          <c:cat>
            <c:numRef>
              <c:f>'S14'!$K$126:$K$135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'S14'!$M$126:$M$135</c:f>
              <c:numCache>
                <c:formatCode>0.0</c:formatCode>
                <c:ptCount val="10"/>
                <c:pt idx="0">
                  <c:v>17.367999999999999</c:v>
                </c:pt>
                <c:pt idx="1">
                  <c:v>3.8119999999999967</c:v>
                </c:pt>
                <c:pt idx="2">
                  <c:v>5.5750000000000002</c:v>
                </c:pt>
                <c:pt idx="3">
                  <c:v>-2.5999999999999999E-2</c:v>
                </c:pt>
                <c:pt idx="4">
                  <c:v>-4.4219999999999997</c:v>
                </c:pt>
                <c:pt idx="5">
                  <c:v>1.9720000000000057</c:v>
                </c:pt>
                <c:pt idx="6">
                  <c:v>5.3079999999999945</c:v>
                </c:pt>
                <c:pt idx="7">
                  <c:v>1.4669999999999932</c:v>
                </c:pt>
                <c:pt idx="8">
                  <c:v>8.5070000000000014</c:v>
                </c:pt>
                <c:pt idx="9">
                  <c:v>15.297000000000001</c:v>
                </c:pt>
              </c:numCache>
            </c:numRef>
          </c:val>
          <c:extLst xmlns:c16r2="http://schemas.microsoft.com/office/drawing/2015/06/chart">
            <c:ext xmlns:c16="http://schemas.microsoft.com/office/drawing/2014/chart" uri="{C3380CC4-5D6E-409C-BE32-E72D297353CC}">
              <c16:uniqueId val="{00000002-0D15-4EEB-9583-BB942B300C2C}"/>
            </c:ext>
          </c:extLst>
        </c:ser>
        <c:ser>
          <c:idx val="2"/>
          <c:order val="4"/>
          <c:tx>
            <c:strRef>
              <c:f>'S14'!$N$117</c:f>
              <c:strCache>
                <c:ptCount val="1"/>
                <c:pt idx="0">
                  <c:v>Hrubý smíšený důchod</c:v>
                </c:pt>
              </c:strCache>
            </c:strRef>
          </c:tx>
          <c:spPr>
            <a:solidFill>
              <a:srgbClr val="E8AFB2"/>
            </a:solidFill>
          </c:spPr>
          <c:cat>
            <c:numRef>
              <c:f>'S14'!$K$126:$K$135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'S14'!$N$126:$N$135</c:f>
              <c:numCache>
                <c:formatCode>0.0</c:formatCode>
                <c:ptCount val="10"/>
                <c:pt idx="0">
                  <c:v>7.923</c:v>
                </c:pt>
                <c:pt idx="1">
                  <c:v>25.728999999999989</c:v>
                </c:pt>
                <c:pt idx="2">
                  <c:v>-6.9859999999999998</c:v>
                </c:pt>
                <c:pt idx="3">
                  <c:v>-11.425000000000002</c:v>
                </c:pt>
                <c:pt idx="4">
                  <c:v>-15.043999999999999</c:v>
                </c:pt>
                <c:pt idx="5">
                  <c:v>-10.672000000000002</c:v>
                </c:pt>
                <c:pt idx="6">
                  <c:v>11.273</c:v>
                </c:pt>
                <c:pt idx="7">
                  <c:v>27.259</c:v>
                </c:pt>
                <c:pt idx="8">
                  <c:v>11.479000000000006</c:v>
                </c:pt>
                <c:pt idx="9">
                  <c:v>2.3079999999999998</c:v>
                </c:pt>
              </c:numCache>
            </c:numRef>
          </c:val>
          <c:extLst xmlns:c16r2="http://schemas.microsoft.com/office/drawing/2015/06/chart">
            <c:ext xmlns:c16="http://schemas.microsoft.com/office/drawing/2014/chart" uri="{C3380CC4-5D6E-409C-BE32-E72D297353CC}">
              <c16:uniqueId val="{00000003-0D15-4EEB-9583-BB942B300C2C}"/>
            </c:ext>
          </c:extLst>
        </c:ser>
        <c:ser>
          <c:idx val="3"/>
          <c:order val="5"/>
          <c:tx>
            <c:strRef>
              <c:f>'S14'!$O$117</c:f>
              <c:strCache>
                <c:ptCount val="1"/>
                <c:pt idx="0">
                  <c:v>Mzdy a platy</c:v>
                </c:pt>
              </c:strCache>
            </c:strRef>
          </c:tx>
          <c:spPr>
            <a:solidFill>
              <a:srgbClr val="0071BC"/>
            </a:solidFill>
          </c:spPr>
          <c:cat>
            <c:numRef>
              <c:f>'S14'!$K$126:$K$135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'S14'!$O$126:$O$135</c:f>
              <c:numCache>
                <c:formatCode>0.0</c:formatCode>
                <c:ptCount val="10"/>
                <c:pt idx="0">
                  <c:v>73.429000000000002</c:v>
                </c:pt>
                <c:pt idx="1">
                  <c:v>-18.331000000000031</c:v>
                </c:pt>
                <c:pt idx="2">
                  <c:v>17.424999999999986</c:v>
                </c:pt>
                <c:pt idx="3">
                  <c:v>29.164999999999999</c:v>
                </c:pt>
                <c:pt idx="4">
                  <c:v>35.376000000000005</c:v>
                </c:pt>
                <c:pt idx="5">
                  <c:v>14.324</c:v>
                </c:pt>
                <c:pt idx="6">
                  <c:v>54.006</c:v>
                </c:pt>
                <c:pt idx="7">
                  <c:v>69.198999999999998</c:v>
                </c:pt>
                <c:pt idx="8">
                  <c:v>82.866</c:v>
                </c:pt>
                <c:pt idx="9">
                  <c:v>122.136</c:v>
                </c:pt>
              </c:numCache>
            </c:numRef>
          </c:val>
          <c:extLst xmlns:c16r2="http://schemas.microsoft.com/office/drawing/2015/06/chart">
            <c:ext xmlns:c16="http://schemas.microsoft.com/office/drawing/2014/chart" uri="{C3380CC4-5D6E-409C-BE32-E72D297353CC}">
              <c16:uniqueId val="{00000004-0D15-4EEB-9583-BB942B300C2C}"/>
            </c:ext>
          </c:extLst>
        </c:ser>
        <c:overlap val="100"/>
        <c:axId val="129250432"/>
        <c:axId val="129251968"/>
      </c:barChart>
      <c:lineChart>
        <c:grouping val="standard"/>
        <c:ser>
          <c:idx val="0"/>
          <c:order val="0"/>
          <c:tx>
            <c:strRef>
              <c:f>'S14'!$L$117</c:f>
              <c:strCache>
                <c:ptCount val="1"/>
                <c:pt idx="0">
                  <c:v>Hrubý disponibilní důchod</c:v>
                </c:pt>
              </c:strCache>
            </c:strRef>
          </c:tx>
          <c:spPr>
            <a:ln>
              <a:solidFill>
                <a:sysClr val="windowText" lastClr="000000"/>
              </a:solidFill>
            </a:ln>
          </c:spPr>
          <c:marker>
            <c:symbol val="none"/>
          </c:marker>
          <c:cat>
            <c:numRef>
              <c:f>'S14'!$K$126:$K$135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'S14'!$L$126:$L$135</c:f>
              <c:numCache>
                <c:formatCode>0.0</c:formatCode>
                <c:ptCount val="10"/>
                <c:pt idx="0">
                  <c:v>144.27099999999999</c:v>
                </c:pt>
                <c:pt idx="1">
                  <c:v>62.839000000000006</c:v>
                </c:pt>
                <c:pt idx="2">
                  <c:v>18.145</c:v>
                </c:pt>
                <c:pt idx="3">
                  <c:v>5.1259999999999764</c:v>
                </c:pt>
                <c:pt idx="4">
                  <c:v>21.652000000000001</c:v>
                </c:pt>
                <c:pt idx="5">
                  <c:v>1.851</c:v>
                </c:pt>
                <c:pt idx="6">
                  <c:v>76.930000000000007</c:v>
                </c:pt>
                <c:pt idx="7">
                  <c:v>98.712000000000003</c:v>
                </c:pt>
                <c:pt idx="8">
                  <c:v>91.049000000000007</c:v>
                </c:pt>
                <c:pt idx="9">
                  <c:v>100.93300000000002</c:v>
                </c:pt>
              </c:numCache>
            </c:numRef>
          </c:val>
          <c:extLst xmlns:c16r2="http://schemas.microsoft.com/office/drawing/2015/06/chart">
            <c:ext xmlns:c16="http://schemas.microsoft.com/office/drawing/2014/chart" uri="{C3380CC4-5D6E-409C-BE32-E72D297353CC}">
              <c16:uniqueId val="{00000005-0D15-4EEB-9583-BB942B300C2C}"/>
            </c:ext>
          </c:extLst>
        </c:ser>
        <c:marker val="1"/>
        <c:axId val="129250432"/>
        <c:axId val="129251968"/>
      </c:lineChart>
      <c:catAx>
        <c:axId val="129250432"/>
        <c:scaling>
          <c:orientation val="minMax"/>
        </c:scaling>
        <c:axPos val="b"/>
        <c:numFmt formatCode="General" sourceLinked="1"/>
        <c:tickLblPos val="low"/>
        <c:txPr>
          <a:bodyPr rot="0" vert="horz"/>
          <a:lstStyle/>
          <a:p>
            <a:pPr>
              <a:defRPr sz="800" b="0" i="0" u="none" strike="noStrike" baseline="0">
                <a:solidFill>
                  <a:srgbClr val="000000"/>
                </a:solidFill>
                <a:latin typeface="Arial"/>
                <a:ea typeface="Arial"/>
                <a:cs typeface="Arial"/>
              </a:defRPr>
            </a:pPr>
            <a:endParaRPr lang="cs-CZ"/>
          </a:p>
        </c:txPr>
        <c:crossAx val="129251968"/>
        <c:crosses val="autoZero"/>
        <c:auto val="1"/>
        <c:lblAlgn val="ctr"/>
        <c:lblOffset val="100"/>
      </c:catAx>
      <c:valAx>
        <c:axId val="129251968"/>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Arial"/>
                <a:ea typeface="Arial"/>
                <a:cs typeface="Arial"/>
              </a:defRPr>
            </a:pPr>
            <a:endParaRPr lang="cs-CZ"/>
          </a:p>
        </c:txPr>
        <c:crossAx val="129250432"/>
        <c:crosses val="autoZero"/>
        <c:crossBetween val="between"/>
      </c:valAx>
      <c:spPr>
        <a:ln>
          <a:solidFill>
            <a:sysClr val="windowText" lastClr="000000"/>
          </a:solidFill>
        </a:ln>
      </c:spPr>
    </c:plotArea>
    <c:legend>
      <c:legendPos val="r"/>
      <c:layout>
        <c:manualLayout>
          <c:xMode val="edge"/>
          <c:yMode val="edge"/>
          <c:x val="5.8151767173681597E-2"/>
          <c:y val="0.86980279104456204"/>
          <c:w val="0.9069993359263826"/>
          <c:h val="0.11463849805659543"/>
        </c:manualLayout>
      </c:layout>
      <c:spPr>
        <a:ln>
          <a:solidFill>
            <a:sysClr val="windowText" lastClr="000000"/>
          </a:solidFill>
        </a:ln>
      </c:spPr>
      <c:txPr>
        <a:bodyPr/>
        <a:lstStyle/>
        <a:p>
          <a:pPr>
            <a:defRPr sz="735" b="0" i="0" u="none" strike="noStrike" baseline="0">
              <a:solidFill>
                <a:srgbClr val="000000"/>
              </a:solidFill>
              <a:latin typeface="Arial"/>
              <a:ea typeface="Arial"/>
              <a:cs typeface="Arial"/>
            </a:defRPr>
          </a:pPr>
          <a:endParaRPr lang="cs-CZ"/>
        </a:p>
      </c:txPr>
    </c:legend>
    <c:plotVisOnly val="1"/>
    <c:dispBlanksAs val="gap"/>
  </c:chart>
  <c:spPr>
    <a:ln>
      <a:noFill/>
    </a:ln>
  </c:spPr>
  <c:txPr>
    <a:bodyPr/>
    <a:lstStyle/>
    <a:p>
      <a:pPr>
        <a:defRPr sz="800" b="0" i="0" u="none" strike="noStrike" baseline="0">
          <a:solidFill>
            <a:srgbClr val="000000"/>
          </a:solidFill>
          <a:latin typeface="Arial"/>
          <a:ea typeface="Arial"/>
          <a:cs typeface="Arial"/>
        </a:defRPr>
      </a:pPr>
      <a:endParaRPr lang="cs-CZ"/>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4942586963863733E-2"/>
          <c:y val="3.9316672295395698E-2"/>
          <c:w val="0.91774126139818479"/>
          <c:h val="0.74980299448384991"/>
        </c:manualLayout>
      </c:layout>
      <c:barChart>
        <c:barDir val="col"/>
        <c:grouping val="stacked"/>
        <c:ser>
          <c:idx val="3"/>
          <c:order val="1"/>
          <c:tx>
            <c:strRef>
              <c:f>H000505_iscpr_CZ!$A$29</c:f>
              <c:strCache>
                <c:ptCount val="1"/>
                <c:pt idx="0">
                  <c:v>Služby</c:v>
                </c:pt>
              </c:strCache>
            </c:strRef>
          </c:tx>
          <c:spPr>
            <a:solidFill>
              <a:srgbClr val="BD1B21"/>
            </a:solidFill>
          </c:spPr>
          <c:cat>
            <c:numRef>
              <c:f>H000505_iscpr_CZ!$B$25:$K$25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H000505_iscpr_CZ!$B$29:$K$29</c:f>
              <c:numCache>
                <c:formatCode>General</c:formatCode>
                <c:ptCount val="10"/>
                <c:pt idx="0">
                  <c:v>1.5969993637851139</c:v>
                </c:pt>
                <c:pt idx="1">
                  <c:v>-1.0233436713961257</c:v>
                </c:pt>
                <c:pt idx="2">
                  <c:v>0</c:v>
                </c:pt>
                <c:pt idx="3">
                  <c:v>0</c:v>
                </c:pt>
                <c:pt idx="4">
                  <c:v>-0.30342348642831568</c:v>
                </c:pt>
                <c:pt idx="5">
                  <c:v>0.55913370809476559</c:v>
                </c:pt>
                <c:pt idx="6">
                  <c:v>0.69117631952131642</c:v>
                </c:pt>
                <c:pt idx="7">
                  <c:v>1.1627889138401961</c:v>
                </c:pt>
                <c:pt idx="8">
                  <c:v>1.2529797440304762</c:v>
                </c:pt>
                <c:pt idx="9">
                  <c:v>1.5096983410982998</c:v>
                </c:pt>
              </c:numCache>
            </c:numRef>
          </c:val>
          <c:extLst xmlns:c16r2="http://schemas.microsoft.com/office/drawing/2015/06/chart">
            <c:ext xmlns:c16="http://schemas.microsoft.com/office/drawing/2014/chart" uri="{C3380CC4-5D6E-409C-BE32-E72D297353CC}">
              <c16:uniqueId val="{00000000-05BD-451D-BBBD-2A072F993802}"/>
            </c:ext>
          </c:extLst>
        </c:ser>
        <c:ser>
          <c:idx val="2"/>
          <c:order val="2"/>
          <c:tx>
            <c:strRef>
              <c:f>H000505_iscpr_CZ!$A$28</c:f>
              <c:strCache>
                <c:ptCount val="1"/>
                <c:pt idx="0">
                  <c:v>Krátkodobá spotřeba</c:v>
                </c:pt>
              </c:strCache>
            </c:strRef>
          </c:tx>
          <c:spPr>
            <a:solidFill>
              <a:srgbClr val="A6CDE8"/>
            </a:solidFill>
          </c:spPr>
          <c:cat>
            <c:numRef>
              <c:f>H000505_iscpr_CZ!$B$25:$K$25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H000505_iscpr_CZ!$B$28:$K$28</c:f>
              <c:numCache>
                <c:formatCode>General</c:formatCode>
                <c:ptCount val="10"/>
                <c:pt idx="0">
                  <c:v>0</c:v>
                </c:pt>
                <c:pt idx="1">
                  <c:v>0.64590885587267965</c:v>
                </c:pt>
                <c:pt idx="2">
                  <c:v>0.48886816265032224</c:v>
                </c:pt>
                <c:pt idx="3">
                  <c:v>-0.456123758493369</c:v>
                </c:pt>
                <c:pt idx="4">
                  <c:v>-0.76529477174304061</c:v>
                </c:pt>
                <c:pt idx="5">
                  <c:v>-0.59960433686859904</c:v>
                </c:pt>
                <c:pt idx="6">
                  <c:v>0.42423040254211375</c:v>
                </c:pt>
                <c:pt idx="7">
                  <c:v>1.5108026811881978</c:v>
                </c:pt>
                <c:pt idx="8">
                  <c:v>1.2799968912048094</c:v>
                </c:pt>
                <c:pt idx="9">
                  <c:v>1.2691232184851959</c:v>
                </c:pt>
              </c:numCache>
            </c:numRef>
          </c:val>
          <c:extLst xmlns:c16r2="http://schemas.microsoft.com/office/drawing/2015/06/chart">
            <c:ext xmlns:c16="http://schemas.microsoft.com/office/drawing/2014/chart" uri="{C3380CC4-5D6E-409C-BE32-E72D297353CC}">
              <c16:uniqueId val="{00000001-05BD-451D-BBBD-2A072F993802}"/>
            </c:ext>
          </c:extLst>
        </c:ser>
        <c:ser>
          <c:idx val="1"/>
          <c:order val="3"/>
          <c:tx>
            <c:strRef>
              <c:f>H000505_iscpr_CZ!$A$27</c:f>
              <c:strCache>
                <c:ptCount val="1"/>
                <c:pt idx="0">
                  <c:v>Střednědobá spotřeba</c:v>
                </c:pt>
              </c:strCache>
            </c:strRef>
          </c:tx>
          <c:spPr>
            <a:solidFill>
              <a:srgbClr val="48AEE7"/>
            </a:solidFill>
          </c:spPr>
          <c:cat>
            <c:numRef>
              <c:f>H000505_iscpr_CZ!$B$25:$K$25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H000505_iscpr_CZ!$B$27:$K$27</c:f>
              <c:numCache>
                <c:formatCode>General</c:formatCode>
                <c:ptCount val="10"/>
                <c:pt idx="0">
                  <c:v>0.39916712237242408</c:v>
                </c:pt>
                <c:pt idx="1">
                  <c:v>-0.28984218970150588</c:v>
                </c:pt>
                <c:pt idx="2">
                  <c:v>1.3136787249459901E-2</c:v>
                </c:pt>
                <c:pt idx="3">
                  <c:v>0.20248529301016568</c:v>
                </c:pt>
                <c:pt idx="4">
                  <c:v>-9.9448383035024693E-2</c:v>
                </c:pt>
                <c:pt idx="5">
                  <c:v>0.22022860313886078</c:v>
                </c:pt>
                <c:pt idx="6">
                  <c:v>6.9321615451480814E-2</c:v>
                </c:pt>
                <c:pt idx="7">
                  <c:v>0.28999947294812117</c:v>
                </c:pt>
                <c:pt idx="8">
                  <c:v>0.35600955412286117</c:v>
                </c:pt>
                <c:pt idx="9">
                  <c:v>0.67869548559442527</c:v>
                </c:pt>
              </c:numCache>
            </c:numRef>
          </c:val>
          <c:extLst xmlns:c16r2="http://schemas.microsoft.com/office/drawing/2015/06/chart">
            <c:ext xmlns:c16="http://schemas.microsoft.com/office/drawing/2014/chart" uri="{C3380CC4-5D6E-409C-BE32-E72D297353CC}">
              <c16:uniqueId val="{00000002-05BD-451D-BBBD-2A072F993802}"/>
            </c:ext>
          </c:extLst>
        </c:ser>
        <c:ser>
          <c:idx val="0"/>
          <c:order val="4"/>
          <c:tx>
            <c:strRef>
              <c:f>H000505_iscpr_CZ!$A$26</c:f>
              <c:strCache>
                <c:ptCount val="1"/>
                <c:pt idx="0">
                  <c:v>Dlouhodobá spotřeba</c:v>
                </c:pt>
              </c:strCache>
            </c:strRef>
          </c:tx>
          <c:spPr>
            <a:solidFill>
              <a:srgbClr val="0071BC"/>
            </a:solidFill>
          </c:spPr>
          <c:cat>
            <c:numRef>
              <c:f>H000505_iscpr_CZ!$B$25:$K$25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H000505_iscpr_CZ!$B$26:$K$26</c:f>
              <c:numCache>
                <c:formatCode>General</c:formatCode>
                <c:ptCount val="10"/>
                <c:pt idx="0">
                  <c:v>0.9294493017594857</c:v>
                </c:pt>
                <c:pt idx="1">
                  <c:v>5.0381864185247982E-2</c:v>
                </c:pt>
                <c:pt idx="2">
                  <c:v>0.54904363628379727</c:v>
                </c:pt>
                <c:pt idx="3">
                  <c:v>0.5330101031628165</c:v>
                </c:pt>
                <c:pt idx="4">
                  <c:v>-6.3375100043696772E-2</c:v>
                </c:pt>
                <c:pt idx="5">
                  <c:v>0.29113774686374383</c:v>
                </c:pt>
                <c:pt idx="6">
                  <c:v>0.57342970616103561</c:v>
                </c:pt>
                <c:pt idx="7">
                  <c:v>0.88634728577693445</c:v>
                </c:pt>
                <c:pt idx="8">
                  <c:v>0.73068642920532367</c:v>
                </c:pt>
                <c:pt idx="9">
                  <c:v>0.82254133495335724</c:v>
                </c:pt>
              </c:numCache>
            </c:numRef>
          </c:val>
          <c:extLst xmlns:c16r2="http://schemas.microsoft.com/office/drawing/2015/06/chart">
            <c:ext xmlns:c16="http://schemas.microsoft.com/office/drawing/2014/chart" uri="{C3380CC4-5D6E-409C-BE32-E72D297353CC}">
              <c16:uniqueId val="{00000003-05BD-451D-BBBD-2A072F993802}"/>
            </c:ext>
          </c:extLst>
        </c:ser>
        <c:overlap val="100"/>
        <c:axId val="129301888"/>
        <c:axId val="129332352"/>
      </c:barChart>
      <c:lineChart>
        <c:grouping val="standard"/>
        <c:ser>
          <c:idx val="4"/>
          <c:order val="0"/>
          <c:tx>
            <c:strRef>
              <c:f>H000505_iscpr_CZ!$A$30</c:f>
              <c:strCache>
                <c:ptCount val="1"/>
                <c:pt idx="0">
                  <c:v>Celkem</c:v>
                </c:pt>
              </c:strCache>
            </c:strRef>
          </c:tx>
          <c:spPr>
            <a:ln>
              <a:solidFill>
                <a:schemeClr val="tx1"/>
              </a:solidFill>
            </a:ln>
          </c:spPr>
          <c:marker>
            <c:symbol val="none"/>
          </c:marker>
          <c:cat>
            <c:numRef>
              <c:f>H000505_iscpr_CZ!$B$25:$K$25</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H000505_iscpr_CZ!$B$30:$K$30</c:f>
              <c:numCache>
                <c:formatCode>General</c:formatCode>
                <c:ptCount val="10"/>
                <c:pt idx="0">
                  <c:v>2.9000000000000057</c:v>
                </c:pt>
                <c:pt idx="1">
                  <c:v>-0.59999999999999454</c:v>
                </c:pt>
                <c:pt idx="2">
                  <c:v>1.0999999999999854</c:v>
                </c:pt>
                <c:pt idx="3">
                  <c:v>0.30000000000000016</c:v>
                </c:pt>
                <c:pt idx="4">
                  <c:v>-1.2999999999999869</c:v>
                </c:pt>
                <c:pt idx="5">
                  <c:v>0.5</c:v>
                </c:pt>
                <c:pt idx="6">
                  <c:v>1.7999999999999872</c:v>
                </c:pt>
                <c:pt idx="7">
                  <c:v>3.7999999999999972</c:v>
                </c:pt>
                <c:pt idx="8">
                  <c:v>3.5999999999999943</c:v>
                </c:pt>
                <c:pt idx="9">
                  <c:v>4.2999999999999972</c:v>
                </c:pt>
              </c:numCache>
            </c:numRef>
          </c:val>
          <c:extLst xmlns:c16r2="http://schemas.microsoft.com/office/drawing/2015/06/chart">
            <c:ext xmlns:c16="http://schemas.microsoft.com/office/drawing/2014/chart" uri="{C3380CC4-5D6E-409C-BE32-E72D297353CC}">
              <c16:uniqueId val="{00000004-05BD-451D-BBBD-2A072F993802}"/>
            </c:ext>
          </c:extLst>
        </c:ser>
        <c:marker val="1"/>
        <c:axId val="129301888"/>
        <c:axId val="129332352"/>
      </c:lineChart>
      <c:catAx>
        <c:axId val="129301888"/>
        <c:scaling>
          <c:orientation val="minMax"/>
        </c:scaling>
        <c:axPos val="b"/>
        <c:numFmt formatCode="General" sourceLinked="1"/>
        <c:tickLblPos val="low"/>
        <c:crossAx val="129332352"/>
        <c:crosses val="autoZero"/>
        <c:auto val="1"/>
        <c:lblAlgn val="ctr"/>
        <c:lblOffset val="100"/>
      </c:catAx>
      <c:valAx>
        <c:axId val="129332352"/>
        <c:scaling>
          <c:orientation val="minMax"/>
        </c:scaling>
        <c:axPos val="l"/>
        <c:majorGridlines/>
        <c:numFmt formatCode="General" sourceLinked="1"/>
        <c:tickLblPos val="nextTo"/>
        <c:crossAx val="129301888"/>
        <c:crosses val="autoZero"/>
        <c:crossBetween val="between"/>
      </c:valAx>
      <c:spPr>
        <a:ln>
          <a:solidFill>
            <a:prstClr val="black"/>
          </a:solidFill>
        </a:ln>
      </c:spPr>
    </c:plotArea>
    <c:legend>
      <c:legendPos val="r"/>
      <c:layout>
        <c:manualLayout>
          <c:xMode val="edge"/>
          <c:yMode val="edge"/>
          <c:x val="5.5890535292131518E-2"/>
          <c:y val="0.87131374535629857"/>
          <c:w val="0.9146219604863226"/>
          <c:h val="0.11519053247776656"/>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0680513340087815E-2"/>
          <c:y val="3.9683102555443411E-2"/>
          <c:w val="0.92531556062141151"/>
          <c:h val="0.74878757176629518"/>
        </c:manualLayout>
      </c:layout>
      <c:barChart>
        <c:barDir val="col"/>
        <c:grouping val="clustered"/>
        <c:ser>
          <c:idx val="0"/>
          <c:order val="0"/>
          <c:spPr>
            <a:solidFill>
              <a:srgbClr val="0071BC"/>
            </a:solidFill>
          </c:spPr>
          <c:dPt>
            <c:idx val="2"/>
            <c:spPr>
              <a:solidFill>
                <a:srgbClr val="BD1B21"/>
              </a:solidFill>
            </c:spPr>
            <c:extLst xmlns:c16r2="http://schemas.microsoft.com/office/drawing/2015/06/chart">
              <c:ext xmlns:c16="http://schemas.microsoft.com/office/drawing/2014/chart" uri="{C3380CC4-5D6E-409C-BE32-E72D297353CC}">
                <c16:uniqueId val="{00000000-7986-4C7F-8FCF-FC1F94594CBD}"/>
              </c:ext>
            </c:extLst>
          </c:dPt>
          <c:dPt>
            <c:idx val="19"/>
            <c:spPr>
              <a:solidFill>
                <a:srgbClr val="A6CDE8"/>
              </a:solidFill>
            </c:spPr>
            <c:extLst xmlns:c16r2="http://schemas.microsoft.com/office/drawing/2015/06/chart">
              <c:ext xmlns:c16="http://schemas.microsoft.com/office/drawing/2014/chart" uri="{C3380CC4-5D6E-409C-BE32-E72D297353CC}">
                <c16:uniqueId val="{00000001-7986-4C7F-8FCF-FC1F94594CBD}"/>
              </c:ext>
            </c:extLst>
          </c:dPt>
          <c:cat>
            <c:strRef>
              <c:f>Data!$A$12:$A$41</c:f>
              <c:strCache>
                <c:ptCount val="30"/>
                <c:pt idx="0">
                  <c:v>Malta</c:v>
                </c:pt>
                <c:pt idx="1">
                  <c:v>Kypr</c:v>
                </c:pt>
                <c:pt idx="2">
                  <c:v>ČR</c:v>
                </c:pt>
                <c:pt idx="3">
                  <c:v>Lucembursko</c:v>
                </c:pt>
                <c:pt idx="4">
                  <c:v>Německo</c:v>
                </c:pt>
                <c:pt idx="5">
                  <c:v>Švédsko</c:v>
                </c:pt>
                <c:pt idx="6">
                  <c:v>Nizozemí</c:v>
                </c:pt>
                <c:pt idx="7">
                  <c:v>Dánsko</c:v>
                </c:pt>
                <c:pt idx="8">
                  <c:v>Bulharsko</c:v>
                </c:pt>
                <c:pt idx="9">
                  <c:v>Řecko</c:v>
                </c:pt>
                <c:pt idx="10">
                  <c:v>Chorvatsko</c:v>
                </c:pt>
                <c:pt idx="11">
                  <c:v>Litva</c:v>
                </c:pt>
                <c:pt idx="12">
                  <c:v>Slovinsko</c:v>
                </c:pt>
                <c:pt idx="13">
                  <c:v>Estonsko</c:v>
                </c:pt>
                <c:pt idx="14">
                  <c:v>Irsko</c:v>
                </c:pt>
                <c:pt idx="15">
                  <c:v>Lotyšsko</c:v>
                </c:pt>
                <c:pt idx="16">
                  <c:v>Finsko</c:v>
                </c:pt>
                <c:pt idx="17">
                  <c:v>Rakousko</c:v>
                </c:pt>
                <c:pt idx="18">
                  <c:v>Eurozóna</c:v>
                </c:pt>
                <c:pt idx="19">
                  <c:v>EU 28</c:v>
                </c:pt>
                <c:pt idx="20">
                  <c:v>Belgie</c:v>
                </c:pt>
                <c:pt idx="21">
                  <c:v>Slovensko</c:v>
                </c:pt>
                <c:pt idx="22">
                  <c:v>Polsko</c:v>
                </c:pt>
                <c:pt idx="23">
                  <c:v>Velká Británie</c:v>
                </c:pt>
                <c:pt idx="24">
                  <c:v>Maďarsko</c:v>
                </c:pt>
                <c:pt idx="25">
                  <c:v>Itálie</c:v>
                </c:pt>
                <c:pt idx="26">
                  <c:v>Francie</c:v>
                </c:pt>
                <c:pt idx="27">
                  <c:v>Rumunsko</c:v>
                </c:pt>
                <c:pt idx="28">
                  <c:v>Portugalsko</c:v>
                </c:pt>
                <c:pt idx="29">
                  <c:v>Španělsko</c:v>
                </c:pt>
              </c:strCache>
            </c:strRef>
          </c:cat>
          <c:val>
            <c:numRef>
              <c:f>Data!$K$12:$K$41</c:f>
              <c:numCache>
                <c:formatCode>#,##0.0</c:formatCode>
                <c:ptCount val="30"/>
                <c:pt idx="0">
                  <c:v>3.9</c:v>
                </c:pt>
                <c:pt idx="1">
                  <c:v>1.8</c:v>
                </c:pt>
                <c:pt idx="2">
                  <c:v>1.6</c:v>
                </c:pt>
                <c:pt idx="3">
                  <c:v>1.5</c:v>
                </c:pt>
                <c:pt idx="4">
                  <c:v>1.3</c:v>
                </c:pt>
                <c:pt idx="5">
                  <c:v>1.3</c:v>
                </c:pt>
                <c:pt idx="6">
                  <c:v>1.1000000000000001</c:v>
                </c:pt>
                <c:pt idx="7">
                  <c:v>1</c:v>
                </c:pt>
                <c:pt idx="8">
                  <c:v>0.9</c:v>
                </c:pt>
                <c:pt idx="9">
                  <c:v>0.8</c:v>
                </c:pt>
                <c:pt idx="10">
                  <c:v>0.8</c:v>
                </c:pt>
                <c:pt idx="11">
                  <c:v>0.5</c:v>
                </c:pt>
                <c:pt idx="12">
                  <c:v>0</c:v>
                </c:pt>
                <c:pt idx="13">
                  <c:v>-0.30000000000000032</c:v>
                </c:pt>
                <c:pt idx="14">
                  <c:v>-0.30000000000000032</c:v>
                </c:pt>
                <c:pt idx="15">
                  <c:v>-0.5</c:v>
                </c:pt>
                <c:pt idx="16">
                  <c:v>-0.60000000000000064</c:v>
                </c:pt>
                <c:pt idx="17">
                  <c:v>-0.70000000000000062</c:v>
                </c:pt>
                <c:pt idx="18">
                  <c:v>-0.9</c:v>
                </c:pt>
                <c:pt idx="19">
                  <c:v>-1</c:v>
                </c:pt>
                <c:pt idx="20">
                  <c:v>-1</c:v>
                </c:pt>
                <c:pt idx="21">
                  <c:v>-1</c:v>
                </c:pt>
                <c:pt idx="22">
                  <c:v>-1.7000000000000008</c:v>
                </c:pt>
                <c:pt idx="23">
                  <c:v>-1.9000000000000001</c:v>
                </c:pt>
                <c:pt idx="24">
                  <c:v>-2</c:v>
                </c:pt>
                <c:pt idx="25">
                  <c:v>-2.2999999999999998</c:v>
                </c:pt>
                <c:pt idx="26">
                  <c:v>-2.6</c:v>
                </c:pt>
                <c:pt idx="27">
                  <c:v>-2.9</c:v>
                </c:pt>
                <c:pt idx="28">
                  <c:v>-3</c:v>
                </c:pt>
                <c:pt idx="29">
                  <c:v>-3.1</c:v>
                </c:pt>
              </c:numCache>
            </c:numRef>
          </c:val>
          <c:extLst xmlns:c16r2="http://schemas.microsoft.com/office/drawing/2015/06/chart">
            <c:ext xmlns:c16="http://schemas.microsoft.com/office/drawing/2014/chart" uri="{C3380CC4-5D6E-409C-BE32-E72D297353CC}">
              <c16:uniqueId val="{00000002-7986-4C7F-8FCF-FC1F94594CBD}"/>
            </c:ext>
          </c:extLst>
        </c:ser>
        <c:gapWidth val="96"/>
        <c:axId val="129342080"/>
        <c:axId val="129352064"/>
      </c:barChart>
      <c:catAx>
        <c:axId val="129342080"/>
        <c:scaling>
          <c:orientation val="minMax"/>
        </c:scaling>
        <c:axPos val="b"/>
        <c:numFmt formatCode="General" sourceLinked="0"/>
        <c:tickLblPos val="low"/>
        <c:crossAx val="129352064"/>
        <c:crosses val="autoZero"/>
        <c:auto val="1"/>
        <c:lblAlgn val="ctr"/>
        <c:lblOffset val="100"/>
      </c:catAx>
      <c:valAx>
        <c:axId val="129352064"/>
        <c:scaling>
          <c:orientation val="minMax"/>
          <c:max val="4"/>
        </c:scaling>
        <c:axPos val="l"/>
        <c:majorGridlines/>
        <c:numFmt formatCode="#,##0" sourceLinked="0"/>
        <c:tickLblPos val="nextTo"/>
        <c:crossAx val="129342080"/>
        <c:crosses val="autoZero"/>
        <c:crossBetween val="between"/>
      </c:valAx>
      <c:spPr>
        <a:ln>
          <a:solidFill>
            <a:prstClr val="black"/>
          </a:solidFill>
        </a:ln>
      </c:spPr>
    </c:plotArea>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8.6613298337707784E-2"/>
          <c:y val="5.0925925925925923E-2"/>
          <c:w val="0.84562051618548706"/>
          <c:h val="0.76147382618840043"/>
        </c:manualLayout>
      </c:layout>
      <c:barChart>
        <c:barDir val="col"/>
        <c:grouping val="clustered"/>
        <c:ser>
          <c:idx val="0"/>
          <c:order val="2"/>
          <c:tx>
            <c:v>Saldo</c:v>
          </c:tx>
          <c:spPr>
            <a:solidFill>
              <a:srgbClr val="A6CDE8"/>
            </a:solidFill>
          </c:spPr>
          <c:val>
            <c:numRef>
              <c:f>List1!$L$9:$L$18</c:f>
              <c:numCache>
                <c:formatCode>General</c:formatCode>
                <c:ptCount val="10"/>
                <c:pt idx="0">
                  <c:v>-79.664999999999964</c:v>
                </c:pt>
                <c:pt idx="1">
                  <c:v>-214.21099999999998</c:v>
                </c:pt>
                <c:pt idx="2">
                  <c:v>-166.01700000000005</c:v>
                </c:pt>
                <c:pt idx="3">
                  <c:v>-109.89599999999996</c:v>
                </c:pt>
                <c:pt idx="4">
                  <c:v>-159.55200000000067</c:v>
                </c:pt>
                <c:pt idx="5">
                  <c:v>-51.129000000000012</c:v>
                </c:pt>
                <c:pt idx="6">
                  <c:v>-90.560999999999922</c:v>
                </c:pt>
                <c:pt idx="7">
                  <c:v>-27.929000000000087</c:v>
                </c:pt>
                <c:pt idx="8">
                  <c:v>34.641999999999832</c:v>
                </c:pt>
                <c:pt idx="9">
                  <c:v>80.620999999999853</c:v>
                </c:pt>
              </c:numCache>
            </c:numRef>
          </c:val>
          <c:extLst xmlns:c16r2="http://schemas.microsoft.com/office/drawing/2015/06/chart">
            <c:ext xmlns:c16="http://schemas.microsoft.com/office/drawing/2014/chart" uri="{C3380CC4-5D6E-409C-BE32-E72D297353CC}">
              <c16:uniqueId val="{00000000-324F-47C9-94D7-EFC6B55E8923}"/>
            </c:ext>
          </c:extLst>
        </c:ser>
        <c:gapWidth val="97"/>
        <c:axId val="133528960"/>
        <c:axId val="133527424"/>
      </c:barChart>
      <c:lineChart>
        <c:grouping val="standard"/>
        <c:ser>
          <c:idx val="1"/>
          <c:order val="0"/>
          <c:tx>
            <c:strRef>
              <c:f>List1!$B$3</c:f>
              <c:strCache>
                <c:ptCount val="1"/>
                <c:pt idx="0">
                  <c:v>Výdaje</c:v>
                </c:pt>
              </c:strCache>
            </c:strRef>
          </c:tx>
          <c:spPr>
            <a:ln>
              <a:solidFill>
                <a:srgbClr val="BD1B21"/>
              </a:solidFill>
            </a:ln>
          </c:spPr>
          <c:marker>
            <c:symbol val="none"/>
          </c:marker>
          <c:cat>
            <c:numRef>
              <c:f>List1!$A$9:$A$18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List1!$B$9:$B$18</c:f>
              <c:numCache>
                <c:formatCode>General</c:formatCode>
                <c:ptCount val="10"/>
                <c:pt idx="0">
                  <c:v>1635.279</c:v>
                </c:pt>
                <c:pt idx="1">
                  <c:v>1737.2329999999999</c:v>
                </c:pt>
                <c:pt idx="2">
                  <c:v>1724.241</c:v>
                </c:pt>
                <c:pt idx="3">
                  <c:v>1735.9160000000011</c:v>
                </c:pt>
                <c:pt idx="4">
                  <c:v>1805.836</c:v>
                </c:pt>
                <c:pt idx="5">
                  <c:v>1745.9080000000001</c:v>
                </c:pt>
                <c:pt idx="6">
                  <c:v>1830.5139999999999</c:v>
                </c:pt>
                <c:pt idx="7">
                  <c:v>1916.3899999999999</c:v>
                </c:pt>
                <c:pt idx="8">
                  <c:v>1882.5250000000001</c:v>
                </c:pt>
                <c:pt idx="9">
                  <c:v>1961.845</c:v>
                </c:pt>
              </c:numCache>
            </c:numRef>
          </c:val>
          <c:extLst xmlns:c16r2="http://schemas.microsoft.com/office/drawing/2015/06/chart">
            <c:ext xmlns:c16="http://schemas.microsoft.com/office/drawing/2014/chart" uri="{C3380CC4-5D6E-409C-BE32-E72D297353CC}">
              <c16:uniqueId val="{00000001-324F-47C9-94D7-EFC6B55E8923}"/>
            </c:ext>
          </c:extLst>
        </c:ser>
        <c:ser>
          <c:idx val="2"/>
          <c:order val="1"/>
          <c:tx>
            <c:strRef>
              <c:f>List1!$C$3</c:f>
              <c:strCache>
                <c:ptCount val="1"/>
                <c:pt idx="0">
                  <c:v>Příjmy</c:v>
                </c:pt>
              </c:strCache>
            </c:strRef>
          </c:tx>
          <c:spPr>
            <a:ln>
              <a:solidFill>
                <a:srgbClr val="0071BC"/>
              </a:solidFill>
            </a:ln>
          </c:spPr>
          <c:marker>
            <c:symbol val="none"/>
          </c:marker>
          <c:cat>
            <c:numRef>
              <c:f>List1!$A$9:$A$18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List1!$C$9:$C$18</c:f>
              <c:numCache>
                <c:formatCode>General</c:formatCode>
                <c:ptCount val="10"/>
                <c:pt idx="0">
                  <c:v>1555.6139999999998</c:v>
                </c:pt>
                <c:pt idx="1">
                  <c:v>1523.0219999999999</c:v>
                </c:pt>
                <c:pt idx="2">
                  <c:v>1558.2239999999999</c:v>
                </c:pt>
                <c:pt idx="3">
                  <c:v>1626.02</c:v>
                </c:pt>
                <c:pt idx="4">
                  <c:v>1646.2839999999999</c:v>
                </c:pt>
                <c:pt idx="5">
                  <c:v>1694.779</c:v>
                </c:pt>
                <c:pt idx="6">
                  <c:v>1739.953</c:v>
                </c:pt>
                <c:pt idx="7">
                  <c:v>1888.461</c:v>
                </c:pt>
                <c:pt idx="8">
                  <c:v>1917.1669999999999</c:v>
                </c:pt>
                <c:pt idx="9">
                  <c:v>2042.4660000000001</c:v>
                </c:pt>
              </c:numCache>
            </c:numRef>
          </c:val>
          <c:extLst xmlns:c16r2="http://schemas.microsoft.com/office/drawing/2015/06/chart">
            <c:ext xmlns:c16="http://schemas.microsoft.com/office/drawing/2014/chart" uri="{C3380CC4-5D6E-409C-BE32-E72D297353CC}">
              <c16:uniqueId val="{00000002-324F-47C9-94D7-EFC6B55E8923}"/>
            </c:ext>
          </c:extLst>
        </c:ser>
        <c:marker val="1"/>
        <c:axId val="133515904"/>
        <c:axId val="133525888"/>
      </c:lineChart>
      <c:catAx>
        <c:axId val="133515904"/>
        <c:scaling>
          <c:orientation val="minMax"/>
        </c:scaling>
        <c:axPos val="b"/>
        <c:numFmt formatCode="General" sourceLinked="1"/>
        <c:tickLblPos val="nextTo"/>
        <c:crossAx val="133525888"/>
        <c:crosses val="autoZero"/>
        <c:auto val="1"/>
        <c:lblAlgn val="ctr"/>
        <c:lblOffset val="100"/>
      </c:catAx>
      <c:valAx>
        <c:axId val="133525888"/>
        <c:scaling>
          <c:orientation val="minMax"/>
          <c:max val="2100"/>
          <c:min val="1500"/>
        </c:scaling>
        <c:axPos val="l"/>
        <c:majorGridlines>
          <c:spPr>
            <a:ln>
              <a:solidFill>
                <a:schemeClr val="bg1"/>
              </a:solidFill>
            </a:ln>
          </c:spPr>
        </c:majorGridlines>
        <c:numFmt formatCode="General" sourceLinked="1"/>
        <c:tickLblPos val="nextTo"/>
        <c:crossAx val="133515904"/>
        <c:crosses val="autoZero"/>
        <c:crossBetween val="between"/>
        <c:majorUnit val="100"/>
      </c:valAx>
      <c:valAx>
        <c:axId val="133527424"/>
        <c:scaling>
          <c:orientation val="minMax"/>
        </c:scaling>
        <c:axPos val="r"/>
        <c:majorGridlines/>
        <c:numFmt formatCode="General" sourceLinked="1"/>
        <c:tickLblPos val="nextTo"/>
        <c:crossAx val="133528960"/>
        <c:crosses val="max"/>
        <c:crossBetween val="between"/>
      </c:valAx>
      <c:catAx>
        <c:axId val="133528960"/>
        <c:scaling>
          <c:orientation val="minMax"/>
        </c:scaling>
        <c:delete val="1"/>
        <c:axPos val="b"/>
        <c:tickLblPos val="none"/>
        <c:crossAx val="133527424"/>
        <c:crosses val="autoZero"/>
        <c:auto val="1"/>
        <c:lblAlgn val="ctr"/>
        <c:lblOffset val="100"/>
      </c:catAx>
      <c:spPr>
        <a:ln>
          <a:solidFill>
            <a:schemeClr val="tx1"/>
          </a:solidFill>
        </a:ln>
      </c:spPr>
    </c:plotArea>
    <c:legend>
      <c:legendPos val="r"/>
      <c:layout>
        <c:manualLayout>
          <c:xMode val="edge"/>
          <c:yMode val="edge"/>
          <c:x val="8.2055555555555562E-2"/>
          <c:y val="0.90153506853310061"/>
          <c:w val="0.84849999999999992"/>
          <c:h val="7.6559128025663448E-2"/>
        </c:manualLayout>
      </c:layout>
      <c:spPr>
        <a:ln>
          <a:solidFill>
            <a:sysClr val="windowText" lastClr="000000"/>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7.8800658561296866E-2"/>
          <c:y val="3.9316672295395698E-2"/>
          <c:w val="0.90406978216819112"/>
          <c:h val="0.76580969267140686"/>
        </c:manualLayout>
      </c:layout>
      <c:barChart>
        <c:barDir val="col"/>
        <c:grouping val="stacked"/>
        <c:ser>
          <c:idx val="1"/>
          <c:order val="1"/>
          <c:tx>
            <c:strRef>
              <c:f>List1!$M$3</c:f>
              <c:strCache>
                <c:ptCount val="1"/>
                <c:pt idx="0">
                  <c:v>Ústřední vládní instituce</c:v>
                </c:pt>
              </c:strCache>
            </c:strRef>
          </c:tx>
          <c:spPr>
            <a:solidFill>
              <a:srgbClr val="0071BC"/>
            </a:solidFill>
          </c:spPr>
          <c:cat>
            <c:numRef>
              <c:f>List1!$K$9:$K$18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List1!$M$9:$M$18</c:f>
              <c:numCache>
                <c:formatCode>General</c:formatCode>
                <c:ptCount val="10"/>
                <c:pt idx="0">
                  <c:v>-82.017000000000067</c:v>
                </c:pt>
                <c:pt idx="1">
                  <c:v>-178.85500000000027</c:v>
                </c:pt>
                <c:pt idx="2">
                  <c:v>-142.11299999999997</c:v>
                </c:pt>
                <c:pt idx="3">
                  <c:v>-91.716000000000122</c:v>
                </c:pt>
                <c:pt idx="4">
                  <c:v>-150.63900000000012</c:v>
                </c:pt>
                <c:pt idx="5">
                  <c:v>-64.174000000000149</c:v>
                </c:pt>
                <c:pt idx="6">
                  <c:v>-95.561999999999927</c:v>
                </c:pt>
                <c:pt idx="7">
                  <c:v>-55.834000000000046</c:v>
                </c:pt>
                <c:pt idx="8">
                  <c:v>-19.90300000000002</c:v>
                </c:pt>
                <c:pt idx="9">
                  <c:v>30.148999999999887</c:v>
                </c:pt>
              </c:numCache>
            </c:numRef>
          </c:val>
          <c:extLst xmlns:c16r2="http://schemas.microsoft.com/office/drawing/2015/06/chart">
            <c:ext xmlns:c16="http://schemas.microsoft.com/office/drawing/2014/chart" uri="{C3380CC4-5D6E-409C-BE32-E72D297353CC}">
              <c16:uniqueId val="{00000000-CB5A-4A6A-B989-33DE09A7163D}"/>
            </c:ext>
          </c:extLst>
        </c:ser>
        <c:ser>
          <c:idx val="2"/>
          <c:order val="2"/>
          <c:tx>
            <c:strRef>
              <c:f>List1!$N$3</c:f>
              <c:strCache>
                <c:ptCount val="1"/>
                <c:pt idx="0">
                  <c:v>Místní vládní instituce</c:v>
                </c:pt>
              </c:strCache>
            </c:strRef>
          </c:tx>
          <c:spPr>
            <a:solidFill>
              <a:srgbClr val="A6CDE8"/>
            </a:solidFill>
          </c:spPr>
          <c:cat>
            <c:numRef>
              <c:f>List1!$K$9:$K$18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List1!$N$9:$N$18</c:f>
              <c:numCache>
                <c:formatCode>General</c:formatCode>
                <c:ptCount val="10"/>
                <c:pt idx="0">
                  <c:v>-7.6899999999999977</c:v>
                </c:pt>
                <c:pt idx="1">
                  <c:v>-24.706999999999987</c:v>
                </c:pt>
                <c:pt idx="2">
                  <c:v>-15.185000000000002</c:v>
                </c:pt>
                <c:pt idx="3">
                  <c:v>-11.254000000000019</c:v>
                </c:pt>
                <c:pt idx="4">
                  <c:v>-2.0849999999999795</c:v>
                </c:pt>
                <c:pt idx="5">
                  <c:v>12.13</c:v>
                </c:pt>
                <c:pt idx="6">
                  <c:v>7.6929999999999765</c:v>
                </c:pt>
                <c:pt idx="7">
                  <c:v>25.991999999999962</c:v>
                </c:pt>
                <c:pt idx="8">
                  <c:v>49.659000000000049</c:v>
                </c:pt>
                <c:pt idx="9">
                  <c:v>42.433999999999969</c:v>
                </c:pt>
              </c:numCache>
            </c:numRef>
          </c:val>
          <c:extLst xmlns:c16r2="http://schemas.microsoft.com/office/drawing/2015/06/chart">
            <c:ext xmlns:c16="http://schemas.microsoft.com/office/drawing/2014/chart" uri="{C3380CC4-5D6E-409C-BE32-E72D297353CC}">
              <c16:uniqueId val="{00000001-CB5A-4A6A-B989-33DE09A7163D}"/>
            </c:ext>
          </c:extLst>
        </c:ser>
        <c:ser>
          <c:idx val="3"/>
          <c:order val="3"/>
          <c:tx>
            <c:strRef>
              <c:f>List1!$O$3</c:f>
              <c:strCache>
                <c:ptCount val="1"/>
                <c:pt idx="0">
                  <c:v>Fondy sociálního zabezpečení</c:v>
                </c:pt>
              </c:strCache>
            </c:strRef>
          </c:tx>
          <c:spPr>
            <a:solidFill>
              <a:srgbClr val="BD1B21"/>
            </a:solidFill>
          </c:spPr>
          <c:cat>
            <c:numRef>
              <c:f>List1!$K$9:$K$18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List1!$O$9:$O$18</c:f>
              <c:numCache>
                <c:formatCode>General</c:formatCode>
                <c:ptCount val="10"/>
                <c:pt idx="0">
                  <c:v>10.042000000000002</c:v>
                </c:pt>
                <c:pt idx="1">
                  <c:v>-10.649000000000001</c:v>
                </c:pt>
                <c:pt idx="2">
                  <c:v>-8.7189999999999941</c:v>
                </c:pt>
                <c:pt idx="3">
                  <c:v>-6.9260000000000161</c:v>
                </c:pt>
                <c:pt idx="4">
                  <c:v>-6.8279999999999745</c:v>
                </c:pt>
                <c:pt idx="5">
                  <c:v>0.91499999999999204</c:v>
                </c:pt>
                <c:pt idx="6">
                  <c:v>-2.6920000000000073</c:v>
                </c:pt>
                <c:pt idx="7">
                  <c:v>1.9129999999999818</c:v>
                </c:pt>
                <c:pt idx="8">
                  <c:v>4.8860000000000294</c:v>
                </c:pt>
                <c:pt idx="9">
                  <c:v>8.0380000000000109</c:v>
                </c:pt>
              </c:numCache>
            </c:numRef>
          </c:val>
          <c:extLst xmlns:c16r2="http://schemas.microsoft.com/office/drawing/2015/06/chart">
            <c:ext xmlns:c16="http://schemas.microsoft.com/office/drawing/2014/chart" uri="{C3380CC4-5D6E-409C-BE32-E72D297353CC}">
              <c16:uniqueId val="{00000002-CB5A-4A6A-B989-33DE09A7163D}"/>
            </c:ext>
          </c:extLst>
        </c:ser>
        <c:gapWidth val="96"/>
        <c:overlap val="100"/>
        <c:axId val="133549056"/>
        <c:axId val="133554944"/>
      </c:barChart>
      <c:lineChart>
        <c:grouping val="standard"/>
        <c:ser>
          <c:idx val="0"/>
          <c:order val="0"/>
          <c:tx>
            <c:strRef>
              <c:f>List1!$L$3</c:f>
              <c:strCache>
                <c:ptCount val="1"/>
                <c:pt idx="0">
                  <c:v>Celkem</c:v>
                </c:pt>
              </c:strCache>
            </c:strRef>
          </c:tx>
          <c:spPr>
            <a:ln>
              <a:solidFill>
                <a:prstClr val="black"/>
              </a:solidFill>
            </a:ln>
          </c:spPr>
          <c:marker>
            <c:symbol val="none"/>
          </c:marker>
          <c:cat>
            <c:numRef>
              <c:f>List1!$K$9:$K$18</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List1!$L$9:$L$18</c:f>
              <c:numCache>
                <c:formatCode>General</c:formatCode>
                <c:ptCount val="10"/>
                <c:pt idx="0">
                  <c:v>-79.664999999999964</c:v>
                </c:pt>
                <c:pt idx="1">
                  <c:v>-214.21099999999998</c:v>
                </c:pt>
                <c:pt idx="2">
                  <c:v>-166.01700000000005</c:v>
                </c:pt>
                <c:pt idx="3">
                  <c:v>-109.89599999999996</c:v>
                </c:pt>
                <c:pt idx="4">
                  <c:v>-159.55200000000067</c:v>
                </c:pt>
                <c:pt idx="5">
                  <c:v>-51.129000000000012</c:v>
                </c:pt>
                <c:pt idx="6">
                  <c:v>-90.560999999999922</c:v>
                </c:pt>
                <c:pt idx="7">
                  <c:v>-27.929000000000087</c:v>
                </c:pt>
                <c:pt idx="8">
                  <c:v>34.641999999999832</c:v>
                </c:pt>
                <c:pt idx="9">
                  <c:v>80.620999999999853</c:v>
                </c:pt>
              </c:numCache>
            </c:numRef>
          </c:val>
          <c:extLst xmlns:c16r2="http://schemas.microsoft.com/office/drawing/2015/06/chart">
            <c:ext xmlns:c16="http://schemas.microsoft.com/office/drawing/2014/chart" uri="{C3380CC4-5D6E-409C-BE32-E72D297353CC}">
              <c16:uniqueId val="{00000003-CB5A-4A6A-B989-33DE09A7163D}"/>
            </c:ext>
          </c:extLst>
        </c:ser>
        <c:marker val="1"/>
        <c:axId val="133549056"/>
        <c:axId val="133554944"/>
      </c:lineChart>
      <c:catAx>
        <c:axId val="133549056"/>
        <c:scaling>
          <c:orientation val="minMax"/>
        </c:scaling>
        <c:axPos val="b"/>
        <c:numFmt formatCode="General" sourceLinked="1"/>
        <c:tickLblPos val="low"/>
        <c:crossAx val="133554944"/>
        <c:crosses val="autoZero"/>
        <c:auto val="1"/>
        <c:lblAlgn val="ctr"/>
        <c:lblOffset val="100"/>
      </c:catAx>
      <c:valAx>
        <c:axId val="133554944"/>
        <c:scaling>
          <c:orientation val="minMax"/>
        </c:scaling>
        <c:axPos val="l"/>
        <c:majorGridlines/>
        <c:numFmt formatCode="General" sourceLinked="1"/>
        <c:tickLblPos val="nextTo"/>
        <c:crossAx val="133549056"/>
        <c:crosses val="autoZero"/>
        <c:crossBetween val="between"/>
      </c:valAx>
      <c:spPr>
        <a:ln>
          <a:solidFill>
            <a:prstClr val="black"/>
          </a:solidFill>
        </a:ln>
      </c:spPr>
    </c:plotArea>
    <c:legend>
      <c:legendPos val="r"/>
      <c:layout>
        <c:manualLayout>
          <c:xMode val="edge"/>
          <c:yMode val="edge"/>
          <c:x val="7.9480538669368481E-2"/>
          <c:y val="0.87392885286503053"/>
          <c:w val="0.89907400371496116"/>
          <c:h val="0.11710908476866012"/>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8.3585781830462724E-2"/>
          <c:y val="3.5742429359450628E-2"/>
          <c:w val="0.89672070246538893"/>
          <c:h val="0.77794438815715461"/>
        </c:manualLayout>
      </c:layout>
      <c:barChart>
        <c:barDir val="col"/>
        <c:grouping val="stacked"/>
        <c:ser>
          <c:idx val="1"/>
          <c:order val="1"/>
          <c:tx>
            <c:strRef>
              <c:f>GOV_DEBT_CZ!$X$5</c:f>
              <c:strCache>
                <c:ptCount val="1"/>
                <c:pt idx="0">
                  <c:v>Oběživo a vklady</c:v>
                </c:pt>
              </c:strCache>
            </c:strRef>
          </c:tx>
          <c:spPr>
            <a:solidFill>
              <a:srgbClr val="7DBB2D"/>
            </a:solidFill>
          </c:spPr>
          <c:cat>
            <c:numRef>
              <c:f>GOV_DEBT_CZ!$L$7:$L$24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GOV_DEBT_CZ!$X$15:$X$24</c:f>
              <c:numCache>
                <c:formatCode>General</c:formatCode>
                <c:ptCount val="10"/>
                <c:pt idx="0">
                  <c:v>9.65</c:v>
                </c:pt>
                <c:pt idx="1">
                  <c:v>9.6389999999999993</c:v>
                </c:pt>
                <c:pt idx="2">
                  <c:v>8.5150000000000006</c:v>
                </c:pt>
                <c:pt idx="3">
                  <c:v>3.3119999999999967</c:v>
                </c:pt>
                <c:pt idx="4">
                  <c:v>8.4060000000000006</c:v>
                </c:pt>
                <c:pt idx="5">
                  <c:v>6.835</c:v>
                </c:pt>
                <c:pt idx="6">
                  <c:v>9.9610000000000003</c:v>
                </c:pt>
                <c:pt idx="7">
                  <c:v>5.3639999999999946</c:v>
                </c:pt>
                <c:pt idx="8">
                  <c:v>8.5020000000000007</c:v>
                </c:pt>
                <c:pt idx="9">
                  <c:v>5.9109999999999996</c:v>
                </c:pt>
              </c:numCache>
            </c:numRef>
          </c:val>
          <c:extLst xmlns:c16r2="http://schemas.microsoft.com/office/drawing/2015/06/chart">
            <c:ext xmlns:c16="http://schemas.microsoft.com/office/drawing/2014/chart" uri="{C3380CC4-5D6E-409C-BE32-E72D297353CC}">
              <c16:uniqueId val="{00000000-7145-4FC2-9D76-6BD2F181A17F}"/>
            </c:ext>
          </c:extLst>
        </c:ser>
        <c:ser>
          <c:idx val="6"/>
          <c:order val="2"/>
          <c:tx>
            <c:strRef>
              <c:f>GOV_DEBT_CZ!$AC$5</c:f>
              <c:strCache>
                <c:ptCount val="1"/>
                <c:pt idx="0">
                  <c:v>Půjčky</c:v>
                </c:pt>
              </c:strCache>
            </c:strRef>
          </c:tx>
          <c:spPr>
            <a:solidFill>
              <a:srgbClr val="BD1B21">
                <a:alpha val="99000"/>
              </a:srgbClr>
            </a:solidFill>
          </c:spPr>
          <c:cat>
            <c:numRef>
              <c:f>GOV_DEBT_CZ!$L$15:$L$24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GOV_DEBT_CZ!$AC$15:$AC$24</c:f>
              <c:numCache>
                <c:formatCode>General</c:formatCode>
                <c:ptCount val="10"/>
                <c:pt idx="0">
                  <c:v>160.08700000000007</c:v>
                </c:pt>
                <c:pt idx="1">
                  <c:v>184.37100000000001</c:v>
                </c:pt>
                <c:pt idx="2">
                  <c:v>191.39100000000047</c:v>
                </c:pt>
                <c:pt idx="3">
                  <c:v>195.02700000000004</c:v>
                </c:pt>
                <c:pt idx="4">
                  <c:v>193.547</c:v>
                </c:pt>
                <c:pt idx="5">
                  <c:v>194.46600000000001</c:v>
                </c:pt>
                <c:pt idx="6">
                  <c:v>186.17299999999997</c:v>
                </c:pt>
                <c:pt idx="7">
                  <c:v>182.56100000000001</c:v>
                </c:pt>
                <c:pt idx="8">
                  <c:v>153.30700000000004</c:v>
                </c:pt>
                <c:pt idx="9">
                  <c:v>140.88200000000114</c:v>
                </c:pt>
              </c:numCache>
            </c:numRef>
          </c:val>
          <c:extLst xmlns:c16r2="http://schemas.microsoft.com/office/drawing/2015/06/chart">
            <c:ext xmlns:c16="http://schemas.microsoft.com/office/drawing/2014/chart" uri="{C3380CC4-5D6E-409C-BE32-E72D297353CC}">
              <c16:uniqueId val="{00000001-7145-4FC2-9D76-6BD2F181A17F}"/>
            </c:ext>
          </c:extLst>
        </c:ser>
        <c:ser>
          <c:idx val="4"/>
          <c:order val="3"/>
          <c:tx>
            <c:strRef>
              <c:f>GOV_DEBT_CZ!$AA$5</c:f>
              <c:strCache>
                <c:ptCount val="1"/>
                <c:pt idx="0">
                  <c:v>Krátkodobé dluhové cenné papíry</c:v>
                </c:pt>
              </c:strCache>
            </c:strRef>
          </c:tx>
          <c:spPr>
            <a:solidFill>
              <a:srgbClr val="A6CDE8"/>
            </a:solidFill>
          </c:spPr>
          <c:cat>
            <c:numRef>
              <c:f>GOV_DEBT_CZ!$L$7:$L$24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GOV_DEBT_CZ!$AA$15:$AA$24</c:f>
              <c:numCache>
                <c:formatCode>General</c:formatCode>
                <c:ptCount val="10"/>
                <c:pt idx="0">
                  <c:v>58.431000000000004</c:v>
                </c:pt>
                <c:pt idx="1">
                  <c:v>73.624999999999986</c:v>
                </c:pt>
                <c:pt idx="2">
                  <c:v>96.224999999999994</c:v>
                </c:pt>
                <c:pt idx="3">
                  <c:v>137.33200000000087</c:v>
                </c:pt>
                <c:pt idx="4">
                  <c:v>178.98400000000001</c:v>
                </c:pt>
                <c:pt idx="5">
                  <c:v>120.96599999999999</c:v>
                </c:pt>
                <c:pt idx="6">
                  <c:v>106.93400000000022</c:v>
                </c:pt>
                <c:pt idx="7">
                  <c:v>84.275999999999982</c:v>
                </c:pt>
                <c:pt idx="8">
                  <c:v>4.7629999999999955</c:v>
                </c:pt>
                <c:pt idx="9">
                  <c:v>44.153000000000006</c:v>
                </c:pt>
              </c:numCache>
            </c:numRef>
          </c:val>
          <c:extLst xmlns:c16r2="http://schemas.microsoft.com/office/drawing/2015/06/chart">
            <c:ext xmlns:c16="http://schemas.microsoft.com/office/drawing/2014/chart" uri="{C3380CC4-5D6E-409C-BE32-E72D297353CC}">
              <c16:uniqueId val="{00000002-7145-4FC2-9D76-6BD2F181A17F}"/>
            </c:ext>
          </c:extLst>
        </c:ser>
        <c:ser>
          <c:idx val="5"/>
          <c:order val="4"/>
          <c:tx>
            <c:strRef>
              <c:f>GOV_DEBT_CZ!$AB$5</c:f>
              <c:strCache>
                <c:ptCount val="1"/>
                <c:pt idx="0">
                  <c:v>Dlouhodobé dluhové cenné papíry</c:v>
                </c:pt>
              </c:strCache>
            </c:strRef>
          </c:tx>
          <c:spPr>
            <a:solidFill>
              <a:srgbClr val="0071BC"/>
            </a:solidFill>
          </c:spPr>
          <c:cat>
            <c:numRef>
              <c:f>GOV_DEBT_CZ!$L$7:$L$24</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GOV_DEBT_CZ!$AB$15:$AB$24</c:f>
              <c:numCache>
                <c:formatCode>General</c:formatCode>
                <c:ptCount val="10"/>
                <c:pt idx="0">
                  <c:v>908.65099999999939</c:v>
                </c:pt>
                <c:pt idx="1">
                  <c:v>1051.4290000000001</c:v>
                </c:pt>
                <c:pt idx="2">
                  <c:v>1184.0339999999999</c:v>
                </c:pt>
                <c:pt idx="3">
                  <c:v>1270.8209999999999</c:v>
                </c:pt>
                <c:pt idx="4">
                  <c:v>1424.492</c:v>
                </c:pt>
                <c:pt idx="5">
                  <c:v>1518.145</c:v>
                </c:pt>
                <c:pt idx="6">
                  <c:v>1516.03</c:v>
                </c:pt>
                <c:pt idx="7">
                  <c:v>1564.0539999999999</c:v>
                </c:pt>
                <c:pt idx="8">
                  <c:v>1588.3109999999999</c:v>
                </c:pt>
                <c:pt idx="9">
                  <c:v>1558.1949999999906</c:v>
                </c:pt>
              </c:numCache>
            </c:numRef>
          </c:val>
          <c:extLst xmlns:c16r2="http://schemas.microsoft.com/office/drawing/2015/06/chart">
            <c:ext xmlns:c16="http://schemas.microsoft.com/office/drawing/2014/chart" uri="{C3380CC4-5D6E-409C-BE32-E72D297353CC}">
              <c16:uniqueId val="{00000003-7145-4FC2-9D76-6BD2F181A17F}"/>
            </c:ext>
          </c:extLst>
        </c:ser>
        <c:overlap val="100"/>
        <c:axId val="133617152"/>
        <c:axId val="133618688"/>
      </c:barChart>
      <c:lineChart>
        <c:grouping val="standard"/>
        <c:ser>
          <c:idx val="0"/>
          <c:order val="0"/>
          <c:tx>
            <c:strRef>
              <c:f>GOV_DEBT_CZ!$W$5:$W$6</c:f>
              <c:strCache>
                <c:ptCount val="1"/>
                <c:pt idx="0">
                  <c:v>Celkem</c:v>
                </c:pt>
              </c:strCache>
            </c:strRef>
          </c:tx>
          <c:spPr>
            <a:ln>
              <a:solidFill>
                <a:schemeClr val="tx1"/>
              </a:solidFill>
            </a:ln>
          </c:spPr>
          <c:marker>
            <c:symbol val="none"/>
          </c:marker>
          <c:cat>
            <c:numRef>
              <c:f>GOV_DEBT_CZ!$L$15:$L$24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GOV_DEBT_CZ!$W$15:$W$24</c:f>
              <c:numCache>
                <c:formatCode>General</c:formatCode>
                <c:ptCount val="10"/>
                <c:pt idx="0">
                  <c:v>1136.819</c:v>
                </c:pt>
                <c:pt idx="1">
                  <c:v>1319.0639999999999</c:v>
                </c:pt>
                <c:pt idx="2">
                  <c:v>1480.165</c:v>
                </c:pt>
                <c:pt idx="3">
                  <c:v>1606.492</c:v>
                </c:pt>
                <c:pt idx="4">
                  <c:v>1805.4290000000001</c:v>
                </c:pt>
                <c:pt idx="5">
                  <c:v>1840.412</c:v>
                </c:pt>
                <c:pt idx="6">
                  <c:v>1819.098</c:v>
                </c:pt>
                <c:pt idx="7">
                  <c:v>1836.2550000000001</c:v>
                </c:pt>
                <c:pt idx="8">
                  <c:v>1754.8829999999998</c:v>
                </c:pt>
                <c:pt idx="9">
                  <c:v>1749.1409999999998</c:v>
                </c:pt>
              </c:numCache>
            </c:numRef>
          </c:val>
          <c:extLst xmlns:c16r2="http://schemas.microsoft.com/office/drawing/2015/06/chart">
            <c:ext xmlns:c16="http://schemas.microsoft.com/office/drawing/2014/chart" uri="{C3380CC4-5D6E-409C-BE32-E72D297353CC}">
              <c16:uniqueId val="{00000004-7145-4FC2-9D76-6BD2F181A17F}"/>
            </c:ext>
          </c:extLst>
        </c:ser>
        <c:marker val="1"/>
        <c:axId val="133617152"/>
        <c:axId val="133618688"/>
      </c:lineChart>
      <c:catAx>
        <c:axId val="133617152"/>
        <c:scaling>
          <c:orientation val="minMax"/>
        </c:scaling>
        <c:axPos val="b"/>
        <c:numFmt formatCode="General" sourceLinked="1"/>
        <c:tickLblPos val="nextTo"/>
        <c:crossAx val="133618688"/>
        <c:crosses val="autoZero"/>
        <c:auto val="1"/>
        <c:lblAlgn val="ctr"/>
        <c:lblOffset val="100"/>
      </c:catAx>
      <c:valAx>
        <c:axId val="133618688"/>
        <c:scaling>
          <c:orientation val="minMax"/>
        </c:scaling>
        <c:axPos val="l"/>
        <c:majorGridlines/>
        <c:numFmt formatCode="General" sourceLinked="1"/>
        <c:tickLblPos val="nextTo"/>
        <c:crossAx val="133617152"/>
        <c:crosses val="autoZero"/>
        <c:crossBetween val="between"/>
      </c:valAx>
      <c:spPr>
        <a:ln>
          <a:solidFill>
            <a:prstClr val="black"/>
          </a:solidFill>
        </a:ln>
      </c:spPr>
    </c:plotArea>
    <c:legend>
      <c:legendPos val="r"/>
      <c:layout>
        <c:manualLayout>
          <c:xMode val="edge"/>
          <c:yMode val="edge"/>
          <c:x val="8.179120229652144E-2"/>
          <c:y val="0.87431892378700848"/>
          <c:w val="0.89895727794663949"/>
          <c:h val="0.11243104806934595"/>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6432511538894523E-2"/>
          <c:w val="0.92433548575002356"/>
          <c:h val="0.75083417764269422"/>
        </c:manualLayout>
      </c:layout>
      <c:barChart>
        <c:barDir val="col"/>
        <c:grouping val="clustered"/>
        <c:ser>
          <c:idx val="0"/>
          <c:order val="0"/>
          <c:tx>
            <c:strRef>
              <c:f>'Graf-Národní účty-souhrnné'!$A$29</c:f>
              <c:strCache>
                <c:ptCount val="1"/>
                <c:pt idx="0">
                  <c:v>Hrubá přidaná hodnota (2010=100)</c:v>
                </c:pt>
              </c:strCache>
            </c:strRef>
          </c:tx>
          <c:spPr>
            <a:solidFill>
              <a:srgbClr val="A6A6A6"/>
            </a:solidFill>
            <a:ln w="12700">
              <a:noFill/>
              <a:prstDash val="solid"/>
            </a:ln>
          </c:spP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účty-souhrnné'!$G$29:$S$29</c:f>
              <c:numCache>
                <c:formatCode>#,##0.0</c:formatCode>
                <c:ptCount val="13"/>
                <c:pt idx="0">
                  <c:v>133.6</c:v>
                </c:pt>
                <c:pt idx="1">
                  <c:v>121.8</c:v>
                </c:pt>
                <c:pt idx="2">
                  <c:v>90.7</c:v>
                </c:pt>
                <c:pt idx="3">
                  <c:v>98.9</c:v>
                </c:pt>
                <c:pt idx="4">
                  <c:v>119.2</c:v>
                </c:pt>
                <c:pt idx="5">
                  <c:v>100</c:v>
                </c:pt>
                <c:pt idx="6">
                  <c:v>101.9</c:v>
                </c:pt>
                <c:pt idx="7">
                  <c:v>106.1</c:v>
                </c:pt>
                <c:pt idx="8">
                  <c:v>103.5</c:v>
                </c:pt>
                <c:pt idx="9">
                  <c:v>111.9</c:v>
                </c:pt>
                <c:pt idx="10">
                  <c:v>118.1</c:v>
                </c:pt>
                <c:pt idx="11">
                  <c:v>122</c:v>
                </c:pt>
                <c:pt idx="12">
                  <c:v>118.4</c:v>
                </c:pt>
              </c:numCache>
            </c:numRef>
          </c:val>
          <c:extLst xmlns:c16r2="http://schemas.microsoft.com/office/drawing/2015/06/chart">
            <c:ext xmlns:c16="http://schemas.microsoft.com/office/drawing/2014/chart" uri="{C3380CC4-5D6E-409C-BE32-E72D297353CC}">
              <c16:uniqueId val="{00000000-D6C0-4244-BEC9-1BDF83465C1E}"/>
            </c:ext>
          </c:extLst>
        </c:ser>
        <c:gapWidth val="30"/>
        <c:axId val="133740800"/>
        <c:axId val="133750784"/>
      </c:barChart>
      <c:lineChart>
        <c:grouping val="standard"/>
        <c:ser>
          <c:idx val="3"/>
          <c:order val="1"/>
          <c:tx>
            <c:strRef>
              <c:f>'Graf-Národní účty-souhrnné'!$A$30</c:f>
              <c:strCache>
                <c:ptCount val="1"/>
                <c:pt idx="0">
                  <c:v>Objem reálných vyplacených mezd a platů (2010=100)*</c:v>
                </c:pt>
              </c:strCache>
            </c:strRef>
          </c:tx>
          <c:spPr>
            <a:ln w="19050">
              <a:solidFill>
                <a:srgbClr val="F8A124"/>
              </a:solidFill>
              <a:prstDash val="solid"/>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účty-souhrnné'!$G$30:$S$30</c:f>
              <c:numCache>
                <c:formatCode>0</c:formatCode>
                <c:ptCount val="13"/>
                <c:pt idx="0">
                  <c:v>110.61384422525877</c:v>
                </c:pt>
                <c:pt idx="1">
                  <c:v>113.13846678018811</c:v>
                </c:pt>
                <c:pt idx="2">
                  <c:v>113.21999987017882</c:v>
                </c:pt>
                <c:pt idx="3">
                  <c:v>113.92574971487295</c:v>
                </c:pt>
                <c:pt idx="4">
                  <c:v>108.65105400825404</c:v>
                </c:pt>
                <c:pt idx="5">
                  <c:v>100</c:v>
                </c:pt>
                <c:pt idx="6">
                  <c:v>101.69475567545068</c:v>
                </c:pt>
                <c:pt idx="7">
                  <c:v>105.40866571493146</c:v>
                </c:pt>
                <c:pt idx="8">
                  <c:v>107.98927258692895</c:v>
                </c:pt>
                <c:pt idx="9">
                  <c:v>110.59960588150817</c:v>
                </c:pt>
                <c:pt idx="10">
                  <c:v>110.52665116335145</c:v>
                </c:pt>
                <c:pt idx="11">
                  <c:v>110.34287581698328</c:v>
                </c:pt>
                <c:pt idx="12">
                  <c:v>113.27692247298104</c:v>
                </c:pt>
              </c:numCache>
            </c:numRef>
          </c:val>
          <c:extLst xmlns:c16r2="http://schemas.microsoft.com/office/drawing/2015/06/chart">
            <c:ext xmlns:c16="http://schemas.microsoft.com/office/drawing/2014/chart" uri="{C3380CC4-5D6E-409C-BE32-E72D297353CC}">
              <c16:uniqueId val="{00000001-D6C0-4244-BEC9-1BDF83465C1E}"/>
            </c:ext>
          </c:extLst>
        </c:ser>
        <c:ser>
          <c:idx val="1"/>
          <c:order val="2"/>
          <c:tx>
            <c:strRef>
              <c:f>'Graf-Národní účty-souhrnné'!$A$31</c:f>
              <c:strCache>
                <c:ptCount val="1"/>
                <c:pt idx="0">
                  <c:v>Reálná hodinová produktivita práce (2010=100)</c:v>
                </c:pt>
              </c:strCache>
            </c:strRef>
          </c:tx>
          <c:spPr>
            <a:ln w="19050">
              <a:solidFill>
                <a:srgbClr val="7DBB2D"/>
              </a:solidFill>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účty-souhrnné'!$G$31:$S$31</c:f>
              <c:numCache>
                <c:formatCode>0</c:formatCode>
                <c:ptCount val="13"/>
                <c:pt idx="0">
                  <c:v>118.03296541003574</c:v>
                </c:pt>
                <c:pt idx="1">
                  <c:v>112.41807488602628</c:v>
                </c:pt>
                <c:pt idx="2">
                  <c:v>85.661575088189352</c:v>
                </c:pt>
                <c:pt idx="3">
                  <c:v>94.637315576025799</c:v>
                </c:pt>
                <c:pt idx="4">
                  <c:v>116.23068293209055</c:v>
                </c:pt>
                <c:pt idx="5">
                  <c:v>100</c:v>
                </c:pt>
                <c:pt idx="6">
                  <c:v>98.511671714724258</c:v>
                </c:pt>
                <c:pt idx="7">
                  <c:v>103.64000167170033</c:v>
                </c:pt>
                <c:pt idx="8">
                  <c:v>100.09628306018969</c:v>
                </c:pt>
                <c:pt idx="9">
                  <c:v>108.75320501014819</c:v>
                </c:pt>
                <c:pt idx="10">
                  <c:v>115.68959039980635</c:v>
                </c:pt>
                <c:pt idx="11">
                  <c:v>120.38304920045555</c:v>
                </c:pt>
                <c:pt idx="12">
                  <c:v>116.13649479934062</c:v>
                </c:pt>
              </c:numCache>
            </c:numRef>
          </c:val>
          <c:extLst xmlns:c16r2="http://schemas.microsoft.com/office/drawing/2015/06/chart">
            <c:ext xmlns:c16="http://schemas.microsoft.com/office/drawing/2014/chart" uri="{C3380CC4-5D6E-409C-BE32-E72D297353CC}">
              <c16:uniqueId val="{00000002-D6C0-4244-BEC9-1BDF83465C1E}"/>
            </c:ext>
          </c:extLst>
        </c:ser>
        <c:ser>
          <c:idx val="7"/>
          <c:order val="3"/>
          <c:tx>
            <c:strRef>
              <c:f>'Graf-Národní účty-souhrnné'!$A$32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účty-souhrnné'!$G$32:$S$32</c:f>
              <c:numCache>
                <c:formatCode>0</c:formatCode>
                <c:ptCount val="13"/>
                <c:pt idx="0">
                  <c:v>114.68195709019878</c:v>
                </c:pt>
                <c:pt idx="1">
                  <c:v>109.91588166724426</c:v>
                </c:pt>
                <c:pt idx="2">
                  <c:v>106.88636148829589</c:v>
                </c:pt>
                <c:pt idx="3">
                  <c:v>106.02249456538861</c:v>
                </c:pt>
                <c:pt idx="4">
                  <c:v>105.49573107337513</c:v>
                </c:pt>
                <c:pt idx="5">
                  <c:v>100</c:v>
                </c:pt>
                <c:pt idx="6">
                  <c:v>102.90160990517133</c:v>
                </c:pt>
                <c:pt idx="7">
                  <c:v>104.10258025897105</c:v>
                </c:pt>
                <c:pt idx="8">
                  <c:v>105.20210453356835</c:v>
                </c:pt>
                <c:pt idx="9">
                  <c:v>104.33445701143575</c:v>
                </c:pt>
                <c:pt idx="10">
                  <c:v>102.94949749535364</c:v>
                </c:pt>
                <c:pt idx="11">
                  <c:v>100.91931571154026</c:v>
                </c:pt>
                <c:pt idx="12">
                  <c:v>101.54059418417889</c:v>
                </c:pt>
              </c:numCache>
            </c:numRef>
          </c:val>
          <c:extLst xmlns:c16r2="http://schemas.microsoft.com/office/drawing/2015/06/chart">
            <c:ext xmlns:c16="http://schemas.microsoft.com/office/drawing/2014/chart" uri="{C3380CC4-5D6E-409C-BE32-E72D297353CC}">
              <c16:uniqueId val="{00000003-D6C0-4244-BEC9-1BDF83465C1E}"/>
            </c:ext>
          </c:extLst>
        </c:ser>
        <c:marker val="1"/>
        <c:axId val="133740800"/>
        <c:axId val="133750784"/>
      </c:lineChart>
      <c:lineChart>
        <c:grouping val="standard"/>
        <c:ser>
          <c:idx val="2"/>
          <c:order val="4"/>
          <c:tx>
            <c:strRef>
              <c:f>'Graf-Národní účty-souhrnné'!$A$33</c:f>
              <c:strCache>
                <c:ptCount val="1"/>
                <c:pt idx="0">
                  <c:v>Míra investic (v %, pravá osa)</c:v>
                </c:pt>
              </c:strCache>
            </c:strRef>
          </c:tx>
          <c:spPr>
            <a:ln w="19050">
              <a:solidFill>
                <a:srgbClr val="BD1B21"/>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účty-souhrnné'!$G$33:$S$33</c:f>
              <c:numCache>
                <c:formatCode>0</c:formatCode>
                <c:ptCount val="13"/>
                <c:pt idx="0">
                  <c:v>27.632854254936191</c:v>
                </c:pt>
                <c:pt idx="1">
                  <c:v>29.390922200096128</c:v>
                </c:pt>
                <c:pt idx="2">
                  <c:v>37.252691879276121</c:v>
                </c:pt>
                <c:pt idx="3">
                  <c:v>33.359446235246544</c:v>
                </c:pt>
                <c:pt idx="4">
                  <c:v>32.931571364389853</c:v>
                </c:pt>
                <c:pt idx="5">
                  <c:v>40.956651718983544</c:v>
                </c:pt>
                <c:pt idx="6">
                  <c:v>33.439144888724719</c:v>
                </c:pt>
                <c:pt idx="7">
                  <c:v>41.399010440689338</c:v>
                </c:pt>
                <c:pt idx="8">
                  <c:v>37.638065459270365</c:v>
                </c:pt>
                <c:pt idx="9">
                  <c:v>34.970014992503813</c:v>
                </c:pt>
                <c:pt idx="10">
                  <c:v>30.069342709248929</c:v>
                </c:pt>
                <c:pt idx="11">
                  <c:v>39.967091898919314</c:v>
                </c:pt>
                <c:pt idx="12">
                  <c:v>39.557297182799907</c:v>
                </c:pt>
              </c:numCache>
            </c:numRef>
          </c:val>
          <c:extLst xmlns:c16r2="http://schemas.microsoft.com/office/drawing/2015/06/chart">
            <c:ext xmlns:c16="http://schemas.microsoft.com/office/drawing/2014/chart" uri="{C3380CC4-5D6E-409C-BE32-E72D297353CC}">
              <c16:uniqueId val="{00000004-D6C0-4244-BEC9-1BDF83465C1E}"/>
            </c:ext>
          </c:extLst>
        </c:ser>
        <c:ser>
          <c:idx val="5"/>
          <c:order val="5"/>
          <c:tx>
            <c:strRef>
              <c:f>'Graf-Národní účty-souhrnné'!$A$34</c:f>
              <c:strCache>
                <c:ptCount val="1"/>
                <c:pt idx="0">
                  <c:v>Míra zisku nefinančních podniků (v %, pravá osa)</c:v>
                </c:pt>
              </c:strCache>
            </c:strRef>
          </c:tx>
          <c:spPr>
            <a:ln w="19050">
              <a:solidFill>
                <a:srgbClr val="0071BC"/>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účty-souhrnné'!$G$34:$S$34</c:f>
              <c:numCache>
                <c:formatCode>0.0</c:formatCode>
                <c:ptCount val="13"/>
                <c:pt idx="0">
                  <c:v>62.276318294308524</c:v>
                </c:pt>
                <c:pt idx="1">
                  <c:v>59.307688533437492</c:v>
                </c:pt>
                <c:pt idx="2">
                  <c:v>62.827237228216894</c:v>
                </c:pt>
                <c:pt idx="3">
                  <c:v>61.632230531964339</c:v>
                </c:pt>
                <c:pt idx="4">
                  <c:v>66.568207848574318</c:v>
                </c:pt>
                <c:pt idx="5">
                  <c:v>56.092443755850354</c:v>
                </c:pt>
                <c:pt idx="6">
                  <c:v>69.904714763024373</c:v>
                </c:pt>
                <c:pt idx="7">
                  <c:v>72.387335072252938</c:v>
                </c:pt>
                <c:pt idx="8">
                  <c:v>72.722240673087569</c:v>
                </c:pt>
                <c:pt idx="9">
                  <c:v>78.074900705912626</c:v>
                </c:pt>
                <c:pt idx="10">
                  <c:v>70.034326170129049</c:v>
                </c:pt>
                <c:pt idx="11">
                  <c:v>79.39161966156432</c:v>
                </c:pt>
                <c:pt idx="12">
                  <c:v>75.145296814548388</c:v>
                </c:pt>
              </c:numCache>
            </c:numRef>
          </c:val>
          <c:extLst xmlns:c16r2="http://schemas.microsoft.com/office/drawing/2015/06/chart">
            <c:ext xmlns:c16="http://schemas.microsoft.com/office/drawing/2014/chart" uri="{C3380CC4-5D6E-409C-BE32-E72D297353CC}">
              <c16:uniqueId val="{00000005-D6C0-4244-BEC9-1BDF83465C1E}"/>
            </c:ext>
          </c:extLst>
        </c:ser>
        <c:marker val="1"/>
        <c:axId val="133753856"/>
        <c:axId val="133752320"/>
      </c:lineChart>
      <c:catAx>
        <c:axId val="133740800"/>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33750784"/>
        <c:crossesAt val="100"/>
        <c:lblAlgn val="ctr"/>
        <c:lblOffset val="0"/>
        <c:tickLblSkip val="1"/>
        <c:tickMarkSkip val="4"/>
      </c:catAx>
      <c:valAx>
        <c:axId val="133750784"/>
        <c:scaling>
          <c:orientation val="minMax"/>
          <c:max val="140"/>
          <c:min val="6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33740800"/>
        <c:crosses val="autoZero"/>
        <c:crossBetween val="between"/>
        <c:majorUnit val="5"/>
      </c:valAx>
      <c:valAx>
        <c:axId val="133752320"/>
        <c:scaling>
          <c:orientation val="minMax"/>
          <c:max val="80"/>
          <c:min val="0"/>
        </c:scaling>
        <c:axPos val="r"/>
        <c:numFmt formatCode="0" sourceLinked="0"/>
        <c:tickLblPos val="nextTo"/>
        <c:crossAx val="133753856"/>
        <c:crosses val="max"/>
        <c:crossBetween val="between"/>
        <c:majorUnit val="5"/>
      </c:valAx>
      <c:catAx>
        <c:axId val="133753856"/>
        <c:scaling>
          <c:orientation val="minMax"/>
        </c:scaling>
        <c:delete val="1"/>
        <c:axPos val="b"/>
        <c:numFmt formatCode="General" sourceLinked="1"/>
        <c:tickLblPos val="none"/>
        <c:crossAx val="133752320"/>
        <c:crosses val="autoZero"/>
        <c:auto val="1"/>
        <c:lblAlgn val="ctr"/>
        <c:lblOffset val="100"/>
      </c:catAx>
      <c:spPr>
        <a:noFill/>
        <a:ln w="9525">
          <a:solidFill>
            <a:schemeClr val="tx1"/>
          </a:solidFill>
        </a:ln>
      </c:spPr>
    </c:plotArea>
    <c:legend>
      <c:legendPos val="b"/>
      <c:layout>
        <c:manualLayout>
          <c:xMode val="edge"/>
          <c:yMode val="edge"/>
          <c:x val="6.0825149028219005E-2"/>
          <c:y val="0.81137678712146266"/>
          <c:w val="0.88531755998340556"/>
          <c:h val="0.18504896994258696"/>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643251153889452E-2"/>
          <c:w val="0.92433548575002356"/>
          <c:h val="0.74011201170775076"/>
        </c:manualLayout>
      </c:layout>
      <c:areaChart>
        <c:grouping val="standard"/>
        <c:ser>
          <c:idx val="9"/>
          <c:order val="9"/>
          <c:tx>
            <c:strRef>
              <c:f>'Graf-SZÚčet'!$B$90</c:f>
              <c:strCache>
                <c:ptCount val="1"/>
                <c:pt idx="0">
                  <c:v>Produkce zemědělského odvětví</c:v>
                </c:pt>
              </c:strCache>
            </c:strRef>
          </c:tx>
          <c:spPr>
            <a:solidFill>
              <a:srgbClr val="A6A6A6"/>
            </a:solidFill>
          </c:spP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'Graf-SZÚčet'!$C$90:$T$90</c:f>
              <c:numCache>
                <c:formatCode>#,##0</c:formatCode>
                <c:ptCount val="18"/>
                <c:pt idx="0">
                  <c:v>100</c:v>
                </c:pt>
                <c:pt idx="1">
                  <c:v>103.23404034897132</c:v>
                </c:pt>
                <c:pt idx="2">
                  <c:v>101.4114862879686</c:v>
                </c:pt>
                <c:pt idx="3">
                  <c:v>96.078277575950437</c:v>
                </c:pt>
                <c:pt idx="4">
                  <c:v>109.97971300570836</c:v>
                </c:pt>
                <c:pt idx="5">
                  <c:v>106.58690169916522</c:v>
                </c:pt>
                <c:pt idx="6">
                  <c:v>100.26984742048595</c:v>
                </c:pt>
                <c:pt idx="7">
                  <c:v>103.88695893466731</c:v>
                </c:pt>
                <c:pt idx="8">
                  <c:v>109.37095842194033</c:v>
                </c:pt>
                <c:pt idx="9">
                  <c:v>104.85279801837086</c:v>
                </c:pt>
                <c:pt idx="10">
                  <c:v>96.788305917141358</c:v>
                </c:pt>
                <c:pt idx="11">
                  <c:v>105.10849565178025</c:v>
                </c:pt>
                <c:pt idx="12">
                  <c:v>97.603765328771289</c:v>
                </c:pt>
                <c:pt idx="13">
                  <c:v>102.19690275948523</c:v>
                </c:pt>
                <c:pt idx="14">
                  <c:v>111.44440039593952</c:v>
                </c:pt>
                <c:pt idx="15">
                  <c:v>106.14922892925449</c:v>
                </c:pt>
                <c:pt idx="16">
                  <c:v>113.2685411052812</c:v>
                </c:pt>
                <c:pt idx="17">
                  <c:v>106.67348258565262</c:v>
                </c:pt>
              </c:numCache>
            </c:numRef>
          </c:val>
          <c:extLst xmlns:c16r2="http://schemas.microsoft.com/office/drawing/2015/06/chart">
            <c:ext xmlns:c16="http://schemas.microsoft.com/office/drawing/2014/chart" uri="{C3380CC4-5D6E-409C-BE32-E72D297353CC}">
              <c16:uniqueId val="{00000000-D6FE-4A4F-ABA3-167692E370F6}"/>
            </c:ext>
          </c:extLst>
        </c:ser>
        <c:axId val="133846912"/>
        <c:axId val="133848448"/>
      </c:areaChart>
      <c:lineChart>
        <c:grouping val="standard"/>
        <c:ser>
          <c:idx val="0"/>
          <c:order val="0"/>
          <c:tx>
            <c:strRef>
              <c:f>'Graf-SZÚčet'!$B$81</c:f>
              <c:strCache>
                <c:ptCount val="1"/>
                <c:pt idx="0">
                  <c:v>Obiloviny</c:v>
                </c:pt>
              </c:strCache>
            </c:strRef>
          </c:tx>
          <c:spPr>
            <a:ln w="19050">
              <a:solidFill>
                <a:srgbClr val="0071BC"/>
              </a:solidFill>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'Graf-SZÚčet'!$C$81:$T$81</c:f>
              <c:numCache>
                <c:formatCode>#,##0</c:formatCode>
                <c:ptCount val="18"/>
                <c:pt idx="0">
                  <c:v>100</c:v>
                </c:pt>
                <c:pt idx="1">
                  <c:v>118.71136071504142</c:v>
                </c:pt>
                <c:pt idx="2">
                  <c:v>109.02418931920536</c:v>
                </c:pt>
                <c:pt idx="3">
                  <c:v>92.448842312668958</c:v>
                </c:pt>
                <c:pt idx="4">
                  <c:v>137.19939913973678</c:v>
                </c:pt>
                <c:pt idx="5">
                  <c:v>120.65209525968049</c:v>
                </c:pt>
                <c:pt idx="6">
                  <c:v>101.3298089698737</c:v>
                </c:pt>
                <c:pt idx="7">
                  <c:v>114.69902127365555</c:v>
                </c:pt>
                <c:pt idx="8">
                  <c:v>133.51545623279839</c:v>
                </c:pt>
                <c:pt idx="9">
                  <c:v>124.05109252293414</c:v>
                </c:pt>
                <c:pt idx="10">
                  <c:v>110.06160983720946</c:v>
                </c:pt>
                <c:pt idx="11">
                  <c:v>134.60132809688326</c:v>
                </c:pt>
                <c:pt idx="12">
                  <c:v>106.51150578789633</c:v>
                </c:pt>
                <c:pt idx="13">
                  <c:v>121.00218077157155</c:v>
                </c:pt>
                <c:pt idx="14">
                  <c:v>141.5792967370742</c:v>
                </c:pt>
                <c:pt idx="15">
                  <c:v>130.62935009012398</c:v>
                </c:pt>
                <c:pt idx="16">
                  <c:v>140.3683685647446</c:v>
                </c:pt>
                <c:pt idx="17">
                  <c:v>121.17110970333094</c:v>
                </c:pt>
              </c:numCache>
            </c:numRef>
          </c:val>
          <c:extLst xmlns:c16r2="http://schemas.microsoft.com/office/drawing/2015/06/chart">
            <c:ext xmlns:c16="http://schemas.microsoft.com/office/drawing/2014/chart" uri="{C3380CC4-5D6E-409C-BE32-E72D297353CC}">
              <c16:uniqueId val="{00000001-D6FE-4A4F-ABA3-167692E370F6}"/>
            </c:ext>
          </c:extLst>
        </c:ser>
        <c:ser>
          <c:idx val="3"/>
          <c:order val="1"/>
          <c:tx>
            <c:strRef>
              <c:f>'Graf-SZÚčet'!$B$82</c:f>
              <c:strCache>
                <c:ptCount val="1"/>
                <c:pt idx="0">
                  <c:v>Technické plodiny</c:v>
                </c:pt>
              </c:strCache>
            </c:strRef>
          </c:tx>
          <c:spPr>
            <a:ln w="19050">
              <a:solidFill>
                <a:srgbClr val="BD1B21"/>
              </a:solidFill>
              <a:prstDash val="solid"/>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'Graf-SZÚčet'!$C$82:$T$82</c:f>
              <c:numCache>
                <c:formatCode>#,##0</c:formatCode>
                <c:ptCount val="18"/>
                <c:pt idx="0">
                  <c:v>100</c:v>
                </c:pt>
                <c:pt idx="1">
                  <c:v>119.41288858261979</c:v>
                </c:pt>
                <c:pt idx="2">
                  <c:v>106.63489392535872</c:v>
                </c:pt>
                <c:pt idx="3">
                  <c:v>95.266463010278926</c:v>
                </c:pt>
                <c:pt idx="4">
                  <c:v>126.92438441645565</c:v>
                </c:pt>
                <c:pt idx="5">
                  <c:v>119.53174700712545</c:v>
                </c:pt>
                <c:pt idx="6">
                  <c:v>118.53388313696225</c:v>
                </c:pt>
                <c:pt idx="7">
                  <c:v>118.11292686355905</c:v>
                </c:pt>
                <c:pt idx="8">
                  <c:v>122.43823203138065</c:v>
                </c:pt>
                <c:pt idx="9">
                  <c:v>129.05547774988611</c:v>
                </c:pt>
                <c:pt idx="10">
                  <c:v>119.20426552092914</c:v>
                </c:pt>
                <c:pt idx="11">
                  <c:v>127.62643956150005</c:v>
                </c:pt>
                <c:pt idx="12">
                  <c:v>123.67893879024317</c:v>
                </c:pt>
                <c:pt idx="13">
                  <c:v>141.87441252519776</c:v>
                </c:pt>
                <c:pt idx="14">
                  <c:v>159.12530335473485</c:v>
                </c:pt>
                <c:pt idx="15">
                  <c:v>132.55054051231863</c:v>
                </c:pt>
                <c:pt idx="16">
                  <c:v>149.69331308978252</c:v>
                </c:pt>
                <c:pt idx="17">
                  <c:v>138.74843292252521</c:v>
                </c:pt>
              </c:numCache>
            </c:numRef>
          </c:val>
          <c:extLst xmlns:c16r2="http://schemas.microsoft.com/office/drawing/2015/06/chart">
            <c:ext xmlns:c16="http://schemas.microsoft.com/office/drawing/2014/chart" uri="{C3380CC4-5D6E-409C-BE32-E72D297353CC}">
              <c16:uniqueId val="{00000002-D6FE-4A4F-ABA3-167692E370F6}"/>
            </c:ext>
          </c:extLst>
        </c:ser>
        <c:ser>
          <c:idx val="1"/>
          <c:order val="2"/>
          <c:tx>
            <c:strRef>
              <c:f>'Graf-SZÚčet'!$B$83</c:f>
              <c:strCache>
                <c:ptCount val="1"/>
                <c:pt idx="0">
                  <c:v>Pícniny</c:v>
                </c:pt>
              </c:strCache>
            </c:strRef>
          </c:tx>
          <c:spPr>
            <a:ln w="19050">
              <a:solidFill>
                <a:srgbClr val="F1AFB2"/>
              </a:solidFill>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'Graf-SZÚčet'!$C$83:$T$83</c:f>
              <c:numCache>
                <c:formatCode>#,##0</c:formatCode>
                <c:ptCount val="18"/>
                <c:pt idx="0">
                  <c:v>100</c:v>
                </c:pt>
                <c:pt idx="1">
                  <c:v>103.47067995852051</c:v>
                </c:pt>
                <c:pt idx="2">
                  <c:v>94.40786865358551</c:v>
                </c:pt>
                <c:pt idx="3">
                  <c:v>76.892080963465958</c:v>
                </c:pt>
                <c:pt idx="4">
                  <c:v>101.50036323847527</c:v>
                </c:pt>
                <c:pt idx="5">
                  <c:v>101.54307451898295</c:v>
                </c:pt>
                <c:pt idx="6">
                  <c:v>97.152532904829499</c:v>
                </c:pt>
                <c:pt idx="7">
                  <c:v>92.156323157754855</c:v>
                </c:pt>
                <c:pt idx="8">
                  <c:v>96.999948452742331</c:v>
                </c:pt>
                <c:pt idx="9">
                  <c:v>98.502857650408359</c:v>
                </c:pt>
                <c:pt idx="10">
                  <c:v>97.253442658788984</c:v>
                </c:pt>
                <c:pt idx="11">
                  <c:v>109.95777026540277</c:v>
                </c:pt>
                <c:pt idx="12">
                  <c:v>110.53620586824603</c:v>
                </c:pt>
                <c:pt idx="13">
                  <c:v>111.78440521325425</c:v>
                </c:pt>
                <c:pt idx="14">
                  <c:v>128.47017450348025</c:v>
                </c:pt>
                <c:pt idx="15">
                  <c:v>101.36875759979235</c:v>
                </c:pt>
                <c:pt idx="16">
                  <c:v>127.95776987905884</c:v>
                </c:pt>
                <c:pt idx="17">
                  <c:v>109.6461687224209</c:v>
                </c:pt>
              </c:numCache>
            </c:numRef>
          </c:val>
          <c:extLst xmlns:c16r2="http://schemas.microsoft.com/office/drawing/2015/06/chart">
            <c:ext xmlns:c16="http://schemas.microsoft.com/office/drawing/2014/chart" uri="{C3380CC4-5D6E-409C-BE32-E72D297353CC}">
              <c16:uniqueId val="{00000003-D6FE-4A4F-ABA3-167692E370F6}"/>
            </c:ext>
          </c:extLst>
        </c:ser>
        <c:ser>
          <c:idx val="7"/>
          <c:order val="3"/>
          <c:tx>
            <c:strRef>
              <c:f>'Graf-SZÚčet'!$B$84</c:f>
              <c:strCache>
                <c:ptCount val="1"/>
                <c:pt idx="0">
                  <c:v>Zelenina a zahradnické produkty</c:v>
                </c:pt>
              </c:strCache>
            </c:strRef>
          </c:tx>
          <c:spPr>
            <a:ln w="19050">
              <a:solidFill>
                <a:srgbClr val="7DBB2D"/>
              </a:solidFill>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'Graf-SZÚčet'!$C$84:$T$84</c:f>
              <c:numCache>
                <c:formatCode>#,##0</c:formatCode>
                <c:ptCount val="18"/>
                <c:pt idx="0">
                  <c:v>100</c:v>
                </c:pt>
                <c:pt idx="1">
                  <c:v>91.152472888519782</c:v>
                </c:pt>
                <c:pt idx="2">
                  <c:v>109.23184790883087</c:v>
                </c:pt>
                <c:pt idx="3">
                  <c:v>133.26319078697722</c:v>
                </c:pt>
                <c:pt idx="4">
                  <c:v>150.12183239285065</c:v>
                </c:pt>
                <c:pt idx="5">
                  <c:v>141.96585405136659</c:v>
                </c:pt>
                <c:pt idx="6">
                  <c:v>139.77131043560851</c:v>
                </c:pt>
                <c:pt idx="7">
                  <c:v>135.12307799918958</c:v>
                </c:pt>
                <c:pt idx="8">
                  <c:v>143.74036466027607</c:v>
                </c:pt>
                <c:pt idx="9">
                  <c:v>145.36300593906731</c:v>
                </c:pt>
                <c:pt idx="10">
                  <c:v>140.01605710627732</c:v>
                </c:pt>
                <c:pt idx="11">
                  <c:v>159.31813497701589</c:v>
                </c:pt>
                <c:pt idx="12">
                  <c:v>147.97440292470452</c:v>
                </c:pt>
                <c:pt idx="13">
                  <c:v>138.75663891504487</c:v>
                </c:pt>
                <c:pt idx="14">
                  <c:v>139.53704052920986</c:v>
                </c:pt>
                <c:pt idx="15">
                  <c:v>121.52630058128175</c:v>
                </c:pt>
                <c:pt idx="16">
                  <c:v>139.25995964241631</c:v>
                </c:pt>
                <c:pt idx="17">
                  <c:v>136.81824119764161</c:v>
                </c:pt>
              </c:numCache>
            </c:numRef>
          </c:val>
          <c:extLst xmlns:c16r2="http://schemas.microsoft.com/office/drawing/2015/06/chart">
            <c:ext xmlns:c16="http://schemas.microsoft.com/office/drawing/2014/chart" uri="{C3380CC4-5D6E-409C-BE32-E72D297353CC}">
              <c16:uniqueId val="{00000004-D6FE-4A4F-ABA3-167692E370F6}"/>
            </c:ext>
          </c:extLst>
        </c:ser>
        <c:ser>
          <c:idx val="2"/>
          <c:order val="4"/>
          <c:tx>
            <c:strRef>
              <c:f>'Graf-SZÚčet'!$B$85</c:f>
              <c:strCache>
                <c:ptCount val="1"/>
                <c:pt idx="0">
                  <c:v>Brambory</c:v>
                </c:pt>
              </c:strCache>
            </c:strRef>
          </c:tx>
          <c:spPr>
            <a:ln w="19050">
              <a:solidFill>
                <a:srgbClr val="A6A6A6"/>
              </a:solidFill>
              <a:prstDash val="solid"/>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'Graf-SZÚčet'!$C$85:$T$85</c:f>
              <c:numCache>
                <c:formatCode>#,##0</c:formatCode>
                <c:ptCount val="18"/>
                <c:pt idx="0">
                  <c:v>100</c:v>
                </c:pt>
                <c:pt idx="1">
                  <c:v>76.176353178459181</c:v>
                </c:pt>
                <c:pt idx="2">
                  <c:v>72.833624881514197</c:v>
                </c:pt>
                <c:pt idx="3">
                  <c:v>57.331907681324004</c:v>
                </c:pt>
                <c:pt idx="4">
                  <c:v>68.757595409448527</c:v>
                </c:pt>
                <c:pt idx="5">
                  <c:v>82.042514534698299</c:v>
                </c:pt>
                <c:pt idx="6">
                  <c:v>55.669730747225636</c:v>
                </c:pt>
                <c:pt idx="7">
                  <c:v>66.529472152213287</c:v>
                </c:pt>
                <c:pt idx="8">
                  <c:v>62.457201312775993</c:v>
                </c:pt>
                <c:pt idx="9">
                  <c:v>61.485186614258758</c:v>
                </c:pt>
                <c:pt idx="10">
                  <c:v>54.047924811686329</c:v>
                </c:pt>
                <c:pt idx="11">
                  <c:v>66.588570380747953</c:v>
                </c:pt>
                <c:pt idx="12">
                  <c:v>54.46522846161659</c:v>
                </c:pt>
                <c:pt idx="13">
                  <c:v>45.91813809973403</c:v>
                </c:pt>
                <c:pt idx="14">
                  <c:v>58.192908222108848</c:v>
                </c:pt>
                <c:pt idx="15">
                  <c:v>42.743150223701463</c:v>
                </c:pt>
                <c:pt idx="16">
                  <c:v>59.62733579154461</c:v>
                </c:pt>
                <c:pt idx="17">
                  <c:v>57.975679731698094</c:v>
                </c:pt>
              </c:numCache>
            </c:numRef>
          </c:val>
          <c:extLst xmlns:c16r2="http://schemas.microsoft.com/office/drawing/2015/06/chart">
            <c:ext xmlns:c16="http://schemas.microsoft.com/office/drawing/2014/chart" uri="{C3380CC4-5D6E-409C-BE32-E72D297353CC}">
              <c16:uniqueId val="{00000005-D6FE-4A4F-ABA3-167692E370F6}"/>
            </c:ext>
          </c:extLst>
        </c:ser>
        <c:ser>
          <c:idx val="5"/>
          <c:order val="5"/>
          <c:tx>
            <c:strRef>
              <c:f>'Graf-SZÚčet'!$B$86</c:f>
              <c:strCache>
                <c:ptCount val="1"/>
                <c:pt idx="0">
                  <c:v>Ovoce</c:v>
                </c:pt>
              </c:strCache>
            </c:strRef>
          </c:tx>
          <c:spPr>
            <a:ln w="19050">
              <a:solidFill>
                <a:srgbClr val="F8A124"/>
              </a:solidFill>
              <a:prstDash val="solid"/>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'Graf-SZÚčet'!$C$86:$T$86</c:f>
              <c:numCache>
                <c:formatCode>#,##0</c:formatCode>
                <c:ptCount val="18"/>
                <c:pt idx="0">
                  <c:v>100</c:v>
                </c:pt>
                <c:pt idx="1">
                  <c:v>73.113056194297272</c:v>
                </c:pt>
                <c:pt idx="2">
                  <c:v>67.467680457123933</c:v>
                </c:pt>
                <c:pt idx="3">
                  <c:v>62.670824241843846</c:v>
                </c:pt>
                <c:pt idx="4">
                  <c:v>68.532502795523229</c:v>
                </c:pt>
                <c:pt idx="5">
                  <c:v>56.822641550370754</c:v>
                </c:pt>
                <c:pt idx="6">
                  <c:v>60.111149182335993</c:v>
                </c:pt>
                <c:pt idx="7">
                  <c:v>58.221735531110212</c:v>
                </c:pt>
                <c:pt idx="8">
                  <c:v>65.571809234711878</c:v>
                </c:pt>
                <c:pt idx="9">
                  <c:v>65.777297129322463</c:v>
                </c:pt>
                <c:pt idx="10">
                  <c:v>43.760851380747155</c:v>
                </c:pt>
                <c:pt idx="11">
                  <c:v>44.047931394247144</c:v>
                </c:pt>
                <c:pt idx="12">
                  <c:v>48.050758096495073</c:v>
                </c:pt>
                <c:pt idx="13">
                  <c:v>55.826728642848281</c:v>
                </c:pt>
                <c:pt idx="14">
                  <c:v>54.437929625800344</c:v>
                </c:pt>
                <c:pt idx="15">
                  <c:v>67.81923733614255</c:v>
                </c:pt>
                <c:pt idx="16">
                  <c:v>51.751116172141813</c:v>
                </c:pt>
                <c:pt idx="17">
                  <c:v>41.666699867468296</c:v>
                </c:pt>
              </c:numCache>
            </c:numRef>
          </c:val>
          <c:extLst xmlns:c16r2="http://schemas.microsoft.com/office/drawing/2015/06/chart">
            <c:ext xmlns:c16="http://schemas.microsoft.com/office/drawing/2014/chart" uri="{C3380CC4-5D6E-409C-BE32-E72D297353CC}">
              <c16:uniqueId val="{00000006-D6FE-4A4F-ABA3-167692E370F6}"/>
            </c:ext>
          </c:extLst>
        </c:ser>
        <c:ser>
          <c:idx val="4"/>
          <c:order val="6"/>
          <c:tx>
            <c:strRef>
              <c:f>'Graf-SZÚčet'!$B$87</c:f>
              <c:strCache>
                <c:ptCount val="1"/>
                <c:pt idx="0">
                  <c:v>Prasata</c:v>
                </c:pt>
              </c:strCache>
            </c:strRef>
          </c:tx>
          <c:spPr>
            <a:ln w="19050">
              <a:solidFill>
                <a:srgbClr val="BCA6E8"/>
              </a:solidFill>
              <a:prstDash val="sysDash"/>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'Graf-SZÚčet'!$C$87:$T$87</c:f>
              <c:numCache>
                <c:formatCode>#,##0</c:formatCode>
                <c:ptCount val="18"/>
                <c:pt idx="0">
                  <c:v>100</c:v>
                </c:pt>
                <c:pt idx="1">
                  <c:v>98.649308512817768</c:v>
                </c:pt>
                <c:pt idx="2">
                  <c:v>97.427518966948696</c:v>
                </c:pt>
                <c:pt idx="3">
                  <c:v>97.889977471296518</c:v>
                </c:pt>
                <c:pt idx="4">
                  <c:v>90.829852492206157</c:v>
                </c:pt>
                <c:pt idx="5">
                  <c:v>84.668698121900448</c:v>
                </c:pt>
                <c:pt idx="6">
                  <c:v>84.369816439573555</c:v>
                </c:pt>
                <c:pt idx="7">
                  <c:v>90.532927884939809</c:v>
                </c:pt>
                <c:pt idx="8">
                  <c:v>83.600717301045449</c:v>
                </c:pt>
                <c:pt idx="9">
                  <c:v>70.904885781366886</c:v>
                </c:pt>
                <c:pt idx="10">
                  <c:v>69.88755399861499</c:v>
                </c:pt>
                <c:pt idx="11">
                  <c:v>66.632881403978558</c:v>
                </c:pt>
                <c:pt idx="12">
                  <c:v>58.629816521281576</c:v>
                </c:pt>
                <c:pt idx="13">
                  <c:v>60.373245728390444</c:v>
                </c:pt>
                <c:pt idx="14">
                  <c:v>61.177282946155586</c:v>
                </c:pt>
                <c:pt idx="15">
                  <c:v>63.376065123690843</c:v>
                </c:pt>
                <c:pt idx="16">
                  <c:v>63.075607968102545</c:v>
                </c:pt>
                <c:pt idx="17">
                  <c:v>59.690280859576873</c:v>
                </c:pt>
              </c:numCache>
            </c:numRef>
          </c:val>
          <c:extLst xmlns:c16r2="http://schemas.microsoft.com/office/drawing/2015/06/chart">
            <c:ext xmlns:c16="http://schemas.microsoft.com/office/drawing/2014/chart" uri="{C3380CC4-5D6E-409C-BE32-E72D297353CC}">
              <c16:uniqueId val="{00000007-D6FE-4A4F-ABA3-167692E370F6}"/>
            </c:ext>
          </c:extLst>
        </c:ser>
        <c:ser>
          <c:idx val="6"/>
          <c:order val="7"/>
          <c:tx>
            <c:strRef>
              <c:f>'Graf-SZÚčet'!$B$88</c:f>
              <c:strCache>
                <c:ptCount val="1"/>
                <c:pt idx="0">
                  <c:v>Ostatní hospodářská zvířata</c:v>
                </c:pt>
              </c:strCache>
            </c:strRef>
          </c:tx>
          <c:spPr>
            <a:ln w="19050">
              <a:solidFill>
                <a:srgbClr val="7030A0"/>
              </a:solidFill>
              <a:prstDash val="sysDash"/>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'Graf-SZÚčet'!$C$88:$T$88</c:f>
              <c:numCache>
                <c:formatCode>#,##0</c:formatCode>
                <c:ptCount val="18"/>
                <c:pt idx="0">
                  <c:v>100</c:v>
                </c:pt>
                <c:pt idx="1">
                  <c:v>99.817651762176823</c:v>
                </c:pt>
                <c:pt idx="2">
                  <c:v>101.4568275215443</c:v>
                </c:pt>
                <c:pt idx="3">
                  <c:v>100.73973089630728</c:v>
                </c:pt>
                <c:pt idx="4">
                  <c:v>96.699221951661272</c:v>
                </c:pt>
                <c:pt idx="5">
                  <c:v>95.962805659711933</c:v>
                </c:pt>
                <c:pt idx="6">
                  <c:v>100.08595299992828</c:v>
                </c:pt>
                <c:pt idx="7">
                  <c:v>100.24843201368513</c:v>
                </c:pt>
                <c:pt idx="8">
                  <c:v>109.35548985259766</c:v>
                </c:pt>
                <c:pt idx="9">
                  <c:v>105.27227448531492</c:v>
                </c:pt>
                <c:pt idx="10">
                  <c:v>91.850742308486147</c:v>
                </c:pt>
                <c:pt idx="11">
                  <c:v>87.358703453616258</c:v>
                </c:pt>
                <c:pt idx="12">
                  <c:v>91.80552218508285</c:v>
                </c:pt>
                <c:pt idx="13">
                  <c:v>88.125649270924143</c:v>
                </c:pt>
                <c:pt idx="14">
                  <c:v>92.571975756284218</c:v>
                </c:pt>
                <c:pt idx="15">
                  <c:v>95.115723150107982</c:v>
                </c:pt>
                <c:pt idx="16">
                  <c:v>93.184230909432443</c:v>
                </c:pt>
                <c:pt idx="17">
                  <c:v>93.759612019290387</c:v>
                </c:pt>
              </c:numCache>
            </c:numRef>
          </c:val>
          <c:extLst xmlns:c16r2="http://schemas.microsoft.com/office/drawing/2015/06/chart">
            <c:ext xmlns:c16="http://schemas.microsoft.com/office/drawing/2014/chart" uri="{C3380CC4-5D6E-409C-BE32-E72D297353CC}">
              <c16:uniqueId val="{00000008-D6FE-4A4F-ABA3-167692E370F6}"/>
            </c:ext>
          </c:extLst>
        </c:ser>
        <c:ser>
          <c:idx val="8"/>
          <c:order val="8"/>
          <c:tx>
            <c:strRef>
              <c:f>'Graf-SZÚčet'!$B$89</c:f>
              <c:strCache>
                <c:ptCount val="1"/>
                <c:pt idx="0">
                  <c:v>Mléko a vejce</c:v>
                </c:pt>
              </c:strCache>
            </c:strRef>
          </c:tx>
          <c:spPr>
            <a:ln w="19050">
              <a:solidFill>
                <a:schemeClr val="tx1">
                  <a:lumMod val="95000"/>
                  <a:lumOff val="5000"/>
                </a:schemeClr>
              </a:solidFill>
              <a:prstDash val="dash"/>
            </a:ln>
          </c:spPr>
          <c:marker>
            <c:symbol val="none"/>
          </c:marker>
          <c:cat>
            <c:numRef>
              <c:f>'Graf-SZÚčet'!$C$80:$T$80</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'Graf-SZÚčet'!$C$89:$T$89</c:f>
              <c:numCache>
                <c:formatCode>#,##0</c:formatCode>
                <c:ptCount val="18"/>
                <c:pt idx="0">
                  <c:v>100</c:v>
                </c:pt>
                <c:pt idx="1">
                  <c:v>98.140970736370079</c:v>
                </c:pt>
                <c:pt idx="2">
                  <c:v>97.240887112762849</c:v>
                </c:pt>
                <c:pt idx="3">
                  <c:v>97.893663893331095</c:v>
                </c:pt>
                <c:pt idx="4">
                  <c:v>96.713359744163597</c:v>
                </c:pt>
                <c:pt idx="5">
                  <c:v>100.65780921235825</c:v>
                </c:pt>
                <c:pt idx="6">
                  <c:v>99.700952526523494</c:v>
                </c:pt>
                <c:pt idx="7">
                  <c:v>100.05274580083253</c:v>
                </c:pt>
                <c:pt idx="8">
                  <c:v>102.55726127792101</c:v>
                </c:pt>
                <c:pt idx="9">
                  <c:v>101.61531096040675</c:v>
                </c:pt>
                <c:pt idx="10">
                  <c:v>96.228919573126788</c:v>
                </c:pt>
                <c:pt idx="11">
                  <c:v>99.609259743684149</c:v>
                </c:pt>
                <c:pt idx="12">
                  <c:v>101.25465374601472</c:v>
                </c:pt>
                <c:pt idx="13">
                  <c:v>103.01583922055515</c:v>
                </c:pt>
                <c:pt idx="14">
                  <c:v>106.34280281843226</c:v>
                </c:pt>
                <c:pt idx="15">
                  <c:v>109.08596119371605</c:v>
                </c:pt>
                <c:pt idx="16">
                  <c:v>110.66842083563343</c:v>
                </c:pt>
                <c:pt idx="17">
                  <c:v>112.47565425735586</c:v>
                </c:pt>
              </c:numCache>
            </c:numRef>
          </c:val>
          <c:extLst xmlns:c16r2="http://schemas.microsoft.com/office/drawing/2015/06/chart">
            <c:ext xmlns:c16="http://schemas.microsoft.com/office/drawing/2014/chart" uri="{C3380CC4-5D6E-409C-BE32-E72D297353CC}">
              <c16:uniqueId val="{00000009-D6FE-4A4F-ABA3-167692E370F6}"/>
            </c:ext>
          </c:extLst>
        </c:ser>
        <c:marker val="1"/>
        <c:axId val="133846912"/>
        <c:axId val="133848448"/>
      </c:lineChart>
      <c:catAx>
        <c:axId val="133846912"/>
        <c:scaling>
          <c:orientation val="minMax"/>
        </c:scaling>
        <c:axPos val="b"/>
        <c:numFmt formatCode="General" sourceLinked="1"/>
        <c:majorTickMark val="none"/>
        <c:tickLblPos val="low"/>
        <c:spPr>
          <a:ln w="9525">
            <a:solidFill>
              <a:schemeClr val="tx1"/>
            </a:solidFill>
            <a:prstDash val="solid"/>
          </a:ln>
        </c:spPr>
        <c:txPr>
          <a:bodyPr rot="-5400000" vert="horz"/>
          <a:lstStyle/>
          <a:p>
            <a:pPr>
              <a:defRPr/>
            </a:pPr>
            <a:endParaRPr lang="cs-CZ"/>
          </a:p>
        </c:txPr>
        <c:crossAx val="133848448"/>
        <c:crossesAt val="100"/>
        <c:lblAlgn val="ctr"/>
        <c:lblOffset val="0"/>
        <c:tickLblSkip val="1"/>
        <c:tickMarkSkip val="4"/>
      </c:catAx>
      <c:valAx>
        <c:axId val="133848448"/>
        <c:scaling>
          <c:orientation val="minMax"/>
          <c:max val="180"/>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33846912"/>
        <c:crosses val="autoZero"/>
        <c:crossBetween val="midCat"/>
        <c:majorUnit val="20"/>
      </c:valAx>
      <c:spPr>
        <a:noFill/>
        <a:ln w="9525">
          <a:solidFill>
            <a:schemeClr val="tx1"/>
          </a:solidFill>
        </a:ln>
      </c:spPr>
    </c:plotArea>
    <c:legend>
      <c:legendPos val="b"/>
      <c:layout>
        <c:manualLayout>
          <c:xMode val="edge"/>
          <c:yMode val="edge"/>
          <c:x val="6.3561476330895331E-2"/>
          <c:y val="0.83639648767308994"/>
          <c:w val="0.9146976145124539"/>
          <c:h val="0.15288078351908141"/>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643251153889452E-2"/>
          <c:w val="0.92433548575002356"/>
          <c:h val="0.68653037925405858"/>
        </c:manualLayout>
      </c:layout>
      <c:barChart>
        <c:barDir val="col"/>
        <c:grouping val="clustered"/>
        <c:ser>
          <c:idx val="3"/>
          <c:order val="1"/>
          <c:tx>
            <c:strRef>
              <c:f>'Graf-sklizně vs. výnosy'!$AF$5</c:f>
              <c:strCache>
                <c:ptCount val="1"/>
                <c:pt idx="0">
                  <c:v>Produkční plocha (y/y, %)</c:v>
                </c:pt>
              </c:strCache>
            </c:strRef>
          </c:tx>
          <c:spPr>
            <a:solidFill>
              <a:srgbClr val="D2E7B6"/>
            </a:solidFill>
            <a:ln w="3175">
              <a:solidFill>
                <a:schemeClr val="bg1">
                  <a:lumMod val="65000"/>
                </a:schemeClr>
              </a:solidFill>
              <a:prstDash val="solid"/>
            </a:ln>
          </c:spPr>
          <c:cat>
            <c:strRef>
              <c:f>'Graf-sklizně vs. výnosy'!$AG$3:$AX$3</c:f>
              <c:strCache>
                <c:ptCount val="18"/>
                <c:pt idx="0">
                  <c:v>Obiloviny 
celkem</c:v>
                </c:pt>
                <c:pt idx="1">
                  <c:v>Pšenice</c:v>
                </c:pt>
                <c:pt idx="2">
                  <c:v>Žito</c:v>
                </c:pt>
                <c:pt idx="3">
                  <c:v>Ječmen</c:v>
                </c:pt>
                <c:pt idx="4">
                  <c:v>Oves</c:v>
                </c:pt>
                <c:pt idx="5">
                  <c:v>Kukuřice 
na zrno</c:v>
                </c:pt>
                <c:pt idx="6">
                  <c:v>Řepka</c:v>
                </c:pt>
                <c:pt idx="7">
                  <c:v>Mák</c:v>
                </c:pt>
                <c:pt idx="8">
                  <c:v>Luskoviny</c:v>
                </c:pt>
                <c:pt idx="9">
                  <c:v>Cukrovka 
technická</c:v>
                </c:pt>
                <c:pt idx="10">
                  <c:v>Chmel</c:v>
                </c:pt>
                <c:pt idx="11">
                  <c:v>Brambory</c:v>
                </c:pt>
                <c:pt idx="12">
                  <c:v>Kukuřice na 
zeleno a siláž </c:v>
                </c:pt>
                <c:pt idx="13">
                  <c:v>Trv.trav.porosty
 (píce v seně)</c:v>
                </c:pt>
                <c:pt idx="14">
                  <c:v>Cibule</c:v>
                </c:pt>
                <c:pt idx="15">
                  <c:v>Jablka</c:v>
                </c:pt>
                <c:pt idx="16">
                  <c:v>Hrušky</c:v>
                </c:pt>
                <c:pt idx="17">
                  <c:v>Vinné hrozny</c:v>
                </c:pt>
              </c:strCache>
            </c:strRef>
          </c:cat>
          <c:val>
            <c:numRef>
              <c:f>'Graf-sklizně vs. výnosy'!$AG$5:$AX$5</c:f>
              <c:numCache>
                <c:formatCode>#,##0.0</c:formatCode>
                <c:ptCount val="18"/>
                <c:pt idx="0">
                  <c:v>-0.31875680116174493</c:v>
                </c:pt>
                <c:pt idx="1">
                  <c:v>-0.91086155181888273</c:v>
                </c:pt>
                <c:pt idx="2">
                  <c:v>6.0621406768698645</c:v>
                </c:pt>
                <c:pt idx="3">
                  <c:v>0.6084359855241388</c:v>
                </c:pt>
                <c:pt idx="4">
                  <c:v>17.299647023121551</c:v>
                </c:pt>
                <c:pt idx="5">
                  <c:v>-0.47678103995367882</c:v>
                </c:pt>
                <c:pt idx="6">
                  <c:v>0.3232514718839104</c:v>
                </c:pt>
                <c:pt idx="7">
                  <c:v>-8.3190523605034201</c:v>
                </c:pt>
                <c:pt idx="8">
                  <c:v>20.275259250028988</c:v>
                </c:pt>
                <c:pt idx="9">
                  <c:v>8.8325960762568894</c:v>
                </c:pt>
                <c:pt idx="10">
                  <c:v>3.5602094240837339</c:v>
                </c:pt>
                <c:pt idx="11">
                  <c:v>1.7040890021348787E-2</c:v>
                </c:pt>
                <c:pt idx="12">
                  <c:v>-4.7712867236272434</c:v>
                </c:pt>
                <c:pt idx="13">
                  <c:v>3.4454531478775152</c:v>
                </c:pt>
                <c:pt idx="14">
                  <c:v>10.233464042137419</c:v>
                </c:pt>
                <c:pt idx="15">
                  <c:v>2.1500264590427487</c:v>
                </c:pt>
                <c:pt idx="16">
                  <c:v>-1.7852130169178366</c:v>
                </c:pt>
                <c:pt idx="17">
                  <c:v>6.0392620079441767E-2</c:v>
                </c:pt>
              </c:numCache>
            </c:numRef>
          </c:val>
          <c:extLst xmlns:c16r2="http://schemas.microsoft.com/office/drawing/2015/06/chart">
            <c:ext xmlns:c16="http://schemas.microsoft.com/office/drawing/2014/chart" uri="{C3380CC4-5D6E-409C-BE32-E72D297353CC}">
              <c16:uniqueId val="{00000000-4B2A-43EA-B5E2-29512D0862A4}"/>
            </c:ext>
          </c:extLst>
        </c:ser>
        <c:ser>
          <c:idx val="1"/>
          <c:order val="2"/>
          <c:tx>
            <c:strRef>
              <c:f>'Graf-sklizně vs. výnosy'!$AF$6</c:f>
              <c:strCache>
                <c:ptCount val="1"/>
                <c:pt idx="0">
                  <c:v>Hektarové výnosy (y/y, %)</c:v>
                </c:pt>
              </c:strCache>
            </c:strRef>
          </c:tx>
          <c:spPr>
            <a:solidFill>
              <a:srgbClr val="FDDEB3"/>
            </a:solidFill>
            <a:ln w="3175">
              <a:solidFill>
                <a:schemeClr val="bg1">
                  <a:lumMod val="65000"/>
                </a:schemeClr>
              </a:solidFill>
            </a:ln>
          </c:spPr>
          <c:cat>
            <c:strRef>
              <c:f>'Graf-sklizně vs. výnosy'!$AG$3:$AX$3</c:f>
              <c:strCache>
                <c:ptCount val="18"/>
                <c:pt idx="0">
                  <c:v>Obiloviny 
celkem</c:v>
                </c:pt>
                <c:pt idx="1">
                  <c:v>Pšenice</c:v>
                </c:pt>
                <c:pt idx="2">
                  <c:v>Žito</c:v>
                </c:pt>
                <c:pt idx="3">
                  <c:v>Ječmen</c:v>
                </c:pt>
                <c:pt idx="4">
                  <c:v>Oves</c:v>
                </c:pt>
                <c:pt idx="5">
                  <c:v>Kukuřice 
na zrno</c:v>
                </c:pt>
                <c:pt idx="6">
                  <c:v>Řepka</c:v>
                </c:pt>
                <c:pt idx="7">
                  <c:v>Mák</c:v>
                </c:pt>
                <c:pt idx="8">
                  <c:v>Luskoviny</c:v>
                </c:pt>
                <c:pt idx="9">
                  <c:v>Cukrovka 
technická</c:v>
                </c:pt>
                <c:pt idx="10">
                  <c:v>Chmel</c:v>
                </c:pt>
                <c:pt idx="11">
                  <c:v>Brambory</c:v>
                </c:pt>
                <c:pt idx="12">
                  <c:v>Kukuřice na 
zeleno a siláž </c:v>
                </c:pt>
                <c:pt idx="13">
                  <c:v>Trv.trav.porosty
 (píce v seně)</c:v>
                </c:pt>
                <c:pt idx="14">
                  <c:v>Cibule</c:v>
                </c:pt>
                <c:pt idx="15">
                  <c:v>Jablka</c:v>
                </c:pt>
                <c:pt idx="16">
                  <c:v>Hrušky</c:v>
                </c:pt>
                <c:pt idx="17">
                  <c:v>Vinné hrozny</c:v>
                </c:pt>
              </c:strCache>
            </c:strRef>
          </c:cat>
          <c:val>
            <c:numRef>
              <c:f>'Graf-sklizně vs. výnosy'!$AG$6:$AX$6</c:f>
              <c:numCache>
                <c:formatCode>#,##0.0</c:formatCode>
                <c:ptCount val="18"/>
                <c:pt idx="0" formatCode="0.0">
                  <c:v>-12.979653148207372</c:v>
                </c:pt>
                <c:pt idx="1">
                  <c:v>-12.706319306399108</c:v>
                </c:pt>
                <c:pt idx="2">
                  <c:v>-1.2999887319759722</c:v>
                </c:pt>
                <c:pt idx="3">
                  <c:v>-7.7675237834615833</c:v>
                </c:pt>
                <c:pt idx="4">
                  <c:v>-8.1575839677021662</c:v>
                </c:pt>
                <c:pt idx="5">
                  <c:v>-30.131563115179247</c:v>
                </c:pt>
                <c:pt idx="6">
                  <c:v>-15.936306133306729</c:v>
                </c:pt>
                <c:pt idx="7">
                  <c:v>-23.47440104208674</c:v>
                </c:pt>
                <c:pt idx="8">
                  <c:v>-1.3393201406211972</c:v>
                </c:pt>
                <c:pt idx="9">
                  <c:v>-1.8427181672638093</c:v>
                </c:pt>
                <c:pt idx="10">
                  <c:v>-14.892884008099982</c:v>
                </c:pt>
                <c:pt idx="11">
                  <c:v>-1.5369675748380442</c:v>
                </c:pt>
                <c:pt idx="12">
                  <c:v>-14.442754120175778</c:v>
                </c:pt>
                <c:pt idx="13">
                  <c:v>-12.922645860726329</c:v>
                </c:pt>
                <c:pt idx="14">
                  <c:v>-10.972417063503126</c:v>
                </c:pt>
                <c:pt idx="15">
                  <c:v>-17.547178609027611</c:v>
                </c:pt>
                <c:pt idx="16">
                  <c:v>-38.555376674711106</c:v>
                </c:pt>
                <c:pt idx="17">
                  <c:v>5.032595487256657</c:v>
                </c:pt>
              </c:numCache>
            </c:numRef>
          </c:val>
          <c:extLst xmlns:c16r2="http://schemas.microsoft.com/office/drawing/2015/06/chart">
            <c:ext xmlns:c16="http://schemas.microsoft.com/office/drawing/2014/chart" uri="{C3380CC4-5D6E-409C-BE32-E72D297353CC}">
              <c16:uniqueId val="{00000001-4B2A-43EA-B5E2-29512D0862A4}"/>
            </c:ext>
          </c:extLst>
        </c:ser>
        <c:gapWidth val="79"/>
        <c:overlap val="56"/>
        <c:axId val="133890048"/>
        <c:axId val="133891968"/>
      </c:barChart>
      <c:lineChart>
        <c:grouping val="standard"/>
        <c:ser>
          <c:idx val="0"/>
          <c:order val="0"/>
          <c:tx>
            <c:strRef>
              <c:f>'Graf-sklizně vs. výnosy'!$AF$4</c:f>
              <c:strCache>
                <c:ptCount val="1"/>
                <c:pt idx="0">
                  <c:v>Sklizeň (y/y %)</c:v>
                </c:pt>
              </c:strCache>
            </c:strRef>
          </c:tx>
          <c:spPr>
            <a:ln>
              <a:noFill/>
            </a:ln>
          </c:spPr>
          <c:marker>
            <c:symbol val="dash"/>
            <c:size val="9"/>
            <c:spPr>
              <a:solidFill>
                <a:schemeClr val="tx1">
                  <a:lumMod val="95000"/>
                  <a:lumOff val="5000"/>
                </a:schemeClr>
              </a:solidFill>
            </c:spPr>
          </c:marker>
          <c:cat>
            <c:strRef>
              <c:f>'Graf-sklizně vs. výnosy'!$AG$3:$AX$3</c:f>
              <c:strCache>
                <c:ptCount val="18"/>
                <c:pt idx="0">
                  <c:v>Obiloviny 
celkem</c:v>
                </c:pt>
                <c:pt idx="1">
                  <c:v>Pšenice</c:v>
                </c:pt>
                <c:pt idx="2">
                  <c:v>Žito</c:v>
                </c:pt>
                <c:pt idx="3">
                  <c:v>Ječmen</c:v>
                </c:pt>
                <c:pt idx="4">
                  <c:v>Oves</c:v>
                </c:pt>
                <c:pt idx="5">
                  <c:v>Kukuřice 
na zrno</c:v>
                </c:pt>
                <c:pt idx="6">
                  <c:v>Řepka</c:v>
                </c:pt>
                <c:pt idx="7">
                  <c:v>Mák</c:v>
                </c:pt>
                <c:pt idx="8">
                  <c:v>Luskoviny</c:v>
                </c:pt>
                <c:pt idx="9">
                  <c:v>Cukrovka 
technická</c:v>
                </c:pt>
                <c:pt idx="10">
                  <c:v>Chmel</c:v>
                </c:pt>
                <c:pt idx="11">
                  <c:v>Brambory</c:v>
                </c:pt>
                <c:pt idx="12">
                  <c:v>Kukuřice na 
zeleno a siláž </c:v>
                </c:pt>
                <c:pt idx="13">
                  <c:v>Trv.trav.porosty
 (píce v seně)</c:v>
                </c:pt>
                <c:pt idx="14">
                  <c:v>Cibule</c:v>
                </c:pt>
                <c:pt idx="15">
                  <c:v>Jablka</c:v>
                </c:pt>
                <c:pt idx="16">
                  <c:v>Hrušky</c:v>
                </c:pt>
                <c:pt idx="17">
                  <c:v>Vinné hrozny</c:v>
                </c:pt>
              </c:strCache>
            </c:strRef>
          </c:cat>
          <c:val>
            <c:numRef>
              <c:f>'Graf-sklizně vs. výnosy'!$AG$4:$AX$4</c:f>
              <c:numCache>
                <c:formatCode>#,##0</c:formatCode>
                <c:ptCount val="18"/>
                <c:pt idx="0" formatCode="#,##0.0">
                  <c:v>-13.257036422191973</c:v>
                </c:pt>
                <c:pt idx="1">
                  <c:v>-13.50144388100467</c:v>
                </c:pt>
                <c:pt idx="2">
                  <c:v>4.6833447991780872</c:v>
                </c:pt>
                <c:pt idx="3">
                  <c:v>-7.2063482078201924</c:v>
                </c:pt>
                <c:pt idx="4">
                  <c:v>7.730829823392412</c:v>
                </c:pt>
                <c:pt idx="5">
                  <c:v>-30.464682575157724</c:v>
                </c:pt>
                <c:pt idx="6">
                  <c:v>-15.664569005562672</c:v>
                </c:pt>
                <c:pt idx="7">
                  <c:v>-29.840605688584404</c:v>
                </c:pt>
                <c:pt idx="8">
                  <c:v>18.664388478709213</c:v>
                </c:pt>
                <c:pt idx="9">
                  <c:v>6.8271180564546645</c:v>
                </c:pt>
                <c:pt idx="10">
                  <c:v>-11.862892443990306</c:v>
                </c:pt>
                <c:pt idx="11">
                  <c:v>-1.5201885977707841</c:v>
                </c:pt>
                <c:pt idx="12">
                  <c:v>-18.524935633940927</c:v>
                </c:pt>
                <c:pt idx="13">
                  <c:v>-9.9224364214462444</c:v>
                </c:pt>
                <c:pt idx="14">
                  <c:v>-1.8618113761125699</c:v>
                </c:pt>
                <c:pt idx="15">
                  <c:v>-15.774421132894441</c:v>
                </c:pt>
                <c:pt idx="16">
                  <c:v>-39.652294088510295</c:v>
                </c:pt>
                <c:pt idx="17">
                  <c:v>5.0960274236088594</c:v>
                </c:pt>
              </c:numCache>
            </c:numRef>
          </c:val>
          <c:extLst xmlns:c16r2="http://schemas.microsoft.com/office/drawing/2015/06/chart">
            <c:ext xmlns:c16="http://schemas.microsoft.com/office/drawing/2014/chart" uri="{C3380CC4-5D6E-409C-BE32-E72D297353CC}">
              <c16:uniqueId val="{00000002-4B2A-43EA-B5E2-29512D0862A4}"/>
            </c:ext>
          </c:extLst>
        </c:ser>
        <c:ser>
          <c:idx val="7"/>
          <c:order val="3"/>
          <c:tx>
            <c:strRef>
              <c:f>'Graf-sklizně vs. výnosy'!$AF$7</c:f>
              <c:strCache>
                <c:ptCount val="1"/>
                <c:pt idx="0">
                  <c:v>Sklizeň (odchylka od 5letého průměru, %)</c:v>
                </c:pt>
              </c:strCache>
            </c:strRef>
          </c:tx>
          <c:spPr>
            <a:ln>
              <a:noFill/>
            </a:ln>
          </c:spPr>
          <c:marker>
            <c:symbol val="triangle"/>
            <c:size val="6"/>
            <c:spPr>
              <a:solidFill>
                <a:srgbClr val="A6CDE8"/>
              </a:solidFill>
              <a:ln w="6350">
                <a:solidFill>
                  <a:schemeClr val="bg1">
                    <a:lumMod val="50000"/>
                  </a:schemeClr>
                </a:solidFill>
              </a:ln>
            </c:spPr>
          </c:marker>
          <c:cat>
            <c:strRef>
              <c:f>'Graf-sklizně vs. výnosy'!$AG$3:$AX$3</c:f>
              <c:strCache>
                <c:ptCount val="18"/>
                <c:pt idx="0">
                  <c:v>Obiloviny 
celkem</c:v>
                </c:pt>
                <c:pt idx="1">
                  <c:v>Pšenice</c:v>
                </c:pt>
                <c:pt idx="2">
                  <c:v>Žito</c:v>
                </c:pt>
                <c:pt idx="3">
                  <c:v>Ječmen</c:v>
                </c:pt>
                <c:pt idx="4">
                  <c:v>Oves</c:v>
                </c:pt>
                <c:pt idx="5">
                  <c:v>Kukuřice 
na zrno</c:v>
                </c:pt>
                <c:pt idx="6">
                  <c:v>Řepka</c:v>
                </c:pt>
                <c:pt idx="7">
                  <c:v>Mák</c:v>
                </c:pt>
                <c:pt idx="8">
                  <c:v>Luskoviny</c:v>
                </c:pt>
                <c:pt idx="9">
                  <c:v>Cukrovka 
technická</c:v>
                </c:pt>
                <c:pt idx="10">
                  <c:v>Chmel</c:v>
                </c:pt>
                <c:pt idx="11">
                  <c:v>Brambory</c:v>
                </c:pt>
                <c:pt idx="12">
                  <c:v>Kukuřice na 
zeleno a siláž </c:v>
                </c:pt>
                <c:pt idx="13">
                  <c:v>Trv.trav.porosty
 (píce v seně)</c:v>
                </c:pt>
                <c:pt idx="14">
                  <c:v>Cibule</c:v>
                </c:pt>
                <c:pt idx="15">
                  <c:v>Jablka</c:v>
                </c:pt>
                <c:pt idx="16">
                  <c:v>Hrušky</c:v>
                </c:pt>
                <c:pt idx="17">
                  <c:v>Vinné hrozny</c:v>
                </c:pt>
              </c:strCache>
            </c:strRef>
          </c:cat>
          <c:val>
            <c:numRef>
              <c:f>'Graf-sklizně vs. výnosy'!$AG$7:$AX$7</c:f>
              <c:numCache>
                <c:formatCode>#,##0</c:formatCode>
                <c:ptCount val="18"/>
                <c:pt idx="0">
                  <c:v>-8.0059846043575806</c:v>
                </c:pt>
                <c:pt idx="1">
                  <c:v>-7.812213083973691</c:v>
                </c:pt>
                <c:pt idx="2">
                  <c:v>-12.859191089469068</c:v>
                </c:pt>
                <c:pt idx="3">
                  <c:v>-6.019519808133623</c:v>
                </c:pt>
                <c:pt idx="4">
                  <c:v>-1.1631219838703686</c:v>
                </c:pt>
                <c:pt idx="5">
                  <c:v>-13.11000284173906</c:v>
                </c:pt>
                <c:pt idx="6">
                  <c:v>-14.994931068030921</c:v>
                </c:pt>
                <c:pt idx="7">
                  <c:v>-12.026818610944868</c:v>
                </c:pt>
                <c:pt idx="8">
                  <c:v>34.600169411777806</c:v>
                </c:pt>
                <c:pt idx="9">
                  <c:v>9.4010749305685692</c:v>
                </c:pt>
                <c:pt idx="10">
                  <c:v>10.041887475010299</c:v>
                </c:pt>
                <c:pt idx="11">
                  <c:v>10.146413151503548</c:v>
                </c:pt>
                <c:pt idx="12">
                  <c:v>-6.6831826162092645</c:v>
                </c:pt>
                <c:pt idx="13">
                  <c:v>-5.6040511983724555</c:v>
                </c:pt>
                <c:pt idx="14">
                  <c:v>13.582863178438956</c:v>
                </c:pt>
                <c:pt idx="15">
                  <c:v>-17.19810281616401</c:v>
                </c:pt>
                <c:pt idx="16">
                  <c:v>-34.883076435810274</c:v>
                </c:pt>
                <c:pt idx="17">
                  <c:v>3.7258888332463584</c:v>
                </c:pt>
              </c:numCache>
            </c:numRef>
          </c:val>
          <c:extLst xmlns:c16r2="http://schemas.microsoft.com/office/drawing/2015/06/chart">
            <c:ext xmlns:c16="http://schemas.microsoft.com/office/drawing/2014/chart" uri="{C3380CC4-5D6E-409C-BE32-E72D297353CC}">
              <c16:uniqueId val="{00000003-4B2A-43EA-B5E2-29512D0862A4}"/>
            </c:ext>
          </c:extLst>
        </c:ser>
        <c:ser>
          <c:idx val="2"/>
          <c:order val="4"/>
          <c:tx>
            <c:strRef>
              <c:f>'Graf-sklizně vs. výnosy'!$AF$8</c:f>
              <c:strCache>
                <c:ptCount val="1"/>
                <c:pt idx="0">
                  <c:v>Sklizeň (odchylka od 10letého průměru, %)</c:v>
                </c:pt>
              </c:strCache>
            </c:strRef>
          </c:tx>
          <c:spPr>
            <a:ln w="19050">
              <a:noFill/>
              <a:prstDash val="sysDash"/>
            </a:ln>
          </c:spPr>
          <c:marker>
            <c:symbol val="diamond"/>
            <c:size val="6"/>
            <c:spPr>
              <a:solidFill>
                <a:srgbClr val="BCA6E8"/>
              </a:solidFill>
              <a:ln>
                <a:solidFill>
                  <a:sysClr val="window" lastClr="FFFFFF">
                    <a:lumMod val="50000"/>
                  </a:sysClr>
                </a:solidFill>
              </a:ln>
            </c:spPr>
          </c:marker>
          <c:cat>
            <c:strRef>
              <c:f>'Graf-sklizně vs. výnosy'!$AG$3:$AX$3</c:f>
              <c:strCache>
                <c:ptCount val="18"/>
                <c:pt idx="0">
                  <c:v>Obiloviny 
celkem</c:v>
                </c:pt>
                <c:pt idx="1">
                  <c:v>Pšenice</c:v>
                </c:pt>
                <c:pt idx="2">
                  <c:v>Žito</c:v>
                </c:pt>
                <c:pt idx="3">
                  <c:v>Ječmen</c:v>
                </c:pt>
                <c:pt idx="4">
                  <c:v>Oves</c:v>
                </c:pt>
                <c:pt idx="5">
                  <c:v>Kukuřice 
na zrno</c:v>
                </c:pt>
                <c:pt idx="6">
                  <c:v>Řepka</c:v>
                </c:pt>
                <c:pt idx="7">
                  <c:v>Mák</c:v>
                </c:pt>
                <c:pt idx="8">
                  <c:v>Luskoviny</c:v>
                </c:pt>
                <c:pt idx="9">
                  <c:v>Cukrovka 
technická</c:v>
                </c:pt>
                <c:pt idx="10">
                  <c:v>Chmel</c:v>
                </c:pt>
                <c:pt idx="11">
                  <c:v>Brambory</c:v>
                </c:pt>
                <c:pt idx="12">
                  <c:v>Kukuřice na 
zeleno a siláž </c:v>
                </c:pt>
                <c:pt idx="13">
                  <c:v>Trv.trav.porosty
 (píce v seně)</c:v>
                </c:pt>
                <c:pt idx="14">
                  <c:v>Cibule</c:v>
                </c:pt>
                <c:pt idx="15">
                  <c:v>Jablka</c:v>
                </c:pt>
                <c:pt idx="16">
                  <c:v>Hrušky</c:v>
                </c:pt>
                <c:pt idx="17">
                  <c:v>Vinné hrozny</c:v>
                </c:pt>
              </c:strCache>
            </c:strRef>
          </c:cat>
          <c:val>
            <c:numRef>
              <c:f>'Graf-sklizně vs. výnosy'!$AG$8:$AX$8</c:f>
              <c:numCache>
                <c:formatCode>#,##0</c:formatCode>
                <c:ptCount val="18"/>
                <c:pt idx="0">
                  <c:v>-4.9946962944977997</c:v>
                </c:pt>
                <c:pt idx="1">
                  <c:v>1.8642130024630901E-2</c:v>
                </c:pt>
                <c:pt idx="2">
                  <c:v>-21.876807871029982</c:v>
                </c:pt>
                <c:pt idx="3">
                  <c:v>-6.7957755659435293</c:v>
                </c:pt>
                <c:pt idx="4">
                  <c:v>-6.0980987560894055</c:v>
                </c:pt>
                <c:pt idx="5">
                  <c:v>-24.762459845708406</c:v>
                </c:pt>
                <c:pt idx="6">
                  <c:v>-5.4019329030832814</c:v>
                </c:pt>
                <c:pt idx="7">
                  <c:v>-22.740043054084509</c:v>
                </c:pt>
                <c:pt idx="8">
                  <c:v>55.96510842182451</c:v>
                </c:pt>
                <c:pt idx="9">
                  <c:v>19.348309326692988</c:v>
                </c:pt>
                <c:pt idx="10">
                  <c:v>8.8377302124427768</c:v>
                </c:pt>
                <c:pt idx="11">
                  <c:v>1.5892037967854638</c:v>
                </c:pt>
                <c:pt idx="12">
                  <c:v>2.1168035049539577</c:v>
                </c:pt>
                <c:pt idx="13">
                  <c:v>-2.3357740615893912</c:v>
                </c:pt>
                <c:pt idx="14">
                  <c:v>10.200486383922676</c:v>
                </c:pt>
                <c:pt idx="15">
                  <c:v>-14.74613737480972</c:v>
                </c:pt>
                <c:pt idx="16">
                  <c:v>-27.535763640555729</c:v>
                </c:pt>
                <c:pt idx="17">
                  <c:v>6.5399881867952843</c:v>
                </c:pt>
              </c:numCache>
            </c:numRef>
          </c:val>
          <c:extLst xmlns:c16r2="http://schemas.microsoft.com/office/drawing/2015/06/chart">
            <c:ext xmlns:c16="http://schemas.microsoft.com/office/drawing/2014/chart" uri="{C3380CC4-5D6E-409C-BE32-E72D297353CC}">
              <c16:uniqueId val="{00000004-4B2A-43EA-B5E2-29512D0862A4}"/>
            </c:ext>
          </c:extLst>
        </c:ser>
        <c:marker val="1"/>
        <c:axId val="133890048"/>
        <c:axId val="133891968"/>
      </c:lineChart>
      <c:catAx>
        <c:axId val="133890048"/>
        <c:scaling>
          <c:orientation val="minMax"/>
        </c:scaling>
        <c:axPos val="b"/>
        <c:numFmt formatCode="General" sourceLinked="1"/>
        <c:tickLblPos val="low"/>
        <c:spPr>
          <a:ln w="9525">
            <a:solidFill>
              <a:schemeClr val="tx1"/>
            </a:solidFill>
            <a:prstDash val="solid"/>
          </a:ln>
        </c:spPr>
        <c:txPr>
          <a:bodyPr rot="-5400000" vert="horz"/>
          <a:lstStyle/>
          <a:p>
            <a:pPr>
              <a:defRPr/>
            </a:pPr>
            <a:endParaRPr lang="cs-CZ"/>
          </a:p>
        </c:txPr>
        <c:crossAx val="133891968"/>
        <c:crossesAt val="0"/>
        <c:lblAlgn val="ctr"/>
        <c:lblOffset val="0"/>
        <c:tickLblSkip val="1"/>
        <c:tickMarkSkip val="4"/>
      </c:catAx>
      <c:valAx>
        <c:axId val="133891968"/>
        <c:scaling>
          <c:orientation val="minMax"/>
          <c:max val="60"/>
          <c:min val="-4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33890048"/>
        <c:crosses val="autoZero"/>
        <c:crossBetween val="between"/>
        <c:majorUnit val="10"/>
        <c:minorUnit val="1"/>
      </c:valAx>
      <c:spPr>
        <a:noFill/>
        <a:ln w="9525">
          <a:solidFill>
            <a:schemeClr val="tx1"/>
          </a:solidFill>
        </a:ln>
      </c:spPr>
    </c:plotArea>
    <c:legend>
      <c:legendPos val="b"/>
      <c:layout>
        <c:manualLayout>
          <c:xMode val="edge"/>
          <c:yMode val="edge"/>
          <c:x val="6.0760235074951034E-2"/>
          <c:y val="0.89051771920528666"/>
          <c:w val="0.92373094187373628"/>
          <c:h val="9.8759532145460793E-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643251153889452E-2"/>
          <c:w val="0.92433548575002356"/>
          <c:h val="0.74368625464371174"/>
        </c:manualLayout>
      </c:layout>
      <c:areaChart>
        <c:grouping val="standard"/>
        <c:ser>
          <c:idx val="0"/>
          <c:order val="0"/>
          <c:tx>
            <c:strRef>
              <c:f>'Graf-živočišná produkce'!$B$49</c:f>
              <c:strCache>
                <c:ptCount val="1"/>
                <c:pt idx="0">
                  <c:v>Výroba všech jatečných zvířat***</c:v>
                </c:pt>
              </c:strCache>
            </c:strRef>
          </c:tx>
          <c:spPr>
            <a:solidFill>
              <a:srgbClr val="E6E3D2"/>
            </a:solidFill>
            <a:ln w="19050">
              <a:noFill/>
            </a:ln>
          </c:spP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produkce'!$B$50:$B$67</c:f>
              <c:numCache>
                <c:formatCode>0.0</c:formatCode>
                <c:ptCount val="18"/>
                <c:pt idx="0">
                  <c:v>137.596192893401</c:v>
                </c:pt>
                <c:pt idx="1">
                  <c:v>140.22994923857812</c:v>
                </c:pt>
                <c:pt idx="2">
                  <c:v>140.06345177664952</c:v>
                </c:pt>
                <c:pt idx="3">
                  <c:v>137.34314720812185</c:v>
                </c:pt>
                <c:pt idx="4">
                  <c:v>132.20368020304309</c:v>
                </c:pt>
                <c:pt idx="5">
                  <c:v>123.85786802030455</c:v>
                </c:pt>
                <c:pt idx="6">
                  <c:v>117.89340101522841</c:v>
                </c:pt>
                <c:pt idx="7">
                  <c:v>118.65482233502505</c:v>
                </c:pt>
                <c:pt idx="8">
                  <c:v>119.79695431472081</c:v>
                </c:pt>
                <c:pt idx="9">
                  <c:v>108.75634517766358</c:v>
                </c:pt>
                <c:pt idx="10">
                  <c:v>100</c:v>
                </c:pt>
                <c:pt idx="11">
                  <c:v>92.170050761420271</c:v>
                </c:pt>
                <c:pt idx="12">
                  <c:v>89.998604060914559</c:v>
                </c:pt>
                <c:pt idx="13">
                  <c:v>88.513071065989848</c:v>
                </c:pt>
                <c:pt idx="14">
                  <c:v>91.638197969543157</c:v>
                </c:pt>
                <c:pt idx="15">
                  <c:v>92.342385786802012</c:v>
                </c:pt>
                <c:pt idx="16">
                  <c:v>92.475253807106611</c:v>
                </c:pt>
                <c:pt idx="17">
                  <c:v>91.280203045685326</c:v>
                </c:pt>
              </c:numCache>
            </c:numRef>
          </c:val>
          <c:extLst xmlns:c16r2="http://schemas.microsoft.com/office/drawing/2015/06/chart">
            <c:ext xmlns:c16="http://schemas.microsoft.com/office/drawing/2014/chart" uri="{C3380CC4-5D6E-409C-BE32-E72D297353CC}">
              <c16:uniqueId val="{00000000-895E-4652-9479-CF129821BF3E}"/>
            </c:ext>
          </c:extLst>
        </c:ser>
        <c:axId val="133958272"/>
        <c:axId val="133985024"/>
      </c:areaChart>
      <c:lineChart>
        <c:grouping val="standard"/>
        <c:ser>
          <c:idx val="3"/>
          <c:order val="1"/>
          <c:tx>
            <c:strRef>
              <c:f>'Graf-živočišná produkce'!$C$49</c:f>
              <c:strCache>
                <c:ptCount val="1"/>
                <c:pt idx="0">
                  <c:v>Jatečný skot  (v t živé hm.)*</c:v>
                </c:pt>
              </c:strCache>
            </c:strRef>
          </c:tx>
          <c:spPr>
            <a:ln w="19050">
              <a:solidFill>
                <a:srgbClr val="BD1B21"/>
              </a:solidFill>
              <a:prstDash val="solid"/>
            </a:ln>
          </c:spPr>
          <c:marker>
            <c:symbol val="none"/>
          </c:marke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produkce'!$C$50:$C$67</c:f>
              <c:numCache>
                <c:formatCode>0.0</c:formatCode>
                <c:ptCount val="18"/>
                <c:pt idx="0">
                  <c:v>121.6608187134489</c:v>
                </c:pt>
                <c:pt idx="1">
                  <c:v>121.94385964912416</c:v>
                </c:pt>
                <c:pt idx="2">
                  <c:v>117.97894736841988</c:v>
                </c:pt>
                <c:pt idx="3">
                  <c:v>116.03333333333335</c:v>
                </c:pt>
                <c:pt idx="4">
                  <c:v>107.91286549707642</c:v>
                </c:pt>
                <c:pt idx="5">
                  <c:v>97.660818713448876</c:v>
                </c:pt>
                <c:pt idx="6">
                  <c:v>100</c:v>
                </c:pt>
                <c:pt idx="7">
                  <c:v>99.415204678363835</c:v>
                </c:pt>
                <c:pt idx="8">
                  <c:v>107.01754385964912</c:v>
                </c:pt>
                <c:pt idx="9">
                  <c:v>105.84795321637429</c:v>
                </c:pt>
                <c:pt idx="10">
                  <c:v>100</c:v>
                </c:pt>
                <c:pt idx="11">
                  <c:v>99.563157894736818</c:v>
                </c:pt>
                <c:pt idx="12">
                  <c:v>99.900584795321663</c:v>
                </c:pt>
                <c:pt idx="13">
                  <c:v>95.931578947368422</c:v>
                </c:pt>
                <c:pt idx="14">
                  <c:v>99.174269005848799</c:v>
                </c:pt>
                <c:pt idx="15">
                  <c:v>102.16023391812865</c:v>
                </c:pt>
                <c:pt idx="16">
                  <c:v>101.36959064327486</c:v>
                </c:pt>
                <c:pt idx="17">
                  <c:v>96.871345029239748</c:v>
                </c:pt>
              </c:numCache>
            </c:numRef>
          </c:val>
          <c:extLst xmlns:c16r2="http://schemas.microsoft.com/office/drawing/2015/06/chart">
            <c:ext xmlns:c16="http://schemas.microsoft.com/office/drawing/2014/chart" uri="{C3380CC4-5D6E-409C-BE32-E72D297353CC}">
              <c16:uniqueId val="{00000001-895E-4652-9479-CF129821BF3E}"/>
            </c:ext>
          </c:extLst>
        </c:ser>
        <c:ser>
          <c:idx val="1"/>
          <c:order val="2"/>
          <c:tx>
            <c:strRef>
              <c:f>'Graf-živočišná produkce'!$D$49</c:f>
              <c:strCache>
                <c:ptCount val="1"/>
                <c:pt idx="0">
                  <c:v>Jatečná prasata (v t živé hm.)</c:v>
                </c:pt>
              </c:strCache>
            </c:strRef>
          </c:tx>
          <c:spPr>
            <a:ln w="19050">
              <a:solidFill>
                <a:srgbClr val="F8A124"/>
              </a:solidFill>
            </a:ln>
          </c:spPr>
          <c:marker>
            <c:symbol val="none"/>
          </c:marke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produkce'!$D$50:$D$67</c:f>
              <c:numCache>
                <c:formatCode>0.0</c:formatCode>
                <c:ptCount val="18"/>
                <c:pt idx="0">
                  <c:v>159.54344262295078</c:v>
                </c:pt>
                <c:pt idx="1">
                  <c:v>159.56393442622951</c:v>
                </c:pt>
                <c:pt idx="2">
                  <c:v>159.93825136612023</c:v>
                </c:pt>
                <c:pt idx="3">
                  <c:v>158.43387978142079</c:v>
                </c:pt>
                <c:pt idx="4">
                  <c:v>149.45601092896177</c:v>
                </c:pt>
                <c:pt idx="5">
                  <c:v>133.06010928961749</c:v>
                </c:pt>
                <c:pt idx="6">
                  <c:v>122.67759562841529</c:v>
                </c:pt>
                <c:pt idx="7">
                  <c:v>126.77595628415301</c:v>
                </c:pt>
                <c:pt idx="8">
                  <c:v>118.0327868852459</c:v>
                </c:pt>
                <c:pt idx="9">
                  <c:v>101.09289617486266</c:v>
                </c:pt>
                <c:pt idx="10">
                  <c:v>100</c:v>
                </c:pt>
                <c:pt idx="11">
                  <c:v>91.873770491802958</c:v>
                </c:pt>
                <c:pt idx="12">
                  <c:v>80.817213114754082</c:v>
                </c:pt>
                <c:pt idx="13">
                  <c:v>82.388524590163954</c:v>
                </c:pt>
                <c:pt idx="14">
                  <c:v>83.416939890710367</c:v>
                </c:pt>
                <c:pt idx="15">
                  <c:v>82.208469945356043</c:v>
                </c:pt>
                <c:pt idx="16">
                  <c:v>85.447814207650296</c:v>
                </c:pt>
                <c:pt idx="17">
                  <c:v>80.976775956282907</c:v>
                </c:pt>
              </c:numCache>
            </c:numRef>
          </c:val>
          <c:extLst xmlns:c16r2="http://schemas.microsoft.com/office/drawing/2015/06/chart">
            <c:ext xmlns:c16="http://schemas.microsoft.com/office/drawing/2014/chart" uri="{C3380CC4-5D6E-409C-BE32-E72D297353CC}">
              <c16:uniqueId val="{00000002-895E-4652-9479-CF129821BF3E}"/>
            </c:ext>
          </c:extLst>
        </c:ser>
        <c:ser>
          <c:idx val="7"/>
          <c:order val="3"/>
          <c:tx>
            <c:strRef>
              <c:f>'Graf-živočišná produkce'!$E$49</c:f>
              <c:strCache>
                <c:ptCount val="1"/>
                <c:pt idx="0">
                  <c:v>Jatečná drůbež (v t živé hm.)</c:v>
                </c:pt>
              </c:strCache>
            </c:strRef>
          </c:tx>
          <c:spPr>
            <a:ln w="19050">
              <a:solidFill>
                <a:srgbClr val="7DBB2D"/>
              </a:solidFill>
            </a:ln>
          </c:spPr>
          <c:marker>
            <c:symbol val="none"/>
          </c:marke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produkce'!$E$50:$E$67</c:f>
              <c:numCache>
                <c:formatCode>0.0</c:formatCode>
                <c:ptCount val="18"/>
                <c:pt idx="0">
                  <c:v>116.44980079681282</c:v>
                </c:pt>
                <c:pt idx="1">
                  <c:v>124.49561752988049</c:v>
                </c:pt>
                <c:pt idx="2">
                  <c:v>126.12828685258765</c:v>
                </c:pt>
                <c:pt idx="3">
                  <c:v>121.10717131474026</c:v>
                </c:pt>
                <c:pt idx="4">
                  <c:v>123.59561752988049</c:v>
                </c:pt>
                <c:pt idx="5">
                  <c:v>128.28685258964092</c:v>
                </c:pt>
                <c:pt idx="6">
                  <c:v>123.10756972111673</c:v>
                </c:pt>
                <c:pt idx="7">
                  <c:v>119.92031872509961</c:v>
                </c:pt>
                <c:pt idx="8">
                  <c:v>131.07569721115385</c:v>
                </c:pt>
                <c:pt idx="9">
                  <c:v>121.91235059760955</c:v>
                </c:pt>
                <c:pt idx="10">
                  <c:v>100</c:v>
                </c:pt>
                <c:pt idx="11">
                  <c:v>87.565338645418308</c:v>
                </c:pt>
                <c:pt idx="12">
                  <c:v>96.640637450199208</c:v>
                </c:pt>
                <c:pt idx="13">
                  <c:v>92.389641434262941</c:v>
                </c:pt>
                <c:pt idx="14">
                  <c:v>98.492031872508605</c:v>
                </c:pt>
                <c:pt idx="15">
                  <c:v>100.43067729083666</c:v>
                </c:pt>
                <c:pt idx="16">
                  <c:v>96.662948207170658</c:v>
                </c:pt>
                <c:pt idx="17">
                  <c:v>102.49521912350596</c:v>
                </c:pt>
              </c:numCache>
            </c:numRef>
          </c:val>
          <c:extLst xmlns:c16r2="http://schemas.microsoft.com/office/drawing/2015/06/chart">
            <c:ext xmlns:c16="http://schemas.microsoft.com/office/drawing/2014/chart" uri="{C3380CC4-5D6E-409C-BE32-E72D297353CC}">
              <c16:uniqueId val="{00000003-895E-4652-9479-CF129821BF3E}"/>
            </c:ext>
          </c:extLst>
        </c:ser>
        <c:ser>
          <c:idx val="2"/>
          <c:order val="4"/>
          <c:tx>
            <c:strRef>
              <c:f>'Graf-živočišná produkce'!$F$49</c:f>
              <c:strCache>
                <c:ptCount val="1"/>
                <c:pt idx="0">
                  <c:v>Výroba tržních ryb (v t živé hm.)</c:v>
                </c:pt>
              </c:strCache>
            </c:strRef>
          </c:tx>
          <c:spPr>
            <a:ln w="19050">
              <a:solidFill>
                <a:srgbClr val="7030A0"/>
              </a:solidFill>
              <a:prstDash val="sysDash"/>
            </a:ln>
          </c:spPr>
          <c:marker>
            <c:symbol val="none"/>
          </c:marke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produkce'!$F$50:$F$67</c:f>
              <c:numCache>
                <c:formatCode>0.0</c:formatCode>
                <c:ptCount val="18"/>
                <c:pt idx="0">
                  <c:v>95.372184133201472</c:v>
                </c:pt>
                <c:pt idx="1">
                  <c:v>98.423114593535729</c:v>
                </c:pt>
                <c:pt idx="2">
                  <c:v>94.074436826639086</c:v>
                </c:pt>
                <c:pt idx="3">
                  <c:v>96.327130264446609</c:v>
                </c:pt>
                <c:pt idx="4">
                  <c:v>94.926542605288915</c:v>
                </c:pt>
                <c:pt idx="5">
                  <c:v>100.17140058765825</c:v>
                </c:pt>
                <c:pt idx="6">
                  <c:v>100.05386875612025</c:v>
                </c:pt>
                <c:pt idx="7">
                  <c:v>100.13222331047965</c:v>
                </c:pt>
                <c:pt idx="8">
                  <c:v>99.877571008814158</c:v>
                </c:pt>
                <c:pt idx="9">
                  <c:v>98.290891283055828</c:v>
                </c:pt>
                <c:pt idx="10">
                  <c:v>100</c:v>
                </c:pt>
                <c:pt idx="11">
                  <c:v>102.88932419196865</c:v>
                </c:pt>
                <c:pt idx="12">
                  <c:v>101.67972575905881</c:v>
                </c:pt>
                <c:pt idx="13">
                  <c:v>94.796767874632678</c:v>
                </c:pt>
                <c:pt idx="14">
                  <c:v>98.604309500488526</c:v>
                </c:pt>
                <c:pt idx="15">
                  <c:v>98.922624877570982</c:v>
                </c:pt>
                <c:pt idx="16">
                  <c:v>102.60528893241786</c:v>
                </c:pt>
                <c:pt idx="17">
                  <c:v>106.19490695396668</c:v>
                </c:pt>
              </c:numCache>
            </c:numRef>
          </c:val>
          <c:extLst xmlns:c16r2="http://schemas.microsoft.com/office/drawing/2015/06/chart">
            <c:ext xmlns:c16="http://schemas.microsoft.com/office/drawing/2014/chart" uri="{C3380CC4-5D6E-409C-BE32-E72D297353CC}">
              <c16:uniqueId val="{00000004-895E-4652-9479-CF129821BF3E}"/>
            </c:ext>
          </c:extLst>
        </c:ser>
        <c:ser>
          <c:idx val="5"/>
          <c:order val="5"/>
          <c:tx>
            <c:strRef>
              <c:f>'Graf-živočišná produkce'!$G$49</c:f>
              <c:strCache>
                <c:ptCount val="1"/>
                <c:pt idx="0">
                  <c:v>Výroba mléka (v l)</c:v>
                </c:pt>
              </c:strCache>
            </c:strRef>
          </c:tx>
          <c:spPr>
            <a:ln w="19050">
              <a:solidFill>
                <a:srgbClr val="0071BC"/>
              </a:solidFill>
              <a:prstDash val="solid"/>
            </a:ln>
          </c:spPr>
          <c:marker>
            <c:symbol val="none"/>
          </c:marke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produkce'!$G$50:$G$67</c:f>
              <c:numCache>
                <c:formatCode>0.0</c:formatCode>
                <c:ptCount val="18"/>
                <c:pt idx="0">
                  <c:v>103.67534456355122</c:v>
                </c:pt>
                <c:pt idx="1">
                  <c:v>103.44563552833102</c:v>
                </c:pt>
                <c:pt idx="2">
                  <c:v>104.44104134762635</c:v>
                </c:pt>
                <c:pt idx="3">
                  <c:v>101.3016845329242</c:v>
                </c:pt>
                <c:pt idx="4">
                  <c:v>99.617151607963265</c:v>
                </c:pt>
                <c:pt idx="5">
                  <c:v>104.86217457886625</c:v>
                </c:pt>
                <c:pt idx="6">
                  <c:v>103.13935681470009</c:v>
                </c:pt>
                <c:pt idx="7">
                  <c:v>102.75650842266386</c:v>
                </c:pt>
                <c:pt idx="8">
                  <c:v>104.44104134762635</c:v>
                </c:pt>
                <c:pt idx="9">
                  <c:v>103.67534456355122</c:v>
                </c:pt>
                <c:pt idx="10">
                  <c:v>100</c:v>
                </c:pt>
                <c:pt idx="11">
                  <c:v>101.97867534456283</c:v>
                </c:pt>
                <c:pt idx="12">
                  <c:v>104.92653139356743</c:v>
                </c:pt>
                <c:pt idx="13">
                  <c:v>106.22205206738059</c:v>
                </c:pt>
                <c:pt idx="14">
                  <c:v>109.3542879019908</c:v>
                </c:pt>
                <c:pt idx="15">
                  <c:v>112.79984686064317</c:v>
                </c:pt>
                <c:pt idx="16">
                  <c:v>114.24712863705973</c:v>
                </c:pt>
                <c:pt idx="17">
                  <c:v>114.78790199081163</c:v>
                </c:pt>
              </c:numCache>
            </c:numRef>
          </c:val>
          <c:extLst xmlns:c16r2="http://schemas.microsoft.com/office/drawing/2015/06/chart">
            <c:ext xmlns:c16="http://schemas.microsoft.com/office/drawing/2014/chart" uri="{C3380CC4-5D6E-409C-BE32-E72D297353CC}">
              <c16:uniqueId val="{00000005-895E-4652-9479-CF129821BF3E}"/>
            </c:ext>
          </c:extLst>
        </c:ser>
        <c:ser>
          <c:idx val="4"/>
          <c:order val="6"/>
          <c:tx>
            <c:strRef>
              <c:f>'Graf-živočišná produkce'!$H$49</c:f>
              <c:strCache>
                <c:ptCount val="1"/>
                <c:pt idx="0">
                  <c:v>Snáška vajec (v ks)**</c:v>
                </c:pt>
              </c:strCache>
            </c:strRef>
          </c:tx>
          <c:spPr>
            <a:ln w="19050">
              <a:solidFill>
                <a:srgbClr val="95C3E3"/>
              </a:solidFill>
              <a:prstDash val="solid"/>
            </a:ln>
          </c:spPr>
          <c:marker>
            <c:symbol val="none"/>
          </c:marker>
          <c:dPt>
            <c:idx val="10"/>
            <c:spPr>
              <a:ln w="19050">
                <a:solidFill>
                  <a:srgbClr val="95C3E3"/>
                </a:solidFill>
                <a:prstDash val="sysDash"/>
              </a:ln>
            </c:spPr>
            <c:extLst xmlns:c16r2="http://schemas.microsoft.com/office/drawing/2015/06/chart">
              <c:ext xmlns:c16="http://schemas.microsoft.com/office/drawing/2014/chart" uri="{C3380CC4-5D6E-409C-BE32-E72D297353CC}">
                <c16:uniqueId val="{00000006-895E-4652-9479-CF129821BF3E}"/>
              </c:ext>
            </c:extLst>
          </c:dPt>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produkce'!$H$50:$H$67</c:f>
              <c:numCache>
                <c:formatCode>0.0</c:formatCode>
                <c:ptCount val="18"/>
                <c:pt idx="0">
                  <c:v>144.1882352941162</c:v>
                </c:pt>
                <c:pt idx="1">
                  <c:v>150.11764705882447</c:v>
                </c:pt>
                <c:pt idx="2">
                  <c:v>137.92941176470578</c:v>
                </c:pt>
                <c:pt idx="3">
                  <c:v>133.69411764705882</c:v>
                </c:pt>
                <c:pt idx="4">
                  <c:v>124.84705882352863</c:v>
                </c:pt>
                <c:pt idx="5">
                  <c:v>114.44705882352935</c:v>
                </c:pt>
                <c:pt idx="6">
                  <c:v>116.51764705882353</c:v>
                </c:pt>
                <c:pt idx="7">
                  <c:v>121.2235294117647</c:v>
                </c:pt>
                <c:pt idx="8">
                  <c:v>124.56470588235294</c:v>
                </c:pt>
                <c:pt idx="9">
                  <c:v>121.6</c:v>
                </c:pt>
                <c:pt idx="10">
                  <c:v>100</c:v>
                </c:pt>
                <c:pt idx="11">
                  <c:v>102.03308235294031</c:v>
                </c:pt>
                <c:pt idx="12">
                  <c:v>94.180423529411769</c:v>
                </c:pt>
                <c:pt idx="13">
                  <c:v>101.62536470588238</c:v>
                </c:pt>
                <c:pt idx="14">
                  <c:v>105.29030588235291</c:v>
                </c:pt>
                <c:pt idx="15">
                  <c:v>102.31642352941176</c:v>
                </c:pt>
                <c:pt idx="16">
                  <c:v>101.71040000000002</c:v>
                </c:pt>
                <c:pt idx="17">
                  <c:v>107.48545882352806</c:v>
                </c:pt>
              </c:numCache>
            </c:numRef>
          </c:val>
          <c:extLst xmlns:c16r2="http://schemas.microsoft.com/office/drawing/2015/06/chart">
            <c:ext xmlns:c16="http://schemas.microsoft.com/office/drawing/2014/chart" uri="{C3380CC4-5D6E-409C-BE32-E72D297353CC}">
              <c16:uniqueId val="{00000007-895E-4652-9479-CF129821BF3E}"/>
            </c:ext>
          </c:extLst>
        </c:ser>
        <c:ser>
          <c:idx val="6"/>
          <c:order val="7"/>
          <c:tx>
            <c:strRef>
              <c:f>'Graf-živočišná produkce'!$I$49</c:f>
              <c:strCache>
                <c:ptCount val="1"/>
                <c:pt idx="0">
                  <c:v>Výroba medu (v t)</c:v>
                </c:pt>
              </c:strCache>
            </c:strRef>
          </c:tx>
          <c:spPr>
            <a:ln>
              <a:noFill/>
            </a:ln>
          </c:spPr>
          <c:marker>
            <c:symbol val="diamond"/>
            <c:size val="5"/>
            <c:spPr>
              <a:solidFill>
                <a:srgbClr val="FFFF00"/>
              </a:solidFill>
              <a:ln w="6350">
                <a:solidFill>
                  <a:schemeClr val="tx1">
                    <a:lumMod val="95000"/>
                    <a:lumOff val="5000"/>
                  </a:schemeClr>
                </a:solidFill>
              </a:ln>
            </c:spPr>
          </c:marker>
          <c:cat>
            <c:numRef>
              <c:f>'Graf-živočišná produkce'!$A$50:$A$67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'Graf-živočišná produkce'!$I$50:$I$67</c:f>
              <c:numCache>
                <c:formatCode>0.0</c:formatCode>
                <c:ptCount val="18"/>
                <c:pt idx="0">
                  <c:v>101.31455399061132</c:v>
                </c:pt>
                <c:pt idx="1">
                  <c:v>83.581488933600397</c:v>
                </c:pt>
                <c:pt idx="2">
                  <c:v>75.975855130783174</c:v>
                </c:pt>
                <c:pt idx="3">
                  <c:v>84.547283702214145</c:v>
                </c:pt>
                <c:pt idx="4">
                  <c:v>103.79610999329383</c:v>
                </c:pt>
                <c:pt idx="5">
                  <c:v>112.28705566733868</c:v>
                </c:pt>
                <c:pt idx="6">
                  <c:v>121.81086519114687</c:v>
                </c:pt>
                <c:pt idx="7">
                  <c:v>113.57478202548492</c:v>
                </c:pt>
                <c:pt idx="8">
                  <c:v>81.542588866531588</c:v>
                </c:pt>
                <c:pt idx="9">
                  <c:v>92.448021462106027</c:v>
                </c:pt>
                <c:pt idx="10">
                  <c:v>100</c:v>
                </c:pt>
                <c:pt idx="11">
                  <c:v>151.59691482226691</c:v>
                </c:pt>
                <c:pt idx="12">
                  <c:v>98.348571428571418</c:v>
                </c:pt>
                <c:pt idx="13">
                  <c:v>108.15631120053561</c:v>
                </c:pt>
                <c:pt idx="14">
                  <c:v>96.076485580147562</c:v>
                </c:pt>
                <c:pt idx="15">
                  <c:v>123.78399731723603</c:v>
                </c:pt>
                <c:pt idx="16">
                  <c:v>135.65847082494977</c:v>
                </c:pt>
                <c:pt idx="17">
                  <c:v>125.61986586183772</c:v>
                </c:pt>
              </c:numCache>
            </c:numRef>
          </c:val>
          <c:extLst xmlns:c16r2="http://schemas.microsoft.com/office/drawing/2015/06/chart">
            <c:ext xmlns:c16="http://schemas.microsoft.com/office/drawing/2014/chart" uri="{C3380CC4-5D6E-409C-BE32-E72D297353CC}">
              <c16:uniqueId val="{00000008-895E-4652-9479-CF129821BF3E}"/>
            </c:ext>
          </c:extLst>
        </c:ser>
        <c:marker val="1"/>
        <c:axId val="133958272"/>
        <c:axId val="133985024"/>
      </c:lineChart>
      <c:catAx>
        <c:axId val="133958272"/>
        <c:scaling>
          <c:orientation val="minMax"/>
        </c:scaling>
        <c:axPos val="b"/>
        <c:numFmt formatCode="General" sourceLinked="1"/>
        <c:majorTickMark val="none"/>
        <c:tickLblPos val="low"/>
        <c:spPr>
          <a:ln w="9525">
            <a:solidFill>
              <a:schemeClr val="tx1"/>
            </a:solidFill>
            <a:prstDash val="solid"/>
          </a:ln>
        </c:spPr>
        <c:txPr>
          <a:bodyPr rot="-5400000" vert="horz"/>
          <a:lstStyle/>
          <a:p>
            <a:pPr>
              <a:defRPr/>
            </a:pPr>
            <a:endParaRPr lang="cs-CZ"/>
          </a:p>
        </c:txPr>
        <c:crossAx val="133985024"/>
        <c:crossesAt val="100"/>
        <c:lblAlgn val="ctr"/>
        <c:lblOffset val="0"/>
        <c:tickLblSkip val="1"/>
        <c:tickMarkSkip val="4"/>
      </c:catAx>
      <c:valAx>
        <c:axId val="133985024"/>
        <c:scaling>
          <c:orientation val="minMax"/>
          <c:max val="161"/>
          <c:min val="7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33958272"/>
        <c:crosses val="autoZero"/>
        <c:crossBetween val="midCat"/>
        <c:majorUnit val="10"/>
      </c:valAx>
      <c:spPr>
        <a:noFill/>
        <a:ln w="9525">
          <a:solidFill>
            <a:schemeClr val="tx1"/>
          </a:solidFill>
        </a:ln>
      </c:spPr>
    </c:plotArea>
    <c:legend>
      <c:legendPos val="b"/>
      <c:layout>
        <c:manualLayout>
          <c:xMode val="edge"/>
          <c:yMode val="edge"/>
          <c:x val="6.6301113485430718E-2"/>
          <c:y val="0.85426770235280869"/>
          <c:w val="0.91178209009442779"/>
          <c:h val="0.13500956883935605"/>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4942586963863733E-2"/>
          <c:y val="3.9316672295395698E-2"/>
          <c:w val="0.92160144376900255"/>
          <c:h val="0.75508696386355967"/>
        </c:manualLayout>
      </c:layout>
      <c:barChart>
        <c:barDir val="col"/>
        <c:grouping val="clustered"/>
        <c:ser>
          <c:idx val="1"/>
          <c:order val="1"/>
          <c:tx>
            <c:strRef>
              <c:f>List3!$D$4</c:f>
              <c:strCache>
                <c:ptCount val="1"/>
                <c:pt idx="0">
                  <c:v>Výdaje na konečnou spotř. domácností</c:v>
                </c:pt>
              </c:strCache>
            </c:strRef>
          </c:tx>
          <c:spPr>
            <a:solidFill>
              <a:srgbClr val="0071BC"/>
            </a:solidFill>
          </c:spPr>
          <c:cat>
            <c:strRef>
              <c:f>List3!$A$5:$B$14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List3!$D$5:$D$14</c:f>
              <c:numCache>
                <c:formatCode>0.0</c:formatCode>
                <c:ptCount val="10"/>
                <c:pt idx="0">
                  <c:v>4.7772296404384074</c:v>
                </c:pt>
                <c:pt idx="1">
                  <c:v>0.85447570400949413</c:v>
                </c:pt>
                <c:pt idx="2">
                  <c:v>0.45749728868125317</c:v>
                </c:pt>
                <c:pt idx="3">
                  <c:v>1.7691059216456801</c:v>
                </c:pt>
                <c:pt idx="4">
                  <c:v>2.22659525015152</c:v>
                </c:pt>
                <c:pt idx="5">
                  <c:v>0.86327308254011081</c:v>
                </c:pt>
                <c:pt idx="6">
                  <c:v>0.60977620376665698</c:v>
                </c:pt>
                <c:pt idx="7">
                  <c:v>0.15340943635344512</c:v>
                </c:pt>
                <c:pt idx="8">
                  <c:v>0.53416634765631821</c:v>
                </c:pt>
                <c:pt idx="9">
                  <c:v>2.418311556409348</c:v>
                </c:pt>
              </c:numCache>
            </c:numRef>
          </c:val>
          <c:extLst xmlns:c16r2="http://schemas.microsoft.com/office/drawing/2015/06/chart">
            <c:ext xmlns:c16="http://schemas.microsoft.com/office/drawing/2014/chart" uri="{C3380CC4-5D6E-409C-BE32-E72D297353CC}">
              <c16:uniqueId val="{00000000-009D-4D9C-83C9-70CA1DBBAF13}"/>
            </c:ext>
          </c:extLst>
        </c:ser>
        <c:ser>
          <c:idx val="2"/>
          <c:order val="2"/>
          <c:tx>
            <c:strRef>
              <c:f>List3!$E$4</c:f>
              <c:strCache>
                <c:ptCount val="1"/>
                <c:pt idx="0">
                  <c:v>Výdaje na konečnou spotř. vládních inst.</c:v>
                </c:pt>
              </c:strCache>
            </c:strRef>
          </c:tx>
          <c:spPr>
            <a:solidFill>
              <a:srgbClr val="BD1B21"/>
            </a:solidFill>
          </c:spPr>
          <c:cat>
            <c:strRef>
              <c:f>List3!$A$5:$B$14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List3!$E$5:$E$14</c:f>
              <c:numCache>
                <c:formatCode>0.0</c:formatCode>
                <c:ptCount val="10"/>
                <c:pt idx="0">
                  <c:v>3.5232619338964071</c:v>
                </c:pt>
                <c:pt idx="1">
                  <c:v>2.8037185269889742</c:v>
                </c:pt>
                <c:pt idx="2">
                  <c:v>-0.44991634933289953</c:v>
                </c:pt>
                <c:pt idx="3">
                  <c:v>1.7695382605235053</c:v>
                </c:pt>
                <c:pt idx="4">
                  <c:v>0.86530018314556401</c:v>
                </c:pt>
                <c:pt idx="5">
                  <c:v>0.18958300230096514</c:v>
                </c:pt>
                <c:pt idx="6">
                  <c:v>1.7177458478824854</c:v>
                </c:pt>
                <c:pt idx="7">
                  <c:v>2.0408634875737377</c:v>
                </c:pt>
                <c:pt idx="8">
                  <c:v>1.8182565031700921</c:v>
                </c:pt>
                <c:pt idx="9">
                  <c:v>4.0298209326451664</c:v>
                </c:pt>
              </c:numCache>
            </c:numRef>
          </c:val>
          <c:extLst xmlns:c16r2="http://schemas.microsoft.com/office/drawing/2015/06/chart">
            <c:ext xmlns:c16="http://schemas.microsoft.com/office/drawing/2014/chart" uri="{C3380CC4-5D6E-409C-BE32-E72D297353CC}">
              <c16:uniqueId val="{00000001-009D-4D9C-83C9-70CA1DBBAF13}"/>
            </c:ext>
          </c:extLst>
        </c:ser>
        <c:ser>
          <c:idx val="3"/>
          <c:order val="3"/>
          <c:tx>
            <c:strRef>
              <c:f>List3!$F$4</c:f>
              <c:strCache>
                <c:ptCount val="1"/>
                <c:pt idx="0">
                  <c:v>Tvorba hrubého kapitálu</c:v>
                </c:pt>
              </c:strCache>
            </c:strRef>
          </c:tx>
          <c:spPr>
            <a:solidFill>
              <a:srgbClr val="7DBB2D"/>
            </a:solidFill>
          </c:spPr>
          <c:cat>
            <c:strRef>
              <c:f>List3!$A$5:$B$14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List3!$F$5:$F$14</c:f>
              <c:numCache>
                <c:formatCode>0.0</c:formatCode>
                <c:ptCount val="10"/>
                <c:pt idx="0">
                  <c:v>0.29205888677421865</c:v>
                </c:pt>
                <c:pt idx="1">
                  <c:v>1.5772569317522713</c:v>
                </c:pt>
                <c:pt idx="2">
                  <c:v>-1.0563422423658011</c:v>
                </c:pt>
                <c:pt idx="3">
                  <c:v>-0.59165917798500878</c:v>
                </c:pt>
                <c:pt idx="4">
                  <c:v>1.7850201537622039</c:v>
                </c:pt>
                <c:pt idx="5">
                  <c:v>0.19237897766579687</c:v>
                </c:pt>
                <c:pt idx="6">
                  <c:v>1.7311402034030439</c:v>
                </c:pt>
                <c:pt idx="7">
                  <c:v>1.8731916492951537</c:v>
                </c:pt>
                <c:pt idx="8">
                  <c:v>0.13308495056902844</c:v>
                </c:pt>
                <c:pt idx="9">
                  <c:v>1.3227035121237101</c:v>
                </c:pt>
              </c:numCache>
            </c:numRef>
          </c:val>
          <c:extLst xmlns:c16r2="http://schemas.microsoft.com/office/drawing/2015/06/chart">
            <c:ext xmlns:c16="http://schemas.microsoft.com/office/drawing/2014/chart" uri="{C3380CC4-5D6E-409C-BE32-E72D297353CC}">
              <c16:uniqueId val="{00000002-009D-4D9C-83C9-70CA1DBBAF13}"/>
            </c:ext>
          </c:extLst>
        </c:ser>
        <c:ser>
          <c:idx val="4"/>
          <c:order val="4"/>
          <c:tx>
            <c:strRef>
              <c:f>List3!$G$4</c:f>
              <c:strCache>
                <c:ptCount val="1"/>
                <c:pt idx="0">
                  <c:v>Směnné relace</c:v>
                </c:pt>
              </c:strCache>
            </c:strRef>
          </c:tx>
          <c:spPr>
            <a:solidFill>
              <a:srgbClr val="F8A124"/>
            </a:solidFill>
          </c:spPr>
          <c:cat>
            <c:strRef>
              <c:f>List3!$A$5:$B$14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List3!$G$5:$G$14</c:f>
              <c:numCache>
                <c:formatCode>0.0</c:formatCode>
                <c:ptCount val="10"/>
                <c:pt idx="0">
                  <c:v>-1.2335958432668264</c:v>
                </c:pt>
                <c:pt idx="1">
                  <c:v>2.0369199416225152</c:v>
                </c:pt>
                <c:pt idx="2">
                  <c:v>-1.9789679497150146</c:v>
                </c:pt>
                <c:pt idx="3">
                  <c:v>-1.5472331014206304</c:v>
                </c:pt>
                <c:pt idx="4">
                  <c:v>-0.56885817816633732</c:v>
                </c:pt>
                <c:pt idx="5">
                  <c:v>1.1660929489003811</c:v>
                </c:pt>
                <c:pt idx="6">
                  <c:v>1.52524999305372</c:v>
                </c:pt>
                <c:pt idx="7">
                  <c:v>0.38584697502422993</c:v>
                </c:pt>
                <c:pt idx="8">
                  <c:v>1.0605672680557063</c:v>
                </c:pt>
                <c:pt idx="9">
                  <c:v>-1.004648488800612</c:v>
                </c:pt>
              </c:numCache>
            </c:numRef>
          </c:val>
          <c:extLst xmlns:c16r2="http://schemas.microsoft.com/office/drawing/2015/06/chart">
            <c:ext xmlns:c16="http://schemas.microsoft.com/office/drawing/2014/chart" uri="{C3380CC4-5D6E-409C-BE32-E72D297353CC}">
              <c16:uniqueId val="{00000003-009D-4D9C-83C9-70CA1DBBAF13}"/>
            </c:ext>
          </c:extLst>
        </c:ser>
        <c:gapWidth val="99"/>
        <c:axId val="118733824"/>
        <c:axId val="118764288"/>
      </c:barChart>
      <c:lineChart>
        <c:grouping val="standard"/>
        <c:ser>
          <c:idx val="0"/>
          <c:order val="0"/>
          <c:tx>
            <c:strRef>
              <c:f>List3!$C$4</c:f>
              <c:strCache>
                <c:ptCount val="1"/>
                <c:pt idx="0">
                  <c:v>Hrubý domácí produkt</c:v>
                </c:pt>
              </c:strCache>
            </c:strRef>
          </c:tx>
          <c:spPr>
            <a:ln>
              <a:solidFill>
                <a:schemeClr val="tx1"/>
              </a:solidFill>
            </a:ln>
          </c:spPr>
          <c:marker>
            <c:symbol val="none"/>
          </c:marker>
          <c:cat>
            <c:strRef>
              <c:f>List3!$A$5:$B$14</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List3!$C$5:$C$14</c:f>
              <c:numCache>
                <c:formatCode>0.0</c:formatCode>
                <c:ptCount val="10"/>
                <c:pt idx="0">
                  <c:v>2.0541606783868382</c:v>
                </c:pt>
                <c:pt idx="1">
                  <c:v>2.598714229926685</c:v>
                </c:pt>
                <c:pt idx="2">
                  <c:v>-1.4254568178629377</c:v>
                </c:pt>
                <c:pt idx="3">
                  <c:v>2.0952612381620456E-2</c:v>
                </c:pt>
                <c:pt idx="4">
                  <c:v>1.4599807921596746</c:v>
                </c:pt>
                <c:pt idx="5">
                  <c:v>1.4318823763525046</c:v>
                </c:pt>
                <c:pt idx="6">
                  <c:v>2.479975160337716</c:v>
                </c:pt>
                <c:pt idx="7">
                  <c:v>1.165906272274138</c:v>
                </c:pt>
                <c:pt idx="8">
                  <c:v>1.2359153309026418</c:v>
                </c:pt>
                <c:pt idx="9">
                  <c:v>1.442746383551736</c:v>
                </c:pt>
              </c:numCache>
            </c:numRef>
          </c:val>
          <c:extLst xmlns:c16r2="http://schemas.microsoft.com/office/drawing/2015/06/chart">
            <c:ext xmlns:c16="http://schemas.microsoft.com/office/drawing/2014/chart" uri="{C3380CC4-5D6E-409C-BE32-E72D297353CC}">
              <c16:uniqueId val="{00000004-009D-4D9C-83C9-70CA1DBBAF13}"/>
            </c:ext>
          </c:extLst>
        </c:ser>
        <c:marker val="1"/>
        <c:axId val="118733824"/>
        <c:axId val="118764288"/>
      </c:lineChart>
      <c:catAx>
        <c:axId val="118733824"/>
        <c:scaling>
          <c:orientation val="minMax"/>
        </c:scaling>
        <c:axPos val="b"/>
        <c:numFmt formatCode="General" sourceLinked="0"/>
        <c:tickLblPos val="low"/>
        <c:crossAx val="118764288"/>
        <c:crosses val="autoZero"/>
        <c:auto val="1"/>
        <c:lblAlgn val="ctr"/>
        <c:lblOffset val="100"/>
      </c:catAx>
      <c:valAx>
        <c:axId val="118764288"/>
        <c:scaling>
          <c:orientation val="minMax"/>
          <c:max val="5"/>
        </c:scaling>
        <c:axPos val="l"/>
        <c:majorGridlines/>
        <c:numFmt formatCode="0" sourceLinked="0"/>
        <c:tickLblPos val="nextTo"/>
        <c:crossAx val="118733824"/>
        <c:crosses val="autoZero"/>
        <c:crossBetween val="between"/>
      </c:valAx>
      <c:spPr>
        <a:ln>
          <a:solidFill>
            <a:schemeClr val="tx1"/>
          </a:solidFill>
        </a:ln>
      </c:spPr>
    </c:plotArea>
    <c:legend>
      <c:legendPos val="r"/>
      <c:layout>
        <c:manualLayout>
          <c:xMode val="edge"/>
          <c:yMode val="edge"/>
          <c:x val="5.1708671057076057E-2"/>
          <c:y val="0.8673322638748171"/>
          <c:w val="0.9214845069233365"/>
          <c:h val="0.11957953394123713"/>
        </c:manualLayout>
      </c:layout>
      <c:spPr>
        <a:ln>
          <a:solidFill>
            <a:sysClr val="windowText" lastClr="000000"/>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2040029038385493E-2"/>
          <c:y val="1.4865958640208482E-2"/>
          <c:w val="0.92433548575002356"/>
          <c:h val="0.69946438451065529"/>
        </c:manualLayout>
      </c:layout>
      <c:barChart>
        <c:barDir val="col"/>
        <c:grouping val="clustered"/>
        <c:ser>
          <c:idx val="0"/>
          <c:order val="0"/>
          <c:tx>
            <c:strRef>
              <c:f>'Graf-Zahr.obchod'!$C$68</c:f>
              <c:strCache>
                <c:ptCount val="1"/>
                <c:pt idx="0">
                  <c:v>Bilance se všemi státy</c:v>
                </c:pt>
              </c:strCache>
            </c:strRef>
          </c:tx>
          <c:spPr>
            <a:solidFill>
              <a:srgbClr val="A6A6A6"/>
            </a:solidFill>
            <a:ln>
              <a:noFill/>
            </a:ln>
          </c:spPr>
          <c:dPt>
            <c:idx val="1"/>
            <c:spPr>
              <a:solidFill>
                <a:srgbClr val="D2E7B6"/>
              </a:solidFill>
              <a:ln>
                <a:noFill/>
              </a:ln>
            </c:spPr>
            <c:extLst xmlns:c16r2="http://schemas.microsoft.com/office/drawing/2015/06/chart">
              <c:ext xmlns:c16="http://schemas.microsoft.com/office/drawing/2014/chart" uri="{C3380CC4-5D6E-409C-BE32-E72D297353CC}">
                <c16:uniqueId val="{00000000-6B9B-4FD0-98AE-4854CD1EDC9A}"/>
              </c:ext>
            </c:extLst>
          </c:dPt>
          <c:dPt>
            <c:idx val="2"/>
            <c:spPr>
              <a:solidFill>
                <a:srgbClr val="BFE3F7"/>
              </a:solidFill>
              <a:ln>
                <a:noFill/>
              </a:ln>
            </c:spPr>
            <c:extLst xmlns:c16r2="http://schemas.microsoft.com/office/drawing/2015/06/chart">
              <c:ext xmlns:c16="http://schemas.microsoft.com/office/drawing/2014/chart" uri="{C3380CC4-5D6E-409C-BE32-E72D297353CC}">
                <c16:uniqueId val="{00000001-6B9B-4FD0-98AE-4854CD1EDC9A}"/>
              </c:ext>
            </c:extLst>
          </c:dPt>
          <c:dPt>
            <c:idx val="3"/>
            <c:spPr>
              <a:solidFill>
                <a:srgbClr val="95C3E3"/>
              </a:solidFill>
              <a:ln>
                <a:noFill/>
              </a:ln>
            </c:spPr>
            <c:extLst xmlns:c16r2="http://schemas.microsoft.com/office/drawing/2015/06/chart">
              <c:ext xmlns:c16="http://schemas.microsoft.com/office/drawing/2014/chart" uri="{C3380CC4-5D6E-409C-BE32-E72D297353CC}">
                <c16:uniqueId val="{00000002-6B9B-4FD0-98AE-4854CD1EDC9A}"/>
              </c:ext>
            </c:extLst>
          </c:dPt>
          <c:dPt>
            <c:idx val="4"/>
            <c:spPr>
              <a:solidFill>
                <a:srgbClr val="BCA6E8"/>
              </a:solidFill>
              <a:ln>
                <a:noFill/>
              </a:ln>
            </c:spPr>
            <c:extLst xmlns:c16r2="http://schemas.microsoft.com/office/drawing/2015/06/chart">
              <c:ext xmlns:c16="http://schemas.microsoft.com/office/drawing/2014/chart" uri="{C3380CC4-5D6E-409C-BE32-E72D297353CC}">
                <c16:uniqueId val="{00000003-6B9B-4FD0-98AE-4854CD1EDC9A}"/>
              </c:ext>
            </c:extLst>
          </c:dPt>
          <c:dPt>
            <c:idx val="7"/>
            <c:spPr>
              <a:solidFill>
                <a:srgbClr val="D2E7B6"/>
              </a:solidFill>
              <a:ln>
                <a:noFill/>
              </a:ln>
            </c:spPr>
            <c:extLst xmlns:c16r2="http://schemas.microsoft.com/office/drawing/2015/06/chart">
              <c:ext xmlns:c16="http://schemas.microsoft.com/office/drawing/2014/chart" uri="{C3380CC4-5D6E-409C-BE32-E72D297353CC}">
                <c16:uniqueId val="{00000004-6B9B-4FD0-98AE-4854CD1EDC9A}"/>
              </c:ext>
            </c:extLst>
          </c:dPt>
          <c:dPt>
            <c:idx val="8"/>
            <c:spPr>
              <a:solidFill>
                <a:srgbClr val="BFE3F7"/>
              </a:solidFill>
              <a:ln>
                <a:noFill/>
              </a:ln>
            </c:spPr>
            <c:extLst xmlns:c16r2="http://schemas.microsoft.com/office/drawing/2015/06/chart">
              <c:ext xmlns:c16="http://schemas.microsoft.com/office/drawing/2014/chart" uri="{C3380CC4-5D6E-409C-BE32-E72D297353CC}">
                <c16:uniqueId val="{00000005-6B9B-4FD0-98AE-4854CD1EDC9A}"/>
              </c:ext>
            </c:extLst>
          </c:dPt>
          <c:dPt>
            <c:idx val="9"/>
            <c:spPr>
              <a:solidFill>
                <a:srgbClr val="95C3E3"/>
              </a:solidFill>
              <a:ln>
                <a:noFill/>
              </a:ln>
            </c:spPr>
            <c:extLst xmlns:c16r2="http://schemas.microsoft.com/office/drawing/2015/06/chart">
              <c:ext xmlns:c16="http://schemas.microsoft.com/office/drawing/2014/chart" uri="{C3380CC4-5D6E-409C-BE32-E72D297353CC}">
                <c16:uniqueId val="{00000006-6B9B-4FD0-98AE-4854CD1EDC9A}"/>
              </c:ext>
            </c:extLst>
          </c:dPt>
          <c:dPt>
            <c:idx val="10"/>
            <c:spPr>
              <a:solidFill>
                <a:srgbClr val="BCA6E8"/>
              </a:solidFill>
              <a:ln>
                <a:noFill/>
              </a:ln>
            </c:spPr>
            <c:extLst xmlns:c16r2="http://schemas.microsoft.com/office/drawing/2015/06/chart">
              <c:ext xmlns:c16="http://schemas.microsoft.com/office/drawing/2014/chart" uri="{C3380CC4-5D6E-409C-BE32-E72D297353CC}">
                <c16:uniqueId val="{00000007-6B9B-4FD0-98AE-4854CD1EDC9A}"/>
              </c:ext>
            </c:extLst>
          </c:dPt>
          <c:dPt>
            <c:idx val="13"/>
            <c:spPr>
              <a:solidFill>
                <a:srgbClr val="D2E7B6"/>
              </a:solidFill>
              <a:ln>
                <a:noFill/>
              </a:ln>
            </c:spPr>
            <c:extLst xmlns:c16r2="http://schemas.microsoft.com/office/drawing/2015/06/chart">
              <c:ext xmlns:c16="http://schemas.microsoft.com/office/drawing/2014/chart" uri="{C3380CC4-5D6E-409C-BE32-E72D297353CC}">
                <c16:uniqueId val="{00000008-6B9B-4FD0-98AE-4854CD1EDC9A}"/>
              </c:ext>
            </c:extLst>
          </c:dPt>
          <c:dPt>
            <c:idx val="14"/>
            <c:spPr>
              <a:solidFill>
                <a:srgbClr val="BFE3F7"/>
              </a:solidFill>
              <a:ln>
                <a:noFill/>
              </a:ln>
            </c:spPr>
            <c:extLst xmlns:c16r2="http://schemas.microsoft.com/office/drawing/2015/06/chart">
              <c:ext xmlns:c16="http://schemas.microsoft.com/office/drawing/2014/chart" uri="{C3380CC4-5D6E-409C-BE32-E72D297353CC}">
                <c16:uniqueId val="{00000009-6B9B-4FD0-98AE-4854CD1EDC9A}"/>
              </c:ext>
            </c:extLst>
          </c:dPt>
          <c:dPt>
            <c:idx val="15"/>
            <c:spPr>
              <a:solidFill>
                <a:srgbClr val="95C3E3"/>
              </a:solidFill>
              <a:ln>
                <a:noFill/>
              </a:ln>
            </c:spPr>
            <c:extLst xmlns:c16r2="http://schemas.microsoft.com/office/drawing/2015/06/chart">
              <c:ext xmlns:c16="http://schemas.microsoft.com/office/drawing/2014/chart" uri="{C3380CC4-5D6E-409C-BE32-E72D297353CC}">
                <c16:uniqueId val="{0000000A-6B9B-4FD0-98AE-4854CD1EDC9A}"/>
              </c:ext>
            </c:extLst>
          </c:dPt>
          <c:dPt>
            <c:idx val="16"/>
            <c:spPr>
              <a:solidFill>
                <a:srgbClr val="BCA6E8"/>
              </a:solidFill>
              <a:ln>
                <a:noFill/>
              </a:ln>
            </c:spPr>
            <c:extLst xmlns:c16r2="http://schemas.microsoft.com/office/drawing/2015/06/chart">
              <c:ext xmlns:c16="http://schemas.microsoft.com/office/drawing/2014/chart" uri="{C3380CC4-5D6E-409C-BE32-E72D297353CC}">
                <c16:uniqueId val="{0000000B-6B9B-4FD0-98AE-4854CD1EDC9A}"/>
              </c:ext>
            </c:extLst>
          </c:dPt>
          <c:dPt>
            <c:idx val="19"/>
            <c:spPr>
              <a:solidFill>
                <a:srgbClr val="D2E7B6"/>
              </a:solidFill>
              <a:ln>
                <a:noFill/>
              </a:ln>
            </c:spPr>
            <c:extLst xmlns:c16r2="http://schemas.microsoft.com/office/drawing/2015/06/chart">
              <c:ext xmlns:c16="http://schemas.microsoft.com/office/drawing/2014/chart" uri="{C3380CC4-5D6E-409C-BE32-E72D297353CC}">
                <c16:uniqueId val="{0000000C-6B9B-4FD0-98AE-4854CD1EDC9A}"/>
              </c:ext>
            </c:extLst>
          </c:dPt>
          <c:dPt>
            <c:idx val="20"/>
            <c:spPr>
              <a:solidFill>
                <a:srgbClr val="BFE3F7"/>
              </a:solidFill>
              <a:ln>
                <a:noFill/>
              </a:ln>
            </c:spPr>
            <c:extLst xmlns:c16r2="http://schemas.microsoft.com/office/drawing/2015/06/chart">
              <c:ext xmlns:c16="http://schemas.microsoft.com/office/drawing/2014/chart" uri="{C3380CC4-5D6E-409C-BE32-E72D297353CC}">
                <c16:uniqueId val="{0000000D-6B9B-4FD0-98AE-4854CD1EDC9A}"/>
              </c:ext>
            </c:extLst>
          </c:dPt>
          <c:dPt>
            <c:idx val="21"/>
            <c:spPr>
              <a:solidFill>
                <a:srgbClr val="95C3E3"/>
              </a:solidFill>
              <a:ln>
                <a:noFill/>
              </a:ln>
            </c:spPr>
            <c:extLst xmlns:c16r2="http://schemas.microsoft.com/office/drawing/2015/06/chart">
              <c:ext xmlns:c16="http://schemas.microsoft.com/office/drawing/2014/chart" uri="{C3380CC4-5D6E-409C-BE32-E72D297353CC}">
                <c16:uniqueId val="{0000000E-6B9B-4FD0-98AE-4854CD1EDC9A}"/>
              </c:ext>
            </c:extLst>
          </c:dPt>
          <c:dPt>
            <c:idx val="22"/>
            <c:spPr>
              <a:solidFill>
                <a:srgbClr val="BCA6E8"/>
              </a:solidFill>
              <a:ln>
                <a:noFill/>
              </a:ln>
            </c:spPr>
            <c:extLst xmlns:c16r2="http://schemas.microsoft.com/office/drawing/2015/06/chart">
              <c:ext xmlns:c16="http://schemas.microsoft.com/office/drawing/2014/chart" uri="{C3380CC4-5D6E-409C-BE32-E72D297353CC}">
                <c16:uniqueId val="{0000000F-6B9B-4FD0-98AE-4854CD1EDC9A}"/>
              </c:ext>
            </c:extLst>
          </c:dPt>
          <c:dPt>
            <c:idx val="25"/>
            <c:spPr>
              <a:solidFill>
                <a:srgbClr val="D2E7B6"/>
              </a:solidFill>
              <a:ln>
                <a:noFill/>
              </a:ln>
            </c:spPr>
            <c:extLst xmlns:c16r2="http://schemas.microsoft.com/office/drawing/2015/06/chart">
              <c:ext xmlns:c16="http://schemas.microsoft.com/office/drawing/2014/chart" uri="{C3380CC4-5D6E-409C-BE32-E72D297353CC}">
                <c16:uniqueId val="{00000010-6B9B-4FD0-98AE-4854CD1EDC9A}"/>
              </c:ext>
            </c:extLst>
          </c:dPt>
          <c:dPt>
            <c:idx val="26"/>
            <c:spPr>
              <a:solidFill>
                <a:srgbClr val="BFE3F7"/>
              </a:solidFill>
              <a:ln>
                <a:noFill/>
              </a:ln>
            </c:spPr>
            <c:extLst xmlns:c16r2="http://schemas.microsoft.com/office/drawing/2015/06/chart">
              <c:ext xmlns:c16="http://schemas.microsoft.com/office/drawing/2014/chart" uri="{C3380CC4-5D6E-409C-BE32-E72D297353CC}">
                <c16:uniqueId val="{00000011-6B9B-4FD0-98AE-4854CD1EDC9A}"/>
              </c:ext>
            </c:extLst>
          </c:dPt>
          <c:dPt>
            <c:idx val="27"/>
            <c:spPr>
              <a:solidFill>
                <a:srgbClr val="95C3E3"/>
              </a:solidFill>
              <a:ln>
                <a:noFill/>
              </a:ln>
            </c:spPr>
            <c:extLst xmlns:c16r2="http://schemas.microsoft.com/office/drawing/2015/06/chart">
              <c:ext xmlns:c16="http://schemas.microsoft.com/office/drawing/2014/chart" uri="{C3380CC4-5D6E-409C-BE32-E72D297353CC}">
                <c16:uniqueId val="{00000012-6B9B-4FD0-98AE-4854CD1EDC9A}"/>
              </c:ext>
            </c:extLst>
          </c:dPt>
          <c:dPt>
            <c:idx val="28"/>
            <c:spPr>
              <a:solidFill>
                <a:srgbClr val="BCA6E8"/>
              </a:solidFill>
              <a:ln>
                <a:noFill/>
              </a:ln>
            </c:spPr>
            <c:extLst xmlns:c16r2="http://schemas.microsoft.com/office/drawing/2015/06/chart">
              <c:ext xmlns:c16="http://schemas.microsoft.com/office/drawing/2014/chart" uri="{C3380CC4-5D6E-409C-BE32-E72D297353CC}">
                <c16:uniqueId val="{00000013-6B9B-4FD0-98AE-4854CD1EDC9A}"/>
              </c:ext>
            </c:extLst>
          </c:dPt>
          <c:dPt>
            <c:idx val="31"/>
            <c:spPr>
              <a:solidFill>
                <a:srgbClr val="D2E7B6"/>
              </a:solidFill>
              <a:ln>
                <a:noFill/>
              </a:ln>
            </c:spPr>
            <c:extLst xmlns:c16r2="http://schemas.microsoft.com/office/drawing/2015/06/chart">
              <c:ext xmlns:c16="http://schemas.microsoft.com/office/drawing/2014/chart" uri="{C3380CC4-5D6E-409C-BE32-E72D297353CC}">
                <c16:uniqueId val="{00000014-6B9B-4FD0-98AE-4854CD1EDC9A}"/>
              </c:ext>
            </c:extLst>
          </c:dPt>
          <c:dPt>
            <c:idx val="32"/>
            <c:spPr>
              <a:solidFill>
                <a:srgbClr val="BFE3F7"/>
              </a:solidFill>
              <a:ln>
                <a:noFill/>
              </a:ln>
            </c:spPr>
            <c:extLst xmlns:c16r2="http://schemas.microsoft.com/office/drawing/2015/06/chart">
              <c:ext xmlns:c16="http://schemas.microsoft.com/office/drawing/2014/chart" uri="{C3380CC4-5D6E-409C-BE32-E72D297353CC}">
                <c16:uniqueId val="{00000015-6B9B-4FD0-98AE-4854CD1EDC9A}"/>
              </c:ext>
            </c:extLst>
          </c:dPt>
          <c:dPt>
            <c:idx val="33"/>
            <c:spPr>
              <a:solidFill>
                <a:srgbClr val="95C3E3"/>
              </a:solidFill>
              <a:ln>
                <a:noFill/>
              </a:ln>
            </c:spPr>
            <c:extLst xmlns:c16r2="http://schemas.microsoft.com/office/drawing/2015/06/chart">
              <c:ext xmlns:c16="http://schemas.microsoft.com/office/drawing/2014/chart" uri="{C3380CC4-5D6E-409C-BE32-E72D297353CC}">
                <c16:uniqueId val="{00000016-6B9B-4FD0-98AE-4854CD1EDC9A}"/>
              </c:ext>
            </c:extLst>
          </c:dPt>
          <c:dPt>
            <c:idx val="34"/>
            <c:spPr>
              <a:solidFill>
                <a:srgbClr val="BCA6E8"/>
              </a:solidFill>
              <a:ln>
                <a:noFill/>
              </a:ln>
            </c:spPr>
            <c:extLst xmlns:c16r2="http://schemas.microsoft.com/office/drawing/2015/06/chart">
              <c:ext xmlns:c16="http://schemas.microsoft.com/office/drawing/2014/chart" uri="{C3380CC4-5D6E-409C-BE32-E72D297353CC}">
                <c16:uniqueId val="{00000017-6B9B-4FD0-98AE-4854CD1EDC9A}"/>
              </c:ext>
            </c:extLst>
          </c:dPt>
          <c:dPt>
            <c:idx val="37"/>
            <c:spPr>
              <a:solidFill>
                <a:srgbClr val="D2E7B6"/>
              </a:solidFill>
              <a:ln>
                <a:noFill/>
              </a:ln>
            </c:spPr>
            <c:extLst xmlns:c16r2="http://schemas.microsoft.com/office/drawing/2015/06/chart">
              <c:ext xmlns:c16="http://schemas.microsoft.com/office/drawing/2014/chart" uri="{C3380CC4-5D6E-409C-BE32-E72D297353CC}">
                <c16:uniqueId val="{00000018-6B9B-4FD0-98AE-4854CD1EDC9A}"/>
              </c:ext>
            </c:extLst>
          </c:dPt>
          <c:dPt>
            <c:idx val="38"/>
            <c:spPr>
              <a:solidFill>
                <a:srgbClr val="BFE3F7"/>
              </a:solidFill>
              <a:ln>
                <a:noFill/>
              </a:ln>
            </c:spPr>
            <c:extLst xmlns:c16r2="http://schemas.microsoft.com/office/drawing/2015/06/chart">
              <c:ext xmlns:c16="http://schemas.microsoft.com/office/drawing/2014/chart" uri="{C3380CC4-5D6E-409C-BE32-E72D297353CC}">
                <c16:uniqueId val="{00000019-6B9B-4FD0-98AE-4854CD1EDC9A}"/>
              </c:ext>
            </c:extLst>
          </c:dPt>
          <c:dPt>
            <c:idx val="39"/>
            <c:spPr>
              <a:solidFill>
                <a:srgbClr val="95C3E3"/>
              </a:solidFill>
              <a:ln>
                <a:noFill/>
              </a:ln>
            </c:spPr>
            <c:extLst xmlns:c16r2="http://schemas.microsoft.com/office/drawing/2015/06/chart">
              <c:ext xmlns:c16="http://schemas.microsoft.com/office/drawing/2014/chart" uri="{C3380CC4-5D6E-409C-BE32-E72D297353CC}">
                <c16:uniqueId val="{0000001A-6B9B-4FD0-98AE-4854CD1EDC9A}"/>
              </c:ext>
            </c:extLst>
          </c:dPt>
          <c:dPt>
            <c:idx val="40"/>
            <c:spPr>
              <a:solidFill>
                <a:srgbClr val="BCA6E8"/>
              </a:solidFill>
              <a:ln>
                <a:noFill/>
              </a:ln>
            </c:spPr>
            <c:extLst xmlns:c16r2="http://schemas.microsoft.com/office/drawing/2015/06/chart">
              <c:ext xmlns:c16="http://schemas.microsoft.com/office/drawing/2014/chart" uri="{C3380CC4-5D6E-409C-BE32-E72D297353CC}">
                <c16:uniqueId val="{0000001B-6B9B-4FD0-98AE-4854CD1EDC9A}"/>
              </c:ext>
            </c:extLst>
          </c:dPt>
          <c:dPt>
            <c:idx val="43"/>
            <c:spPr>
              <a:solidFill>
                <a:srgbClr val="D2E7B6"/>
              </a:solidFill>
              <a:ln>
                <a:noFill/>
              </a:ln>
            </c:spPr>
            <c:extLst xmlns:c16r2="http://schemas.microsoft.com/office/drawing/2015/06/chart">
              <c:ext xmlns:c16="http://schemas.microsoft.com/office/drawing/2014/chart" uri="{C3380CC4-5D6E-409C-BE32-E72D297353CC}">
                <c16:uniqueId val="{0000001C-6B9B-4FD0-98AE-4854CD1EDC9A}"/>
              </c:ext>
            </c:extLst>
          </c:dPt>
          <c:dPt>
            <c:idx val="44"/>
            <c:spPr>
              <a:solidFill>
                <a:srgbClr val="BFE3F7"/>
              </a:solidFill>
              <a:ln>
                <a:noFill/>
              </a:ln>
            </c:spPr>
            <c:extLst xmlns:c16r2="http://schemas.microsoft.com/office/drawing/2015/06/chart">
              <c:ext xmlns:c16="http://schemas.microsoft.com/office/drawing/2014/chart" uri="{C3380CC4-5D6E-409C-BE32-E72D297353CC}">
                <c16:uniqueId val="{0000001D-6B9B-4FD0-98AE-4854CD1EDC9A}"/>
              </c:ext>
            </c:extLst>
          </c:dPt>
          <c:dPt>
            <c:idx val="45"/>
            <c:spPr>
              <a:solidFill>
                <a:srgbClr val="95C3E3"/>
              </a:solidFill>
              <a:ln>
                <a:noFill/>
              </a:ln>
            </c:spPr>
            <c:extLst xmlns:c16r2="http://schemas.microsoft.com/office/drawing/2015/06/chart">
              <c:ext xmlns:c16="http://schemas.microsoft.com/office/drawing/2014/chart" uri="{C3380CC4-5D6E-409C-BE32-E72D297353CC}">
                <c16:uniqueId val="{0000001E-6B9B-4FD0-98AE-4854CD1EDC9A}"/>
              </c:ext>
            </c:extLst>
          </c:dPt>
          <c:dPt>
            <c:idx val="46"/>
            <c:spPr>
              <a:solidFill>
                <a:srgbClr val="BCA6E8"/>
              </a:solidFill>
              <a:ln>
                <a:noFill/>
              </a:ln>
            </c:spPr>
            <c:extLst xmlns:c16r2="http://schemas.microsoft.com/office/drawing/2015/06/chart">
              <c:ext xmlns:c16="http://schemas.microsoft.com/office/drawing/2014/chart" uri="{C3380CC4-5D6E-409C-BE32-E72D297353CC}">
                <c16:uniqueId val="{0000001F-6B9B-4FD0-98AE-4854CD1EDC9A}"/>
              </c:ext>
            </c:extLst>
          </c:dPt>
          <c:dPt>
            <c:idx val="49"/>
            <c:spPr>
              <a:solidFill>
                <a:srgbClr val="D2E7B6"/>
              </a:solidFill>
              <a:ln>
                <a:noFill/>
              </a:ln>
            </c:spPr>
            <c:extLst xmlns:c16r2="http://schemas.microsoft.com/office/drawing/2015/06/chart">
              <c:ext xmlns:c16="http://schemas.microsoft.com/office/drawing/2014/chart" uri="{C3380CC4-5D6E-409C-BE32-E72D297353CC}">
                <c16:uniqueId val="{00000020-6B9B-4FD0-98AE-4854CD1EDC9A}"/>
              </c:ext>
            </c:extLst>
          </c:dPt>
          <c:dPt>
            <c:idx val="50"/>
            <c:spPr>
              <a:solidFill>
                <a:srgbClr val="BFE3F7"/>
              </a:solidFill>
              <a:ln>
                <a:noFill/>
              </a:ln>
            </c:spPr>
            <c:extLst xmlns:c16r2="http://schemas.microsoft.com/office/drawing/2015/06/chart">
              <c:ext xmlns:c16="http://schemas.microsoft.com/office/drawing/2014/chart" uri="{C3380CC4-5D6E-409C-BE32-E72D297353CC}">
                <c16:uniqueId val="{00000021-6B9B-4FD0-98AE-4854CD1EDC9A}"/>
              </c:ext>
            </c:extLst>
          </c:dPt>
          <c:dPt>
            <c:idx val="51"/>
            <c:spPr>
              <a:solidFill>
                <a:srgbClr val="95C3E3"/>
              </a:solidFill>
              <a:ln>
                <a:noFill/>
              </a:ln>
            </c:spPr>
            <c:extLst xmlns:c16r2="http://schemas.microsoft.com/office/drawing/2015/06/chart">
              <c:ext xmlns:c16="http://schemas.microsoft.com/office/drawing/2014/chart" uri="{C3380CC4-5D6E-409C-BE32-E72D297353CC}">
                <c16:uniqueId val="{00000022-6B9B-4FD0-98AE-4854CD1EDC9A}"/>
              </c:ext>
            </c:extLst>
          </c:dPt>
          <c:dPt>
            <c:idx val="52"/>
            <c:spPr>
              <a:solidFill>
                <a:srgbClr val="BCA6E8"/>
              </a:solidFill>
              <a:ln>
                <a:noFill/>
              </a:ln>
            </c:spPr>
            <c:extLst xmlns:c16r2="http://schemas.microsoft.com/office/drawing/2015/06/chart">
              <c:ext xmlns:c16="http://schemas.microsoft.com/office/drawing/2014/chart" uri="{C3380CC4-5D6E-409C-BE32-E72D297353CC}">
                <c16:uniqueId val="{00000023-6B9B-4FD0-98AE-4854CD1EDC9A}"/>
              </c:ext>
            </c:extLst>
          </c:dPt>
          <c:dPt>
            <c:idx val="55"/>
            <c:spPr>
              <a:solidFill>
                <a:srgbClr val="D2E7B6"/>
              </a:solidFill>
              <a:ln>
                <a:noFill/>
              </a:ln>
            </c:spPr>
            <c:extLst xmlns:c16r2="http://schemas.microsoft.com/office/drawing/2015/06/chart">
              <c:ext xmlns:c16="http://schemas.microsoft.com/office/drawing/2014/chart" uri="{C3380CC4-5D6E-409C-BE32-E72D297353CC}">
                <c16:uniqueId val="{00000024-6B9B-4FD0-98AE-4854CD1EDC9A}"/>
              </c:ext>
            </c:extLst>
          </c:dPt>
          <c:dPt>
            <c:idx val="56"/>
            <c:spPr>
              <a:solidFill>
                <a:srgbClr val="BFE3F7"/>
              </a:solidFill>
              <a:ln>
                <a:noFill/>
              </a:ln>
            </c:spPr>
            <c:extLst xmlns:c16r2="http://schemas.microsoft.com/office/drawing/2015/06/chart">
              <c:ext xmlns:c16="http://schemas.microsoft.com/office/drawing/2014/chart" uri="{C3380CC4-5D6E-409C-BE32-E72D297353CC}">
                <c16:uniqueId val="{00000025-6B9B-4FD0-98AE-4854CD1EDC9A}"/>
              </c:ext>
            </c:extLst>
          </c:dPt>
          <c:dPt>
            <c:idx val="57"/>
            <c:spPr>
              <a:solidFill>
                <a:srgbClr val="95C3E3"/>
              </a:solidFill>
              <a:ln>
                <a:noFill/>
              </a:ln>
            </c:spPr>
            <c:extLst xmlns:c16r2="http://schemas.microsoft.com/office/drawing/2015/06/chart">
              <c:ext xmlns:c16="http://schemas.microsoft.com/office/drawing/2014/chart" uri="{C3380CC4-5D6E-409C-BE32-E72D297353CC}">
                <c16:uniqueId val="{00000026-6B9B-4FD0-98AE-4854CD1EDC9A}"/>
              </c:ext>
            </c:extLst>
          </c:dPt>
          <c:dPt>
            <c:idx val="58"/>
            <c:spPr>
              <a:solidFill>
                <a:srgbClr val="BCA6E8"/>
              </a:solidFill>
              <a:ln>
                <a:noFill/>
              </a:ln>
            </c:spPr>
            <c:extLst xmlns:c16r2="http://schemas.microsoft.com/office/drawing/2015/06/chart">
              <c:ext xmlns:c16="http://schemas.microsoft.com/office/drawing/2014/chart" uri="{C3380CC4-5D6E-409C-BE32-E72D297353CC}">
                <c16:uniqueId val="{00000027-6B9B-4FD0-98AE-4854CD1EDC9A}"/>
              </c:ext>
            </c:extLst>
          </c:dPt>
          <c:dPt>
            <c:idx val="61"/>
            <c:spPr>
              <a:solidFill>
                <a:srgbClr val="D2E7B6"/>
              </a:solidFill>
              <a:ln>
                <a:noFill/>
              </a:ln>
            </c:spPr>
            <c:extLst xmlns:c16r2="http://schemas.microsoft.com/office/drawing/2015/06/chart">
              <c:ext xmlns:c16="http://schemas.microsoft.com/office/drawing/2014/chart" uri="{C3380CC4-5D6E-409C-BE32-E72D297353CC}">
                <c16:uniqueId val="{00000028-6B9B-4FD0-98AE-4854CD1EDC9A}"/>
              </c:ext>
            </c:extLst>
          </c:dPt>
          <c:dPt>
            <c:idx val="62"/>
            <c:spPr>
              <a:solidFill>
                <a:srgbClr val="BFE3F7"/>
              </a:solidFill>
              <a:ln>
                <a:noFill/>
              </a:ln>
            </c:spPr>
            <c:extLst xmlns:c16r2="http://schemas.microsoft.com/office/drawing/2015/06/chart">
              <c:ext xmlns:c16="http://schemas.microsoft.com/office/drawing/2014/chart" uri="{C3380CC4-5D6E-409C-BE32-E72D297353CC}">
                <c16:uniqueId val="{00000029-6B9B-4FD0-98AE-4854CD1EDC9A}"/>
              </c:ext>
            </c:extLst>
          </c:dPt>
          <c:dPt>
            <c:idx val="63"/>
            <c:spPr>
              <a:solidFill>
                <a:srgbClr val="95C3E3"/>
              </a:solidFill>
              <a:ln>
                <a:noFill/>
              </a:ln>
            </c:spPr>
            <c:extLst xmlns:c16r2="http://schemas.microsoft.com/office/drawing/2015/06/chart">
              <c:ext xmlns:c16="http://schemas.microsoft.com/office/drawing/2014/chart" uri="{C3380CC4-5D6E-409C-BE32-E72D297353CC}">
                <c16:uniqueId val="{0000002A-6B9B-4FD0-98AE-4854CD1EDC9A}"/>
              </c:ext>
            </c:extLst>
          </c:dPt>
          <c:dPt>
            <c:idx val="64"/>
            <c:spPr>
              <a:solidFill>
                <a:srgbClr val="BCA6E8"/>
              </a:solidFill>
              <a:ln>
                <a:noFill/>
              </a:ln>
            </c:spPr>
            <c:extLst xmlns:c16r2="http://schemas.microsoft.com/office/drawing/2015/06/chart">
              <c:ext xmlns:c16="http://schemas.microsoft.com/office/drawing/2014/chart" uri="{C3380CC4-5D6E-409C-BE32-E72D297353CC}">
                <c16:uniqueId val="{0000002B-6B9B-4FD0-98AE-4854CD1EDC9A}"/>
              </c:ext>
            </c:extLst>
          </c:dPt>
          <c:dPt>
            <c:idx val="67"/>
            <c:spPr>
              <a:solidFill>
                <a:srgbClr val="D2E7B6"/>
              </a:solidFill>
              <a:ln>
                <a:noFill/>
              </a:ln>
            </c:spPr>
            <c:extLst xmlns:c16r2="http://schemas.microsoft.com/office/drawing/2015/06/chart">
              <c:ext xmlns:c16="http://schemas.microsoft.com/office/drawing/2014/chart" uri="{C3380CC4-5D6E-409C-BE32-E72D297353CC}">
                <c16:uniqueId val="{0000002C-6B9B-4FD0-98AE-4854CD1EDC9A}"/>
              </c:ext>
            </c:extLst>
          </c:dPt>
          <c:dPt>
            <c:idx val="68"/>
            <c:spPr>
              <a:solidFill>
                <a:srgbClr val="BFE3F7"/>
              </a:solidFill>
              <a:ln>
                <a:noFill/>
              </a:ln>
            </c:spPr>
            <c:extLst xmlns:c16r2="http://schemas.microsoft.com/office/drawing/2015/06/chart">
              <c:ext xmlns:c16="http://schemas.microsoft.com/office/drawing/2014/chart" uri="{C3380CC4-5D6E-409C-BE32-E72D297353CC}">
                <c16:uniqueId val="{0000002D-6B9B-4FD0-98AE-4854CD1EDC9A}"/>
              </c:ext>
            </c:extLst>
          </c:dPt>
          <c:dPt>
            <c:idx val="69"/>
            <c:spPr>
              <a:solidFill>
                <a:srgbClr val="95C3E3"/>
              </a:solidFill>
              <a:ln>
                <a:noFill/>
              </a:ln>
            </c:spPr>
            <c:extLst xmlns:c16r2="http://schemas.microsoft.com/office/drawing/2015/06/chart">
              <c:ext xmlns:c16="http://schemas.microsoft.com/office/drawing/2014/chart" uri="{C3380CC4-5D6E-409C-BE32-E72D297353CC}">
                <c16:uniqueId val="{0000002E-6B9B-4FD0-98AE-4854CD1EDC9A}"/>
              </c:ext>
            </c:extLst>
          </c:dPt>
          <c:dPt>
            <c:idx val="70"/>
            <c:spPr>
              <a:solidFill>
                <a:srgbClr val="BCA6E8"/>
              </a:solidFill>
              <a:ln>
                <a:noFill/>
              </a:ln>
            </c:spPr>
            <c:extLst xmlns:c16r2="http://schemas.microsoft.com/office/drawing/2015/06/chart">
              <c:ext xmlns:c16="http://schemas.microsoft.com/office/drawing/2014/chart" uri="{C3380CC4-5D6E-409C-BE32-E72D297353CC}">
                <c16:uniqueId val="{0000002F-6B9B-4FD0-98AE-4854CD1EDC9A}"/>
              </c:ext>
            </c:extLst>
          </c:dPt>
          <c:dPt>
            <c:idx val="73"/>
            <c:spPr>
              <a:solidFill>
                <a:srgbClr val="D2E7B6"/>
              </a:solidFill>
              <a:ln>
                <a:noFill/>
              </a:ln>
            </c:spPr>
            <c:extLst xmlns:c16r2="http://schemas.microsoft.com/office/drawing/2015/06/chart">
              <c:ext xmlns:c16="http://schemas.microsoft.com/office/drawing/2014/chart" uri="{C3380CC4-5D6E-409C-BE32-E72D297353CC}">
                <c16:uniqueId val="{00000030-6B9B-4FD0-98AE-4854CD1EDC9A}"/>
              </c:ext>
            </c:extLst>
          </c:dPt>
          <c:dPt>
            <c:idx val="74"/>
            <c:spPr>
              <a:solidFill>
                <a:srgbClr val="BFE3F7"/>
              </a:solidFill>
              <a:ln>
                <a:noFill/>
              </a:ln>
            </c:spPr>
            <c:extLst xmlns:c16r2="http://schemas.microsoft.com/office/drawing/2015/06/chart">
              <c:ext xmlns:c16="http://schemas.microsoft.com/office/drawing/2014/chart" uri="{C3380CC4-5D6E-409C-BE32-E72D297353CC}">
                <c16:uniqueId val="{00000031-6B9B-4FD0-98AE-4854CD1EDC9A}"/>
              </c:ext>
            </c:extLst>
          </c:dPt>
          <c:dPt>
            <c:idx val="75"/>
            <c:spPr>
              <a:solidFill>
                <a:srgbClr val="95C3E3"/>
              </a:solidFill>
              <a:ln>
                <a:noFill/>
              </a:ln>
            </c:spPr>
            <c:extLst xmlns:c16r2="http://schemas.microsoft.com/office/drawing/2015/06/chart">
              <c:ext xmlns:c16="http://schemas.microsoft.com/office/drawing/2014/chart" uri="{C3380CC4-5D6E-409C-BE32-E72D297353CC}">
                <c16:uniqueId val="{00000032-6B9B-4FD0-98AE-4854CD1EDC9A}"/>
              </c:ext>
            </c:extLst>
          </c:dPt>
          <c:dPt>
            <c:idx val="76"/>
            <c:spPr>
              <a:solidFill>
                <a:srgbClr val="BCA6E8"/>
              </a:solidFill>
              <a:ln>
                <a:noFill/>
              </a:ln>
            </c:spPr>
            <c:extLst xmlns:c16r2="http://schemas.microsoft.com/office/drawing/2015/06/chart">
              <c:ext xmlns:c16="http://schemas.microsoft.com/office/drawing/2014/chart" uri="{C3380CC4-5D6E-409C-BE32-E72D297353CC}">
                <c16:uniqueId val="{00000033-6B9B-4FD0-98AE-4854CD1EDC9A}"/>
              </c:ext>
            </c:extLst>
          </c:dPt>
          <c:dPt>
            <c:idx val="79"/>
            <c:spPr>
              <a:solidFill>
                <a:srgbClr val="D2E7B6"/>
              </a:solidFill>
              <a:ln>
                <a:noFill/>
              </a:ln>
            </c:spPr>
            <c:extLst xmlns:c16r2="http://schemas.microsoft.com/office/drawing/2015/06/chart">
              <c:ext xmlns:c16="http://schemas.microsoft.com/office/drawing/2014/chart" uri="{C3380CC4-5D6E-409C-BE32-E72D297353CC}">
                <c16:uniqueId val="{00000034-6B9B-4FD0-98AE-4854CD1EDC9A}"/>
              </c:ext>
            </c:extLst>
          </c:dPt>
          <c:dPt>
            <c:idx val="80"/>
            <c:spPr>
              <a:solidFill>
                <a:srgbClr val="BFE3F7"/>
              </a:solidFill>
              <a:ln>
                <a:noFill/>
              </a:ln>
            </c:spPr>
            <c:extLst xmlns:c16r2="http://schemas.microsoft.com/office/drawing/2015/06/chart">
              <c:ext xmlns:c16="http://schemas.microsoft.com/office/drawing/2014/chart" uri="{C3380CC4-5D6E-409C-BE32-E72D297353CC}">
                <c16:uniqueId val="{00000035-6B9B-4FD0-98AE-4854CD1EDC9A}"/>
              </c:ext>
            </c:extLst>
          </c:dPt>
          <c:dPt>
            <c:idx val="81"/>
            <c:spPr>
              <a:solidFill>
                <a:srgbClr val="95C3E3"/>
              </a:solidFill>
              <a:ln>
                <a:noFill/>
              </a:ln>
            </c:spPr>
            <c:extLst xmlns:c16r2="http://schemas.microsoft.com/office/drawing/2015/06/chart">
              <c:ext xmlns:c16="http://schemas.microsoft.com/office/drawing/2014/chart" uri="{C3380CC4-5D6E-409C-BE32-E72D297353CC}">
                <c16:uniqueId val="{00000036-6B9B-4FD0-98AE-4854CD1EDC9A}"/>
              </c:ext>
            </c:extLst>
          </c:dPt>
          <c:dPt>
            <c:idx val="82"/>
            <c:spPr>
              <a:solidFill>
                <a:srgbClr val="BCA6E8"/>
              </a:solidFill>
              <a:ln>
                <a:noFill/>
              </a:ln>
            </c:spPr>
            <c:extLst xmlns:c16r2="http://schemas.microsoft.com/office/drawing/2015/06/chart">
              <c:ext xmlns:c16="http://schemas.microsoft.com/office/drawing/2014/chart" uri="{C3380CC4-5D6E-409C-BE32-E72D297353CC}">
                <c16:uniqueId val="{00000037-6B9B-4FD0-98AE-4854CD1EDC9A}"/>
              </c:ext>
            </c:extLst>
          </c:dPt>
          <c:cat>
            <c:strRef>
              <c:f>'Graf-Zahr.obchod'!$B$69:$B$152</c:f>
              <c:strCache>
                <c:ptCount val="81"/>
                <c:pt idx="0">
                  <c:v>Živá</c:v>
                </c:pt>
                <c:pt idx="2">
                  <c:v>zvířata</c:v>
                </c:pt>
                <c:pt idx="6">
                  <c:v>Maso a masné</c:v>
                </c:pt>
                <c:pt idx="8">
                  <c:v>výrobky</c:v>
                </c:pt>
                <c:pt idx="12">
                  <c:v>Mléčné výrobky </c:v>
                </c:pt>
                <c:pt idx="14">
                  <c:v>a vejce</c:v>
                </c:pt>
                <c:pt idx="18">
                  <c:v>Ryby, korýši 
</c:v>
                </c:pt>
                <c:pt idx="20">
                  <c:v>a měkkýši</c:v>
                </c:pt>
                <c:pt idx="24">
                  <c:v>Obiloviny  a</c:v>
                </c:pt>
                <c:pt idx="26">
                  <c:v>obilné výrobky</c:v>
                </c:pt>
                <c:pt idx="30">
                  <c:v>Zelenina</c:v>
                </c:pt>
                <c:pt idx="32">
                  <c:v>a ovoce</c:v>
                </c:pt>
                <c:pt idx="36">
                  <c:v>Cukr, výrobky 
</c:v>
                </c:pt>
                <c:pt idx="38">
                  <c:v>z cukru a med</c:v>
                </c:pt>
                <c:pt idx="42">
                  <c:v>Káva, čaj, </c:v>
                </c:pt>
                <c:pt idx="44">
                  <c:v>kakao, koření</c:v>
                </c:pt>
                <c:pt idx="48">
                  <c:v>Krmiva </c:v>
                </c:pt>
                <c:pt idx="50">
                  <c:v>pro zvířata*</c:v>
                </c:pt>
                <c:pt idx="54">
                  <c:v>Jedlé výrobky</c:v>
                </c:pt>
                <c:pt idx="56">
                  <c:v>a přípravky**</c:v>
                </c:pt>
                <c:pt idx="61">
                  <c:v>Nápoje</c:v>
                </c:pt>
                <c:pt idx="66">
                  <c:v>Tabák a</c:v>
                </c:pt>
                <c:pt idx="68">
                  <c:v>tabák.výrobky</c:v>
                </c:pt>
                <c:pt idx="72">
                  <c:v>Olejnatá</c:v>
                </c:pt>
                <c:pt idx="74">
                  <c:v>semena a plody</c:v>
                </c:pt>
                <c:pt idx="78">
                  <c:v>Korek</c:v>
                </c:pt>
                <c:pt idx="80">
                  <c:v>a dřevo</c:v>
                </c:pt>
              </c:strCache>
            </c:strRef>
          </c:cat>
          <c:val>
            <c:numRef>
              <c:f>'Graf-Zahr.obchod'!$C$69:$C$152</c:f>
              <c:numCache>
                <c:formatCode>#,##0.0</c:formatCode>
                <c:ptCount val="84"/>
                <c:pt idx="0">
                  <c:v>5.3188869999999655</c:v>
                </c:pt>
                <c:pt idx="1">
                  <c:v>6.0343359999999855</c:v>
                </c:pt>
                <c:pt idx="2">
                  <c:v>7.0361380000000002</c:v>
                </c:pt>
                <c:pt idx="3">
                  <c:v>7.2412090000000653</c:v>
                </c:pt>
                <c:pt idx="4">
                  <c:v>7.1527349999999341</c:v>
                </c:pt>
                <c:pt idx="6">
                  <c:v>-16.264478999999987</c:v>
                </c:pt>
                <c:pt idx="7">
                  <c:v>-17.438032999999756</c:v>
                </c:pt>
                <c:pt idx="8">
                  <c:v>-18.207567999999988</c:v>
                </c:pt>
                <c:pt idx="9">
                  <c:v>-19.154689999999999</c:v>
                </c:pt>
                <c:pt idx="10">
                  <c:v>-22.106666000000001</c:v>
                </c:pt>
                <c:pt idx="12">
                  <c:v>4.3154599999999945</c:v>
                </c:pt>
                <c:pt idx="13">
                  <c:v>5.0176910000000001</c:v>
                </c:pt>
                <c:pt idx="14">
                  <c:v>3.3604559999999699</c:v>
                </c:pt>
                <c:pt idx="15">
                  <c:v>2.0495730000000001</c:v>
                </c:pt>
                <c:pt idx="16">
                  <c:v>3.6277820000000012</c:v>
                </c:pt>
                <c:pt idx="18">
                  <c:v>-2.4911859999999977</c:v>
                </c:pt>
                <c:pt idx="19">
                  <c:v>-2.7032380000000011</c:v>
                </c:pt>
                <c:pt idx="20">
                  <c:v>-2.9756399999999967</c:v>
                </c:pt>
                <c:pt idx="21">
                  <c:v>-2.860684</c:v>
                </c:pt>
                <c:pt idx="22">
                  <c:v>-3.2724579999999968</c:v>
                </c:pt>
                <c:pt idx="24">
                  <c:v>11.092605000000002</c:v>
                </c:pt>
                <c:pt idx="25">
                  <c:v>13.910312999999999</c:v>
                </c:pt>
                <c:pt idx="26">
                  <c:v>15.198913999999998</c:v>
                </c:pt>
                <c:pt idx="27">
                  <c:v>16.309348</c:v>
                </c:pt>
                <c:pt idx="28">
                  <c:v>15.360332000000026</c:v>
                </c:pt>
                <c:pt idx="30">
                  <c:v>-22.333016000000001</c:v>
                </c:pt>
                <c:pt idx="31">
                  <c:v>-23.533365000000035</c:v>
                </c:pt>
                <c:pt idx="32">
                  <c:v>-26.989492999999683</c:v>
                </c:pt>
                <c:pt idx="33">
                  <c:v>-29.242657999999889</c:v>
                </c:pt>
                <c:pt idx="34">
                  <c:v>-30.916378999999999</c:v>
                </c:pt>
                <c:pt idx="36">
                  <c:v>2.9273799999999999</c:v>
                </c:pt>
                <c:pt idx="37">
                  <c:v>2.0212859999999977</c:v>
                </c:pt>
                <c:pt idx="38">
                  <c:v>2.0952319999999998</c:v>
                </c:pt>
                <c:pt idx="39">
                  <c:v>2.9336069999999967</c:v>
                </c:pt>
                <c:pt idx="40">
                  <c:v>2.5046519999999997</c:v>
                </c:pt>
                <c:pt idx="42">
                  <c:v>-5.8929329999999656</c:v>
                </c:pt>
                <c:pt idx="43">
                  <c:v>-6.5880939999999999</c:v>
                </c:pt>
                <c:pt idx="44">
                  <c:v>-6.7027580000000002</c:v>
                </c:pt>
                <c:pt idx="45">
                  <c:v>-7.2983469999999997</c:v>
                </c:pt>
                <c:pt idx="46">
                  <c:v>-7.2968460000000004</c:v>
                </c:pt>
                <c:pt idx="48">
                  <c:v>-2.561461</c:v>
                </c:pt>
                <c:pt idx="49">
                  <c:v>-1.576241</c:v>
                </c:pt>
                <c:pt idx="50">
                  <c:v>-1.578363</c:v>
                </c:pt>
                <c:pt idx="51">
                  <c:v>9.2329000000000022E-2</c:v>
                </c:pt>
                <c:pt idx="52">
                  <c:v>0.27881300000000031</c:v>
                </c:pt>
                <c:pt idx="54">
                  <c:v>-3.7848199999999999</c:v>
                </c:pt>
                <c:pt idx="55">
                  <c:v>-3.406739</c:v>
                </c:pt>
                <c:pt idx="56">
                  <c:v>-2.905764</c:v>
                </c:pt>
                <c:pt idx="57">
                  <c:v>-2.6768239999999968</c:v>
                </c:pt>
                <c:pt idx="58">
                  <c:v>-3.2638029999999998</c:v>
                </c:pt>
                <c:pt idx="60">
                  <c:v>-0.13969899999999999</c:v>
                </c:pt>
                <c:pt idx="61">
                  <c:v>0.54495899999999997</c:v>
                </c:pt>
                <c:pt idx="62">
                  <c:v>0.54479200000000005</c:v>
                </c:pt>
                <c:pt idx="63">
                  <c:v>0.13543400000000044</c:v>
                </c:pt>
                <c:pt idx="64">
                  <c:v>-0.96126800000000001</c:v>
                </c:pt>
                <c:pt idx="66">
                  <c:v>2.904004</c:v>
                </c:pt>
                <c:pt idx="67">
                  <c:v>7.0041739999999955</c:v>
                </c:pt>
                <c:pt idx="68">
                  <c:v>9.2493279999999949</c:v>
                </c:pt>
                <c:pt idx="69">
                  <c:v>10.349094000000004</c:v>
                </c:pt>
                <c:pt idx="70">
                  <c:v>9.7817119999999989</c:v>
                </c:pt>
                <c:pt idx="72">
                  <c:v>3.7379709999999999</c:v>
                </c:pt>
                <c:pt idx="73">
                  <c:v>2.8983349999999999</c:v>
                </c:pt>
                <c:pt idx="74">
                  <c:v>3.9082910000000002</c:v>
                </c:pt>
                <c:pt idx="75">
                  <c:v>0.79710999999999999</c:v>
                </c:pt>
                <c:pt idx="76">
                  <c:v>-0.39205000000000317</c:v>
                </c:pt>
                <c:pt idx="78">
                  <c:v>12.021656</c:v>
                </c:pt>
                <c:pt idx="79">
                  <c:v>12.688187999999998</c:v>
                </c:pt>
                <c:pt idx="80">
                  <c:v>11.61674</c:v>
                </c:pt>
                <c:pt idx="81">
                  <c:v>13.84064</c:v>
                </c:pt>
                <c:pt idx="82">
                  <c:v>15.396656000000107</c:v>
                </c:pt>
              </c:numCache>
            </c:numRef>
          </c:val>
          <c:extLst xmlns:c16r2="http://schemas.microsoft.com/office/drawing/2015/06/chart">
            <c:ext xmlns:c16="http://schemas.microsoft.com/office/drawing/2014/chart" uri="{C3380CC4-5D6E-409C-BE32-E72D297353CC}">
              <c16:uniqueId val="{00000038-6B9B-4FD0-98AE-4854CD1EDC9A}"/>
            </c:ext>
          </c:extLst>
        </c:ser>
        <c:gapWidth val="0"/>
        <c:axId val="134120576"/>
        <c:axId val="134127616"/>
      </c:barChart>
      <c:lineChart>
        <c:grouping val="standard"/>
        <c:ser>
          <c:idx val="3"/>
          <c:order val="1"/>
          <c:tx>
            <c:strRef>
              <c:f>'Graf-Zahr.obchod'!$D$68</c:f>
              <c:strCache>
                <c:ptCount val="1"/>
                <c:pt idx="0">
                  <c:v>z toho se státy EU28</c:v>
                </c:pt>
              </c:strCache>
            </c:strRef>
          </c:tx>
          <c:spPr>
            <a:ln w="3175">
              <a:noFill/>
              <a:prstDash val="solid"/>
            </a:ln>
          </c:spPr>
          <c:marker>
            <c:symbol val="dash"/>
            <c:size val="6"/>
            <c:spPr>
              <a:solidFill>
                <a:schemeClr val="tx1">
                  <a:lumMod val="95000"/>
                  <a:lumOff val="5000"/>
                </a:schemeClr>
              </a:solidFill>
              <a:ln w="6350">
                <a:noFill/>
              </a:ln>
            </c:spPr>
          </c:marker>
          <c:cat>
            <c:strRef>
              <c:f>'Graf-Zahr.obchod'!$B$69:$B$152</c:f>
              <c:strCache>
                <c:ptCount val="81"/>
                <c:pt idx="0">
                  <c:v>Živá</c:v>
                </c:pt>
                <c:pt idx="2">
                  <c:v>zvířata</c:v>
                </c:pt>
                <c:pt idx="6">
                  <c:v>Maso a masné</c:v>
                </c:pt>
                <c:pt idx="8">
                  <c:v>výrobky</c:v>
                </c:pt>
                <c:pt idx="12">
                  <c:v>Mléčné výrobky </c:v>
                </c:pt>
                <c:pt idx="14">
                  <c:v>a vejce</c:v>
                </c:pt>
                <c:pt idx="18">
                  <c:v>Ryby, korýši 
</c:v>
                </c:pt>
                <c:pt idx="20">
                  <c:v>a měkkýši</c:v>
                </c:pt>
                <c:pt idx="24">
                  <c:v>Obiloviny  a</c:v>
                </c:pt>
                <c:pt idx="26">
                  <c:v>obilné výrobky</c:v>
                </c:pt>
                <c:pt idx="30">
                  <c:v>Zelenina</c:v>
                </c:pt>
                <c:pt idx="32">
                  <c:v>a ovoce</c:v>
                </c:pt>
                <c:pt idx="36">
                  <c:v>Cukr, výrobky 
</c:v>
                </c:pt>
                <c:pt idx="38">
                  <c:v>z cukru a med</c:v>
                </c:pt>
                <c:pt idx="42">
                  <c:v>Káva, čaj, </c:v>
                </c:pt>
                <c:pt idx="44">
                  <c:v>kakao, koření</c:v>
                </c:pt>
                <c:pt idx="48">
                  <c:v>Krmiva </c:v>
                </c:pt>
                <c:pt idx="50">
                  <c:v>pro zvířata*</c:v>
                </c:pt>
                <c:pt idx="54">
                  <c:v>Jedlé výrobky</c:v>
                </c:pt>
                <c:pt idx="56">
                  <c:v>a přípravky**</c:v>
                </c:pt>
                <c:pt idx="61">
                  <c:v>Nápoje</c:v>
                </c:pt>
                <c:pt idx="66">
                  <c:v>Tabák a</c:v>
                </c:pt>
                <c:pt idx="68">
                  <c:v>tabák.výrobky</c:v>
                </c:pt>
                <c:pt idx="72">
                  <c:v>Olejnatá</c:v>
                </c:pt>
                <c:pt idx="74">
                  <c:v>semena a plody</c:v>
                </c:pt>
                <c:pt idx="78">
                  <c:v>Korek</c:v>
                </c:pt>
                <c:pt idx="80">
                  <c:v>a dřevo</c:v>
                </c:pt>
              </c:strCache>
            </c:strRef>
          </c:cat>
          <c:val>
            <c:numRef>
              <c:f>'Graf-Zahr.obchod'!$D$69:$D$152</c:f>
              <c:numCache>
                <c:formatCode>##,###,###,###,##0.0</c:formatCode>
                <c:ptCount val="84"/>
                <c:pt idx="0">
                  <c:v>4.8506689999999999</c:v>
                </c:pt>
                <c:pt idx="1">
                  <c:v>5.4343199999999996</c:v>
                </c:pt>
                <c:pt idx="2">
                  <c:v>5.7758589999999996</c:v>
                </c:pt>
                <c:pt idx="3">
                  <c:v>5.8960859999999755</c:v>
                </c:pt>
                <c:pt idx="4">
                  <c:v>5.8704849999999755</c:v>
                </c:pt>
                <c:pt idx="6">
                  <c:v>-14.011627000000001</c:v>
                </c:pt>
                <c:pt idx="7">
                  <c:v>-15.165462000000026</c:v>
                </c:pt>
                <c:pt idx="8">
                  <c:v>-15.420634000000026</c:v>
                </c:pt>
                <c:pt idx="9">
                  <c:v>-17.217918000000218</c:v>
                </c:pt>
                <c:pt idx="10">
                  <c:v>-20.930758000000001</c:v>
                </c:pt>
                <c:pt idx="12">
                  <c:v>1.4067209999999872</c:v>
                </c:pt>
                <c:pt idx="13">
                  <c:v>1.5660259999999999</c:v>
                </c:pt>
                <c:pt idx="14">
                  <c:v>0.51431699999999148</c:v>
                </c:pt>
                <c:pt idx="15">
                  <c:v>-0.48172000000000031</c:v>
                </c:pt>
                <c:pt idx="16">
                  <c:v>0.86970400000000725</c:v>
                </c:pt>
                <c:pt idx="18">
                  <c:v>0.22703699999999999</c:v>
                </c:pt>
                <c:pt idx="19">
                  <c:v>0.37536200000000425</c:v>
                </c:pt>
                <c:pt idx="20">
                  <c:v>0.36896800000000363</c:v>
                </c:pt>
                <c:pt idx="21">
                  <c:v>0.83089900000000738</c:v>
                </c:pt>
                <c:pt idx="22">
                  <c:v>0.63564700000000862</c:v>
                </c:pt>
                <c:pt idx="24">
                  <c:v>10.412808</c:v>
                </c:pt>
                <c:pt idx="25">
                  <c:v>13.458453</c:v>
                </c:pt>
                <c:pt idx="26">
                  <c:v>14.822885000000024</c:v>
                </c:pt>
                <c:pt idx="27">
                  <c:v>15.71388</c:v>
                </c:pt>
                <c:pt idx="28">
                  <c:v>14.726216999999998</c:v>
                </c:pt>
                <c:pt idx="30">
                  <c:v>-14.96786</c:v>
                </c:pt>
                <c:pt idx="31">
                  <c:v>-15.571566000000002</c:v>
                </c:pt>
                <c:pt idx="32">
                  <c:v>-17.345320999999792</c:v>
                </c:pt>
                <c:pt idx="33">
                  <c:v>-18.949088</c:v>
                </c:pt>
                <c:pt idx="34">
                  <c:v>-20.934493</c:v>
                </c:pt>
                <c:pt idx="36">
                  <c:v>1.9816860000000001</c:v>
                </c:pt>
                <c:pt idx="37">
                  <c:v>1.2816159999999999</c:v>
                </c:pt>
                <c:pt idx="38">
                  <c:v>1.124503</c:v>
                </c:pt>
                <c:pt idx="39">
                  <c:v>1.533102</c:v>
                </c:pt>
                <c:pt idx="40">
                  <c:v>1.416417</c:v>
                </c:pt>
                <c:pt idx="42">
                  <c:v>-4.1733229999999999</c:v>
                </c:pt>
                <c:pt idx="43">
                  <c:v>-4.5970680000000002</c:v>
                </c:pt>
                <c:pt idx="44">
                  <c:v>-3.3471609999999998</c:v>
                </c:pt>
                <c:pt idx="45">
                  <c:v>-4.2213580000000004</c:v>
                </c:pt>
                <c:pt idx="46">
                  <c:v>-4.929932</c:v>
                </c:pt>
                <c:pt idx="48">
                  <c:v>-2.4448840000000001</c:v>
                </c:pt>
                <c:pt idx="49">
                  <c:v>-1.8083400000000001</c:v>
                </c:pt>
                <c:pt idx="50">
                  <c:v>-1.5381929999999999</c:v>
                </c:pt>
                <c:pt idx="51">
                  <c:v>-0.21574400000000232</c:v>
                </c:pt>
                <c:pt idx="52">
                  <c:v>-0.23049400000000159</c:v>
                </c:pt>
                <c:pt idx="54">
                  <c:v>-2.3393049999999977</c:v>
                </c:pt>
                <c:pt idx="55">
                  <c:v>-1.7893089999999998</c:v>
                </c:pt>
                <c:pt idx="56">
                  <c:v>-1.1752570000000127</c:v>
                </c:pt>
                <c:pt idx="57">
                  <c:v>-1.0101169999999999</c:v>
                </c:pt>
                <c:pt idx="58">
                  <c:v>-1.8132359999999998</c:v>
                </c:pt>
                <c:pt idx="60">
                  <c:v>-0.30900000000000138</c:v>
                </c:pt>
                <c:pt idx="61">
                  <c:v>0.45942300000000008</c:v>
                </c:pt>
                <c:pt idx="62">
                  <c:v>0.63140399999999997</c:v>
                </c:pt>
                <c:pt idx="63">
                  <c:v>0.35959400000000002</c:v>
                </c:pt>
                <c:pt idx="64">
                  <c:v>-0.54854700000000001</c:v>
                </c:pt>
                <c:pt idx="66">
                  <c:v>3.5092459999999699</c:v>
                </c:pt>
                <c:pt idx="67">
                  <c:v>7.9441309999999845</c:v>
                </c:pt>
                <c:pt idx="68">
                  <c:v>8.5389429999999997</c:v>
                </c:pt>
                <c:pt idx="69">
                  <c:v>10.060480000000076</c:v>
                </c:pt>
                <c:pt idx="70">
                  <c:v>11.094244</c:v>
                </c:pt>
                <c:pt idx="72">
                  <c:v>3.8380239999999977</c:v>
                </c:pt>
                <c:pt idx="73">
                  <c:v>2.9245610000000002</c:v>
                </c:pt>
                <c:pt idx="74">
                  <c:v>3.8696079999999977</c:v>
                </c:pt>
                <c:pt idx="75">
                  <c:v>0.84355500000000005</c:v>
                </c:pt>
                <c:pt idx="76">
                  <c:v>-0.38880200000000437</c:v>
                </c:pt>
                <c:pt idx="78">
                  <c:v>11.182120999999999</c:v>
                </c:pt>
                <c:pt idx="79">
                  <c:v>11.706940999999999</c:v>
                </c:pt>
                <c:pt idx="80">
                  <c:v>11.567540000000006</c:v>
                </c:pt>
                <c:pt idx="81">
                  <c:v>13.831246</c:v>
                </c:pt>
                <c:pt idx="82">
                  <c:v>14.425968000000001</c:v>
                </c:pt>
              </c:numCache>
            </c:numRef>
          </c:val>
          <c:extLst xmlns:c16r2="http://schemas.microsoft.com/office/drawing/2015/06/chart">
            <c:ext xmlns:c16="http://schemas.microsoft.com/office/drawing/2014/chart" uri="{C3380CC4-5D6E-409C-BE32-E72D297353CC}">
              <c16:uniqueId val="{00000039-6B9B-4FD0-98AE-4854CD1EDC9A}"/>
            </c:ext>
          </c:extLst>
        </c:ser>
        <c:ser>
          <c:idx val="1"/>
          <c:order val="2"/>
          <c:tx>
            <c:strRef>
              <c:f>'Graf-Zahr.obchod'!$E$68</c:f>
              <c:strCache>
                <c:ptCount val="1"/>
                <c:pt idx="0">
                  <c:v>z toho s Německem a Rakouskem</c:v>
                </c:pt>
              </c:strCache>
            </c:strRef>
          </c:tx>
          <c:spPr>
            <a:ln w="28575">
              <a:noFill/>
            </a:ln>
          </c:spPr>
          <c:marker>
            <c:symbol val="circle"/>
            <c:size val="3"/>
            <c:spPr>
              <a:solidFill>
                <a:schemeClr val="bg1"/>
              </a:solidFill>
              <a:ln>
                <a:solidFill>
                  <a:srgbClr val="002060"/>
                </a:solidFill>
              </a:ln>
            </c:spPr>
          </c:marker>
          <c:cat>
            <c:strRef>
              <c:f>'Graf-Zahr.obchod'!$B$69:$B$152</c:f>
              <c:strCache>
                <c:ptCount val="81"/>
                <c:pt idx="0">
                  <c:v>Živá</c:v>
                </c:pt>
                <c:pt idx="2">
                  <c:v>zvířata</c:v>
                </c:pt>
                <c:pt idx="6">
                  <c:v>Maso a masné</c:v>
                </c:pt>
                <c:pt idx="8">
                  <c:v>výrobky</c:v>
                </c:pt>
                <c:pt idx="12">
                  <c:v>Mléčné výrobky </c:v>
                </c:pt>
                <c:pt idx="14">
                  <c:v>a vejce</c:v>
                </c:pt>
                <c:pt idx="18">
                  <c:v>Ryby, korýši 
</c:v>
                </c:pt>
                <c:pt idx="20">
                  <c:v>a měkkýši</c:v>
                </c:pt>
                <c:pt idx="24">
                  <c:v>Obiloviny  a</c:v>
                </c:pt>
                <c:pt idx="26">
                  <c:v>obilné výrobky</c:v>
                </c:pt>
                <c:pt idx="30">
                  <c:v>Zelenina</c:v>
                </c:pt>
                <c:pt idx="32">
                  <c:v>a ovoce</c:v>
                </c:pt>
                <c:pt idx="36">
                  <c:v>Cukr, výrobky 
</c:v>
                </c:pt>
                <c:pt idx="38">
                  <c:v>z cukru a med</c:v>
                </c:pt>
                <c:pt idx="42">
                  <c:v>Káva, čaj, </c:v>
                </c:pt>
                <c:pt idx="44">
                  <c:v>kakao, koření</c:v>
                </c:pt>
                <c:pt idx="48">
                  <c:v>Krmiva </c:v>
                </c:pt>
                <c:pt idx="50">
                  <c:v>pro zvířata*</c:v>
                </c:pt>
                <c:pt idx="54">
                  <c:v>Jedlé výrobky</c:v>
                </c:pt>
                <c:pt idx="56">
                  <c:v>a přípravky**</c:v>
                </c:pt>
                <c:pt idx="61">
                  <c:v>Nápoje</c:v>
                </c:pt>
                <c:pt idx="66">
                  <c:v>Tabák a</c:v>
                </c:pt>
                <c:pt idx="68">
                  <c:v>tabák.výrobky</c:v>
                </c:pt>
                <c:pt idx="72">
                  <c:v>Olejnatá</c:v>
                </c:pt>
                <c:pt idx="74">
                  <c:v>semena a plody</c:v>
                </c:pt>
                <c:pt idx="78">
                  <c:v>Korek</c:v>
                </c:pt>
                <c:pt idx="80">
                  <c:v>a dřevo</c:v>
                </c:pt>
              </c:strCache>
            </c:strRef>
          </c:cat>
          <c:val>
            <c:numRef>
              <c:f>'Graf-Zahr.obchod'!$E$69:$E$152</c:f>
              <c:numCache>
                <c:formatCode>##,###,###,###,##0.0</c:formatCode>
                <c:ptCount val="84"/>
                <c:pt idx="0">
                  <c:v>2.4075449999999998</c:v>
                </c:pt>
                <c:pt idx="1">
                  <c:v>2.3084659999999722</c:v>
                </c:pt>
                <c:pt idx="2">
                  <c:v>2.565896</c:v>
                </c:pt>
                <c:pt idx="3">
                  <c:v>2.7357140000000002</c:v>
                </c:pt>
                <c:pt idx="4">
                  <c:v>2.3424249999999978</c:v>
                </c:pt>
                <c:pt idx="6">
                  <c:v>-9.1014870000000005</c:v>
                </c:pt>
                <c:pt idx="7">
                  <c:v>-9.4945590000000006</c:v>
                </c:pt>
                <c:pt idx="8">
                  <c:v>-8.010529</c:v>
                </c:pt>
                <c:pt idx="9">
                  <c:v>-7.6662879999999856</c:v>
                </c:pt>
                <c:pt idx="10">
                  <c:v>-8.4249219999999987</c:v>
                </c:pt>
                <c:pt idx="12">
                  <c:v>-0.97869200000000633</c:v>
                </c:pt>
                <c:pt idx="13">
                  <c:v>-2.2950000000000002E-3</c:v>
                </c:pt>
                <c:pt idx="14">
                  <c:v>-0.14962300000000001</c:v>
                </c:pt>
                <c:pt idx="15">
                  <c:v>-0.996757</c:v>
                </c:pt>
                <c:pt idx="16">
                  <c:v>7.6117000000000004E-2</c:v>
                </c:pt>
                <c:pt idx="18">
                  <c:v>5.3327000000000013E-2</c:v>
                </c:pt>
                <c:pt idx="19">
                  <c:v>4.7068000000000033E-2</c:v>
                </c:pt>
                <c:pt idx="20">
                  <c:v>-4.3993000000000004E-2</c:v>
                </c:pt>
                <c:pt idx="21">
                  <c:v>7.8944E-2</c:v>
                </c:pt>
                <c:pt idx="22">
                  <c:v>9.7296000000000021E-2</c:v>
                </c:pt>
                <c:pt idx="24">
                  <c:v>8.4048000000000016</c:v>
                </c:pt>
                <c:pt idx="25">
                  <c:v>11.262889000000024</c:v>
                </c:pt>
                <c:pt idx="26">
                  <c:v>11.898967999999998</c:v>
                </c:pt>
                <c:pt idx="27">
                  <c:v>11.771544</c:v>
                </c:pt>
                <c:pt idx="28">
                  <c:v>10.820592000000024</c:v>
                </c:pt>
                <c:pt idx="30">
                  <c:v>-4.1464569999999945</c:v>
                </c:pt>
                <c:pt idx="31">
                  <c:v>-4.0684620000000002</c:v>
                </c:pt>
                <c:pt idx="32">
                  <c:v>-4.3776520000000003</c:v>
                </c:pt>
                <c:pt idx="33">
                  <c:v>-5.1687359999999645</c:v>
                </c:pt>
                <c:pt idx="34">
                  <c:v>-6.1766220000000134</c:v>
                </c:pt>
                <c:pt idx="36">
                  <c:v>0.36224000000000001</c:v>
                </c:pt>
                <c:pt idx="37">
                  <c:v>0.69511599999999996</c:v>
                </c:pt>
                <c:pt idx="38">
                  <c:v>3.1435000000000421E-2</c:v>
                </c:pt>
                <c:pt idx="39">
                  <c:v>0.4498370000000001</c:v>
                </c:pt>
                <c:pt idx="40">
                  <c:v>-2.9609000000000052E-2</c:v>
                </c:pt>
                <c:pt idx="42">
                  <c:v>-3.9655770000000001</c:v>
                </c:pt>
                <c:pt idx="43">
                  <c:v>-4.9317070000000589</c:v>
                </c:pt>
                <c:pt idx="44">
                  <c:v>-4.0128179999999745</c:v>
                </c:pt>
                <c:pt idx="45">
                  <c:v>-4.5416020000000525</c:v>
                </c:pt>
                <c:pt idx="46">
                  <c:v>-4.4515760000000002</c:v>
                </c:pt>
                <c:pt idx="48">
                  <c:v>-3.1524049999999977</c:v>
                </c:pt>
                <c:pt idx="49">
                  <c:v>-2.8085529999999967</c:v>
                </c:pt>
                <c:pt idx="50">
                  <c:v>-3.3881109999999999</c:v>
                </c:pt>
                <c:pt idx="51">
                  <c:v>-2.2433180000000092</c:v>
                </c:pt>
                <c:pt idx="52">
                  <c:v>-1.8382320000000001</c:v>
                </c:pt>
                <c:pt idx="54">
                  <c:v>-2.270022</c:v>
                </c:pt>
                <c:pt idx="55">
                  <c:v>-2.0078870000000002</c:v>
                </c:pt>
                <c:pt idx="56">
                  <c:v>-1.919138</c:v>
                </c:pt>
                <c:pt idx="57">
                  <c:v>-1.744283</c:v>
                </c:pt>
                <c:pt idx="58">
                  <c:v>-1.983509</c:v>
                </c:pt>
                <c:pt idx="60">
                  <c:v>3.2501000000000016E-2</c:v>
                </c:pt>
                <c:pt idx="61">
                  <c:v>0.29854200000000031</c:v>
                </c:pt>
                <c:pt idx="62">
                  <c:v>0.28495000000000031</c:v>
                </c:pt>
                <c:pt idx="63">
                  <c:v>-3.1876000000000092E-2</c:v>
                </c:pt>
                <c:pt idx="64">
                  <c:v>-0.28973899999999997</c:v>
                </c:pt>
                <c:pt idx="66">
                  <c:v>-0.81808800000000004</c:v>
                </c:pt>
                <c:pt idx="67">
                  <c:v>-0.41190900000000008</c:v>
                </c:pt>
                <c:pt idx="68">
                  <c:v>-0.62749400000000566</c:v>
                </c:pt>
                <c:pt idx="69">
                  <c:v>-1.0580799999999999</c:v>
                </c:pt>
                <c:pt idx="70">
                  <c:v>-0.50697999999999999</c:v>
                </c:pt>
                <c:pt idx="72">
                  <c:v>3.9900569999999767</c:v>
                </c:pt>
                <c:pt idx="73">
                  <c:v>3.0873550000000001</c:v>
                </c:pt>
                <c:pt idx="74">
                  <c:v>4.8922819999999945</c:v>
                </c:pt>
                <c:pt idx="75">
                  <c:v>1.6768380000000001</c:v>
                </c:pt>
                <c:pt idx="76">
                  <c:v>1.127151</c:v>
                </c:pt>
                <c:pt idx="78">
                  <c:v>12.457574000000006</c:v>
                </c:pt>
                <c:pt idx="79">
                  <c:v>12.908302999999998</c:v>
                </c:pt>
                <c:pt idx="80">
                  <c:v>12.40911</c:v>
                </c:pt>
                <c:pt idx="81">
                  <c:v>13.962639000000149</c:v>
                </c:pt>
                <c:pt idx="82">
                  <c:v>14.319922</c:v>
                </c:pt>
              </c:numCache>
            </c:numRef>
          </c:val>
          <c:extLst xmlns:c16r2="http://schemas.microsoft.com/office/drawing/2015/06/chart">
            <c:ext xmlns:c16="http://schemas.microsoft.com/office/drawing/2014/chart" uri="{C3380CC4-5D6E-409C-BE32-E72D297353CC}">
              <c16:uniqueId val="{0000003A-6B9B-4FD0-98AE-4854CD1EDC9A}"/>
            </c:ext>
          </c:extLst>
        </c:ser>
        <c:marker val="1"/>
        <c:axId val="134120576"/>
        <c:axId val="134127616"/>
      </c:lineChart>
      <c:catAx>
        <c:axId val="134120576"/>
        <c:scaling>
          <c:orientation val="minMax"/>
        </c:scaling>
        <c:axPos val="b"/>
        <c:numFmt formatCode="General" sourceLinked="1"/>
        <c:majorTickMark val="none"/>
        <c:tickLblPos val="low"/>
        <c:spPr>
          <a:ln w="9525">
            <a:solidFill>
              <a:schemeClr val="tx1"/>
            </a:solidFill>
            <a:prstDash val="solid"/>
          </a:ln>
        </c:spPr>
        <c:txPr>
          <a:bodyPr rot="-5400000" vert="horz"/>
          <a:lstStyle/>
          <a:p>
            <a:pPr>
              <a:defRPr/>
            </a:pPr>
            <a:endParaRPr lang="cs-CZ"/>
          </a:p>
        </c:txPr>
        <c:crossAx val="134127616"/>
        <c:crossesAt val="0"/>
        <c:lblAlgn val="ctr"/>
        <c:lblOffset val="0"/>
        <c:tickLblSkip val="1"/>
        <c:tickMarkSkip val="4"/>
      </c:catAx>
      <c:valAx>
        <c:axId val="134127616"/>
        <c:scaling>
          <c:orientation val="minMax"/>
          <c:max val="16"/>
          <c:min val="-32"/>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34120576"/>
        <c:crosses val="autoZero"/>
        <c:crossBetween val="between"/>
        <c:majorUnit val="4"/>
        <c:minorUnit val="1"/>
      </c:valAx>
      <c:spPr>
        <a:noFill/>
        <a:ln w="9525">
          <a:solidFill>
            <a:schemeClr val="tx1"/>
          </a:solidFill>
        </a:ln>
      </c:spPr>
    </c:plotArea>
    <c:legend>
      <c:legendPos val="b"/>
      <c:layout>
        <c:manualLayout>
          <c:xMode val="edge"/>
          <c:yMode val="edge"/>
          <c:x val="4.4398119657568923E-2"/>
          <c:y val="0.90991872709019772"/>
          <c:w val="0.9449914993658175"/>
          <c:h val="4.8003236556590993E-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2040029038385534E-2"/>
          <c:y val="1.9513175616352955E-2"/>
          <c:w val="0.92433548575002367"/>
          <c:h val="0.72581447709107805"/>
        </c:manualLayout>
      </c:layout>
      <c:barChart>
        <c:barDir val="col"/>
        <c:grouping val="clustered"/>
        <c:ser>
          <c:idx val="0"/>
          <c:order val="0"/>
          <c:tx>
            <c:strRef>
              <c:f>'Graf-Národní účty-souhrnné'!$A$29</c:f>
              <c:strCache>
                <c:ptCount val="1"/>
                <c:pt idx="0">
                  <c:v>Hrubá přidaná hodnota (2010=100)</c:v>
                </c:pt>
              </c:strCache>
            </c:strRef>
          </c:tx>
          <c:spPr>
            <a:solidFill>
              <a:srgbClr val="808080"/>
            </a:solidFill>
            <a:ln w="12700">
              <a:noFill/>
              <a:prstDash val="solid"/>
            </a:ln>
          </c:spP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účty-souhrnné'!$G$29:$S$29</c:f>
              <c:numCache>
                <c:formatCode>#,##0.0</c:formatCode>
                <c:ptCount val="13"/>
                <c:pt idx="0">
                  <c:v>79.3</c:v>
                </c:pt>
                <c:pt idx="1">
                  <c:v>93.1</c:v>
                </c:pt>
                <c:pt idx="2">
                  <c:v>98.2</c:v>
                </c:pt>
                <c:pt idx="3">
                  <c:v>106.2</c:v>
                </c:pt>
                <c:pt idx="4">
                  <c:v>93.9</c:v>
                </c:pt>
                <c:pt idx="5">
                  <c:v>100</c:v>
                </c:pt>
                <c:pt idx="6">
                  <c:v>106.6</c:v>
                </c:pt>
                <c:pt idx="7">
                  <c:v>103.6</c:v>
                </c:pt>
                <c:pt idx="8">
                  <c:v>98.9</c:v>
                </c:pt>
                <c:pt idx="9">
                  <c:v>104</c:v>
                </c:pt>
                <c:pt idx="10">
                  <c:v>108.3</c:v>
                </c:pt>
                <c:pt idx="11">
                  <c:v>110.4</c:v>
                </c:pt>
                <c:pt idx="12">
                  <c:v>120.3</c:v>
                </c:pt>
              </c:numCache>
            </c:numRef>
          </c:val>
          <c:extLst xmlns:c16r2="http://schemas.microsoft.com/office/drawing/2015/06/chart">
            <c:ext xmlns:c16="http://schemas.microsoft.com/office/drawing/2014/chart" uri="{C3380CC4-5D6E-409C-BE32-E72D297353CC}">
              <c16:uniqueId val="{00000000-2949-483C-B040-B53EDC129E30}"/>
            </c:ext>
          </c:extLst>
        </c:ser>
        <c:ser>
          <c:idx val="4"/>
          <c:order val="6"/>
          <c:tx>
            <c:strRef>
              <c:f>'Graf-Národní účty-souhrnné'!$A$35</c:f>
              <c:strCache>
                <c:ptCount val="1"/>
                <c:pt idx="0">
                  <c:v>Produkce (2010=100)</c:v>
                </c:pt>
              </c:strCache>
            </c:strRef>
          </c:tx>
          <c:spPr>
            <a:solidFill>
              <a:srgbClr val="BABABA"/>
            </a:solidFill>
            <a:ln>
              <a:noFill/>
            </a:ln>
          </c:spP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účty-souhrnné'!$G$35:$S$35</c:f>
              <c:numCache>
                <c:formatCode>#,##0.0</c:formatCode>
                <c:ptCount val="13"/>
                <c:pt idx="0">
                  <c:v>85.8</c:v>
                </c:pt>
                <c:pt idx="1">
                  <c:v>97.8</c:v>
                </c:pt>
                <c:pt idx="2">
                  <c:v>104.4</c:v>
                </c:pt>
                <c:pt idx="3">
                  <c:v>106</c:v>
                </c:pt>
                <c:pt idx="4">
                  <c:v>91.5</c:v>
                </c:pt>
                <c:pt idx="5">
                  <c:v>100</c:v>
                </c:pt>
                <c:pt idx="6">
                  <c:v>106</c:v>
                </c:pt>
                <c:pt idx="7">
                  <c:v>104.2</c:v>
                </c:pt>
                <c:pt idx="8">
                  <c:v>102.9</c:v>
                </c:pt>
                <c:pt idx="9">
                  <c:v>108.6</c:v>
                </c:pt>
                <c:pt idx="10">
                  <c:v>114.7</c:v>
                </c:pt>
                <c:pt idx="11">
                  <c:v>118.7</c:v>
                </c:pt>
                <c:pt idx="12">
                  <c:v>126.5</c:v>
                </c:pt>
              </c:numCache>
            </c:numRef>
          </c:val>
          <c:extLst xmlns:c16r2="http://schemas.microsoft.com/office/drawing/2015/06/chart">
            <c:ext xmlns:c16="http://schemas.microsoft.com/office/drawing/2014/chart" uri="{C3380CC4-5D6E-409C-BE32-E72D297353CC}">
              <c16:uniqueId val="{00000001-2949-483C-B040-B53EDC129E30}"/>
            </c:ext>
          </c:extLst>
        </c:ser>
        <c:gapWidth val="75"/>
        <c:axId val="134226304"/>
        <c:axId val="134227840"/>
      </c:barChart>
      <c:lineChart>
        <c:grouping val="standard"/>
        <c:ser>
          <c:idx val="3"/>
          <c:order val="1"/>
          <c:tx>
            <c:strRef>
              <c:f>'Graf-Národní účty-souhrnné'!$A$30</c:f>
              <c:strCache>
                <c:ptCount val="1"/>
                <c:pt idx="0">
                  <c:v>Objem reálných vyplacených mezd a platů (2010=100)*</c:v>
                </c:pt>
              </c:strCache>
            </c:strRef>
          </c:tx>
          <c:spPr>
            <a:ln w="19050">
              <a:solidFill>
                <a:srgbClr val="F8A124"/>
              </a:solidFill>
              <a:prstDash val="solid"/>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účty-souhrnné'!$G$30:$S$30</c:f>
              <c:numCache>
                <c:formatCode>#,##0.0</c:formatCode>
                <c:ptCount val="13"/>
                <c:pt idx="0">
                  <c:v>98.295756585812967</c:v>
                </c:pt>
                <c:pt idx="1">
                  <c:v>103.34149533190191</c:v>
                </c:pt>
                <c:pt idx="2">
                  <c:v>109.44776438200307</c:v>
                </c:pt>
                <c:pt idx="3">
                  <c:v>111.08642676053393</c:v>
                </c:pt>
                <c:pt idx="4">
                  <c:v>100.63803756339622</c:v>
                </c:pt>
                <c:pt idx="5">
                  <c:v>100</c:v>
                </c:pt>
                <c:pt idx="6">
                  <c:v>105.47701749806832</c:v>
                </c:pt>
                <c:pt idx="7">
                  <c:v>106.16544935373342</c:v>
                </c:pt>
                <c:pt idx="8">
                  <c:v>105.688018889261</c:v>
                </c:pt>
                <c:pt idx="9">
                  <c:v>109.97614632728065</c:v>
                </c:pt>
                <c:pt idx="10">
                  <c:v>116.35966162219732</c:v>
                </c:pt>
                <c:pt idx="11">
                  <c:v>123.00194140103579</c:v>
                </c:pt>
                <c:pt idx="12">
                  <c:v>130.37891458071041</c:v>
                </c:pt>
              </c:numCache>
            </c:numRef>
          </c:val>
          <c:extLst xmlns:c16r2="http://schemas.microsoft.com/office/drawing/2015/06/chart">
            <c:ext xmlns:c16="http://schemas.microsoft.com/office/drawing/2014/chart" uri="{C3380CC4-5D6E-409C-BE32-E72D297353CC}">
              <c16:uniqueId val="{00000002-2949-483C-B040-B53EDC129E30}"/>
            </c:ext>
          </c:extLst>
        </c:ser>
        <c:ser>
          <c:idx val="1"/>
          <c:order val="2"/>
          <c:tx>
            <c:strRef>
              <c:f>'Graf-Národní účty-souhrnné'!$A$31</c:f>
              <c:strCache>
                <c:ptCount val="1"/>
                <c:pt idx="0">
                  <c:v>Reálná hodinová produktivita práce (2010=100)</c:v>
                </c:pt>
              </c:strCache>
            </c:strRef>
          </c:tx>
          <c:spPr>
            <a:ln w="19050">
              <a:solidFill>
                <a:srgbClr val="7DBB2D"/>
              </a:solidFill>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účty-souhrnné'!$G$31:$S$31</c:f>
              <c:numCache>
                <c:formatCode>0.0</c:formatCode>
                <c:ptCount val="13"/>
                <c:pt idx="0">
                  <c:v>74.021770158970426</c:v>
                </c:pt>
                <c:pt idx="1">
                  <c:v>87.481049326897946</c:v>
                </c:pt>
                <c:pt idx="2">
                  <c:v>90.678363265641252</c:v>
                </c:pt>
                <c:pt idx="3">
                  <c:v>96.934597004292527</c:v>
                </c:pt>
                <c:pt idx="4">
                  <c:v>94.304790528398655</c:v>
                </c:pt>
                <c:pt idx="5">
                  <c:v>100</c:v>
                </c:pt>
                <c:pt idx="6">
                  <c:v>103.51700072163112</c:v>
                </c:pt>
                <c:pt idx="7">
                  <c:v>100.68976902626628</c:v>
                </c:pt>
                <c:pt idx="8">
                  <c:v>96.657824608123747</c:v>
                </c:pt>
                <c:pt idx="9">
                  <c:v>99.984132733280958</c:v>
                </c:pt>
                <c:pt idx="10">
                  <c:v>101.58980558398385</c:v>
                </c:pt>
                <c:pt idx="11">
                  <c:v>100.8080617426714</c:v>
                </c:pt>
                <c:pt idx="12">
                  <c:v>108.22429310424135</c:v>
                </c:pt>
              </c:numCache>
            </c:numRef>
          </c:val>
          <c:extLst xmlns:c16r2="http://schemas.microsoft.com/office/drawing/2015/06/chart">
            <c:ext xmlns:c16="http://schemas.microsoft.com/office/drawing/2014/chart" uri="{C3380CC4-5D6E-409C-BE32-E72D297353CC}">
              <c16:uniqueId val="{00000003-2949-483C-B040-B53EDC129E30}"/>
            </c:ext>
          </c:extLst>
        </c:ser>
        <c:ser>
          <c:idx val="7"/>
          <c:order val="3"/>
          <c:tx>
            <c:strRef>
              <c:f>'Graf-Národní účty-souhrnné'!$A$32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účty-souhrnné'!$G$32:$S$32</c:f>
              <c:numCache>
                <c:formatCode>0.0</c:formatCode>
                <c:ptCount val="13"/>
                <c:pt idx="0">
                  <c:v>108.33418022054416</c:v>
                </c:pt>
                <c:pt idx="1">
                  <c:v>107.60077589596902</c:v>
                </c:pt>
                <c:pt idx="2">
                  <c:v>110.21397525911082</c:v>
                </c:pt>
                <c:pt idx="3">
                  <c:v>111.11307490754201</c:v>
                </c:pt>
                <c:pt idx="4">
                  <c:v>103.09629328514289</c:v>
                </c:pt>
                <c:pt idx="5">
                  <c:v>100</c:v>
                </c:pt>
                <c:pt idx="6">
                  <c:v>103.4241490992807</c:v>
                </c:pt>
                <c:pt idx="7">
                  <c:v>104.05239212497912</c:v>
                </c:pt>
                <c:pt idx="8">
                  <c:v>103.65737447290405</c:v>
                </c:pt>
                <c:pt idx="9">
                  <c:v>105.14944245364578</c:v>
                </c:pt>
                <c:pt idx="10">
                  <c:v>108.38145861961803</c:v>
                </c:pt>
                <c:pt idx="11">
                  <c:v>110.69191421548051</c:v>
                </c:pt>
                <c:pt idx="12">
                  <c:v>111.64013332213968</c:v>
                </c:pt>
              </c:numCache>
            </c:numRef>
          </c:val>
          <c:extLst xmlns:c16r2="http://schemas.microsoft.com/office/drawing/2015/06/chart">
            <c:ext xmlns:c16="http://schemas.microsoft.com/office/drawing/2014/chart" uri="{C3380CC4-5D6E-409C-BE32-E72D297353CC}">
              <c16:uniqueId val="{00000004-2949-483C-B040-B53EDC129E30}"/>
            </c:ext>
          </c:extLst>
        </c:ser>
        <c:marker val="1"/>
        <c:axId val="134226304"/>
        <c:axId val="134227840"/>
      </c:lineChart>
      <c:lineChart>
        <c:grouping val="standard"/>
        <c:ser>
          <c:idx val="2"/>
          <c:order val="4"/>
          <c:tx>
            <c:strRef>
              <c:f>'Graf-Národní účty-souhrnné'!$A$33</c:f>
              <c:strCache>
                <c:ptCount val="1"/>
                <c:pt idx="0">
                  <c:v>Míra investic (v %, pravá osa)</c:v>
                </c:pt>
              </c:strCache>
            </c:strRef>
          </c:tx>
          <c:spPr>
            <a:ln w="19050">
              <a:solidFill>
                <a:srgbClr val="BD1B21"/>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účty-souhrnné'!$G$33:$S$33</c:f>
              <c:numCache>
                <c:formatCode>0.0</c:formatCode>
                <c:ptCount val="13"/>
                <c:pt idx="0">
                  <c:v>30.418892018000093</c:v>
                </c:pt>
                <c:pt idx="1">
                  <c:v>28.700317452187626</c:v>
                </c:pt>
                <c:pt idx="2">
                  <c:v>32.416211324641786</c:v>
                </c:pt>
                <c:pt idx="3">
                  <c:v>30.902958491297131</c:v>
                </c:pt>
                <c:pt idx="4">
                  <c:v>28.017830848604635</c:v>
                </c:pt>
                <c:pt idx="5">
                  <c:v>28.711567833654133</c:v>
                </c:pt>
                <c:pt idx="6">
                  <c:v>29.602223544205486</c:v>
                </c:pt>
                <c:pt idx="7">
                  <c:v>29.633461450864935</c:v>
                </c:pt>
                <c:pt idx="8">
                  <c:v>29.926728925207829</c:v>
                </c:pt>
                <c:pt idx="9">
                  <c:v>28.157406630098535</c:v>
                </c:pt>
                <c:pt idx="10">
                  <c:v>29.028981159201251</c:v>
                </c:pt>
                <c:pt idx="11">
                  <c:v>27.775047515114963</c:v>
                </c:pt>
                <c:pt idx="12">
                  <c:v>26.787564297553228</c:v>
                </c:pt>
              </c:numCache>
            </c:numRef>
          </c:val>
          <c:extLst xmlns:c16r2="http://schemas.microsoft.com/office/drawing/2015/06/chart">
            <c:ext xmlns:c16="http://schemas.microsoft.com/office/drawing/2014/chart" uri="{C3380CC4-5D6E-409C-BE32-E72D297353CC}">
              <c16:uniqueId val="{00000005-2949-483C-B040-B53EDC129E30}"/>
            </c:ext>
          </c:extLst>
        </c:ser>
        <c:ser>
          <c:idx val="5"/>
          <c:order val="5"/>
          <c:tx>
            <c:strRef>
              <c:f>'Graf-Národní účty-souhrnné'!$A$34</c:f>
              <c:strCache>
                <c:ptCount val="1"/>
                <c:pt idx="0">
                  <c:v>Míra zisku nefinančních podniků (v %, pravá osa)</c:v>
                </c:pt>
              </c:strCache>
            </c:strRef>
          </c:tx>
          <c:spPr>
            <a:ln w="19050">
              <a:solidFill>
                <a:srgbClr val="0071BC"/>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účty-souhrnné'!$G$34:$S$34</c:f>
              <c:numCache>
                <c:formatCode>0.0</c:formatCode>
                <c:ptCount val="13"/>
                <c:pt idx="0">
                  <c:v>53.027057476955761</c:v>
                </c:pt>
                <c:pt idx="1">
                  <c:v>54.72693399422046</c:v>
                </c:pt>
                <c:pt idx="2">
                  <c:v>54.546908331350863</c:v>
                </c:pt>
                <c:pt idx="3">
                  <c:v>53.801408600695844</c:v>
                </c:pt>
                <c:pt idx="4">
                  <c:v>55.344024673889848</c:v>
                </c:pt>
                <c:pt idx="5">
                  <c:v>55.113664629694824</c:v>
                </c:pt>
                <c:pt idx="6">
                  <c:v>53.308934204629381</c:v>
                </c:pt>
                <c:pt idx="7">
                  <c:v>52.632580921357913</c:v>
                </c:pt>
                <c:pt idx="8">
                  <c:v>52.443121646553529</c:v>
                </c:pt>
                <c:pt idx="9">
                  <c:v>55.282390268796014</c:v>
                </c:pt>
                <c:pt idx="10">
                  <c:v>54.8302586523249</c:v>
                </c:pt>
                <c:pt idx="11">
                  <c:v>53.027956368864231</c:v>
                </c:pt>
                <c:pt idx="12">
                  <c:v>51.432878026762396</c:v>
                </c:pt>
              </c:numCache>
            </c:numRef>
          </c:val>
          <c:extLst xmlns:c16r2="http://schemas.microsoft.com/office/drawing/2015/06/chart">
            <c:ext xmlns:c16="http://schemas.microsoft.com/office/drawing/2014/chart" uri="{C3380CC4-5D6E-409C-BE32-E72D297353CC}">
              <c16:uniqueId val="{00000006-2949-483C-B040-B53EDC129E30}"/>
            </c:ext>
          </c:extLst>
        </c:ser>
        <c:marker val="1"/>
        <c:axId val="134235264"/>
        <c:axId val="134229376"/>
      </c:lineChart>
      <c:catAx>
        <c:axId val="134226304"/>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34227840"/>
        <c:crossesAt val="100"/>
        <c:lblAlgn val="ctr"/>
        <c:lblOffset val="0"/>
        <c:tickLblSkip val="1"/>
        <c:tickMarkSkip val="4"/>
      </c:catAx>
      <c:valAx>
        <c:axId val="134227840"/>
        <c:scaling>
          <c:orientation val="minMax"/>
          <c:max val="130"/>
          <c:min val="7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34226304"/>
        <c:crosses val="autoZero"/>
        <c:crossBetween val="between"/>
        <c:majorUnit val="5"/>
      </c:valAx>
      <c:valAx>
        <c:axId val="134229376"/>
        <c:scaling>
          <c:orientation val="minMax"/>
          <c:max val="60"/>
          <c:min val="0"/>
        </c:scaling>
        <c:axPos val="r"/>
        <c:numFmt formatCode="0" sourceLinked="0"/>
        <c:tickLblPos val="nextTo"/>
        <c:crossAx val="134235264"/>
        <c:crosses val="max"/>
        <c:crossBetween val="between"/>
        <c:majorUnit val="5"/>
      </c:valAx>
      <c:catAx>
        <c:axId val="134235264"/>
        <c:scaling>
          <c:orientation val="minMax"/>
        </c:scaling>
        <c:delete val="1"/>
        <c:axPos val="b"/>
        <c:numFmt formatCode="General" sourceLinked="1"/>
        <c:tickLblPos val="none"/>
        <c:crossAx val="134229376"/>
        <c:crosses val="autoZero"/>
        <c:auto val="1"/>
        <c:lblAlgn val="ctr"/>
        <c:lblOffset val="100"/>
      </c:catAx>
      <c:spPr>
        <a:noFill/>
        <a:ln w="9525">
          <a:solidFill>
            <a:schemeClr val="tx1"/>
          </a:solidFill>
        </a:ln>
      </c:spPr>
    </c:plotArea>
    <c:legend>
      <c:legendPos val="b"/>
      <c:layout>
        <c:manualLayout>
          <c:xMode val="edge"/>
          <c:yMode val="edge"/>
          <c:x val="6.0825149028219005E-2"/>
          <c:y val="0.79350557244174269"/>
          <c:w val="0.88531755998340689"/>
          <c:h val="0.20292018462231373"/>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0608838874897725"/>
          <c:y val="2.1390374331550797E-2"/>
          <c:w val="0.87783863049508615"/>
          <c:h val="0.78564486925765298"/>
        </c:manualLayout>
      </c:layout>
      <c:lineChart>
        <c:grouping val="standard"/>
        <c:ser>
          <c:idx val="0"/>
          <c:order val="0"/>
          <c:tx>
            <c:strRef>
              <c:f>'Graf-investice'!$A$321</c:f>
              <c:strCache>
                <c:ptCount val="1"/>
                <c:pt idx="0">
                  <c:v>Budovy a stavby (mimo obydlí)</c:v>
                </c:pt>
              </c:strCache>
            </c:strRef>
          </c:tx>
          <c:spPr>
            <a:ln w="22225"/>
          </c:spPr>
          <c:marker>
            <c:symbol val="none"/>
          </c:marker>
          <c:cat>
            <c:strRef>
              <c:f>'Graf-investice'!$G$320:$S$320</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'Graf-investice'!$G$321:$S$321</c:f>
              <c:numCache>
                <c:formatCode>#,##0</c:formatCode>
                <c:ptCount val="13"/>
                <c:pt idx="0">
                  <c:v>54025</c:v>
                </c:pt>
                <c:pt idx="1">
                  <c:v>56818</c:v>
                </c:pt>
                <c:pt idx="2">
                  <c:v>67123</c:v>
                </c:pt>
                <c:pt idx="3">
                  <c:v>48435</c:v>
                </c:pt>
                <c:pt idx="4">
                  <c:v>32127</c:v>
                </c:pt>
                <c:pt idx="5">
                  <c:v>32013</c:v>
                </c:pt>
                <c:pt idx="6">
                  <c:v>40909</c:v>
                </c:pt>
                <c:pt idx="7">
                  <c:v>39291</c:v>
                </c:pt>
                <c:pt idx="8">
                  <c:v>40563</c:v>
                </c:pt>
                <c:pt idx="9">
                  <c:v>38726</c:v>
                </c:pt>
                <c:pt idx="10">
                  <c:v>42035</c:v>
                </c:pt>
                <c:pt idx="11">
                  <c:v>45676</c:v>
                </c:pt>
                <c:pt idx="12">
                  <c:v>46748</c:v>
                </c:pt>
              </c:numCache>
            </c:numRef>
          </c:val>
          <c:extLst xmlns:c16r2="http://schemas.microsoft.com/office/drawing/2015/06/chart">
            <c:ext xmlns:c16="http://schemas.microsoft.com/office/drawing/2014/chart" uri="{C3380CC4-5D6E-409C-BE32-E72D297353CC}">
              <c16:uniqueId val="{00000000-907E-471A-A250-BBAF8D16AC0B}"/>
            </c:ext>
          </c:extLst>
        </c:ser>
        <c:ser>
          <c:idx val="1"/>
          <c:order val="1"/>
          <c:tx>
            <c:strRef>
              <c:f>'Graf-investice'!$A$322</c:f>
              <c:strCache>
                <c:ptCount val="1"/>
                <c:pt idx="0">
                  <c:v>Dopravní prostředky a zařízení</c:v>
                </c:pt>
              </c:strCache>
            </c:strRef>
          </c:tx>
          <c:spPr>
            <a:ln w="22225">
              <a:solidFill>
                <a:srgbClr val="48AEE7"/>
              </a:solidFill>
            </a:ln>
          </c:spPr>
          <c:marker>
            <c:symbol val="none"/>
          </c:marker>
          <c:cat>
            <c:strRef>
              <c:f>'Graf-investice'!$G$320:$S$320</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'Graf-investice'!$G$322:$S$322</c:f>
              <c:numCache>
                <c:formatCode>#,##0</c:formatCode>
                <c:ptCount val="13"/>
                <c:pt idx="0">
                  <c:v>15127</c:v>
                </c:pt>
                <c:pt idx="1">
                  <c:v>11518</c:v>
                </c:pt>
                <c:pt idx="2">
                  <c:v>14317</c:v>
                </c:pt>
                <c:pt idx="3">
                  <c:v>15500</c:v>
                </c:pt>
                <c:pt idx="4">
                  <c:v>9595</c:v>
                </c:pt>
                <c:pt idx="5">
                  <c:v>10682</c:v>
                </c:pt>
                <c:pt idx="6">
                  <c:v>6047</c:v>
                </c:pt>
                <c:pt idx="7">
                  <c:v>5295</c:v>
                </c:pt>
                <c:pt idx="8">
                  <c:v>6289</c:v>
                </c:pt>
                <c:pt idx="9">
                  <c:v>6271</c:v>
                </c:pt>
                <c:pt idx="10">
                  <c:v>5810</c:v>
                </c:pt>
                <c:pt idx="11">
                  <c:v>7272</c:v>
                </c:pt>
                <c:pt idx="12">
                  <c:v>6244</c:v>
                </c:pt>
              </c:numCache>
            </c:numRef>
          </c:val>
          <c:extLst xmlns:c16r2="http://schemas.microsoft.com/office/drawing/2015/06/chart">
            <c:ext xmlns:c16="http://schemas.microsoft.com/office/drawing/2014/chart" uri="{C3380CC4-5D6E-409C-BE32-E72D297353CC}">
              <c16:uniqueId val="{00000001-907E-471A-A250-BBAF8D16AC0B}"/>
            </c:ext>
          </c:extLst>
        </c:ser>
        <c:ser>
          <c:idx val="2"/>
          <c:order val="2"/>
          <c:tx>
            <c:strRef>
              <c:f>'Graf-investice'!$A$323</c:f>
              <c:strCache>
                <c:ptCount val="1"/>
                <c:pt idx="0">
                  <c:v>Prostředky ICT</c:v>
                </c:pt>
              </c:strCache>
            </c:strRef>
          </c:tx>
          <c:spPr>
            <a:ln w="22225">
              <a:solidFill>
                <a:srgbClr val="BD1B21"/>
              </a:solidFill>
            </a:ln>
          </c:spPr>
          <c:marker>
            <c:symbol val="none"/>
          </c:marker>
          <c:cat>
            <c:strRef>
              <c:f>'Graf-investice'!$G$320:$S$320</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'Graf-investice'!$G$323:$S$323</c:f>
              <c:numCache>
                <c:formatCode>#,##0</c:formatCode>
                <c:ptCount val="13"/>
                <c:pt idx="0">
                  <c:v>14301</c:v>
                </c:pt>
                <c:pt idx="1">
                  <c:v>17511</c:v>
                </c:pt>
                <c:pt idx="2">
                  <c:v>21851</c:v>
                </c:pt>
                <c:pt idx="3">
                  <c:v>23176</c:v>
                </c:pt>
                <c:pt idx="4">
                  <c:v>20170</c:v>
                </c:pt>
                <c:pt idx="5">
                  <c:v>23972</c:v>
                </c:pt>
                <c:pt idx="6">
                  <c:v>30723</c:v>
                </c:pt>
                <c:pt idx="7">
                  <c:v>36153</c:v>
                </c:pt>
                <c:pt idx="8">
                  <c:v>38543</c:v>
                </c:pt>
                <c:pt idx="9">
                  <c:v>45012</c:v>
                </c:pt>
                <c:pt idx="10">
                  <c:v>49816</c:v>
                </c:pt>
                <c:pt idx="11">
                  <c:v>54306</c:v>
                </c:pt>
                <c:pt idx="12">
                  <c:v>54051</c:v>
                </c:pt>
              </c:numCache>
            </c:numRef>
          </c:val>
          <c:extLst xmlns:c16r2="http://schemas.microsoft.com/office/drawing/2015/06/chart">
            <c:ext xmlns:c16="http://schemas.microsoft.com/office/drawing/2014/chart" uri="{C3380CC4-5D6E-409C-BE32-E72D297353CC}">
              <c16:uniqueId val="{00000002-907E-471A-A250-BBAF8D16AC0B}"/>
            </c:ext>
          </c:extLst>
        </c:ser>
        <c:ser>
          <c:idx val="3"/>
          <c:order val="3"/>
          <c:tx>
            <c:strRef>
              <c:f>'Graf-investice'!$A$324</c:f>
              <c:strCache>
                <c:ptCount val="1"/>
                <c:pt idx="0">
                  <c:v>Ostatní stroje a zařízení</c:v>
                </c:pt>
              </c:strCache>
            </c:strRef>
          </c:tx>
          <c:spPr>
            <a:ln w="22225">
              <a:solidFill>
                <a:srgbClr val="F8A124"/>
              </a:solidFill>
            </a:ln>
          </c:spPr>
          <c:marker>
            <c:symbol val="none"/>
          </c:marker>
          <c:cat>
            <c:strRef>
              <c:f>'Graf-investice'!$G$320:$S$320</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'Graf-investice'!$G$324:$S$324</c:f>
              <c:numCache>
                <c:formatCode>#,##0</c:formatCode>
                <c:ptCount val="13"/>
                <c:pt idx="0">
                  <c:v>114510</c:v>
                </c:pt>
                <c:pt idx="1">
                  <c:v>122442</c:v>
                </c:pt>
                <c:pt idx="2">
                  <c:v>146686</c:v>
                </c:pt>
                <c:pt idx="3">
                  <c:v>149524</c:v>
                </c:pt>
                <c:pt idx="4">
                  <c:v>106422</c:v>
                </c:pt>
                <c:pt idx="5">
                  <c:v>90552</c:v>
                </c:pt>
                <c:pt idx="6">
                  <c:v>111729</c:v>
                </c:pt>
                <c:pt idx="7">
                  <c:v>114205</c:v>
                </c:pt>
                <c:pt idx="8">
                  <c:v>116350</c:v>
                </c:pt>
                <c:pt idx="9">
                  <c:v>128936</c:v>
                </c:pt>
                <c:pt idx="10">
                  <c:v>147344</c:v>
                </c:pt>
                <c:pt idx="11">
                  <c:v>139989</c:v>
                </c:pt>
                <c:pt idx="12">
                  <c:v>138116</c:v>
                </c:pt>
              </c:numCache>
            </c:numRef>
          </c:val>
          <c:extLst xmlns:c16r2="http://schemas.microsoft.com/office/drawing/2015/06/chart">
            <c:ext xmlns:c16="http://schemas.microsoft.com/office/drawing/2014/chart" uri="{C3380CC4-5D6E-409C-BE32-E72D297353CC}">
              <c16:uniqueId val="{00000003-907E-471A-A250-BBAF8D16AC0B}"/>
            </c:ext>
          </c:extLst>
        </c:ser>
        <c:ser>
          <c:idx val="4"/>
          <c:order val="4"/>
          <c:tx>
            <c:strRef>
              <c:f>'Graf-investice'!$A$325</c:f>
              <c:strCache>
                <c:ptCount val="1"/>
                <c:pt idx="0">
                  <c:v>Výzkum a vývoj</c:v>
                </c:pt>
              </c:strCache>
            </c:strRef>
          </c:tx>
          <c:spPr>
            <a:ln w="22225">
              <a:solidFill>
                <a:srgbClr val="7DBB2D"/>
              </a:solidFill>
            </a:ln>
          </c:spPr>
          <c:marker>
            <c:symbol val="none"/>
          </c:marker>
          <c:cat>
            <c:strRef>
              <c:f>'Graf-investice'!$G$320:$S$320</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'Graf-investice'!$G$325:$S$325</c:f>
              <c:numCache>
                <c:formatCode>#,##0</c:formatCode>
                <c:ptCount val="13"/>
                <c:pt idx="0">
                  <c:v>21137</c:v>
                </c:pt>
                <c:pt idx="1">
                  <c:v>21918</c:v>
                </c:pt>
                <c:pt idx="2">
                  <c:v>23294</c:v>
                </c:pt>
                <c:pt idx="3">
                  <c:v>23168</c:v>
                </c:pt>
                <c:pt idx="4">
                  <c:v>24285</c:v>
                </c:pt>
                <c:pt idx="5">
                  <c:v>24119</c:v>
                </c:pt>
                <c:pt idx="6">
                  <c:v>25074</c:v>
                </c:pt>
                <c:pt idx="7">
                  <c:v>31891</c:v>
                </c:pt>
                <c:pt idx="8">
                  <c:v>27297</c:v>
                </c:pt>
                <c:pt idx="9">
                  <c:v>28413</c:v>
                </c:pt>
                <c:pt idx="10">
                  <c:v>30514</c:v>
                </c:pt>
                <c:pt idx="11">
                  <c:v>30981</c:v>
                </c:pt>
                <c:pt idx="12">
                  <c:v>33770</c:v>
                </c:pt>
              </c:numCache>
            </c:numRef>
          </c:val>
          <c:extLst xmlns:c16r2="http://schemas.microsoft.com/office/drawing/2015/06/chart">
            <c:ext xmlns:c16="http://schemas.microsoft.com/office/drawing/2014/chart" uri="{C3380CC4-5D6E-409C-BE32-E72D297353CC}">
              <c16:uniqueId val="{00000004-907E-471A-A250-BBAF8D16AC0B}"/>
            </c:ext>
          </c:extLst>
        </c:ser>
        <c:ser>
          <c:idx val="5"/>
          <c:order val="5"/>
          <c:tx>
            <c:strRef>
              <c:f>'Graf-investice'!$A$326</c:f>
              <c:strCache>
                <c:ptCount val="1"/>
                <c:pt idx="0">
                  <c:v>Software a databáze</c:v>
                </c:pt>
              </c:strCache>
            </c:strRef>
          </c:tx>
          <c:spPr>
            <a:ln w="22225">
              <a:solidFill>
                <a:srgbClr val="A6A6A6"/>
              </a:solidFill>
            </a:ln>
          </c:spPr>
          <c:marker>
            <c:symbol val="none"/>
          </c:marker>
          <c:cat>
            <c:strRef>
              <c:f>'Graf-investice'!$G$320:$S$320</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'Graf-investice'!$G$326:$S$326</c:f>
              <c:numCache>
                <c:formatCode>#,##0</c:formatCode>
                <c:ptCount val="13"/>
                <c:pt idx="0">
                  <c:v>7923</c:v>
                </c:pt>
                <c:pt idx="1">
                  <c:v>8561</c:v>
                </c:pt>
                <c:pt idx="2">
                  <c:v>8258</c:v>
                </c:pt>
                <c:pt idx="3">
                  <c:v>9819</c:v>
                </c:pt>
                <c:pt idx="4">
                  <c:v>8024</c:v>
                </c:pt>
                <c:pt idx="5">
                  <c:v>7305</c:v>
                </c:pt>
                <c:pt idx="6">
                  <c:v>6989</c:v>
                </c:pt>
                <c:pt idx="7">
                  <c:v>7532</c:v>
                </c:pt>
                <c:pt idx="8">
                  <c:v>7467</c:v>
                </c:pt>
                <c:pt idx="9">
                  <c:v>9430</c:v>
                </c:pt>
                <c:pt idx="10">
                  <c:v>11606</c:v>
                </c:pt>
                <c:pt idx="11">
                  <c:v>12231</c:v>
                </c:pt>
                <c:pt idx="12">
                  <c:v>12954</c:v>
                </c:pt>
              </c:numCache>
            </c:numRef>
          </c:val>
          <c:extLst xmlns:c16r2="http://schemas.microsoft.com/office/drawing/2015/06/chart">
            <c:ext xmlns:c16="http://schemas.microsoft.com/office/drawing/2014/chart" uri="{C3380CC4-5D6E-409C-BE32-E72D297353CC}">
              <c16:uniqueId val="{00000005-907E-471A-A250-BBAF8D16AC0B}"/>
            </c:ext>
          </c:extLst>
        </c:ser>
        <c:marker val="1"/>
        <c:axId val="134273664"/>
        <c:axId val="134291840"/>
      </c:lineChart>
      <c:catAx>
        <c:axId val="134273664"/>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cs-CZ"/>
          </a:p>
        </c:txPr>
        <c:crossAx val="134291840"/>
        <c:crosses val="autoZero"/>
        <c:auto val="1"/>
        <c:lblAlgn val="ctr"/>
        <c:lblOffset val="20"/>
      </c:catAx>
      <c:valAx>
        <c:axId val="134291840"/>
        <c:scaling>
          <c:orientation val="minMax"/>
        </c:scaling>
        <c:axPos val="l"/>
        <c:majorGridlines>
          <c:spPr>
            <a:ln w="9525">
              <a:solidFill>
                <a:srgbClr val="BFBFBF"/>
              </a:solidFill>
            </a:ln>
          </c:spPr>
        </c:majorGridlines>
        <c:numFmt formatCode="#,##0" sourceLinked="1"/>
        <c:tickLblPos val="nextTo"/>
        <c:txPr>
          <a:bodyPr/>
          <a:lstStyle/>
          <a:p>
            <a:pPr>
              <a:defRPr sz="800">
                <a:latin typeface="Arial" pitchFamily="34" charset="0"/>
                <a:cs typeface="Arial" pitchFamily="34" charset="0"/>
              </a:defRPr>
            </a:pPr>
            <a:endParaRPr lang="cs-CZ"/>
          </a:p>
        </c:txPr>
        <c:crossAx val="134273664"/>
        <c:crosses val="autoZero"/>
        <c:crossBetween val="between"/>
      </c:valAx>
      <c:spPr>
        <a:ln>
          <a:solidFill>
            <a:sysClr val="windowText" lastClr="000000">
              <a:lumMod val="95000"/>
              <a:lumOff val="5000"/>
            </a:sysClr>
          </a:solidFill>
        </a:ln>
      </c:spPr>
    </c:plotArea>
    <c:legend>
      <c:legendPos val="r"/>
      <c:layout>
        <c:manualLayout>
          <c:xMode val="edge"/>
          <c:yMode val="edge"/>
          <c:x val="0.10133592612664309"/>
          <c:y val="0.87050430193552009"/>
          <c:w val="0.88246974188954508"/>
          <c:h val="0.1181714317795837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40225924121491E-2"/>
          <c:y val="1.6434241361665387E-2"/>
          <c:w val="0.93179896008611662"/>
          <c:h val="0.71612175772188802"/>
        </c:manualLayout>
      </c:layout>
      <c:barChart>
        <c:barDir val="col"/>
        <c:grouping val="stacked"/>
        <c:ser>
          <c:idx val="0"/>
          <c:order val="0"/>
          <c:tx>
            <c:strRef>
              <c:f>'GRAF-příspěvky'!$A$35</c:f>
              <c:strCache>
                <c:ptCount val="1"/>
                <c:pt idx="0">
                  <c:v>Těžba a dobývání (5-9)</c:v>
                </c:pt>
              </c:strCache>
            </c:strRef>
          </c:tx>
          <c:spPr>
            <a:solidFill>
              <a:schemeClr val="tx1">
                <a:lumMod val="95000"/>
                <a:lumOff val="5000"/>
              </a:schemeClr>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'GRAF-příspěvky'!$M$35:$Y$35</c:f>
              <c:numCache>
                <c:formatCode>0.0</c:formatCode>
                <c:ptCount val="13"/>
                <c:pt idx="0">
                  <c:v>-0.53872284220048805</c:v>
                </c:pt>
                <c:pt idx="1">
                  <c:v>0.53918285426628643</c:v>
                </c:pt>
                <c:pt idx="2">
                  <c:v>-0.14355260812137871</c:v>
                </c:pt>
                <c:pt idx="3">
                  <c:v>-0.46428991126498154</c:v>
                </c:pt>
                <c:pt idx="4">
                  <c:v>-0.41406584503476568</c:v>
                </c:pt>
                <c:pt idx="5">
                  <c:v>-0.15394318782152167</c:v>
                </c:pt>
                <c:pt idx="6">
                  <c:v>-0.23277299398856663</c:v>
                </c:pt>
                <c:pt idx="7">
                  <c:v>-6.5491516548341941E-2</c:v>
                </c:pt>
                <c:pt idx="8">
                  <c:v>-0.74142780721283463</c:v>
                </c:pt>
                <c:pt idx="9">
                  <c:v>0.87270315570301593</c:v>
                </c:pt>
                <c:pt idx="10">
                  <c:v>-7.4590905275029179E-2</c:v>
                </c:pt>
                <c:pt idx="11">
                  <c:v>-0.36650357574404629</c:v>
                </c:pt>
                <c:pt idx="12">
                  <c:v>-0.20914187152791774</c:v>
                </c:pt>
              </c:numCache>
            </c:numRef>
          </c:val>
          <c:extLst xmlns:c16r2="http://schemas.microsoft.com/office/drawing/2015/06/chart">
            <c:ext xmlns:c16="http://schemas.microsoft.com/office/drawing/2014/chart" uri="{C3380CC4-5D6E-409C-BE32-E72D297353CC}">
              <c16:uniqueId val="{00000000-C9A0-428A-B327-137E56B968BC}"/>
            </c:ext>
          </c:extLst>
        </c:ser>
        <c:ser>
          <c:idx val="1"/>
          <c:order val="1"/>
          <c:tx>
            <c:strRef>
              <c:f>'GRAF-příspěvky'!$A$36</c:f>
              <c:strCache>
                <c:ptCount val="1"/>
                <c:pt idx="0">
                  <c:v>Potrativny, nápoje, tabák (10 až 12)</c:v>
                </c:pt>
              </c:strCache>
            </c:strRef>
          </c:tx>
          <c:spPr>
            <a:solidFill>
              <a:srgbClr val="0085BC"/>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'GRAF-příspěvky'!$M$36:$Y$36</c:f>
              <c:numCache>
                <c:formatCode>0.0</c:formatCode>
                <c:ptCount val="13"/>
                <c:pt idx="0">
                  <c:v>1.4053331953594053</c:v>
                </c:pt>
                <c:pt idx="1">
                  <c:v>0.9376960229227107</c:v>
                </c:pt>
                <c:pt idx="2">
                  <c:v>-0.80404483138000171</c:v>
                </c:pt>
                <c:pt idx="3">
                  <c:v>-0.36180150412483053</c:v>
                </c:pt>
                <c:pt idx="4">
                  <c:v>-0.16026938606572386</c:v>
                </c:pt>
                <c:pt idx="5">
                  <c:v>0.26334719011453905</c:v>
                </c:pt>
                <c:pt idx="6">
                  <c:v>0.54060129260276124</c:v>
                </c:pt>
                <c:pt idx="7">
                  <c:v>-0.43814454106005113</c:v>
                </c:pt>
                <c:pt idx="8">
                  <c:v>-0.44041740303350752</c:v>
                </c:pt>
                <c:pt idx="9">
                  <c:v>9.7133805366165948E-2</c:v>
                </c:pt>
                <c:pt idx="10">
                  <c:v>0.29564730498801761</c:v>
                </c:pt>
                <c:pt idx="11">
                  <c:v>0.46036409352952667</c:v>
                </c:pt>
                <c:pt idx="12">
                  <c:v>0.74941220415203347</c:v>
                </c:pt>
              </c:numCache>
            </c:numRef>
          </c:val>
          <c:extLst xmlns:c16r2="http://schemas.microsoft.com/office/drawing/2015/06/chart">
            <c:ext xmlns:c16="http://schemas.microsoft.com/office/drawing/2014/chart" uri="{C3380CC4-5D6E-409C-BE32-E72D297353CC}">
              <c16:uniqueId val="{00000001-C9A0-428A-B327-137E56B968BC}"/>
            </c:ext>
          </c:extLst>
        </c:ser>
        <c:ser>
          <c:idx val="2"/>
          <c:order val="2"/>
          <c:tx>
            <c:strRef>
              <c:f>'GRAF-příspěvky'!$A$37</c:f>
              <c:strCache>
                <c:ptCount val="1"/>
                <c:pt idx="0">
                  <c:v>(Petro)chemie, farmacie (19 až 21)</c:v>
                </c:pt>
              </c:strCache>
            </c:strRef>
          </c:tx>
          <c:spPr>
            <a:solidFill>
              <a:srgbClr val="BCA6E8"/>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'GRAF-příspěvky'!$M$37:$Y$37</c:f>
              <c:numCache>
                <c:formatCode>0.0</c:formatCode>
                <c:ptCount val="13"/>
                <c:pt idx="0">
                  <c:v>0.84070664344364265</c:v>
                </c:pt>
                <c:pt idx="1">
                  <c:v>1.7544123925907402</c:v>
                </c:pt>
                <c:pt idx="2">
                  <c:v>-0.19494440400641982</c:v>
                </c:pt>
                <c:pt idx="3">
                  <c:v>1.3466042033524441</c:v>
                </c:pt>
                <c:pt idx="4">
                  <c:v>0.44999660955752507</c:v>
                </c:pt>
                <c:pt idx="5">
                  <c:v>-0.77634480717281096</c:v>
                </c:pt>
                <c:pt idx="6">
                  <c:v>-0.28155078742030881</c:v>
                </c:pt>
                <c:pt idx="7">
                  <c:v>0.18703339234761801</c:v>
                </c:pt>
                <c:pt idx="8">
                  <c:v>-5.0556931676338984E-2</c:v>
                </c:pt>
                <c:pt idx="9">
                  <c:v>1.1306864792451481</c:v>
                </c:pt>
                <c:pt idx="10">
                  <c:v>-0.33244183339062411</c:v>
                </c:pt>
                <c:pt idx="11">
                  <c:v>-0.32787636670419229</c:v>
                </c:pt>
                <c:pt idx="12">
                  <c:v>0.68263704311332962</c:v>
                </c:pt>
              </c:numCache>
            </c:numRef>
          </c:val>
          <c:extLst xmlns:c16r2="http://schemas.microsoft.com/office/drawing/2015/06/chart">
            <c:ext xmlns:c16="http://schemas.microsoft.com/office/drawing/2014/chart" uri="{C3380CC4-5D6E-409C-BE32-E72D297353CC}">
              <c16:uniqueId val="{00000002-C9A0-428A-B327-137E56B968BC}"/>
            </c:ext>
          </c:extLst>
        </c:ser>
        <c:ser>
          <c:idx val="3"/>
          <c:order val="3"/>
          <c:tx>
            <c:strRef>
              <c:f>'GRAF-příspěvky'!$A$38</c:f>
              <c:strCache>
                <c:ptCount val="1"/>
                <c:pt idx="0">
                  <c:v>Hutnictví a kovovýroba (24+25)</c:v>
                </c:pt>
              </c:strCache>
            </c:strRef>
          </c:tx>
          <c:spPr>
            <a:solidFill>
              <a:srgbClr val="48AEE7"/>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'GRAF-příspěvky'!$M$38:$Y$38</c:f>
              <c:numCache>
                <c:formatCode>0.0</c:formatCode>
                <c:ptCount val="13"/>
                <c:pt idx="0">
                  <c:v>1.9134998941941563</c:v>
                </c:pt>
                <c:pt idx="1">
                  <c:v>1.5203093998185131</c:v>
                </c:pt>
                <c:pt idx="2">
                  <c:v>-0.89000237375045121</c:v>
                </c:pt>
                <c:pt idx="3">
                  <c:v>-1.1214380405391837</c:v>
                </c:pt>
                <c:pt idx="4">
                  <c:v>-1.5654139642198261</c:v>
                </c:pt>
                <c:pt idx="5">
                  <c:v>1.4285895869942342</c:v>
                </c:pt>
                <c:pt idx="6">
                  <c:v>0.72086087679408295</c:v>
                </c:pt>
                <c:pt idx="7">
                  <c:v>4.3504896285663695E-2</c:v>
                </c:pt>
                <c:pt idx="8">
                  <c:v>0.47315481623638278</c:v>
                </c:pt>
                <c:pt idx="9">
                  <c:v>0.93972641590032369</c:v>
                </c:pt>
                <c:pt idx="10">
                  <c:v>1.036920531637028</c:v>
                </c:pt>
                <c:pt idx="11">
                  <c:v>0.67273005482231163</c:v>
                </c:pt>
                <c:pt idx="12">
                  <c:v>0.20579966382369624</c:v>
                </c:pt>
              </c:numCache>
            </c:numRef>
          </c:val>
          <c:extLst xmlns:c16r2="http://schemas.microsoft.com/office/drawing/2015/06/chart">
            <c:ext xmlns:c16="http://schemas.microsoft.com/office/drawing/2014/chart" uri="{C3380CC4-5D6E-409C-BE32-E72D297353CC}">
              <c16:uniqueId val="{00000003-C9A0-428A-B327-137E56B968BC}"/>
            </c:ext>
          </c:extLst>
        </c:ser>
        <c:ser>
          <c:idx val="4"/>
          <c:order val="4"/>
          <c:tx>
            <c:strRef>
              <c:f>'GRAF-příspěvky'!$A$39</c:f>
              <c:strCache>
                <c:ptCount val="1"/>
                <c:pt idx="0">
                  <c:v>Výroba PC, elektronic. a optic. přístr.(26)</c:v>
                </c:pt>
              </c:strCache>
            </c:strRef>
          </c:tx>
          <c:spPr>
            <a:solidFill>
              <a:srgbClr val="FDDEB3"/>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'GRAF-příspěvky'!$M$39:$Y$39</c:f>
              <c:numCache>
                <c:formatCode>0.0</c:formatCode>
                <c:ptCount val="13"/>
                <c:pt idx="0">
                  <c:v>1.012720535400772</c:v>
                </c:pt>
                <c:pt idx="1">
                  <c:v>1.1858100206055517</c:v>
                </c:pt>
                <c:pt idx="2">
                  <c:v>1.1519771568379282</c:v>
                </c:pt>
                <c:pt idx="3">
                  <c:v>6.3500762580769365E-2</c:v>
                </c:pt>
                <c:pt idx="4">
                  <c:v>-0.61924890691254064</c:v>
                </c:pt>
                <c:pt idx="5">
                  <c:v>1.8947359842935774</c:v>
                </c:pt>
                <c:pt idx="6">
                  <c:v>0.18855084620042634</c:v>
                </c:pt>
                <c:pt idx="7">
                  <c:v>0.37317017130766544</c:v>
                </c:pt>
                <c:pt idx="8">
                  <c:v>-0.68346489361890062</c:v>
                </c:pt>
                <c:pt idx="9">
                  <c:v>0.58792018129723866</c:v>
                </c:pt>
                <c:pt idx="10">
                  <c:v>0.39512396785848886</c:v>
                </c:pt>
                <c:pt idx="11">
                  <c:v>0.46107292623011792</c:v>
                </c:pt>
                <c:pt idx="12">
                  <c:v>0.71790852928359883</c:v>
                </c:pt>
              </c:numCache>
            </c:numRef>
          </c:val>
          <c:extLst xmlns:c16r2="http://schemas.microsoft.com/office/drawing/2015/06/chart">
            <c:ext xmlns:c16="http://schemas.microsoft.com/office/drawing/2014/chart" uri="{C3380CC4-5D6E-409C-BE32-E72D297353CC}">
              <c16:uniqueId val="{00000004-C9A0-428A-B327-137E56B968BC}"/>
            </c:ext>
          </c:extLst>
        </c:ser>
        <c:ser>
          <c:idx val="5"/>
          <c:order val="5"/>
          <c:tx>
            <c:strRef>
              <c:f>'GRAF-příspěvky'!$A$40</c:f>
              <c:strCache>
                <c:ptCount val="1"/>
                <c:pt idx="0">
                  <c:v>Strojírenství, oprava strojů a zaříz. (28+33)</c:v>
                </c:pt>
              </c:strCache>
            </c:strRef>
          </c:tx>
          <c:spPr>
            <a:solidFill>
              <a:srgbClr val="F8A124"/>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'GRAF-příspěvky'!$M$40:$Y$40</c:f>
              <c:numCache>
                <c:formatCode>0.0</c:formatCode>
                <c:ptCount val="13"/>
                <c:pt idx="0">
                  <c:v>2.0266197012787384</c:v>
                </c:pt>
                <c:pt idx="1">
                  <c:v>2.7357762240205807</c:v>
                </c:pt>
                <c:pt idx="2">
                  <c:v>1.9779166350659079</c:v>
                </c:pt>
                <c:pt idx="3">
                  <c:v>1.1113761454579738</c:v>
                </c:pt>
                <c:pt idx="4">
                  <c:v>-2.2289409930914226</c:v>
                </c:pt>
                <c:pt idx="5">
                  <c:v>0.97258802084699358</c:v>
                </c:pt>
                <c:pt idx="6">
                  <c:v>1.2006300668693792</c:v>
                </c:pt>
                <c:pt idx="7">
                  <c:v>0.33089166188734792</c:v>
                </c:pt>
                <c:pt idx="8">
                  <c:v>-0.14499432386958541</c:v>
                </c:pt>
                <c:pt idx="9">
                  <c:v>0.26962857140340923</c:v>
                </c:pt>
                <c:pt idx="10">
                  <c:v>-2.7015061781973607E-3</c:v>
                </c:pt>
                <c:pt idx="11">
                  <c:v>-0.27304781519069082</c:v>
                </c:pt>
                <c:pt idx="12">
                  <c:v>0.80089581097956986</c:v>
                </c:pt>
              </c:numCache>
            </c:numRef>
          </c:val>
          <c:extLst xmlns:c16r2="http://schemas.microsoft.com/office/drawing/2015/06/chart">
            <c:ext xmlns:c16="http://schemas.microsoft.com/office/drawing/2014/chart" uri="{C3380CC4-5D6E-409C-BE32-E72D297353CC}">
              <c16:uniqueId val="{00000005-C9A0-428A-B327-137E56B968BC}"/>
            </c:ext>
          </c:extLst>
        </c:ser>
        <c:ser>
          <c:idx val="6"/>
          <c:order val="6"/>
          <c:tx>
            <c:strRef>
              <c:f>'GRAF-příspěvky'!$A$41</c:f>
              <c:strCache>
                <c:ptCount val="1"/>
                <c:pt idx="0">
                  <c:v>Výroba dopravních prostředků (29+30)</c:v>
                </c:pt>
              </c:strCache>
            </c:strRef>
          </c:tx>
          <c:spPr>
            <a:solidFill>
              <a:srgbClr val="BD1B21"/>
            </a:solidFill>
            <a:ln>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'GRAF-příspěvky'!$M$41:$Y$41</c:f>
              <c:numCache>
                <c:formatCode>0.0</c:formatCode>
                <c:ptCount val="13"/>
                <c:pt idx="0">
                  <c:v>2.568039196991859</c:v>
                </c:pt>
                <c:pt idx="1">
                  <c:v>3.9491850054544071</c:v>
                </c:pt>
                <c:pt idx="2">
                  <c:v>2.483228911295603</c:v>
                </c:pt>
                <c:pt idx="3">
                  <c:v>3.2597169655632627</c:v>
                </c:pt>
                <c:pt idx="4">
                  <c:v>-2.8794752299556357</c:v>
                </c:pt>
                <c:pt idx="5">
                  <c:v>3.8042370277672655</c:v>
                </c:pt>
                <c:pt idx="6">
                  <c:v>3.8737527185804002</c:v>
                </c:pt>
                <c:pt idx="7">
                  <c:v>-1.9820842075640399</c:v>
                </c:pt>
                <c:pt idx="8">
                  <c:v>-0.77761794963692255</c:v>
                </c:pt>
                <c:pt idx="9">
                  <c:v>0.50891750992845053</c:v>
                </c:pt>
                <c:pt idx="10">
                  <c:v>1.185051470460122</c:v>
                </c:pt>
                <c:pt idx="11">
                  <c:v>1.6496943079087436</c:v>
                </c:pt>
                <c:pt idx="12">
                  <c:v>3.1848208707625738</c:v>
                </c:pt>
              </c:numCache>
            </c:numRef>
          </c:val>
          <c:extLst xmlns:c16r2="http://schemas.microsoft.com/office/drawing/2015/06/chart">
            <c:ext xmlns:c16="http://schemas.microsoft.com/office/drawing/2014/chart" uri="{C3380CC4-5D6E-409C-BE32-E72D297353CC}">
              <c16:uniqueId val="{00000006-C9A0-428A-B327-137E56B968BC}"/>
            </c:ext>
          </c:extLst>
        </c:ser>
        <c:ser>
          <c:idx val="7"/>
          <c:order val="7"/>
          <c:tx>
            <c:strRef>
              <c:f>'GRAF-příspěvky'!$A$42</c:f>
              <c:strCache>
                <c:ptCount val="1"/>
                <c:pt idx="0">
                  <c:v>Gumárenství, plastik., elektrotech. (22+27)</c:v>
                </c:pt>
              </c:strCache>
            </c:strRef>
          </c:tx>
          <c:spPr>
            <a:solidFill>
              <a:srgbClr val="E8AFB2"/>
            </a:solidFill>
            <a:ln w="28575">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'GRAF-příspěvky'!$M$42:$Y$42</c:f>
              <c:numCache>
                <c:formatCode>0.0</c:formatCode>
                <c:ptCount val="13"/>
                <c:pt idx="0">
                  <c:v>1.2090077970760378</c:v>
                </c:pt>
                <c:pt idx="1">
                  <c:v>2.8559931336695619</c:v>
                </c:pt>
                <c:pt idx="2">
                  <c:v>1.3408928256593546</c:v>
                </c:pt>
                <c:pt idx="3">
                  <c:v>1.1212828041210325</c:v>
                </c:pt>
                <c:pt idx="4">
                  <c:v>-0.2940746513788583</c:v>
                </c:pt>
                <c:pt idx="5">
                  <c:v>1.327517356882993</c:v>
                </c:pt>
                <c:pt idx="6">
                  <c:v>1.4314956927236566</c:v>
                </c:pt>
                <c:pt idx="7">
                  <c:v>-0.6148943976802832</c:v>
                </c:pt>
                <c:pt idx="8">
                  <c:v>-7.8026048406887774E-2</c:v>
                </c:pt>
                <c:pt idx="9">
                  <c:v>1.0306056247594417</c:v>
                </c:pt>
                <c:pt idx="10">
                  <c:v>0.96491122751385483</c:v>
                </c:pt>
                <c:pt idx="11">
                  <c:v>-0.21091137673852794</c:v>
                </c:pt>
                <c:pt idx="12">
                  <c:v>1.545197036668118</c:v>
                </c:pt>
              </c:numCache>
            </c:numRef>
          </c:val>
          <c:extLst xmlns:c16r2="http://schemas.microsoft.com/office/drawing/2015/06/chart">
            <c:ext xmlns:c16="http://schemas.microsoft.com/office/drawing/2014/chart" uri="{C3380CC4-5D6E-409C-BE32-E72D297353CC}">
              <c16:uniqueId val="{00000007-C9A0-428A-B327-137E56B968BC}"/>
            </c:ext>
          </c:extLst>
        </c:ser>
        <c:ser>
          <c:idx val="8"/>
          <c:order val="8"/>
          <c:tx>
            <c:strRef>
              <c:f>'GRAF-příspěvky'!$A$43</c:f>
              <c:strCache>
                <c:ptCount val="1"/>
                <c:pt idx="0">
                  <c:v>Energetika a vodní hospodářství (35 až 39)</c:v>
                </c:pt>
              </c:strCache>
            </c:strRef>
          </c:tx>
          <c:spPr>
            <a:solidFill>
              <a:srgbClr val="7DBB2D"/>
            </a:solidFill>
            <a:ln w="28575">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'GRAF-příspěvky'!$M$43:$Y$43</c:f>
              <c:numCache>
                <c:formatCode>0.0</c:formatCode>
                <c:ptCount val="13"/>
                <c:pt idx="0">
                  <c:v>3.5891082777369618E-2</c:v>
                </c:pt>
                <c:pt idx="1">
                  <c:v>7.7036339791629813E-2</c:v>
                </c:pt>
                <c:pt idx="2">
                  <c:v>5.4916175090197403E-2</c:v>
                </c:pt>
                <c:pt idx="3">
                  <c:v>1.8082793965365589</c:v>
                </c:pt>
                <c:pt idx="4">
                  <c:v>-1.6249672183841142</c:v>
                </c:pt>
                <c:pt idx="5">
                  <c:v>-1.968625443523158</c:v>
                </c:pt>
                <c:pt idx="6">
                  <c:v>-1.1278223086403976</c:v>
                </c:pt>
                <c:pt idx="7">
                  <c:v>-0.20071707697623831</c:v>
                </c:pt>
                <c:pt idx="8">
                  <c:v>-1.5812725654873621</c:v>
                </c:pt>
                <c:pt idx="9">
                  <c:v>-0.70395226943039868</c:v>
                </c:pt>
                <c:pt idx="10">
                  <c:v>-9.0081700148733124E-2</c:v>
                </c:pt>
                <c:pt idx="11">
                  <c:v>-0.63514673295572521</c:v>
                </c:pt>
                <c:pt idx="12">
                  <c:v>0.30632465549253246</c:v>
                </c:pt>
              </c:numCache>
            </c:numRef>
          </c:val>
          <c:extLst xmlns:c16r2="http://schemas.microsoft.com/office/drawing/2015/06/chart">
            <c:ext xmlns:c16="http://schemas.microsoft.com/office/drawing/2014/chart" uri="{C3380CC4-5D6E-409C-BE32-E72D297353CC}">
              <c16:uniqueId val="{00000008-C9A0-428A-B327-137E56B968BC}"/>
            </c:ext>
          </c:extLst>
        </c:ser>
        <c:ser>
          <c:idx val="9"/>
          <c:order val="9"/>
          <c:tx>
            <c:strRef>
              <c:f>'GRAF-příspěvky'!$A$44</c:f>
              <c:strCache>
                <c:ptCount val="1"/>
                <c:pt idx="0">
                  <c:v>Ostatní průmyslová odvětví</c:v>
                </c:pt>
              </c:strCache>
            </c:strRef>
          </c:tx>
          <c:spPr>
            <a:solidFill>
              <a:srgbClr val="A6A6A6"/>
            </a:solidFill>
            <a:ln w="28575">
              <a:noFill/>
            </a:ln>
          </c:spP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'GRAF-příspěvky'!$M$44:$Y$44</c:f>
              <c:numCache>
                <c:formatCode>0.0</c:formatCode>
                <c:ptCount val="13"/>
                <c:pt idx="0">
                  <c:v>1.7985883641488107</c:v>
                </c:pt>
                <c:pt idx="1">
                  <c:v>1.8648031772065781</c:v>
                </c:pt>
                <c:pt idx="2">
                  <c:v>0.46800263180963891</c:v>
                </c:pt>
                <c:pt idx="3">
                  <c:v>1.3708297894334038</c:v>
                </c:pt>
                <c:pt idx="4">
                  <c:v>-2.1890206905054401</c:v>
                </c:pt>
                <c:pt idx="5">
                  <c:v>-0.34134216570437692</c:v>
                </c:pt>
                <c:pt idx="6">
                  <c:v>0.25551949960393305</c:v>
                </c:pt>
                <c:pt idx="7">
                  <c:v>-0.44389050772469885</c:v>
                </c:pt>
                <c:pt idx="8">
                  <c:v>-0.47984505841206054</c:v>
                </c:pt>
                <c:pt idx="9">
                  <c:v>0.39788034416883666</c:v>
                </c:pt>
                <c:pt idx="10">
                  <c:v>0.77196653746913868</c:v>
                </c:pt>
                <c:pt idx="11">
                  <c:v>0.49238916546924383</c:v>
                </c:pt>
                <c:pt idx="12">
                  <c:v>0.99736888940971258</c:v>
                </c:pt>
              </c:numCache>
            </c:numRef>
          </c:val>
          <c:extLst xmlns:c16r2="http://schemas.microsoft.com/office/drawing/2015/06/chart">
            <c:ext xmlns:c16="http://schemas.microsoft.com/office/drawing/2014/chart" uri="{C3380CC4-5D6E-409C-BE32-E72D297353CC}">
              <c16:uniqueId val="{00000009-C9A0-428A-B327-137E56B968BC}"/>
            </c:ext>
          </c:extLst>
        </c:ser>
        <c:gapWidth val="43"/>
        <c:overlap val="100"/>
        <c:axId val="134353280"/>
        <c:axId val="134355200"/>
      </c:barChart>
      <c:lineChart>
        <c:grouping val="standard"/>
        <c:ser>
          <c:idx val="10"/>
          <c:order val="10"/>
          <c:tx>
            <c:strRef>
              <c:f>'GRAF-příspěvky'!$A$45</c:f>
              <c:strCache>
                <c:ptCount val="1"/>
                <c:pt idx="0">
                  <c:v>Průmysl celkem (sekce B až E)</c:v>
                </c:pt>
              </c:strCache>
            </c:strRef>
          </c:tx>
          <c:spPr>
            <a:ln>
              <a:noFill/>
            </a:ln>
          </c:spPr>
          <c:marker>
            <c:symbol val="diamond"/>
            <c:size val="7"/>
            <c:spPr>
              <a:solidFill>
                <a:sysClr val="window" lastClr="FFFFFF"/>
              </a:solidFill>
              <a:ln>
                <a:solidFill>
                  <a:schemeClr val="tx1">
                    <a:lumMod val="95000"/>
                    <a:lumOff val="5000"/>
                  </a:schemeClr>
                </a:solidFill>
              </a:ln>
            </c:spPr>
          </c:marker>
          <c:cat>
            <c:numRef>
              <c:f>'GRAF-příspěvky'!$M$34:$Y$34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'GRAF-příspěvky'!$M$45:$Y$45</c:f>
              <c:numCache>
                <c:formatCode>0.0</c:formatCode>
                <c:ptCount val="13"/>
                <c:pt idx="0">
                  <c:v>12.271683568470323</c:v>
                </c:pt>
                <c:pt idx="1">
                  <c:v>17.420204570346421</c:v>
                </c:pt>
                <c:pt idx="2">
                  <c:v>5.4443901185003813</c:v>
                </c:pt>
                <c:pt idx="3">
                  <c:v>8.134060611116448</c:v>
                </c:pt>
                <c:pt idx="4">
                  <c:v>-11.525480275990876</c:v>
                </c:pt>
                <c:pt idx="5">
                  <c:v>6.4507595626777379</c:v>
                </c:pt>
                <c:pt idx="6">
                  <c:v>6.5692649033253634</c:v>
                </c:pt>
                <c:pt idx="7">
                  <c:v>-2.8106221257253567</c:v>
                </c:pt>
                <c:pt idx="8">
                  <c:v>-4.5044681651180154</c:v>
                </c:pt>
                <c:pt idx="9">
                  <c:v>5.131249818341681</c:v>
                </c:pt>
                <c:pt idx="10">
                  <c:v>4.1498050949340834</c:v>
                </c:pt>
                <c:pt idx="11">
                  <c:v>1.922764680626768</c:v>
                </c:pt>
                <c:pt idx="12">
                  <c:v>8.9812228321572078</c:v>
                </c:pt>
              </c:numCache>
            </c:numRef>
          </c:val>
          <c:extLst xmlns:c16r2="http://schemas.microsoft.com/office/drawing/2015/06/chart">
            <c:ext xmlns:c16="http://schemas.microsoft.com/office/drawing/2014/chart" uri="{C3380CC4-5D6E-409C-BE32-E72D297353CC}">
              <c16:uniqueId val="{0000000A-C9A0-428A-B327-137E56B968BC}"/>
            </c:ext>
          </c:extLst>
        </c:ser>
        <c:marker val="1"/>
        <c:axId val="134353280"/>
        <c:axId val="134355200"/>
      </c:lineChart>
      <c:catAx>
        <c:axId val="134353280"/>
        <c:scaling>
          <c:orientation val="minMax"/>
        </c:scaling>
        <c:axPos val="b"/>
        <c:numFmt formatCode="General" sourceLinked="1"/>
        <c:tickLblPos val="low"/>
        <c:spPr>
          <a:noFill/>
        </c:spPr>
        <c:txPr>
          <a:bodyPr/>
          <a:lstStyle/>
          <a:p>
            <a:pPr>
              <a:defRPr sz="800">
                <a:latin typeface="Arial" pitchFamily="34" charset="0"/>
                <a:cs typeface="Arial" pitchFamily="34" charset="0"/>
              </a:defRPr>
            </a:pPr>
            <a:endParaRPr lang="cs-CZ"/>
          </a:p>
        </c:txPr>
        <c:crossAx val="134355200"/>
        <c:crosses val="autoZero"/>
        <c:auto val="1"/>
        <c:lblAlgn val="ctr"/>
        <c:lblOffset val="0"/>
      </c:catAx>
      <c:valAx>
        <c:axId val="134355200"/>
        <c:scaling>
          <c:orientation val="minMax"/>
          <c:max val="18"/>
          <c:min val="-12"/>
        </c:scaling>
        <c:axPos val="l"/>
        <c:majorGridlines>
          <c:spPr>
            <a:ln w="6350">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34353280"/>
        <c:crosses val="autoZero"/>
        <c:crossBetween val="between"/>
        <c:majorUnit val="2"/>
      </c:valAx>
      <c:spPr>
        <a:ln w="6350">
          <a:solidFill>
            <a:sysClr val="windowText" lastClr="000000">
              <a:lumMod val="95000"/>
              <a:lumOff val="5000"/>
            </a:sysClr>
          </a:solidFill>
        </a:ln>
      </c:spPr>
    </c:plotArea>
    <c:legend>
      <c:legendPos val="r"/>
      <c:layout>
        <c:manualLayout>
          <c:xMode val="edge"/>
          <c:yMode val="edge"/>
          <c:x val="5.7925442681670845E-2"/>
          <c:y val="0.77986228427736048"/>
          <c:w val="0.92580934578479601"/>
          <c:h val="0.20952475578595742"/>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9.2679912060213365E-2"/>
          <c:y val="1.6839105901964149E-2"/>
          <c:w val="0.87910494748351065"/>
          <c:h val="0.87771655328798182"/>
        </c:manualLayout>
      </c:layout>
      <c:scatterChart>
        <c:scatterStyle val="lineMarker"/>
        <c:ser>
          <c:idx val="0"/>
          <c:order val="0"/>
          <c:tx>
            <c:strRef>
              <c:f>'Graf-míra investic a zisku'!$C$56</c:f>
              <c:strCache>
                <c:ptCount val="1"/>
                <c:pt idx="0">
                  <c:v>Míra hrubého zisku nefinančních podniků</c:v>
                </c:pt>
              </c:strCache>
            </c:strRef>
          </c:tx>
          <c:spPr>
            <a:ln w="28575">
              <a:noFill/>
            </a:ln>
          </c:spPr>
          <c:marker>
            <c:symbol val="diamond"/>
            <c:size val="8"/>
            <c:spPr>
              <a:solidFill>
                <a:schemeClr val="bg2">
                  <a:lumMod val="75000"/>
                </a:schemeClr>
              </a:solidFill>
              <a:ln w="6350">
                <a:solidFill>
                  <a:schemeClr val="bg1">
                    <a:lumMod val="50000"/>
                  </a:schemeClr>
                </a:solidFill>
              </a:ln>
            </c:spPr>
          </c:marker>
          <c:dPt>
            <c:idx val="0"/>
            <c:marker>
              <c:spPr>
                <a:solidFill>
                  <a:srgbClr val="BFE3F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0-1670-4E79-8146-0C63D33D5102}"/>
              </c:ext>
            </c:extLst>
          </c:dPt>
          <c:dPt>
            <c:idx val="1"/>
            <c:marker>
              <c:spPr>
                <a:solidFill>
                  <a:srgbClr val="48AEE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1-1670-4E79-8146-0C63D33D5102}"/>
              </c:ext>
            </c:extLst>
          </c:dPt>
          <c:dPt>
            <c:idx val="2"/>
            <c:marker>
              <c:spPr>
                <a:solidFill>
                  <a:srgbClr val="FCCD8E"/>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2-1670-4E79-8146-0C63D33D5102}"/>
              </c:ext>
            </c:extLst>
          </c:dPt>
          <c:dPt>
            <c:idx val="3"/>
            <c:marker>
              <c:symbol val="square"/>
              <c:size val="9"/>
              <c:spPr>
                <a:solidFill>
                  <a:srgbClr val="D2E7B6"/>
                </a:solidFill>
                <a:ln w="12700">
                  <a:solidFill>
                    <a:schemeClr val="tx1">
                      <a:lumMod val="95000"/>
                      <a:lumOff val="5000"/>
                    </a:schemeClr>
                  </a:solidFill>
                </a:ln>
              </c:spPr>
            </c:marker>
            <c:extLst xmlns:c16r2="http://schemas.microsoft.com/office/drawing/2015/06/chart">
              <c:ext xmlns:c16="http://schemas.microsoft.com/office/drawing/2014/chart" uri="{C3380CC4-5D6E-409C-BE32-E72D297353CC}">
                <c16:uniqueId val="{00000003-1670-4E79-8146-0C63D33D5102}"/>
              </c:ext>
            </c:extLst>
          </c:dPt>
          <c:dPt>
            <c:idx val="4"/>
            <c:marker>
              <c:spPr>
                <a:solidFill>
                  <a:srgbClr val="BFE3F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4-1670-4E79-8146-0C63D33D5102}"/>
              </c:ext>
            </c:extLst>
          </c:dPt>
          <c:dPt>
            <c:idx val="5"/>
            <c:marker>
              <c:spPr>
                <a:solidFill>
                  <a:srgbClr val="48AEE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5-1670-4E79-8146-0C63D33D5102}"/>
              </c:ext>
            </c:extLst>
          </c:dPt>
          <c:dPt>
            <c:idx val="6"/>
            <c:marker>
              <c:spPr>
                <a:solidFill>
                  <a:srgbClr val="BFE3F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6-1670-4E79-8146-0C63D33D5102}"/>
              </c:ext>
            </c:extLst>
          </c:dPt>
          <c:dPt>
            <c:idx val="7"/>
            <c:marker>
              <c:spPr>
                <a:solidFill>
                  <a:srgbClr val="BFE3F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7-1670-4E79-8146-0C63D33D5102}"/>
              </c:ext>
            </c:extLst>
          </c:dPt>
          <c:dPt>
            <c:idx val="8"/>
            <c:marker>
              <c:spPr>
                <a:solidFill>
                  <a:srgbClr val="FCCD8E"/>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8-1670-4E79-8146-0C63D33D5102}"/>
              </c:ext>
            </c:extLst>
          </c:dPt>
          <c:dPt>
            <c:idx val="9"/>
            <c:marker>
              <c:spPr>
                <a:solidFill>
                  <a:srgbClr val="0071BD"/>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9-1670-4E79-8146-0C63D33D5102}"/>
              </c:ext>
            </c:extLst>
          </c:dPt>
          <c:dPt>
            <c:idx val="10"/>
            <c:marker>
              <c:spPr>
                <a:solidFill>
                  <a:srgbClr val="FFFF00"/>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A-1670-4E79-8146-0C63D33D5102}"/>
              </c:ext>
            </c:extLst>
          </c:dPt>
          <c:dPt>
            <c:idx val="11"/>
            <c:marker>
              <c:spPr>
                <a:solidFill>
                  <a:srgbClr val="F8A124"/>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B-1670-4E79-8146-0C63D33D5102}"/>
              </c:ext>
            </c:extLst>
          </c:dPt>
          <c:dPt>
            <c:idx val="12"/>
            <c:marker>
              <c:spPr>
                <a:solidFill>
                  <a:srgbClr val="FFFF00"/>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C-1670-4E79-8146-0C63D33D5102}"/>
              </c:ext>
            </c:extLst>
          </c:dPt>
          <c:dPt>
            <c:idx val="13"/>
            <c:marker>
              <c:spPr>
                <a:solidFill>
                  <a:srgbClr val="FCCD8E"/>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D-1670-4E79-8146-0C63D33D5102}"/>
              </c:ext>
            </c:extLst>
          </c:dPt>
          <c:dPt>
            <c:idx val="14"/>
            <c:marker>
              <c:spPr>
                <a:solidFill>
                  <a:srgbClr val="D2E7B6"/>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E-1670-4E79-8146-0C63D33D5102}"/>
              </c:ext>
            </c:extLst>
          </c:dPt>
          <c:dPt>
            <c:idx val="15"/>
            <c:marker>
              <c:spPr>
                <a:solidFill>
                  <a:srgbClr val="BFE3F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0F-1670-4E79-8146-0C63D33D5102}"/>
              </c:ext>
            </c:extLst>
          </c:dPt>
          <c:dPt>
            <c:idx val="16"/>
            <c:marker>
              <c:spPr>
                <a:solidFill>
                  <a:srgbClr val="FCCD8E"/>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0-1670-4E79-8146-0C63D33D5102}"/>
              </c:ext>
            </c:extLst>
          </c:dPt>
          <c:dPt>
            <c:idx val="17"/>
            <c:marker>
              <c:spPr>
                <a:solidFill>
                  <a:srgbClr val="FCCD8E"/>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1-1670-4E79-8146-0C63D33D5102}"/>
              </c:ext>
            </c:extLst>
          </c:dPt>
          <c:dPt>
            <c:idx val="18"/>
            <c:marker>
              <c:spPr>
                <a:solidFill>
                  <a:srgbClr val="D2E7B6"/>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2-1670-4E79-8146-0C63D33D5102}"/>
              </c:ext>
            </c:extLst>
          </c:dPt>
          <c:dPt>
            <c:idx val="19"/>
            <c:marker>
              <c:spPr>
                <a:solidFill>
                  <a:srgbClr val="BD1B21"/>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3-1670-4E79-8146-0C63D33D5102}"/>
              </c:ext>
            </c:extLst>
          </c:dPt>
          <c:dPt>
            <c:idx val="20"/>
            <c:marker>
              <c:spPr>
                <a:solidFill>
                  <a:srgbClr val="0071BD"/>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4-1670-4E79-8146-0C63D33D5102}"/>
              </c:ext>
            </c:extLst>
          </c:dPt>
          <c:dPt>
            <c:idx val="21"/>
            <c:marker>
              <c:spPr>
                <a:solidFill>
                  <a:srgbClr val="0071BD"/>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5-1670-4E79-8146-0C63D33D5102}"/>
              </c:ext>
            </c:extLst>
          </c:dPt>
          <c:dPt>
            <c:idx val="22"/>
            <c:marker>
              <c:spPr>
                <a:solidFill>
                  <a:srgbClr val="D2E7B6"/>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6-1670-4E79-8146-0C63D33D5102}"/>
              </c:ext>
            </c:extLst>
          </c:dPt>
          <c:dPt>
            <c:idx val="23"/>
            <c:marker>
              <c:spPr>
                <a:solidFill>
                  <a:srgbClr val="0071BD"/>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7-1670-4E79-8146-0C63D33D5102}"/>
              </c:ext>
            </c:extLst>
          </c:dPt>
          <c:dPt>
            <c:idx val="24"/>
            <c:marker>
              <c:spPr>
                <a:solidFill>
                  <a:srgbClr val="0071BC"/>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8-1670-4E79-8146-0C63D33D5102}"/>
              </c:ext>
            </c:extLst>
          </c:dPt>
          <c:dPt>
            <c:idx val="25"/>
            <c:marker>
              <c:spPr>
                <a:solidFill>
                  <a:srgbClr val="BFE3F7"/>
                </a:solidFill>
                <a:ln w="6350">
                  <a:solidFill>
                    <a:schemeClr val="bg1">
                      <a:lumMod val="50000"/>
                    </a:schemeClr>
                  </a:solidFill>
                </a:ln>
              </c:spPr>
            </c:marker>
            <c:extLst xmlns:c16r2="http://schemas.microsoft.com/office/drawing/2015/06/chart">
              <c:ext xmlns:c16="http://schemas.microsoft.com/office/drawing/2014/chart" uri="{C3380CC4-5D6E-409C-BE32-E72D297353CC}">
                <c16:uniqueId val="{00000019-1670-4E79-8146-0C63D33D5102}"/>
              </c:ext>
            </c:extLst>
          </c:dPt>
          <c:dLbls>
            <c:dLbl>
              <c:idx val="0"/>
              <c:layout>
                <c:manualLayout>
                  <c:x val="-1.8526399433990526E-2"/>
                  <c:y val="2.5238516965063892E-2"/>
                </c:manualLayout>
              </c:layout>
              <c:tx>
                <c:rich>
                  <a:bodyPr/>
                  <a:lstStyle/>
                  <a:p>
                    <a:r>
                      <a:rPr lang="en-US"/>
                      <a:t>Těžba a </a:t>
                    </a:r>
                    <a:endParaRPr lang="cs-CZ"/>
                  </a:p>
                  <a:p>
                    <a:r>
                      <a:rPr lang="en-US"/>
                      <a:t>dobývání</a:t>
                    </a:r>
                    <a:r>
                      <a:rPr lang="cs-CZ"/>
                      <a:t> (B)</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670-4E79-8146-0C63D33D5102}"/>
                </c:ext>
              </c:extLst>
            </c:dLbl>
            <c:dLbl>
              <c:idx val="1"/>
              <c:layout>
                <c:manualLayout>
                  <c:x val="7.3106913005799704E-2"/>
                  <c:y val="5.5404478458049904E-2"/>
                </c:manualLayout>
              </c:layout>
              <c:tx>
                <c:rich>
                  <a:bodyPr/>
                  <a:lstStyle/>
                  <a:p>
                    <a:r>
                      <a:rPr lang="cs-CZ"/>
                      <a:t>Potravinářs.</a:t>
                    </a:r>
                    <a:r>
                      <a:rPr lang="cs-CZ" baseline="0"/>
                      <a:t> </a:t>
                    </a:r>
                  </a:p>
                  <a:p>
                    <a:r>
                      <a:rPr lang="cs-CZ" baseline="0"/>
                      <a:t>průmysl (10)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70-4E79-8146-0C63D33D5102}"/>
                </c:ext>
              </c:extLst>
            </c:dLbl>
            <c:dLbl>
              <c:idx val="2"/>
              <c:layout>
                <c:manualLayout>
                  <c:x val="-7.9322547965158113E-2"/>
                  <c:y val="-4.2701048669388786E-2"/>
                </c:manualLayout>
              </c:layout>
              <c:tx>
                <c:rich>
                  <a:bodyPr/>
                  <a:lstStyle/>
                  <a:p>
                    <a:r>
                      <a:rPr lang="cs-CZ"/>
                      <a:t>Výroba</a:t>
                    </a:r>
                    <a:r>
                      <a:rPr lang="cs-CZ" baseline="0"/>
                      <a:t> </a:t>
                    </a:r>
                  </a:p>
                  <a:p>
                    <a:r>
                      <a:rPr lang="cs-CZ" baseline="0"/>
                      <a:t>nápojů (11)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70-4E79-8146-0C63D33D5102}"/>
                </c:ext>
              </c:extLst>
            </c:dLbl>
            <c:dLbl>
              <c:idx val="3"/>
              <c:layout>
                <c:manualLayout>
                  <c:x val="3.9798088343893576E-2"/>
                  <c:y val="-1.439937641723356E-2"/>
                </c:manualLayout>
              </c:layout>
              <c:tx>
                <c:rich>
                  <a:bodyPr/>
                  <a:lstStyle/>
                  <a:p>
                    <a:r>
                      <a:rPr lang="cs-CZ"/>
                      <a:t>PRŮMYSL</a:t>
                    </a:r>
                    <a:r>
                      <a:rPr lang="cs-CZ" baseline="0"/>
                      <a:t> (B až E)</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70-4E79-8146-0C63D33D5102}"/>
                </c:ext>
              </c:extLst>
            </c:dLbl>
            <c:dLbl>
              <c:idx val="4"/>
              <c:layout>
                <c:manualLayout>
                  <c:x val="7.6935161289850229E-2"/>
                  <c:y val="9.6987244897959193E-2"/>
                </c:manualLayout>
              </c:layout>
              <c:tx>
                <c:rich>
                  <a:bodyPr/>
                  <a:lstStyle/>
                  <a:p>
                    <a:r>
                      <a:rPr lang="cs-CZ"/>
                      <a:t>Textilní</a:t>
                    </a:r>
                    <a:r>
                      <a:rPr lang="cs-CZ" baseline="0"/>
                      <a:t> pr. (13)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670-4E79-8146-0C63D33D5102}"/>
                </c:ext>
              </c:extLst>
            </c:dLbl>
            <c:dLbl>
              <c:idx val="5"/>
              <c:layout>
                <c:manualLayout>
                  <c:x val="-0.13759001826279971"/>
                  <c:y val="1.0509920634920641E-2"/>
                </c:manualLayout>
              </c:layout>
              <c:tx>
                <c:rich>
                  <a:bodyPr/>
                  <a:lstStyle/>
                  <a:p>
                    <a:r>
                      <a:rPr lang="cs-CZ"/>
                      <a:t>Oděvní</a:t>
                    </a:r>
                    <a:r>
                      <a:rPr lang="cs-CZ" baseline="0"/>
                      <a:t> </a:t>
                    </a:r>
                  </a:p>
                  <a:p>
                    <a:r>
                      <a:rPr lang="cs-CZ" baseline="0"/>
                      <a:t>průmysl (14)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70-4E79-8146-0C63D33D5102}"/>
                </c:ext>
              </c:extLst>
            </c:dLbl>
            <c:dLbl>
              <c:idx val="6"/>
              <c:layout>
                <c:manualLayout>
                  <c:x val="-0.22485566817952687"/>
                  <c:y val="0"/>
                </c:manualLayout>
              </c:layout>
              <c:tx>
                <c:rich>
                  <a:bodyPr/>
                  <a:lstStyle/>
                  <a:p>
                    <a:r>
                      <a:rPr lang="cs-CZ"/>
                      <a:t>Kožedělný</a:t>
                    </a:r>
                    <a:r>
                      <a:rPr lang="cs-CZ" baseline="0"/>
                      <a:t> pr. (15)</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670-4E79-8146-0C63D33D5102}"/>
                </c:ext>
              </c:extLst>
            </c:dLbl>
            <c:dLbl>
              <c:idx val="7"/>
              <c:layout>
                <c:manualLayout>
                  <c:x val="-0.23824041339608573"/>
                  <c:y val="6.7670202932741301E-3"/>
                </c:manualLayout>
              </c:layout>
              <c:tx>
                <c:rich>
                  <a:bodyPr/>
                  <a:lstStyle/>
                  <a:p>
                    <a:r>
                      <a:rPr lang="cs-CZ"/>
                      <a:t>Dřevozprac.</a:t>
                    </a:r>
                    <a:r>
                      <a:rPr lang="cs-CZ" baseline="0"/>
                      <a:t>pr.(16)</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70-4E79-8146-0C63D33D5102}"/>
                </c:ext>
              </c:extLst>
            </c:dLbl>
            <c:dLbl>
              <c:idx val="8"/>
              <c:layout>
                <c:manualLayout>
                  <c:x val="-3.1828024407338104E-2"/>
                  <c:y val="-7.5636621315193636E-2"/>
                </c:manualLayout>
              </c:layout>
              <c:tx>
                <c:rich>
                  <a:bodyPr/>
                  <a:lstStyle/>
                  <a:p>
                    <a:r>
                      <a:rPr lang="cs-CZ"/>
                      <a:t>Papírenský</a:t>
                    </a:r>
                  </a:p>
                  <a:p>
                    <a:r>
                      <a:rPr lang="cs-CZ" baseline="0"/>
                      <a:t> prům. (17)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70-4E79-8146-0C63D33D5102}"/>
                </c:ext>
              </c:extLst>
            </c:dLbl>
            <c:dLbl>
              <c:idx val="9"/>
              <c:layout>
                <c:manualLayout>
                  <c:x val="-9.6600344094474502E-2"/>
                  <c:y val="0.12983985260770975"/>
                </c:manualLayout>
              </c:layout>
              <c:tx>
                <c:rich>
                  <a:bodyPr/>
                  <a:lstStyle/>
                  <a:p>
                    <a:r>
                      <a:rPr lang="en-US"/>
                      <a:t>Tisk</a:t>
                    </a:r>
                    <a:r>
                      <a:rPr lang="cs-CZ"/>
                      <a:t>ařský</a:t>
                    </a:r>
                    <a:r>
                      <a:rPr lang="cs-CZ" baseline="0"/>
                      <a:t> </a:t>
                    </a:r>
                  </a:p>
                  <a:p>
                    <a:r>
                      <a:rPr lang="cs-CZ" baseline="0"/>
                      <a:t>prům.</a:t>
                    </a:r>
                    <a:r>
                      <a:rPr lang="cs-CZ"/>
                      <a:t>(18)</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70-4E79-8146-0C63D33D5102}"/>
                </c:ext>
              </c:extLst>
            </c:dLbl>
            <c:dLbl>
              <c:idx val="10"/>
              <c:layout>
                <c:manualLayout>
                  <c:x val="-6.3407895378154486E-2"/>
                  <c:y val="-2.4743480725623612E-2"/>
                </c:manualLayout>
              </c:layout>
              <c:tx>
                <c:rich>
                  <a:bodyPr/>
                  <a:lstStyle/>
                  <a:p>
                    <a:r>
                      <a:rPr lang="en-US"/>
                      <a:t>(Petro)chemický pr. (19+20)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70-4E79-8146-0C63D33D5102}"/>
                </c:ext>
              </c:extLst>
            </c:dLbl>
            <c:dLbl>
              <c:idx val="11"/>
              <c:layout>
                <c:manualLayout>
                  <c:x val="-0.14522037789826425"/>
                  <c:y val="-3.2025793650793652E-2"/>
                </c:manualLayout>
              </c:layout>
              <c:tx>
                <c:rich>
                  <a:bodyPr/>
                  <a:lstStyle/>
                  <a:p>
                    <a:r>
                      <a:rPr lang="cs-CZ"/>
                      <a:t>Farmnaceut.</a:t>
                    </a:r>
                    <a:r>
                      <a:rPr lang="cs-CZ" baseline="0"/>
                      <a:t> </a:t>
                    </a:r>
                  </a:p>
                  <a:p>
                    <a:r>
                      <a:rPr lang="cs-CZ" baseline="0"/>
                      <a:t>průmysl (21)</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70-4E79-8146-0C63D33D5102}"/>
                </c:ext>
              </c:extLst>
            </c:dLbl>
            <c:dLbl>
              <c:idx val="12"/>
              <c:layout>
                <c:manualLayout>
                  <c:x val="-0.2443061834835864"/>
                  <c:y val="-3.227409297052198E-2"/>
                </c:manualLayout>
              </c:layout>
              <c:tx>
                <c:rich>
                  <a:bodyPr/>
                  <a:lstStyle/>
                  <a:p>
                    <a:r>
                      <a:rPr lang="cs-CZ"/>
                      <a:t>Gumárenství,</a:t>
                    </a:r>
                    <a:r>
                      <a:rPr lang="cs-CZ" baseline="0"/>
                      <a:t> </a:t>
                    </a:r>
                  </a:p>
                  <a:p>
                    <a:r>
                      <a:rPr lang="cs-CZ" baseline="0"/>
                      <a:t>plastikářství (22)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70-4E79-8146-0C63D33D5102}"/>
                </c:ext>
              </c:extLst>
            </c:dLbl>
            <c:dLbl>
              <c:idx val="13"/>
              <c:layout>
                <c:manualLayout>
                  <c:x val="-0.28804874308989098"/>
                  <c:y val="-2.78058390022679E-2"/>
                </c:manualLayout>
              </c:layout>
              <c:tx>
                <c:rich>
                  <a:bodyPr/>
                  <a:lstStyle/>
                  <a:p>
                    <a:r>
                      <a:rPr lang="en-US" spc="-20" baseline="0"/>
                      <a:t>Prům</a:t>
                    </a:r>
                    <a:r>
                      <a:rPr lang="cs-CZ" spc="-20" baseline="0"/>
                      <a:t>.</a:t>
                    </a:r>
                    <a:r>
                      <a:rPr lang="en-US" spc="-20" baseline="0"/>
                      <a:t> skla, keramiky, porcel</a:t>
                    </a:r>
                    <a:r>
                      <a:rPr lang="cs-CZ" spc="-20" baseline="0"/>
                      <a:t>., stav.</a:t>
                    </a:r>
                    <a:r>
                      <a:rPr lang="en-US" spc="-20" baseline="0"/>
                      <a:t>hmot</a:t>
                    </a:r>
                    <a:r>
                      <a:rPr lang="cs-CZ" spc="-20" baseline="0"/>
                      <a:t> (23)</a:t>
                    </a:r>
                    <a:endParaRPr lang="en-US" spc="-20" baseline="0"/>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70-4E79-8146-0C63D33D5102}"/>
                </c:ext>
              </c:extLst>
            </c:dLbl>
            <c:dLbl>
              <c:idx val="14"/>
              <c:layout>
                <c:manualLayout>
                  <c:x val="-6.2911094543445067E-2"/>
                  <c:y val="4.1460600907029514E-2"/>
                </c:manualLayout>
              </c:layout>
              <c:tx>
                <c:rich>
                  <a:bodyPr/>
                  <a:lstStyle/>
                  <a:p>
                    <a:r>
                      <a:rPr lang="cs-CZ"/>
                      <a:t>Hutnictví</a:t>
                    </a:r>
                    <a:r>
                      <a:rPr lang="cs-CZ" baseline="0"/>
                      <a:t> </a:t>
                    </a:r>
                  </a:p>
                  <a:p>
                    <a:r>
                      <a:rPr lang="cs-CZ" baseline="0"/>
                      <a:t>(24)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70-4E79-8146-0C63D33D5102}"/>
                </c:ext>
              </c:extLst>
            </c:dLbl>
            <c:dLbl>
              <c:idx val="15"/>
              <c:layout>
                <c:manualLayout>
                  <c:x val="-5.538620794234634E-2"/>
                  <c:y val="0.23696485260770991"/>
                </c:manualLayout>
              </c:layout>
              <c:tx>
                <c:rich>
                  <a:bodyPr/>
                  <a:lstStyle/>
                  <a:p>
                    <a:r>
                      <a:rPr lang="cs-CZ"/>
                      <a:t>Kovovýroba</a:t>
                    </a:r>
                    <a:r>
                      <a:rPr lang="cs-CZ" baseline="0"/>
                      <a:t> </a:t>
                    </a:r>
                  </a:p>
                  <a:p>
                    <a:r>
                      <a:rPr lang="cs-CZ" baseline="0"/>
                      <a:t>(25)</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70-4E79-8146-0C63D33D5102}"/>
                </c:ext>
              </c:extLst>
            </c:dLbl>
            <c:dLbl>
              <c:idx val="16"/>
              <c:layout>
                <c:manualLayout>
                  <c:x val="-2.6244047561795606E-2"/>
                  <c:y val="6.802352607709751E-2"/>
                </c:manualLayout>
              </c:layout>
              <c:tx>
                <c:rich>
                  <a:bodyPr/>
                  <a:lstStyle/>
                  <a:p>
                    <a:r>
                      <a:rPr lang="en-US"/>
                      <a:t>Výroba PC, elektronic. a optic. přístr</a:t>
                    </a:r>
                    <a:r>
                      <a:rPr lang="cs-CZ"/>
                      <a:t>ojů</a:t>
                    </a:r>
                    <a:r>
                      <a:rPr lang="en-US"/>
                      <a:t> (26)</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70-4E79-8146-0C63D33D5102}"/>
                </c:ext>
              </c:extLst>
            </c:dLbl>
            <c:dLbl>
              <c:idx val="17"/>
              <c:layout>
                <c:manualLayout>
                  <c:x val="-0.25151713585022534"/>
                  <c:y val="4.9631519274376419E-4"/>
                </c:manualLayout>
              </c:layout>
              <c:tx>
                <c:rich>
                  <a:bodyPr/>
                  <a:lstStyle/>
                  <a:p>
                    <a:r>
                      <a:rPr lang="en-US"/>
                      <a:t>Elektrotech</a:t>
                    </a:r>
                    <a:r>
                      <a:rPr lang="cs-CZ"/>
                      <a:t>.</a:t>
                    </a:r>
                    <a:r>
                      <a:rPr lang="cs-CZ" baseline="0"/>
                      <a:t>pr. (27)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670-4E79-8146-0C63D33D5102}"/>
                </c:ext>
              </c:extLst>
            </c:dLbl>
            <c:dLbl>
              <c:idx val="18"/>
              <c:layout>
                <c:manualLayout>
                  <c:x val="7.9579894453525812E-2"/>
                  <c:y val="0.1475901360544247"/>
                </c:manualLayout>
              </c:layout>
              <c:tx>
                <c:rich>
                  <a:bodyPr/>
                  <a:lstStyle/>
                  <a:p>
                    <a:r>
                      <a:rPr lang="cs-CZ"/>
                      <a:t>Strojírenství</a:t>
                    </a:r>
                    <a:r>
                      <a:rPr lang="cs-CZ" baseline="0"/>
                      <a:t> (28)</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70-4E79-8146-0C63D33D5102}"/>
                </c:ext>
              </c:extLst>
            </c:dLbl>
            <c:dLbl>
              <c:idx val="19"/>
              <c:layout>
                <c:manualLayout>
                  <c:x val="-1.5821171582094149E-2"/>
                  <c:y val="-3.3931405895691611E-3"/>
                </c:manualLayout>
              </c:layout>
              <c:tx>
                <c:rich>
                  <a:bodyPr/>
                  <a:lstStyle/>
                  <a:p>
                    <a:r>
                      <a:rPr lang="cs-CZ"/>
                      <a:t>Výroba</a:t>
                    </a:r>
                    <a:r>
                      <a:rPr lang="cs-CZ" baseline="0"/>
                      <a:t> motor. </a:t>
                    </a:r>
                  </a:p>
                  <a:p>
                    <a:r>
                      <a:rPr lang="cs-CZ" baseline="0"/>
                      <a:t>vozidel (29)</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670-4E79-8146-0C63D33D5102}"/>
                </c:ext>
              </c:extLst>
            </c:dLbl>
            <c:dLbl>
              <c:idx val="20"/>
              <c:layout>
                <c:manualLayout>
                  <c:x val="-4.9523491027016635E-2"/>
                  <c:y val="-2.5115646258503401E-2"/>
                </c:manualLayout>
              </c:layout>
              <c:tx>
                <c:rich>
                  <a:bodyPr/>
                  <a:lstStyle/>
                  <a:p>
                    <a:r>
                      <a:rPr lang="cs-CZ"/>
                      <a:t>Ost</a:t>
                    </a:r>
                    <a:r>
                      <a:rPr lang="cs-CZ" baseline="0"/>
                      <a:t>.dopr.prostř.(30)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670-4E79-8146-0C63D33D5102}"/>
                </c:ext>
              </c:extLst>
            </c:dLbl>
            <c:dLbl>
              <c:idx val="21"/>
              <c:layout>
                <c:manualLayout>
                  <c:x val="-0.23862051259391837"/>
                  <c:y val="3.7239229024943954E-3"/>
                </c:manualLayout>
              </c:layout>
              <c:tx>
                <c:rich>
                  <a:bodyPr/>
                  <a:lstStyle/>
                  <a:p>
                    <a:r>
                      <a:rPr lang="cs-CZ"/>
                      <a:t>Nábytkářský</a:t>
                    </a:r>
                    <a:r>
                      <a:rPr lang="cs-CZ" baseline="0"/>
                      <a:t> pr. (31)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70-4E79-8146-0C63D33D5102}"/>
                </c:ext>
              </c:extLst>
            </c:dLbl>
            <c:dLbl>
              <c:idx val="22"/>
              <c:layout>
                <c:manualLayout>
                  <c:x val="8.7650374135054221E-2"/>
                  <c:y val="7.1953231292517003E-2"/>
                </c:manualLayout>
              </c:layout>
              <c:tx>
                <c:rich>
                  <a:bodyPr/>
                  <a:lstStyle/>
                  <a:p>
                    <a:r>
                      <a:rPr lang="en-US"/>
                      <a:t> Os</a:t>
                    </a:r>
                    <a:r>
                      <a:rPr lang="cs-CZ"/>
                      <a:t>tat.</a:t>
                    </a:r>
                    <a:r>
                      <a:rPr lang="en-US"/>
                      <a:t>zprac</a:t>
                    </a:r>
                    <a:r>
                      <a:rPr lang="cs-CZ"/>
                      <a:t>.</a:t>
                    </a:r>
                    <a:r>
                      <a:rPr lang="en-US"/>
                      <a:t>pr</a:t>
                    </a:r>
                    <a:r>
                      <a:rPr lang="cs-CZ"/>
                      <a:t>.</a:t>
                    </a:r>
                    <a:r>
                      <a:rPr lang="cs-CZ" baseline="0"/>
                      <a:t> (32)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670-4E79-8146-0C63D33D5102}"/>
                </c:ext>
              </c:extLst>
            </c:dLbl>
            <c:dLbl>
              <c:idx val="23"/>
              <c:layout>
                <c:manualLayout>
                  <c:x val="-0.27543937413986735"/>
                  <c:y val="0.21259297052154194"/>
                </c:manualLayout>
              </c:layout>
              <c:tx>
                <c:rich>
                  <a:bodyPr/>
                  <a:lstStyle/>
                  <a:p>
                    <a:r>
                      <a:rPr lang="en-US"/>
                      <a:t>Opravy a instalace strojů a zaří</a:t>
                    </a:r>
                    <a:r>
                      <a:rPr lang="cs-CZ"/>
                      <a:t>z.(33)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670-4E79-8146-0C63D33D5102}"/>
                </c:ext>
              </c:extLst>
            </c:dLbl>
            <c:dLbl>
              <c:idx val="24"/>
              <c:layout>
                <c:manualLayout>
                  <c:x val="-1.3283148830047447E-2"/>
                  <c:y val="-3.5997732426304471E-3"/>
                </c:manualLayout>
              </c:layout>
              <c:tx>
                <c:rich>
                  <a:bodyPr/>
                  <a:lstStyle/>
                  <a:p>
                    <a:r>
                      <a:rPr lang="cs-CZ"/>
                      <a:t>Energetika</a:t>
                    </a:r>
                    <a:r>
                      <a:rPr lang="cs-CZ" baseline="0"/>
                      <a:t> (D)</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670-4E79-8146-0C63D33D5102}"/>
                </c:ext>
              </c:extLst>
            </c:dLbl>
            <c:dLbl>
              <c:idx val="25"/>
              <c:layout>
                <c:manualLayout>
                  <c:x val="0.18779532185508449"/>
                  <c:y val="1.7585317460317461E-2"/>
                </c:manualLayout>
              </c:layout>
              <c:tx>
                <c:rich>
                  <a:bodyPr/>
                  <a:lstStyle/>
                  <a:p>
                    <a:r>
                      <a:rPr lang="en-US"/>
                      <a:t>Zásobování vodou; </a:t>
                    </a:r>
                    <a:r>
                      <a:rPr lang="cs-CZ"/>
                      <a:t>práce</a:t>
                    </a:r>
                    <a:r>
                      <a:rPr lang="cs-CZ" baseline="0"/>
                      <a:t> s </a:t>
                    </a:r>
                    <a:r>
                      <a:rPr lang="en-US"/>
                      <a:t>odpadními vodami, odpady </a:t>
                    </a:r>
                    <a:endParaRPr lang="cs-CZ"/>
                  </a:p>
                  <a:p>
                    <a:r>
                      <a:rPr lang="en-US"/>
                      <a:t>a sanacemi</a:t>
                    </a:r>
                    <a:r>
                      <a:rPr lang="cs-CZ"/>
                      <a:t> (E)</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670-4E79-8146-0C63D33D5102}"/>
                </c:ext>
              </c:extLst>
            </c:dLbl>
            <c:spPr>
              <a:noFill/>
              <a:ln>
                <a:noFill/>
              </a:ln>
              <a:effectLst/>
            </c:spPr>
            <c:txPr>
              <a:bodyPr/>
              <a:lstStyle/>
              <a:p>
                <a:pPr>
                  <a:defRPr sz="700">
                    <a:latin typeface="Arial" pitchFamily="34" charset="0"/>
                    <a:cs typeface="Arial" pitchFamily="34" charset="0"/>
                  </a:defRPr>
                </a:pPr>
                <a:endParaRPr lang="cs-CZ"/>
              </a:p>
            </c:txPr>
            <c:showVal val="1"/>
            <c:extLst xmlns:c16r2="http://schemas.microsoft.com/office/drawing/2015/06/chart">
              <c:ext xmlns:c15="http://schemas.microsoft.com/office/drawing/2012/chart" uri="{CE6537A1-D6FC-4f65-9D91-7224C49458BB}">
                <c15:showLeaderLines val="0"/>
              </c:ext>
            </c:extLst>
          </c:dLbls>
          <c:xVal>
            <c:numRef>
              <c:f>'Graf-míra investic a zisku'!$B$57:$B$82</c:f>
              <c:numCache>
                <c:formatCode>0</c:formatCode>
                <c:ptCount val="26"/>
                <c:pt idx="0">
                  <c:v>31.62488674116581</c:v>
                </c:pt>
                <c:pt idx="1">
                  <c:v>24.083489838608589</c:v>
                </c:pt>
                <c:pt idx="2">
                  <c:v>18.941795483512532</c:v>
                </c:pt>
                <c:pt idx="3" formatCode="0.0">
                  <c:v>26.787564297553189</c:v>
                </c:pt>
                <c:pt idx="4" formatCode="0.0">
                  <c:v>24.158243938736092</c:v>
                </c:pt>
                <c:pt idx="5">
                  <c:v>10.627062706270618</c:v>
                </c:pt>
                <c:pt idx="6">
                  <c:v>16.792792792792689</c:v>
                </c:pt>
                <c:pt idx="7">
                  <c:v>16.051422005170789</c:v>
                </c:pt>
                <c:pt idx="8">
                  <c:v>21.937216408926727</c:v>
                </c:pt>
                <c:pt idx="9">
                  <c:v>19.194328948265284</c:v>
                </c:pt>
                <c:pt idx="10">
                  <c:v>35.334672159996089</c:v>
                </c:pt>
                <c:pt idx="11">
                  <c:v>16.156418832004114</c:v>
                </c:pt>
                <c:pt idx="12">
                  <c:v>20.305059445594928</c:v>
                </c:pt>
                <c:pt idx="13">
                  <c:v>19.577971057679935</c:v>
                </c:pt>
                <c:pt idx="14">
                  <c:v>23.908494514195013</c:v>
                </c:pt>
                <c:pt idx="15">
                  <c:v>20.91449646244169</c:v>
                </c:pt>
                <c:pt idx="16">
                  <c:v>54.092251822542615</c:v>
                </c:pt>
                <c:pt idx="17">
                  <c:v>21.612502610205627</c:v>
                </c:pt>
                <c:pt idx="18" formatCode="0.0">
                  <c:v>23.720689687018027</c:v>
                </c:pt>
                <c:pt idx="19">
                  <c:v>28.900478053020432</c:v>
                </c:pt>
                <c:pt idx="20">
                  <c:v>29.982918277442909</c:v>
                </c:pt>
                <c:pt idx="21">
                  <c:v>16.238520724745587</c:v>
                </c:pt>
                <c:pt idx="22" formatCode="0.0">
                  <c:v>24.489491727530183</c:v>
                </c:pt>
                <c:pt idx="23">
                  <c:v>18.102872411489695</c:v>
                </c:pt>
                <c:pt idx="24">
                  <c:v>37.535977886067649</c:v>
                </c:pt>
                <c:pt idx="25">
                  <c:v>27.130570758405035</c:v>
                </c:pt>
              </c:numCache>
            </c:numRef>
          </c:xVal>
          <c:yVal>
            <c:numRef>
              <c:f>'Graf-míra investic a zisku'!$C$57:$C$82</c:f>
              <c:numCache>
                <c:formatCode>0</c:formatCode>
                <c:ptCount val="26"/>
                <c:pt idx="0">
                  <c:v>49.625889652655246</c:v>
                </c:pt>
                <c:pt idx="1">
                  <c:v>40.379797142017864</c:v>
                </c:pt>
                <c:pt idx="2">
                  <c:v>65.973982091568743</c:v>
                </c:pt>
                <c:pt idx="3" formatCode="0.0">
                  <c:v>51.432878026762396</c:v>
                </c:pt>
                <c:pt idx="4" formatCode="0.0">
                  <c:v>36.6</c:v>
                </c:pt>
                <c:pt idx="5">
                  <c:v>28.03001876172609</c:v>
                </c:pt>
                <c:pt idx="6">
                  <c:v>38.355014687368794</c:v>
                </c:pt>
                <c:pt idx="7">
                  <c:v>46.066816095634444</c:v>
                </c:pt>
                <c:pt idx="8">
                  <c:v>56.12830401655593</c:v>
                </c:pt>
                <c:pt idx="9">
                  <c:v>37.019607843137244</c:v>
                </c:pt>
                <c:pt idx="10">
                  <c:v>62.463170300530663</c:v>
                </c:pt>
                <c:pt idx="11">
                  <c:v>60.024276755007044</c:v>
                </c:pt>
                <c:pt idx="12">
                  <c:v>53.222777137491263</c:v>
                </c:pt>
                <c:pt idx="13">
                  <c:v>47.411193357615105</c:v>
                </c:pt>
                <c:pt idx="14">
                  <c:v>31.093423426002808</c:v>
                </c:pt>
                <c:pt idx="15">
                  <c:v>38.745020803946097</c:v>
                </c:pt>
                <c:pt idx="16">
                  <c:v>67.676753725674359</c:v>
                </c:pt>
                <c:pt idx="17">
                  <c:v>42.095320786596012</c:v>
                </c:pt>
                <c:pt idx="18" formatCode="0.0">
                  <c:v>37.412265885973802</c:v>
                </c:pt>
                <c:pt idx="19">
                  <c:v>57.335168497909962</c:v>
                </c:pt>
                <c:pt idx="20">
                  <c:v>39.630082959335994</c:v>
                </c:pt>
                <c:pt idx="21">
                  <c:v>34.70500307746417</c:v>
                </c:pt>
                <c:pt idx="22" formatCode="0.0">
                  <c:v>37.607588266291934</c:v>
                </c:pt>
                <c:pt idx="23">
                  <c:v>36.591406519986144</c:v>
                </c:pt>
                <c:pt idx="24">
                  <c:v>76.043794005971904</c:v>
                </c:pt>
                <c:pt idx="25">
                  <c:v>46.799261457919194</c:v>
                </c:pt>
              </c:numCache>
            </c:numRef>
          </c:yVal>
          <c:extLst xmlns:c16r2="http://schemas.microsoft.com/office/drawing/2015/06/chart">
            <c:ext xmlns:c16="http://schemas.microsoft.com/office/drawing/2014/chart" uri="{C3380CC4-5D6E-409C-BE32-E72D297353CC}">
              <c16:uniqueId val="{0000001A-1670-4E79-8146-0C63D33D5102}"/>
            </c:ext>
          </c:extLst>
        </c:ser>
        <c:axId val="134497792"/>
        <c:axId val="134499328"/>
      </c:scatterChart>
      <c:valAx>
        <c:axId val="134497792"/>
        <c:scaling>
          <c:orientation val="minMax"/>
          <c:max val="60"/>
          <c:min val="0"/>
        </c:scaling>
        <c:axPos val="b"/>
        <c:numFmt formatCode="0" sourceLinked="0"/>
        <c:tickLblPos val="low"/>
        <c:txPr>
          <a:bodyPr/>
          <a:lstStyle/>
          <a:p>
            <a:pPr>
              <a:defRPr sz="800">
                <a:latin typeface="Arial" pitchFamily="34" charset="0"/>
                <a:cs typeface="Arial" pitchFamily="34" charset="0"/>
              </a:defRPr>
            </a:pPr>
            <a:endParaRPr lang="cs-CZ"/>
          </a:p>
        </c:txPr>
        <c:crossAx val="134499328"/>
        <c:crossesAt val="0"/>
        <c:crossBetween val="midCat"/>
      </c:valAx>
      <c:valAx>
        <c:axId val="134499328"/>
        <c:scaling>
          <c:orientation val="minMax"/>
          <c:max val="80"/>
          <c:min val="0"/>
        </c:scaling>
        <c:axPos val="l"/>
        <c:majorGridlines/>
        <c:numFmt formatCode="#,##0" sourceLinked="0"/>
        <c:tickLblPos val="nextTo"/>
        <c:txPr>
          <a:bodyPr/>
          <a:lstStyle/>
          <a:p>
            <a:pPr>
              <a:defRPr sz="800">
                <a:latin typeface="Arial" pitchFamily="34" charset="0"/>
                <a:cs typeface="Arial" pitchFamily="34" charset="0"/>
              </a:defRPr>
            </a:pPr>
            <a:endParaRPr lang="cs-CZ"/>
          </a:p>
        </c:txPr>
        <c:crossAx val="134497792"/>
        <c:crosses val="autoZero"/>
        <c:crossBetween val="midCat"/>
        <c:majorUnit val="10"/>
        <c:minorUnit val="0.4"/>
      </c:valAx>
      <c:spPr>
        <a:ln w="9525">
          <a:solidFill>
            <a:schemeClr val="tx1">
              <a:lumMod val="95000"/>
              <a:lumOff val="5000"/>
            </a:schemeClr>
          </a:solidFill>
        </a:ln>
      </c:spPr>
    </c:plotArea>
    <c:plotVisOnly val="1"/>
    <c:dispBlanksAs val="gap"/>
  </c:chart>
  <c:spPr>
    <a:ln>
      <a:noFill/>
    </a:ln>
  </c:spPr>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2290858963379545E-2"/>
          <c:y val="1.969125589257158E-2"/>
          <c:w val="0.89226732269299447"/>
          <c:h val="0.73679623486813572"/>
        </c:manualLayout>
      </c:layout>
      <c:barChart>
        <c:barDir val="col"/>
        <c:grouping val="stacked"/>
        <c:ser>
          <c:idx val="0"/>
          <c:order val="0"/>
          <c:tx>
            <c:strRef>
              <c:f>'Eenrgetika-graf'!$B$91</c:f>
              <c:strCache>
                <c:ptCount val="1"/>
                <c:pt idx="0">
                  <c:v>Větrné a fotovoltaické elektrárny</c:v>
                </c:pt>
              </c:strCache>
            </c:strRef>
          </c:tx>
          <c:spPr>
            <a:solidFill>
              <a:srgbClr val="D2E7B6"/>
            </a:solidFill>
            <a:ln>
              <a:noFill/>
            </a:ln>
          </c:spP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'Eenrgetika-graf'!$B$92:$B$104</c:f>
              <c:numCache>
                <c:formatCode>0.0</c:formatCode>
                <c:ptCount val="13"/>
                <c:pt idx="0">
                  <c:v>1.3517823962358781E-2</c:v>
                </c:pt>
                <c:pt idx="1">
                  <c:v>3.4149283228342417E-2</c:v>
                </c:pt>
                <c:pt idx="2">
                  <c:v>9.1630127227187025E-2</c:v>
                </c:pt>
                <c:pt idx="3">
                  <c:v>0.1484825694868887</c:v>
                </c:pt>
                <c:pt idx="4">
                  <c:v>0.14284619547777797</c:v>
                </c:pt>
                <c:pt idx="5">
                  <c:v>0.69823708206687063</c:v>
                </c:pt>
                <c:pt idx="6">
                  <c:v>1.820253992719461</c:v>
                </c:pt>
                <c:pt idx="7">
                  <c:v>8.6340203242140659E-2</c:v>
                </c:pt>
                <c:pt idx="8">
                  <c:v>-4.7845414776353387E-2</c:v>
                </c:pt>
                <c:pt idx="9">
                  <c:v>5.8462135717149102E-2</c:v>
                </c:pt>
                <c:pt idx="10">
                  <c:v>0.27557050070113509</c:v>
                </c:pt>
                <c:pt idx="11">
                  <c:v>-0.2478295543001853</c:v>
                </c:pt>
                <c:pt idx="12">
                  <c:v>0.1871505932037543</c:v>
                </c:pt>
              </c:numCache>
            </c:numRef>
          </c:val>
          <c:extLst xmlns:c16r2="http://schemas.microsoft.com/office/drawing/2015/06/chart">
            <c:ext xmlns:c16="http://schemas.microsoft.com/office/drawing/2014/chart" uri="{C3380CC4-5D6E-409C-BE32-E72D297353CC}">
              <c16:uniqueId val="{00000000-F664-4047-A5CD-D89702DD5605}"/>
            </c:ext>
          </c:extLst>
        </c:ser>
        <c:ser>
          <c:idx val="1"/>
          <c:order val="1"/>
          <c:tx>
            <c:strRef>
              <c:f>'Eenrgetika-graf'!$C$91</c:f>
              <c:strCache>
                <c:ptCount val="1"/>
                <c:pt idx="0">
                  <c:v>Vodní a přečerpávací  elektrárny</c:v>
                </c:pt>
              </c:strCache>
            </c:strRef>
          </c:tx>
          <c:spPr>
            <a:solidFill>
              <a:srgbClr val="BFE3F7"/>
            </a:solidFill>
            <a:ln>
              <a:noFill/>
            </a:ln>
          </c:spP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'Eenrgetika-graf'!$C$92:$C$104</c:f>
              <c:numCache>
                <c:formatCode>0.0</c:formatCode>
                <c:ptCount val="13"/>
                <c:pt idx="0">
                  <c:v>0.55043630555499456</c:v>
                </c:pt>
                <c:pt idx="1">
                  <c:v>0.27888581303146764</c:v>
                </c:pt>
                <c:pt idx="2">
                  <c:v>-0.86959717120135116</c:v>
                </c:pt>
                <c:pt idx="3">
                  <c:v>-0.16745471111222357</c:v>
                </c:pt>
                <c:pt idx="4">
                  <c:v>0.72608493661125662</c:v>
                </c:pt>
                <c:pt idx="5">
                  <c:v>0.48376899696049236</c:v>
                </c:pt>
                <c:pt idx="6">
                  <c:v>-0.63515642007402062</c:v>
                </c:pt>
                <c:pt idx="7">
                  <c:v>0.14607026447975965</c:v>
                </c:pt>
                <c:pt idx="8">
                  <c:v>0.91214599817066788</c:v>
                </c:pt>
                <c:pt idx="9">
                  <c:v>-0.92000335381996656</c:v>
                </c:pt>
                <c:pt idx="10">
                  <c:v>0.12801819462951508</c:v>
                </c:pt>
                <c:pt idx="11">
                  <c:v>0.15639844888977786</c:v>
                </c:pt>
                <c:pt idx="12">
                  <c:v>-0.19447335534963758</c:v>
                </c:pt>
              </c:numCache>
            </c:numRef>
          </c:val>
          <c:extLst xmlns:c16r2="http://schemas.microsoft.com/office/drawing/2015/06/chart">
            <c:ext xmlns:c16="http://schemas.microsoft.com/office/drawing/2014/chart" uri="{C3380CC4-5D6E-409C-BE32-E72D297353CC}">
              <c16:uniqueId val="{00000001-F664-4047-A5CD-D89702DD5605}"/>
            </c:ext>
          </c:extLst>
        </c:ser>
        <c:ser>
          <c:idx val="2"/>
          <c:order val="2"/>
          <c:tx>
            <c:strRef>
              <c:f>'Eenrgetika-graf'!$D$91</c:f>
              <c:strCache>
                <c:ptCount val="1"/>
                <c:pt idx="0">
                  <c:v>(Paro-)plynové a spalovací  elektrárny</c:v>
                </c:pt>
              </c:strCache>
            </c:strRef>
          </c:tx>
          <c:spPr>
            <a:solidFill>
              <a:srgbClr val="FDDEB3"/>
            </a:solidFill>
            <a:ln>
              <a:noFill/>
            </a:ln>
          </c:spP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'Eenrgetika-graf'!$D$92:$D$104</c:f>
              <c:numCache>
                <c:formatCode>0.0</c:formatCode>
                <c:ptCount val="13"/>
                <c:pt idx="0">
                  <c:v>4.8379580496863167E-2</c:v>
                </c:pt>
                <c:pt idx="1">
                  <c:v>-6.4544567236548139E-2</c:v>
                </c:pt>
                <c:pt idx="2">
                  <c:v>-0.16500535200549293</c:v>
                </c:pt>
                <c:pt idx="3">
                  <c:v>0.72684887496336903</c:v>
                </c:pt>
                <c:pt idx="4">
                  <c:v>0.13470408207250567</c:v>
                </c:pt>
                <c:pt idx="5">
                  <c:v>0.45617021276595832</c:v>
                </c:pt>
                <c:pt idx="6">
                  <c:v>0.41292152162803408</c:v>
                </c:pt>
                <c:pt idx="7">
                  <c:v>0.54819176661676761</c:v>
                </c:pt>
                <c:pt idx="8">
                  <c:v>0.95610896878855767</c:v>
                </c:pt>
                <c:pt idx="9">
                  <c:v>0.49009417112981996</c:v>
                </c:pt>
                <c:pt idx="10">
                  <c:v>0.72322722124939265</c:v>
                </c:pt>
                <c:pt idx="11">
                  <c:v>1.5997463293451109</c:v>
                </c:pt>
                <c:pt idx="12">
                  <c:v>-0.26542011646793168</c:v>
                </c:pt>
              </c:numCache>
            </c:numRef>
          </c:val>
          <c:extLst xmlns:c16r2="http://schemas.microsoft.com/office/drawing/2015/06/chart">
            <c:ext xmlns:c16="http://schemas.microsoft.com/office/drawing/2014/chart" uri="{C3380CC4-5D6E-409C-BE32-E72D297353CC}">
              <c16:uniqueId val="{00000002-F664-4047-A5CD-D89702DD5605}"/>
            </c:ext>
          </c:extLst>
        </c:ser>
        <c:ser>
          <c:idx val="3"/>
          <c:order val="3"/>
          <c:tx>
            <c:strRef>
              <c:f>'Eenrgetika-graf'!$E$91</c:f>
              <c:strCache>
                <c:ptCount val="1"/>
                <c:pt idx="0">
                  <c:v>Parní elektrárny</c:v>
                </c:pt>
              </c:strCache>
            </c:strRef>
          </c:tx>
          <c:spPr>
            <a:solidFill>
              <a:srgbClr val="BABABA"/>
            </a:solidFill>
            <a:ln>
              <a:noFill/>
            </a:ln>
          </c:spP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'Eenrgetika-graf'!$E$92:$E$104</c:f>
              <c:numCache>
                <c:formatCode>0.0</c:formatCode>
                <c:ptCount val="13"/>
                <c:pt idx="0">
                  <c:v>-0.79897454261731393</c:v>
                </c:pt>
                <c:pt idx="1">
                  <c:v>0.31267180601270378</c:v>
                </c:pt>
                <c:pt idx="2">
                  <c:v>5.136028657826075</c:v>
                </c:pt>
                <c:pt idx="3">
                  <c:v>-6.2589890461443298</c:v>
                </c:pt>
                <c:pt idx="4">
                  <c:v>-3.3064164643111953</c:v>
                </c:pt>
                <c:pt idx="5">
                  <c:v>1.8508206686930075</c:v>
                </c:pt>
                <c:pt idx="6">
                  <c:v>-7.799758091081679E-3</c:v>
                </c:pt>
                <c:pt idx="7">
                  <c:v>-3.097283481384737</c:v>
                </c:pt>
                <c:pt idx="8">
                  <c:v>-2.8821438399884367</c:v>
                </c:pt>
                <c:pt idx="9">
                  <c:v>-0.36490020662747097</c:v>
                </c:pt>
                <c:pt idx="10">
                  <c:v>0.46498161700583607</c:v>
                </c:pt>
                <c:pt idx="11">
                  <c:v>1.054855087062214</c:v>
                </c:pt>
                <c:pt idx="12">
                  <c:v>-0.32700334566198491</c:v>
                </c:pt>
              </c:numCache>
            </c:numRef>
          </c:val>
          <c:extLst xmlns:c16r2="http://schemas.microsoft.com/office/drawing/2015/06/chart">
            <c:ext xmlns:c16="http://schemas.microsoft.com/office/drawing/2014/chart" uri="{C3380CC4-5D6E-409C-BE32-E72D297353CC}">
              <c16:uniqueId val="{00000003-F664-4047-A5CD-D89702DD5605}"/>
            </c:ext>
          </c:extLst>
        </c:ser>
        <c:ser>
          <c:idx val="4"/>
          <c:order val="4"/>
          <c:tx>
            <c:strRef>
              <c:f>'Eenrgetika-graf'!$F$91</c:f>
              <c:strCache>
                <c:ptCount val="1"/>
                <c:pt idx="0">
                  <c:v>Jaderné elektrárny</c:v>
                </c:pt>
              </c:strCache>
            </c:strRef>
          </c:tx>
          <c:spPr>
            <a:solidFill>
              <a:srgbClr val="C3B0EA"/>
            </a:solidFill>
            <a:ln>
              <a:noFill/>
            </a:ln>
          </c:spP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'Eenrgetika-graf'!$F$92:$F$104</c:f>
              <c:numCache>
                <c:formatCode>0.0</c:formatCode>
                <c:ptCount val="13"/>
                <c:pt idx="0">
                  <c:v>-1.8937997061651819</c:v>
                </c:pt>
                <c:pt idx="1">
                  <c:v>1.5971450230447228</c:v>
                </c:pt>
                <c:pt idx="2">
                  <c:v>0.14888413945323017</c:v>
                </c:pt>
                <c:pt idx="3">
                  <c:v>0.43045176418196496</c:v>
                </c:pt>
                <c:pt idx="4">
                  <c:v>0.78643236537972916</c:v>
                </c:pt>
                <c:pt idx="5">
                  <c:v>0.94881458966565657</c:v>
                </c:pt>
                <c:pt idx="6">
                  <c:v>0.34272369880826636</c:v>
                </c:pt>
                <c:pt idx="7">
                  <c:v>2.331642314009938</c:v>
                </c:pt>
                <c:pt idx="8">
                  <c:v>0.48085212797905885</c:v>
                </c:pt>
                <c:pt idx="9">
                  <c:v>-0.48285818969527683</c:v>
                </c:pt>
                <c:pt idx="10">
                  <c:v>-4.0511189092524278</c:v>
                </c:pt>
                <c:pt idx="11">
                  <c:v>-3.262195085607948</c:v>
                </c:pt>
                <c:pt idx="12">
                  <c:v>5.0843978348633003</c:v>
                </c:pt>
              </c:numCache>
            </c:numRef>
          </c:val>
          <c:extLst xmlns:c16r2="http://schemas.microsoft.com/office/drawing/2015/06/chart">
            <c:ext xmlns:c16="http://schemas.microsoft.com/office/drawing/2014/chart" uri="{C3380CC4-5D6E-409C-BE32-E72D297353CC}">
              <c16:uniqueId val="{00000004-F664-4047-A5CD-D89702DD5605}"/>
            </c:ext>
          </c:extLst>
        </c:ser>
        <c:gapWidth val="72"/>
        <c:overlap val="100"/>
        <c:axId val="151116416"/>
        <c:axId val="151212416"/>
      </c:barChart>
      <c:lineChart>
        <c:grouping val="standard"/>
        <c:ser>
          <c:idx val="5"/>
          <c:order val="5"/>
          <c:tx>
            <c:strRef>
              <c:f>'Eenrgetika-graf'!$G$91</c:f>
              <c:strCache>
                <c:ptCount val="1"/>
                <c:pt idx="0">
                  <c:v>Tuzemská výroba elektřiny celkem</c:v>
                </c:pt>
              </c:strCache>
            </c:strRef>
          </c:tx>
          <c:spPr>
            <a:ln>
              <a:noFill/>
            </a:ln>
          </c:spPr>
          <c:marker>
            <c:symbol val="diamond"/>
            <c:size val="8"/>
            <c:spPr>
              <a:solidFill>
                <a:schemeClr val="bg1"/>
              </a:solidFill>
              <a:ln>
                <a:solidFill>
                  <a:sysClr val="windowText" lastClr="000000"/>
                </a:solidFill>
              </a:ln>
            </c:spPr>
          </c:marke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'Eenrgetika-graf'!$G$92:$G$104</c:f>
              <c:numCache>
                <c:formatCode>0.0</c:formatCode>
                <c:ptCount val="13"/>
                <c:pt idx="0">
                  <c:v>-2.0804405387682863</c:v>
                </c:pt>
                <c:pt idx="1">
                  <c:v>2.1583073580806786</c:v>
                </c:pt>
                <c:pt idx="2">
                  <c:v>4.3419404012996834</c:v>
                </c:pt>
                <c:pt idx="3">
                  <c:v>-5.1206605486243575</c:v>
                </c:pt>
                <c:pt idx="4">
                  <c:v>-1.51634888476994</c:v>
                </c:pt>
                <c:pt idx="5">
                  <c:v>4.4378115501519755</c:v>
                </c:pt>
                <c:pt idx="6">
                  <c:v>1.9330594492905373</c:v>
                </c:pt>
                <c:pt idx="7">
                  <c:v>1.496106696390598E-2</c:v>
                </c:pt>
                <c:pt idx="8">
                  <c:v>-0.58099634936058919</c:v>
                </c:pt>
                <c:pt idx="9">
                  <c:v>-1.2192054432957491</c:v>
                </c:pt>
                <c:pt idx="10">
                  <c:v>-2.4593213756665402</c:v>
                </c:pt>
                <c:pt idx="11">
                  <c:v>-0.69902477461101864</c:v>
                </c:pt>
                <c:pt idx="12">
                  <c:v>4.4845315653063835</c:v>
                </c:pt>
              </c:numCache>
            </c:numRef>
          </c:val>
          <c:extLst xmlns:c16r2="http://schemas.microsoft.com/office/drawing/2015/06/chart">
            <c:ext xmlns:c16="http://schemas.microsoft.com/office/drawing/2014/chart" uri="{C3380CC4-5D6E-409C-BE32-E72D297353CC}">
              <c16:uniqueId val="{00000005-F664-4047-A5CD-D89702DD5605}"/>
            </c:ext>
          </c:extLst>
        </c:ser>
        <c:marker val="1"/>
        <c:axId val="151116416"/>
        <c:axId val="151212416"/>
      </c:lineChart>
      <c:lineChart>
        <c:grouping val="standard"/>
        <c:ser>
          <c:idx val="6"/>
          <c:order val="6"/>
          <c:tx>
            <c:strRef>
              <c:f>'Eenrgetika-graf'!$H$91</c:f>
              <c:strCache>
                <c:ptCount val="1"/>
                <c:pt idx="0">
                  <c:v>Spotřeba elektř.(velkoodběr), 2005=100</c:v>
                </c:pt>
              </c:strCache>
            </c:strRef>
          </c:tx>
          <c:spPr>
            <a:ln w="22225">
              <a:solidFill>
                <a:srgbClr val="808080"/>
              </a:solidFill>
            </a:ln>
          </c:spPr>
          <c:marker>
            <c:symbol val="none"/>
          </c:marke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'Eenrgetika-graf'!$H$92:$H$104</c:f>
              <c:numCache>
                <c:formatCode>#,##0</c:formatCode>
                <c:ptCount val="13"/>
                <c:pt idx="0">
                  <c:v>100</c:v>
                </c:pt>
                <c:pt idx="1">
                  <c:v>97.666364577938879</c:v>
                </c:pt>
                <c:pt idx="2">
                  <c:v>105.97617814603746</c:v>
                </c:pt>
                <c:pt idx="3">
                  <c:v>104.04971517348405</c:v>
                </c:pt>
                <c:pt idx="4">
                  <c:v>94.939150699120631</c:v>
                </c:pt>
                <c:pt idx="5">
                  <c:v>95.690056965303327</c:v>
                </c:pt>
                <c:pt idx="6">
                  <c:v>99.398627654065237</c:v>
                </c:pt>
                <c:pt idx="7">
                  <c:v>98.39687985499738</c:v>
                </c:pt>
                <c:pt idx="8">
                  <c:v>99.323537027445639</c:v>
                </c:pt>
                <c:pt idx="9">
                  <c:v>96.626100466079748</c:v>
                </c:pt>
                <c:pt idx="10">
                  <c:v>99.205398757119426</c:v>
                </c:pt>
                <c:pt idx="11">
                  <c:v>101.06097876747798</c:v>
                </c:pt>
                <c:pt idx="12">
                  <c:v>103.55256343863284</c:v>
                </c:pt>
              </c:numCache>
            </c:numRef>
          </c:val>
          <c:extLst xmlns:c16r2="http://schemas.microsoft.com/office/drawing/2015/06/chart">
            <c:ext xmlns:c16="http://schemas.microsoft.com/office/drawing/2014/chart" uri="{C3380CC4-5D6E-409C-BE32-E72D297353CC}">
              <c16:uniqueId val="{00000006-F664-4047-A5CD-D89702DD5605}"/>
            </c:ext>
          </c:extLst>
        </c:ser>
        <c:ser>
          <c:idx val="7"/>
          <c:order val="7"/>
          <c:tx>
            <c:strRef>
              <c:f>'Eenrgetika-graf'!$I$91</c:f>
              <c:strCache>
                <c:ptCount val="1"/>
              </c:strCache>
            </c:strRef>
          </c:tx>
          <c:spPr>
            <a:ln w="22225">
              <a:noFill/>
            </a:ln>
          </c:spPr>
          <c:marker>
            <c:symbol val="none"/>
          </c:marke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'Eenrgetika-graf'!$I$92:$I$104</c:f>
              <c:numCache>
                <c:formatCode>General</c:formatCode>
                <c:ptCount val="13"/>
              </c:numCache>
            </c:numRef>
          </c:val>
          <c:extLst xmlns:c16r2="http://schemas.microsoft.com/office/drawing/2015/06/chart">
            <c:ext xmlns:c16="http://schemas.microsoft.com/office/drawing/2014/chart" uri="{C3380CC4-5D6E-409C-BE32-E72D297353CC}">
              <c16:uniqueId val="{00000007-F664-4047-A5CD-D89702DD5605}"/>
            </c:ext>
          </c:extLst>
        </c:ser>
        <c:ser>
          <c:idx val="8"/>
          <c:order val="8"/>
          <c:tx>
            <c:strRef>
              <c:f>'Eenrgetika-graf'!$J$91</c:f>
              <c:strCache>
                <c:ptCount val="1"/>
                <c:pt idx="0">
                  <c:v>Maloodběr (podnikatelé), 2005=100</c:v>
                </c:pt>
              </c:strCache>
            </c:strRef>
          </c:tx>
          <c:spPr>
            <a:ln w="22225">
              <a:solidFill>
                <a:srgbClr val="BD1B21"/>
              </a:solidFill>
            </a:ln>
          </c:spPr>
          <c:marker>
            <c:symbol val="none"/>
          </c:marke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'Eenrgetika-graf'!$J$92:$J$104</c:f>
              <c:numCache>
                <c:formatCode>#,##0</c:formatCode>
                <c:ptCount val="13"/>
                <c:pt idx="0">
                  <c:v>100</c:v>
                </c:pt>
                <c:pt idx="1">
                  <c:v>102.06355234839852</c:v>
                </c:pt>
                <c:pt idx="2">
                  <c:v>100.23673882769826</c:v>
                </c:pt>
                <c:pt idx="3">
                  <c:v>107.23382706671732</c:v>
                </c:pt>
                <c:pt idx="4">
                  <c:v>106.21724268894953</c:v>
                </c:pt>
                <c:pt idx="5">
                  <c:v>107.33257374351165</c:v>
                </c:pt>
                <c:pt idx="6">
                  <c:v>101.9179642992801</c:v>
                </c:pt>
                <c:pt idx="7">
                  <c:v>102.55222180022787</c:v>
                </c:pt>
                <c:pt idx="8">
                  <c:v>103.45613368780934</c:v>
                </c:pt>
                <c:pt idx="9">
                  <c:v>97.907330041777527</c:v>
                </c:pt>
                <c:pt idx="10">
                  <c:v>98.742878845422226</c:v>
                </c:pt>
                <c:pt idx="11">
                  <c:v>101.62425623496645</c:v>
                </c:pt>
                <c:pt idx="12">
                  <c:v>102.65856437523739</c:v>
                </c:pt>
              </c:numCache>
            </c:numRef>
          </c:val>
          <c:extLst xmlns:c16r2="http://schemas.microsoft.com/office/drawing/2015/06/chart">
            <c:ext xmlns:c16="http://schemas.microsoft.com/office/drawing/2014/chart" uri="{C3380CC4-5D6E-409C-BE32-E72D297353CC}">
              <c16:uniqueId val="{00000008-F664-4047-A5CD-D89702DD5605}"/>
            </c:ext>
          </c:extLst>
        </c:ser>
        <c:ser>
          <c:idx val="9"/>
          <c:order val="9"/>
          <c:tx>
            <c:strRef>
              <c:f>'Eenrgetika-graf'!$K$91</c:f>
              <c:strCache>
                <c:ptCount val="1"/>
                <c:pt idx="0">
                  <c:v>Maloodběr (domácnosti), 2005=100</c:v>
                </c:pt>
              </c:strCache>
            </c:strRef>
          </c:tx>
          <c:spPr>
            <a:ln w="22225">
              <a:solidFill>
                <a:srgbClr val="0071BC"/>
              </a:solidFill>
            </a:ln>
          </c:spPr>
          <c:marker>
            <c:symbol val="none"/>
          </c:marker>
          <c:cat>
            <c:numRef>
              <c:f>'Eenrgetika-graf'!$A$92:$A$104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'Eenrgetika-graf'!$K$92:$K$104</c:f>
              <c:numCache>
                <c:formatCode>#,##0</c:formatCode>
                <c:ptCount val="13"/>
                <c:pt idx="0">
                  <c:v>100</c:v>
                </c:pt>
                <c:pt idx="1">
                  <c:v>103.25429716692712</c:v>
                </c:pt>
                <c:pt idx="2">
                  <c:v>99.502683606223243</c:v>
                </c:pt>
                <c:pt idx="3">
                  <c:v>99.890617569128366</c:v>
                </c:pt>
                <c:pt idx="4">
                  <c:v>99.783952714178952</c:v>
                </c:pt>
                <c:pt idx="5">
                  <c:v>102.09593043005565</c:v>
                </c:pt>
                <c:pt idx="6">
                  <c:v>96.475983422786058</c:v>
                </c:pt>
                <c:pt idx="7">
                  <c:v>99.060398124872549</c:v>
                </c:pt>
                <c:pt idx="8">
                  <c:v>99.979618180582918</c:v>
                </c:pt>
                <c:pt idx="9">
                  <c:v>95.961682179495881</c:v>
                </c:pt>
                <c:pt idx="10">
                  <c:v>97.709762891500759</c:v>
                </c:pt>
                <c:pt idx="11">
                  <c:v>100.68007337454887</c:v>
                </c:pt>
                <c:pt idx="12">
                  <c:v>103.34465656634377</c:v>
                </c:pt>
              </c:numCache>
            </c:numRef>
          </c:val>
          <c:extLst xmlns:c16r2="http://schemas.microsoft.com/office/drawing/2015/06/chart">
            <c:ext xmlns:c16="http://schemas.microsoft.com/office/drawing/2014/chart" uri="{C3380CC4-5D6E-409C-BE32-E72D297353CC}">
              <c16:uniqueId val="{00000009-F664-4047-A5CD-D89702DD5605}"/>
            </c:ext>
          </c:extLst>
        </c:ser>
        <c:marker val="1"/>
        <c:axId val="151215488"/>
        <c:axId val="151213952"/>
      </c:lineChart>
      <c:catAx>
        <c:axId val="151116416"/>
        <c:scaling>
          <c:orientation val="minMax"/>
        </c:scaling>
        <c:axPos val="b"/>
        <c:numFmt formatCode="General" sourceLinked="1"/>
        <c:majorTickMark val="none"/>
        <c:tickLblPos val="low"/>
        <c:txPr>
          <a:bodyPr/>
          <a:lstStyle/>
          <a:p>
            <a:pPr>
              <a:defRPr sz="800">
                <a:latin typeface="Arial" pitchFamily="34" charset="0"/>
                <a:cs typeface="Arial" pitchFamily="34" charset="0"/>
              </a:defRPr>
            </a:pPr>
            <a:endParaRPr lang="cs-CZ"/>
          </a:p>
        </c:txPr>
        <c:crossAx val="151212416"/>
        <c:crosses val="autoZero"/>
        <c:auto val="1"/>
        <c:lblAlgn val="ctr"/>
        <c:lblOffset val="10"/>
      </c:catAx>
      <c:valAx>
        <c:axId val="151212416"/>
        <c:scaling>
          <c:orientation val="minMax"/>
          <c:min val="-7"/>
        </c:scaling>
        <c:axPos val="l"/>
        <c:majorGridlines>
          <c:spPr>
            <a:ln w="6350">
              <a:solidFill>
                <a:schemeClr val="bg1">
                  <a:lumMod val="65000"/>
                </a:scheme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51116416"/>
        <c:crosses val="autoZero"/>
        <c:crossBetween val="between"/>
        <c:majorUnit val="1"/>
      </c:valAx>
      <c:valAx>
        <c:axId val="151213952"/>
        <c:scaling>
          <c:orientation val="minMax"/>
          <c:max val="112"/>
          <c:min val="86"/>
        </c:scaling>
        <c:axPos val="r"/>
        <c:numFmt formatCode="#,##0" sourceLinked="1"/>
        <c:tickLblPos val="nextTo"/>
        <c:txPr>
          <a:bodyPr/>
          <a:lstStyle/>
          <a:p>
            <a:pPr>
              <a:defRPr sz="800">
                <a:latin typeface="Arial" pitchFamily="34" charset="0"/>
                <a:cs typeface="Arial" pitchFamily="34" charset="0"/>
              </a:defRPr>
            </a:pPr>
            <a:endParaRPr lang="cs-CZ"/>
          </a:p>
        </c:txPr>
        <c:crossAx val="151215488"/>
        <c:crosses val="max"/>
        <c:crossBetween val="between"/>
        <c:majorUnit val="2"/>
      </c:valAx>
      <c:catAx>
        <c:axId val="151215488"/>
        <c:scaling>
          <c:orientation val="minMax"/>
        </c:scaling>
        <c:delete val="1"/>
        <c:axPos val="b"/>
        <c:numFmt formatCode="General" sourceLinked="1"/>
        <c:tickLblPos val="none"/>
        <c:crossAx val="151213952"/>
        <c:crosses val="autoZero"/>
        <c:auto val="1"/>
        <c:lblAlgn val="ctr"/>
        <c:lblOffset val="100"/>
      </c:catAx>
      <c:spPr>
        <a:ln>
          <a:solidFill>
            <a:sysClr val="windowText" lastClr="000000"/>
          </a:solidFill>
        </a:ln>
      </c:spPr>
    </c:plotArea>
    <c:legend>
      <c:legendPos val="r"/>
      <c:layout>
        <c:manualLayout>
          <c:xMode val="edge"/>
          <c:yMode val="edge"/>
          <c:x val="3.2136707047442592E-2"/>
          <c:y val="0.81351820934982289"/>
          <c:w val="0.93098961851640571"/>
          <c:h val="0.16859441040350698"/>
        </c:manualLayout>
      </c:layout>
      <c:spPr>
        <a:noFill/>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951317561635282E-2"/>
          <c:w val="0.92433548575002578"/>
          <c:h val="0.7541272225868848"/>
        </c:manualLayout>
      </c:layout>
      <c:barChart>
        <c:barDir val="col"/>
        <c:grouping val="clustered"/>
        <c:ser>
          <c:idx val="0"/>
          <c:order val="0"/>
          <c:tx>
            <c:strRef>
              <c:f>'Graf-Národní účty'!$A$29</c:f>
              <c:strCache>
                <c:ptCount val="1"/>
                <c:pt idx="0">
                  <c:v>Hrubá přidaná hodnota (2010=100)</c:v>
                </c:pt>
              </c:strCache>
            </c:strRef>
          </c:tx>
          <c:spPr>
            <a:solidFill>
              <a:schemeClr val="bg1">
                <a:lumMod val="65000"/>
              </a:schemeClr>
            </a:solidFill>
            <a:ln w="12700">
              <a:noFill/>
              <a:prstDash val="solid"/>
            </a:ln>
          </c:spPr>
          <c:cat>
            <c:strRef>
              <c:f>'Graf-Národní účty'!$G$28:$S$28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účty'!$G$29:$S$29</c:f>
              <c:numCache>
                <c:formatCode>#,##0.0</c:formatCode>
                <c:ptCount val="13"/>
                <c:pt idx="0">
                  <c:v>95.4</c:v>
                </c:pt>
                <c:pt idx="1">
                  <c:v>95.2</c:v>
                </c:pt>
                <c:pt idx="2">
                  <c:v>99.8</c:v>
                </c:pt>
                <c:pt idx="3">
                  <c:v>99.7</c:v>
                </c:pt>
                <c:pt idx="4">
                  <c:v>96.2</c:v>
                </c:pt>
                <c:pt idx="5">
                  <c:v>100</c:v>
                </c:pt>
                <c:pt idx="6">
                  <c:v>93.3</c:v>
                </c:pt>
                <c:pt idx="7">
                  <c:v>90.4</c:v>
                </c:pt>
                <c:pt idx="8">
                  <c:v>91.6</c:v>
                </c:pt>
                <c:pt idx="9">
                  <c:v>93.4</c:v>
                </c:pt>
                <c:pt idx="10">
                  <c:v>97.1</c:v>
                </c:pt>
                <c:pt idx="11">
                  <c:v>93.5</c:v>
                </c:pt>
                <c:pt idx="12">
                  <c:v>90.8</c:v>
                </c:pt>
              </c:numCache>
            </c:numRef>
          </c:val>
          <c:extLst xmlns:c16r2="http://schemas.microsoft.com/office/drawing/2015/06/chart">
            <c:ext xmlns:c16="http://schemas.microsoft.com/office/drawing/2014/chart" uri="{C3380CC4-5D6E-409C-BE32-E72D297353CC}">
              <c16:uniqueId val="{00000000-EDC2-434C-8A54-96E7B363BB35}"/>
            </c:ext>
          </c:extLst>
        </c:ser>
        <c:gapWidth val="30"/>
        <c:axId val="151464576"/>
        <c:axId val="151474560"/>
      </c:barChart>
      <c:lineChart>
        <c:grouping val="standard"/>
        <c:ser>
          <c:idx val="3"/>
          <c:order val="1"/>
          <c:tx>
            <c:strRef>
              <c:f>'Graf-Národní účty'!$A$30</c:f>
              <c:strCache>
                <c:ptCount val="1"/>
                <c:pt idx="0">
                  <c:v>Objem reálných vyplacených mezd a platů (2010=100)*</c:v>
                </c:pt>
              </c:strCache>
            </c:strRef>
          </c:tx>
          <c:spPr>
            <a:ln w="19050">
              <a:solidFill>
                <a:srgbClr val="F8A124"/>
              </a:solidFill>
              <a:prstDash val="solid"/>
            </a:ln>
          </c:spPr>
          <c:marker>
            <c:symbol val="none"/>
          </c:marker>
          <c:cat>
            <c:strRef>
              <c:f>'Graf-Národní účty'!$G$28:$S$28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účty'!$G$30:$S$30</c:f>
              <c:numCache>
                <c:formatCode>0.0</c:formatCode>
                <c:ptCount val="13"/>
                <c:pt idx="0">
                  <c:v>88.872958608160758</c:v>
                </c:pt>
                <c:pt idx="1">
                  <c:v>93.395491653568726</c:v>
                </c:pt>
                <c:pt idx="2">
                  <c:v>98.797041479858564</c:v>
                </c:pt>
                <c:pt idx="3">
                  <c:v>102.06282607321229</c:v>
                </c:pt>
                <c:pt idx="4">
                  <c:v>101.22804327435941</c:v>
                </c:pt>
                <c:pt idx="5">
                  <c:v>100</c:v>
                </c:pt>
                <c:pt idx="6">
                  <c:v>94.024883186783967</c:v>
                </c:pt>
                <c:pt idx="7">
                  <c:v>89.912796332581976</c:v>
                </c:pt>
                <c:pt idx="8">
                  <c:v>83.094855006536918</c:v>
                </c:pt>
                <c:pt idx="9">
                  <c:v>80.348684479829132</c:v>
                </c:pt>
                <c:pt idx="10">
                  <c:v>82.882459415101778</c:v>
                </c:pt>
                <c:pt idx="11">
                  <c:v>83.497424207242119</c:v>
                </c:pt>
                <c:pt idx="12">
                  <c:v>84.291724583205834</c:v>
                </c:pt>
              </c:numCache>
            </c:numRef>
          </c:val>
          <c:extLst xmlns:c16r2="http://schemas.microsoft.com/office/drawing/2015/06/chart">
            <c:ext xmlns:c16="http://schemas.microsoft.com/office/drawing/2014/chart" uri="{C3380CC4-5D6E-409C-BE32-E72D297353CC}">
              <c16:uniqueId val="{00000001-EDC2-434C-8A54-96E7B363BB35}"/>
            </c:ext>
          </c:extLst>
        </c:ser>
        <c:ser>
          <c:idx val="1"/>
          <c:order val="2"/>
          <c:tx>
            <c:strRef>
              <c:f>'Graf-Národní účty'!$A$31</c:f>
              <c:strCache>
                <c:ptCount val="1"/>
                <c:pt idx="0">
                  <c:v>Reálná hodinová produktivita práce (2010=100)</c:v>
                </c:pt>
              </c:strCache>
            </c:strRef>
          </c:tx>
          <c:spPr>
            <a:ln w="19050">
              <a:solidFill>
                <a:srgbClr val="7DBB2D"/>
              </a:solidFill>
            </a:ln>
          </c:spPr>
          <c:marker>
            <c:symbol val="none"/>
          </c:marker>
          <c:cat>
            <c:strRef>
              <c:f>'Graf-Národní účty'!$G$28:$S$28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účty'!$G$31:$S$31</c:f>
              <c:numCache>
                <c:formatCode>0.0</c:formatCode>
                <c:ptCount val="13"/>
                <c:pt idx="0">
                  <c:v>100.40255211866553</c:v>
                </c:pt>
                <c:pt idx="1">
                  <c:v>100.8751063927085</c:v>
                </c:pt>
                <c:pt idx="2">
                  <c:v>107.43517214931229</c:v>
                </c:pt>
                <c:pt idx="3">
                  <c:v>104.01506292037332</c:v>
                </c:pt>
                <c:pt idx="4">
                  <c:v>97.723933671592476</c:v>
                </c:pt>
                <c:pt idx="5">
                  <c:v>100</c:v>
                </c:pt>
                <c:pt idx="6">
                  <c:v>97.474119991968081</c:v>
                </c:pt>
                <c:pt idx="7">
                  <c:v>97.643589669977359</c:v>
                </c:pt>
                <c:pt idx="8">
                  <c:v>102.42555718698404</c:v>
                </c:pt>
                <c:pt idx="9">
                  <c:v>107.79083702217523</c:v>
                </c:pt>
                <c:pt idx="10">
                  <c:v>113.96102538251102</c:v>
                </c:pt>
                <c:pt idx="11">
                  <c:v>111.13831306072888</c:v>
                </c:pt>
                <c:pt idx="12">
                  <c:v>106.57035378062378</c:v>
                </c:pt>
              </c:numCache>
            </c:numRef>
          </c:val>
          <c:extLst xmlns:c16r2="http://schemas.microsoft.com/office/drawing/2015/06/chart">
            <c:ext xmlns:c16="http://schemas.microsoft.com/office/drawing/2014/chart" uri="{C3380CC4-5D6E-409C-BE32-E72D297353CC}">
              <c16:uniqueId val="{00000002-EDC2-434C-8A54-96E7B363BB35}"/>
            </c:ext>
          </c:extLst>
        </c:ser>
        <c:ser>
          <c:idx val="7"/>
          <c:order val="3"/>
          <c:tx>
            <c:strRef>
              <c:f>'Graf-Národní účty'!$A$32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účty'!$G$32:$S$32</c:f>
              <c:numCache>
                <c:formatCode>0.0</c:formatCode>
                <c:ptCount val="13"/>
                <c:pt idx="0">
                  <c:v>93.834942311721178</c:v>
                </c:pt>
                <c:pt idx="1">
                  <c:v>93.316583871834851</c:v>
                </c:pt>
                <c:pt idx="2">
                  <c:v>92.611540195532683</c:v>
                </c:pt>
                <c:pt idx="3">
                  <c:v>95.825828177616856</c:v>
                </c:pt>
                <c:pt idx="4">
                  <c:v>98.258239443923529</c:v>
                </c:pt>
                <c:pt idx="5">
                  <c:v>100</c:v>
                </c:pt>
                <c:pt idx="6">
                  <c:v>95.048184687154063</c:v>
                </c:pt>
                <c:pt idx="7">
                  <c:v>93.457550274842745</c:v>
                </c:pt>
                <c:pt idx="8">
                  <c:v>90.896448958944049</c:v>
                </c:pt>
                <c:pt idx="9">
                  <c:v>87.079773014457516</c:v>
                </c:pt>
                <c:pt idx="10">
                  <c:v>86.478655019652749</c:v>
                </c:pt>
                <c:pt idx="11">
                  <c:v>84.521634956281318</c:v>
                </c:pt>
                <c:pt idx="12">
                  <c:v>84.068679847519178</c:v>
                </c:pt>
              </c:numCache>
            </c:numRef>
          </c:val>
          <c:extLst xmlns:c16r2="http://schemas.microsoft.com/office/drawing/2015/06/chart">
            <c:ext xmlns:c16="http://schemas.microsoft.com/office/drawing/2014/chart" uri="{C3380CC4-5D6E-409C-BE32-E72D297353CC}">
              <c16:uniqueId val="{00000003-EDC2-434C-8A54-96E7B363BB35}"/>
            </c:ext>
          </c:extLst>
        </c:ser>
        <c:marker val="1"/>
        <c:axId val="151464576"/>
        <c:axId val="151474560"/>
      </c:lineChart>
      <c:lineChart>
        <c:grouping val="standard"/>
        <c:ser>
          <c:idx val="2"/>
          <c:order val="4"/>
          <c:tx>
            <c:strRef>
              <c:f>'Graf-Národní účty'!$A$33</c:f>
              <c:strCache>
                <c:ptCount val="1"/>
                <c:pt idx="0">
                  <c:v>Míra investic (v %)</c:v>
                </c:pt>
              </c:strCache>
            </c:strRef>
          </c:tx>
          <c:spPr>
            <a:ln w="19050">
              <a:solidFill>
                <a:srgbClr val="BD1B21"/>
              </a:solidFill>
              <a:prstDash val="sysDash"/>
            </a:ln>
          </c:spPr>
          <c:marker>
            <c:symbol val="none"/>
          </c:marker>
          <c:cat>
            <c:strRef>
              <c:f>'Graf-Národní účty'!$G$28:$S$28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účty'!$G$33:$S$33</c:f>
              <c:numCache>
                <c:formatCode>0.0</c:formatCode>
                <c:ptCount val="13"/>
                <c:pt idx="0">
                  <c:v>14.489303930773719</c:v>
                </c:pt>
                <c:pt idx="1">
                  <c:v>14.664232714676533</c:v>
                </c:pt>
                <c:pt idx="2">
                  <c:v>15.547097243023369</c:v>
                </c:pt>
                <c:pt idx="3">
                  <c:v>17.816022300327077</c:v>
                </c:pt>
                <c:pt idx="4">
                  <c:v>14.576024553319424</c:v>
                </c:pt>
                <c:pt idx="5">
                  <c:v>16.380925290042057</c:v>
                </c:pt>
                <c:pt idx="6">
                  <c:v>14.799255943109909</c:v>
                </c:pt>
                <c:pt idx="7">
                  <c:v>14.726700747149035</c:v>
                </c:pt>
                <c:pt idx="8">
                  <c:v>12.842435709577529</c:v>
                </c:pt>
                <c:pt idx="9">
                  <c:v>15.824123599903089</c:v>
                </c:pt>
                <c:pt idx="10">
                  <c:v>15.532659660120812</c:v>
                </c:pt>
                <c:pt idx="11">
                  <c:v>15.685974182898081</c:v>
                </c:pt>
                <c:pt idx="12">
                  <c:v>16.289384371550966</c:v>
                </c:pt>
              </c:numCache>
            </c:numRef>
          </c:val>
          <c:extLst xmlns:c16r2="http://schemas.microsoft.com/office/drawing/2015/06/chart">
            <c:ext xmlns:c16="http://schemas.microsoft.com/office/drawing/2014/chart" uri="{C3380CC4-5D6E-409C-BE32-E72D297353CC}">
              <c16:uniqueId val="{00000004-EDC2-434C-8A54-96E7B363BB35}"/>
            </c:ext>
          </c:extLst>
        </c:ser>
        <c:ser>
          <c:idx val="5"/>
          <c:order val="5"/>
          <c:tx>
            <c:strRef>
              <c:f>'Graf-Národní účty'!$A$34</c:f>
              <c:strCache>
                <c:ptCount val="1"/>
                <c:pt idx="0">
                  <c:v>Míra zisku nefinančních podniků (v %)</c:v>
                </c:pt>
              </c:strCache>
            </c:strRef>
          </c:tx>
          <c:spPr>
            <a:ln w="19050">
              <a:solidFill>
                <a:srgbClr val="0071BC"/>
              </a:solidFill>
              <a:prstDash val="sysDash"/>
            </a:ln>
          </c:spPr>
          <c:marker>
            <c:symbol val="none"/>
          </c:marker>
          <c:cat>
            <c:strRef>
              <c:f>'Graf-Národní účty'!$G$28:$S$28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účty'!$G$34:$S$34</c:f>
              <c:numCache>
                <c:formatCode>0.0</c:formatCode>
                <c:ptCount val="13"/>
                <c:pt idx="0">
                  <c:v>46.752371572235759</c:v>
                </c:pt>
                <c:pt idx="1">
                  <c:v>43.636546487655245</c:v>
                </c:pt>
                <c:pt idx="2">
                  <c:v>46.130449263795278</c:v>
                </c:pt>
                <c:pt idx="3">
                  <c:v>43.984376378684544</c:v>
                </c:pt>
                <c:pt idx="4">
                  <c:v>42.368792104026319</c:v>
                </c:pt>
                <c:pt idx="5">
                  <c:v>42.419000566233365</c:v>
                </c:pt>
                <c:pt idx="6">
                  <c:v>39.224053131805213</c:v>
                </c:pt>
                <c:pt idx="7">
                  <c:v>36.000470498287044</c:v>
                </c:pt>
                <c:pt idx="8">
                  <c:v>38.934113360997102</c:v>
                </c:pt>
                <c:pt idx="9">
                  <c:v>41.982415358329263</c:v>
                </c:pt>
                <c:pt idx="10">
                  <c:v>43.968630758452761</c:v>
                </c:pt>
                <c:pt idx="11">
                  <c:v>42.065421593545999</c:v>
                </c:pt>
                <c:pt idx="12">
                  <c:v>41.353121142182374</c:v>
                </c:pt>
              </c:numCache>
            </c:numRef>
          </c:val>
          <c:extLst xmlns:c16r2="http://schemas.microsoft.com/office/drawing/2015/06/chart">
            <c:ext xmlns:c16="http://schemas.microsoft.com/office/drawing/2014/chart" uri="{C3380CC4-5D6E-409C-BE32-E72D297353CC}">
              <c16:uniqueId val="{00000005-EDC2-434C-8A54-96E7B363BB35}"/>
            </c:ext>
          </c:extLst>
        </c:ser>
        <c:marker val="1"/>
        <c:axId val="151477632"/>
        <c:axId val="151476096"/>
      </c:lineChart>
      <c:catAx>
        <c:axId val="151464576"/>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51474560"/>
        <c:crossesAt val="100"/>
        <c:lblAlgn val="ctr"/>
        <c:lblOffset val="0"/>
        <c:tickLblSkip val="1"/>
        <c:tickMarkSkip val="4"/>
      </c:catAx>
      <c:valAx>
        <c:axId val="151474560"/>
        <c:scaling>
          <c:orientation val="minMax"/>
          <c:max val="120"/>
          <c:min val="8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51464576"/>
        <c:crosses val="autoZero"/>
        <c:crossBetween val="between"/>
        <c:majorUnit val="5"/>
      </c:valAx>
      <c:valAx>
        <c:axId val="151476096"/>
        <c:scaling>
          <c:orientation val="minMax"/>
          <c:max val="50"/>
          <c:min val="0"/>
        </c:scaling>
        <c:axPos val="r"/>
        <c:numFmt formatCode="0" sourceLinked="0"/>
        <c:tickLblPos val="nextTo"/>
        <c:crossAx val="151477632"/>
        <c:crosses val="max"/>
        <c:crossBetween val="between"/>
      </c:valAx>
      <c:catAx>
        <c:axId val="151477632"/>
        <c:scaling>
          <c:orientation val="minMax"/>
        </c:scaling>
        <c:delete val="1"/>
        <c:axPos val="b"/>
        <c:numFmt formatCode="General" sourceLinked="1"/>
        <c:tickLblPos val="none"/>
        <c:crossAx val="151476096"/>
        <c:crosses val="autoZero"/>
        <c:auto val="1"/>
        <c:lblAlgn val="ctr"/>
        <c:lblOffset val="100"/>
      </c:catAx>
      <c:spPr>
        <a:noFill/>
        <a:ln w="9525">
          <a:solidFill>
            <a:schemeClr val="tx1"/>
          </a:solidFill>
        </a:ln>
      </c:spPr>
    </c:plotArea>
    <c:legend>
      <c:legendPos val="b"/>
      <c:layout>
        <c:manualLayout>
          <c:xMode val="edge"/>
          <c:yMode val="edge"/>
          <c:x val="6.0825173196790622E-2"/>
          <c:y val="0.81810356023404951"/>
          <c:w val="0.88531755998340866"/>
          <c:h val="0.17446685410282964"/>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9513175616352876E-2"/>
          <c:w val="0.924335485750025"/>
          <c:h val="0.76155690645052365"/>
        </c:manualLayout>
      </c:layout>
      <c:lineChart>
        <c:grouping val="standard"/>
        <c:ser>
          <c:idx val="0"/>
          <c:order val="0"/>
          <c:tx>
            <c:strRef>
              <c:f>'Graf-stavební práce S'!$D$4</c:f>
              <c:strCache>
                <c:ptCount val="1"/>
                <c:pt idx="0">
                  <c:v>Bytové budovy</c:v>
                </c:pt>
              </c:strCache>
            </c:strRef>
          </c:tx>
          <c:spPr>
            <a:ln w="22225">
              <a:solidFill>
                <a:srgbClr val="0071BC"/>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S'!$D$16:$D$28</c:f>
              <c:numCache>
                <c:formatCode>#,##0</c:formatCode>
                <c:ptCount val="13"/>
                <c:pt idx="0">
                  <c:v>58.818641364066174</c:v>
                </c:pt>
                <c:pt idx="1">
                  <c:v>68.959892001446178</c:v>
                </c:pt>
                <c:pt idx="2">
                  <c:v>80.630953920443133</c:v>
                </c:pt>
                <c:pt idx="3">
                  <c:v>80.150026903180958</c:v>
                </c:pt>
                <c:pt idx="4">
                  <c:v>65.687689495415327</c:v>
                </c:pt>
                <c:pt idx="5">
                  <c:v>56.711000000000006</c:v>
                </c:pt>
                <c:pt idx="6">
                  <c:v>61.111000000000004</c:v>
                </c:pt>
                <c:pt idx="7">
                  <c:v>50.453999999999994</c:v>
                </c:pt>
                <c:pt idx="8">
                  <c:v>43.690000000000012</c:v>
                </c:pt>
                <c:pt idx="9">
                  <c:v>46.343999999999994</c:v>
                </c:pt>
                <c:pt idx="10">
                  <c:v>51.603000000000002</c:v>
                </c:pt>
                <c:pt idx="11">
                  <c:v>57.574000000000005</c:v>
                </c:pt>
                <c:pt idx="12">
                  <c:v>59.966000000000001</c:v>
                </c:pt>
              </c:numCache>
            </c:numRef>
          </c:val>
          <c:extLst xmlns:c16r2="http://schemas.microsoft.com/office/drawing/2015/06/chart">
            <c:ext xmlns:c16="http://schemas.microsoft.com/office/drawing/2014/chart" uri="{C3380CC4-5D6E-409C-BE32-E72D297353CC}">
              <c16:uniqueId val="{00000000-2C4F-449B-B94B-93F59C3A1B7E}"/>
            </c:ext>
          </c:extLst>
        </c:ser>
        <c:ser>
          <c:idx val="1"/>
          <c:order val="1"/>
          <c:tx>
            <c:strRef>
              <c:f>'Graf-stavební práce S'!$E$4</c:f>
              <c:strCache>
                <c:ptCount val="1"/>
                <c:pt idx="0">
                  <c:v>Nebytové budovy nevýrobní</c:v>
                </c:pt>
              </c:strCache>
            </c:strRef>
          </c:tx>
          <c:spPr>
            <a:ln w="22225">
              <a:solidFill>
                <a:srgbClr val="BD1B21"/>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S'!$E$16:$E$28</c:f>
              <c:numCache>
                <c:formatCode>#,##0</c:formatCode>
                <c:ptCount val="13"/>
                <c:pt idx="0">
                  <c:v>53.60564868461227</c:v>
                </c:pt>
                <c:pt idx="1">
                  <c:v>64.920537063059058</c:v>
                </c:pt>
                <c:pt idx="2">
                  <c:v>63.567281719881024</c:v>
                </c:pt>
                <c:pt idx="3">
                  <c:v>65.036916750354749</c:v>
                </c:pt>
                <c:pt idx="4">
                  <c:v>66.210068986541103</c:v>
                </c:pt>
                <c:pt idx="5">
                  <c:v>62.929000000000002</c:v>
                </c:pt>
                <c:pt idx="6">
                  <c:v>62.364000000000004</c:v>
                </c:pt>
                <c:pt idx="7">
                  <c:v>61.037000000000006</c:v>
                </c:pt>
                <c:pt idx="8">
                  <c:v>55.079000000000001</c:v>
                </c:pt>
                <c:pt idx="9">
                  <c:v>59.810999999999993</c:v>
                </c:pt>
                <c:pt idx="10">
                  <c:v>56.185000000000002</c:v>
                </c:pt>
                <c:pt idx="11">
                  <c:v>42.645000000000003</c:v>
                </c:pt>
                <c:pt idx="12">
                  <c:v>48.379000000000005</c:v>
                </c:pt>
              </c:numCache>
            </c:numRef>
          </c:val>
          <c:extLst xmlns:c16r2="http://schemas.microsoft.com/office/drawing/2015/06/chart">
            <c:ext xmlns:c16="http://schemas.microsoft.com/office/drawing/2014/chart" uri="{C3380CC4-5D6E-409C-BE32-E72D297353CC}">
              <c16:uniqueId val="{00000001-2C4F-449B-B94B-93F59C3A1B7E}"/>
            </c:ext>
          </c:extLst>
        </c:ser>
        <c:ser>
          <c:idx val="2"/>
          <c:order val="2"/>
          <c:tx>
            <c:strRef>
              <c:f>'Graf-stavební práce S'!$F$4</c:f>
              <c:strCache>
                <c:ptCount val="1"/>
                <c:pt idx="0">
                  <c:v>Nebytové budovy výrobní</c:v>
                </c:pt>
              </c:strCache>
            </c:strRef>
          </c:tx>
          <c:spPr>
            <a:ln w="22225">
              <a:solidFill>
                <a:srgbClr val="7DBB2D"/>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S'!$F$16:$F$28</c:f>
              <c:numCache>
                <c:formatCode>#,##0</c:formatCode>
                <c:ptCount val="13"/>
                <c:pt idx="0">
                  <c:v>67.897494707140893</c:v>
                </c:pt>
                <c:pt idx="1">
                  <c:v>72.727779427550658</c:v>
                </c:pt>
                <c:pt idx="2">
                  <c:v>91.47128442967653</c:v>
                </c:pt>
                <c:pt idx="3">
                  <c:v>88.138023390106511</c:v>
                </c:pt>
                <c:pt idx="4">
                  <c:v>63.625182468539428</c:v>
                </c:pt>
                <c:pt idx="5">
                  <c:v>54.336999999999996</c:v>
                </c:pt>
                <c:pt idx="6">
                  <c:v>62.355999999999995</c:v>
                </c:pt>
                <c:pt idx="7">
                  <c:v>60.698000000000263</c:v>
                </c:pt>
                <c:pt idx="8">
                  <c:v>58.63</c:v>
                </c:pt>
                <c:pt idx="9">
                  <c:v>60.615000000000002</c:v>
                </c:pt>
                <c:pt idx="10">
                  <c:v>62.155000000000001</c:v>
                </c:pt>
                <c:pt idx="11">
                  <c:v>71.170999999999978</c:v>
                </c:pt>
                <c:pt idx="12">
                  <c:v>87.816999999999993</c:v>
                </c:pt>
              </c:numCache>
            </c:numRef>
          </c:val>
          <c:extLst xmlns:c16r2="http://schemas.microsoft.com/office/drawing/2015/06/chart">
            <c:ext xmlns:c16="http://schemas.microsoft.com/office/drawing/2014/chart" uri="{C3380CC4-5D6E-409C-BE32-E72D297353CC}">
              <c16:uniqueId val="{00000002-2C4F-449B-B94B-93F59C3A1B7E}"/>
            </c:ext>
          </c:extLst>
        </c:ser>
        <c:ser>
          <c:idx val="3"/>
          <c:order val="3"/>
          <c:tx>
            <c:strRef>
              <c:f>'Graf-stavební práce S'!$G$4</c:f>
              <c:strCache>
                <c:ptCount val="1"/>
                <c:pt idx="0">
                  <c:v>Vodohospodářské stavby</c:v>
                </c:pt>
              </c:strCache>
            </c:strRef>
          </c:tx>
          <c:spPr>
            <a:ln w="22225">
              <a:solidFill>
                <a:srgbClr val="48AEE7"/>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S'!$G$16:$G$28</c:f>
              <c:numCache>
                <c:formatCode>#,##0</c:formatCode>
                <c:ptCount val="13"/>
                <c:pt idx="0">
                  <c:v>4.7864008744399635</c:v>
                </c:pt>
                <c:pt idx="1">
                  <c:v>4.6751604276779259</c:v>
                </c:pt>
                <c:pt idx="2">
                  <c:v>4.5690227537031864</c:v>
                </c:pt>
                <c:pt idx="3">
                  <c:v>4.4319987855547174</c:v>
                </c:pt>
                <c:pt idx="4">
                  <c:v>7.0831826430222806</c:v>
                </c:pt>
                <c:pt idx="5">
                  <c:v>6.4009999999999998</c:v>
                </c:pt>
                <c:pt idx="6">
                  <c:v>6.1209999999999845</c:v>
                </c:pt>
                <c:pt idx="7">
                  <c:v>8.3370000000000015</c:v>
                </c:pt>
                <c:pt idx="8">
                  <c:v>6.9279999999999955</c:v>
                </c:pt>
                <c:pt idx="9">
                  <c:v>5.242</c:v>
                </c:pt>
                <c:pt idx="10">
                  <c:v>4.7039999999999997</c:v>
                </c:pt>
                <c:pt idx="11">
                  <c:v>2.98</c:v>
                </c:pt>
                <c:pt idx="12">
                  <c:v>2.9699999999999998</c:v>
                </c:pt>
              </c:numCache>
            </c:numRef>
          </c:val>
          <c:extLst xmlns:c16r2="http://schemas.microsoft.com/office/drawing/2015/06/chart">
            <c:ext xmlns:c16="http://schemas.microsoft.com/office/drawing/2014/chart" uri="{C3380CC4-5D6E-409C-BE32-E72D297353CC}">
              <c16:uniqueId val="{00000003-2C4F-449B-B94B-93F59C3A1B7E}"/>
            </c:ext>
          </c:extLst>
        </c:ser>
        <c:ser>
          <c:idx val="4"/>
          <c:order val="4"/>
          <c:tx>
            <c:strRef>
              <c:f>'Graf-stavební práce S'!$H$4</c:f>
              <c:strCache>
                <c:ptCount val="1"/>
                <c:pt idx="0">
                  <c:v>Inženýrské stavby</c:v>
                </c:pt>
              </c:strCache>
            </c:strRef>
          </c:tx>
          <c:spPr>
            <a:ln w="22225">
              <a:solidFill>
                <a:srgbClr val="7030A0"/>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S'!$H$16:$H$28</c:f>
              <c:numCache>
                <c:formatCode>#,##0</c:formatCode>
                <c:ptCount val="13"/>
                <c:pt idx="0">
                  <c:v>129.73595700670072</c:v>
                </c:pt>
                <c:pt idx="1">
                  <c:v>132.36490554669271</c:v>
                </c:pt>
                <c:pt idx="2">
                  <c:v>138.34841691702445</c:v>
                </c:pt>
                <c:pt idx="3">
                  <c:v>160.39469725533581</c:v>
                </c:pt>
                <c:pt idx="4">
                  <c:v>173.31131139844464</c:v>
                </c:pt>
                <c:pt idx="5">
                  <c:v>175.911</c:v>
                </c:pt>
                <c:pt idx="6">
                  <c:v>140.26499999999999</c:v>
                </c:pt>
                <c:pt idx="7">
                  <c:v>124.262</c:v>
                </c:pt>
                <c:pt idx="8">
                  <c:v>119.423</c:v>
                </c:pt>
                <c:pt idx="9">
                  <c:v>130.56300000000002</c:v>
                </c:pt>
                <c:pt idx="10">
                  <c:v>151.69299999999998</c:v>
                </c:pt>
                <c:pt idx="11">
                  <c:v>117.92700000000002</c:v>
                </c:pt>
                <c:pt idx="12">
                  <c:v>114.768</c:v>
                </c:pt>
              </c:numCache>
            </c:numRef>
          </c:val>
          <c:extLst xmlns:c16r2="http://schemas.microsoft.com/office/drawing/2015/06/chart">
            <c:ext xmlns:c16="http://schemas.microsoft.com/office/drawing/2014/chart" uri="{C3380CC4-5D6E-409C-BE32-E72D297353CC}">
              <c16:uniqueId val="{00000004-2C4F-449B-B94B-93F59C3A1B7E}"/>
            </c:ext>
          </c:extLst>
        </c:ser>
        <c:ser>
          <c:idx val="5"/>
          <c:order val="5"/>
          <c:tx>
            <c:strRef>
              <c:f>'Graf-stavební práce S'!$I$4</c:f>
              <c:strCache>
                <c:ptCount val="1"/>
                <c:pt idx="0">
                  <c:v>Opravy a údržba</c:v>
                </c:pt>
              </c:strCache>
            </c:strRef>
          </c:tx>
          <c:spPr>
            <a:ln w="22225">
              <a:solidFill>
                <a:srgbClr val="F8A124"/>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S'!$I$16:$I$28</c:f>
              <c:numCache>
                <c:formatCode>#,##0</c:formatCode>
                <c:ptCount val="13"/>
                <c:pt idx="0">
                  <c:v>110.61892903654996</c:v>
                </c:pt>
                <c:pt idx="1">
                  <c:v>119.33140329350022</c:v>
                </c:pt>
                <c:pt idx="2">
                  <c:v>128.85828008729766</c:v>
                </c:pt>
                <c:pt idx="3">
                  <c:v>137.86096491546721</c:v>
                </c:pt>
                <c:pt idx="4">
                  <c:v>131.79178300803778</c:v>
                </c:pt>
                <c:pt idx="5">
                  <c:v>121.504</c:v>
                </c:pt>
                <c:pt idx="6">
                  <c:v>119.636</c:v>
                </c:pt>
                <c:pt idx="7">
                  <c:v>109.145</c:v>
                </c:pt>
                <c:pt idx="8">
                  <c:v>103.83799999999999</c:v>
                </c:pt>
                <c:pt idx="9">
                  <c:v>114.438</c:v>
                </c:pt>
                <c:pt idx="10">
                  <c:v>119.76400000000002</c:v>
                </c:pt>
                <c:pt idx="11">
                  <c:v>118.422</c:v>
                </c:pt>
                <c:pt idx="12">
                  <c:v>123.642</c:v>
                </c:pt>
              </c:numCache>
            </c:numRef>
          </c:val>
          <c:extLst xmlns:c16r2="http://schemas.microsoft.com/office/drawing/2015/06/chart">
            <c:ext xmlns:c16="http://schemas.microsoft.com/office/drawing/2014/chart" uri="{C3380CC4-5D6E-409C-BE32-E72D297353CC}">
              <c16:uniqueId val="{00000005-2C4F-449B-B94B-93F59C3A1B7E}"/>
            </c:ext>
          </c:extLst>
        </c:ser>
        <c:ser>
          <c:idx val="6"/>
          <c:order val="6"/>
          <c:tx>
            <c:strRef>
              <c:f>'Graf-stavební práce S'!$J$4</c:f>
              <c:strCache>
                <c:ptCount val="1"/>
                <c:pt idx="0">
                  <c:v>Stavební práce v zahraničí</c:v>
                </c:pt>
              </c:strCache>
            </c:strRef>
          </c:tx>
          <c:spPr>
            <a:ln w="22225">
              <a:solidFill>
                <a:srgbClr val="808080"/>
              </a:solidFill>
            </a:ln>
          </c:spPr>
          <c:marker>
            <c:symbol val="none"/>
          </c:marker>
          <c:cat>
            <c:numRef>
              <c:f>'Graf-stavební práce S'!$C$16:$C$28</c:f>
              <c:numCache>
                <c:formatCode>0</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'Graf-stavební práce S'!$J$16:$J$28</c:f>
              <c:numCache>
                <c:formatCode>#,##0</c:formatCode>
                <c:ptCount val="13"/>
                <c:pt idx="0">
                  <c:v>5.9631002791796766</c:v>
                </c:pt>
                <c:pt idx="1">
                  <c:v>9.5983156128160889</c:v>
                </c:pt>
                <c:pt idx="2">
                  <c:v>14.041810155952968</c:v>
                </c:pt>
                <c:pt idx="3">
                  <c:v>11.588756</c:v>
                </c:pt>
                <c:pt idx="4">
                  <c:v>13.168216000000001</c:v>
                </c:pt>
                <c:pt idx="5">
                  <c:v>10.897</c:v>
                </c:pt>
                <c:pt idx="6">
                  <c:v>12.168000000000001</c:v>
                </c:pt>
                <c:pt idx="7">
                  <c:v>10.056000000000004</c:v>
                </c:pt>
                <c:pt idx="8">
                  <c:v>9.8840000000000003</c:v>
                </c:pt>
                <c:pt idx="9">
                  <c:v>11.263</c:v>
                </c:pt>
                <c:pt idx="10">
                  <c:v>12.947000000000001</c:v>
                </c:pt>
                <c:pt idx="11">
                  <c:v>13.89</c:v>
                </c:pt>
                <c:pt idx="12">
                  <c:v>15.889000000000006</c:v>
                </c:pt>
              </c:numCache>
            </c:numRef>
          </c:val>
          <c:extLst xmlns:c16r2="http://schemas.microsoft.com/office/drawing/2015/06/chart">
            <c:ext xmlns:c16="http://schemas.microsoft.com/office/drawing/2014/chart" uri="{C3380CC4-5D6E-409C-BE32-E72D297353CC}">
              <c16:uniqueId val="{00000006-2C4F-449B-B94B-93F59C3A1B7E}"/>
            </c:ext>
          </c:extLst>
        </c:ser>
        <c:marker val="1"/>
        <c:axId val="151521536"/>
        <c:axId val="151547904"/>
      </c:lineChart>
      <c:catAx>
        <c:axId val="151521536"/>
        <c:scaling>
          <c:orientation val="minMax"/>
        </c:scaling>
        <c:axPos val="b"/>
        <c:numFmt formatCode="0" sourceLinked="1"/>
        <c:tickLblPos val="low"/>
        <c:spPr>
          <a:ln w="9525">
            <a:solidFill>
              <a:schemeClr val="tx1"/>
            </a:solidFill>
            <a:prstDash val="solid"/>
          </a:ln>
        </c:spPr>
        <c:txPr>
          <a:bodyPr rot="0" vert="horz"/>
          <a:lstStyle/>
          <a:p>
            <a:pPr>
              <a:defRPr/>
            </a:pPr>
            <a:endParaRPr lang="cs-CZ"/>
          </a:p>
        </c:txPr>
        <c:crossAx val="151547904"/>
        <c:crossesAt val="0"/>
        <c:lblAlgn val="ctr"/>
        <c:lblOffset val="0"/>
        <c:tickLblSkip val="1"/>
        <c:tickMarkSkip val="4"/>
      </c:catAx>
      <c:valAx>
        <c:axId val="151547904"/>
        <c:scaling>
          <c:orientation val="minMax"/>
          <c:max val="180"/>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51521536"/>
        <c:crosses val="autoZero"/>
        <c:crossBetween val="between"/>
        <c:majorUnit val="20"/>
      </c:valAx>
      <c:spPr>
        <a:noFill/>
        <a:ln w="9525">
          <a:solidFill>
            <a:schemeClr val="tx1"/>
          </a:solidFill>
        </a:ln>
      </c:spPr>
    </c:plotArea>
    <c:legend>
      <c:legendPos val="b"/>
      <c:layout>
        <c:manualLayout>
          <c:xMode val="edge"/>
          <c:yMode val="edge"/>
          <c:x val="6.0825126813686833E-2"/>
          <c:y val="0.8328222447371384"/>
          <c:w val="0.91958409208407565"/>
          <c:h val="0.15288078351908141"/>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9513175616352813E-2"/>
          <c:w val="0.88956025070613887"/>
          <c:h val="0.76155690645052365"/>
        </c:manualLayout>
      </c:layout>
      <c:barChart>
        <c:barDir val="col"/>
        <c:grouping val="clustered"/>
        <c:ser>
          <c:idx val="0"/>
          <c:order val="0"/>
          <c:tx>
            <c:strRef>
              <c:f>'Graf-Národní účty-souhrnné'!$A$29</c:f>
              <c:strCache>
                <c:ptCount val="1"/>
                <c:pt idx="0">
                  <c:v>Hrubá přidaná hodnota (2010=100)</c:v>
                </c:pt>
              </c:strCache>
            </c:strRef>
          </c:tx>
          <c:spPr>
            <a:solidFill>
              <a:schemeClr val="bg1">
                <a:lumMod val="65000"/>
              </a:schemeClr>
            </a:solidFill>
            <a:ln w="12700">
              <a:noFill/>
              <a:prstDash val="solid"/>
            </a:ln>
          </c:spP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účty-souhrnné'!$G$29:$S$29</c:f>
              <c:numCache>
                <c:formatCode>#,##0.0</c:formatCode>
                <c:ptCount val="13"/>
                <c:pt idx="0">
                  <c:v>90.753541805867115</c:v>
                </c:pt>
                <c:pt idx="1">
                  <c:v>97.73374311986835</c:v>
                </c:pt>
                <c:pt idx="2">
                  <c:v>104.45467462007493</c:v>
                </c:pt>
                <c:pt idx="3">
                  <c:v>103.51617211324738</c:v>
                </c:pt>
                <c:pt idx="4">
                  <c:v>94.975605216021307</c:v>
                </c:pt>
                <c:pt idx="5">
                  <c:v>100</c:v>
                </c:pt>
                <c:pt idx="6">
                  <c:v>100.1705621023802</c:v>
                </c:pt>
                <c:pt idx="7">
                  <c:v>100.76937240423958</c:v>
                </c:pt>
                <c:pt idx="8">
                  <c:v>100.3034865108235</c:v>
                </c:pt>
                <c:pt idx="9">
                  <c:v>104.52935312764878</c:v>
                </c:pt>
                <c:pt idx="10">
                  <c:v>112.40158480240787</c:v>
                </c:pt>
                <c:pt idx="11">
                  <c:v>114.65816409365419</c:v>
                </c:pt>
                <c:pt idx="12">
                  <c:v>118.22482529062867</c:v>
                </c:pt>
              </c:numCache>
            </c:numRef>
          </c:val>
          <c:extLst xmlns:c16r2="http://schemas.microsoft.com/office/drawing/2015/06/chart">
            <c:ext xmlns:c16="http://schemas.microsoft.com/office/drawing/2014/chart" uri="{C3380CC4-5D6E-409C-BE32-E72D297353CC}">
              <c16:uniqueId val="{00000000-7C3B-4D88-AC20-A856B28AC81C}"/>
            </c:ext>
          </c:extLst>
        </c:ser>
        <c:gapWidth val="30"/>
        <c:axId val="151579648"/>
        <c:axId val="162542336"/>
      </c:barChart>
      <c:lineChart>
        <c:grouping val="standard"/>
        <c:ser>
          <c:idx val="3"/>
          <c:order val="1"/>
          <c:tx>
            <c:strRef>
              <c:f>'Graf-Národní účty-souhrnné'!$A$30</c:f>
              <c:strCache>
                <c:ptCount val="1"/>
                <c:pt idx="0">
                  <c:v>Objem reálných vyplacených mezd a platů (2010=100)*</c:v>
                </c:pt>
              </c:strCache>
            </c:strRef>
          </c:tx>
          <c:spPr>
            <a:ln w="19050">
              <a:solidFill>
                <a:srgbClr val="F8A124"/>
              </a:solidFill>
              <a:prstDash val="solid"/>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účty-souhrnné'!$G$30:$S$30</c:f>
              <c:numCache>
                <c:formatCode>0.0</c:formatCode>
                <c:ptCount val="13"/>
                <c:pt idx="0">
                  <c:v>87.882160788926384</c:v>
                </c:pt>
                <c:pt idx="1">
                  <c:v>92.379052906782917</c:v>
                </c:pt>
                <c:pt idx="2">
                  <c:v>97.457151080600397</c:v>
                </c:pt>
                <c:pt idx="3">
                  <c:v>101.46045060117429</c:v>
                </c:pt>
                <c:pt idx="4">
                  <c:v>97.918049526455789</c:v>
                </c:pt>
                <c:pt idx="5">
                  <c:v>100</c:v>
                </c:pt>
                <c:pt idx="6">
                  <c:v>99.977725459124898</c:v>
                </c:pt>
                <c:pt idx="7">
                  <c:v>98.500217737990283</c:v>
                </c:pt>
                <c:pt idx="8">
                  <c:v>97.283535391180749</c:v>
                </c:pt>
                <c:pt idx="9">
                  <c:v>99.637708476749808</c:v>
                </c:pt>
                <c:pt idx="10">
                  <c:v>104.2529933906271</c:v>
                </c:pt>
                <c:pt idx="11">
                  <c:v>108.89504626016242</c:v>
                </c:pt>
                <c:pt idx="12">
                  <c:v>115.4409132020443</c:v>
                </c:pt>
              </c:numCache>
            </c:numRef>
          </c:val>
          <c:extLst xmlns:c16r2="http://schemas.microsoft.com/office/drawing/2015/06/chart">
            <c:ext xmlns:c16="http://schemas.microsoft.com/office/drawing/2014/chart" uri="{C3380CC4-5D6E-409C-BE32-E72D297353CC}">
              <c16:uniqueId val="{00000001-7C3B-4D88-AC20-A856B28AC81C}"/>
            </c:ext>
          </c:extLst>
        </c:ser>
        <c:ser>
          <c:idx val="1"/>
          <c:order val="2"/>
          <c:tx>
            <c:strRef>
              <c:f>'Graf-Národní účty-souhrnné'!$A$31</c:f>
              <c:strCache>
                <c:ptCount val="1"/>
                <c:pt idx="0">
                  <c:v>Reálná hodinová produktivita práce (2010=100)</c:v>
                </c:pt>
              </c:strCache>
            </c:strRef>
          </c:tx>
          <c:spPr>
            <a:ln w="19050">
              <a:solidFill>
                <a:srgbClr val="7DBB2D"/>
              </a:solidFill>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účty-souhrnné'!$G$31:$S$31</c:f>
              <c:numCache>
                <c:formatCode>0.0</c:formatCode>
                <c:ptCount val="13"/>
                <c:pt idx="0">
                  <c:v>94.529723191902903</c:v>
                </c:pt>
                <c:pt idx="1">
                  <c:v>101.21324197358031</c:v>
                </c:pt>
                <c:pt idx="2">
                  <c:v>107.88967348803909</c:v>
                </c:pt>
                <c:pt idx="3">
                  <c:v>102.68539010753855</c:v>
                </c:pt>
                <c:pt idx="4">
                  <c:v>95.562264213538157</c:v>
                </c:pt>
                <c:pt idx="5">
                  <c:v>100</c:v>
                </c:pt>
                <c:pt idx="6">
                  <c:v>99.845738287928626</c:v>
                </c:pt>
                <c:pt idx="7">
                  <c:v>102.67332323803215</c:v>
                </c:pt>
                <c:pt idx="8">
                  <c:v>102.06222907688736</c:v>
                </c:pt>
                <c:pt idx="9">
                  <c:v>105.09352608379167</c:v>
                </c:pt>
                <c:pt idx="10">
                  <c:v>113.61466907385872</c:v>
                </c:pt>
                <c:pt idx="11">
                  <c:v>113.50922346330887</c:v>
                </c:pt>
                <c:pt idx="12">
                  <c:v>115.40938797736978</c:v>
                </c:pt>
              </c:numCache>
            </c:numRef>
          </c:val>
          <c:extLst xmlns:c16r2="http://schemas.microsoft.com/office/drawing/2015/06/chart">
            <c:ext xmlns:c16="http://schemas.microsoft.com/office/drawing/2014/chart" uri="{C3380CC4-5D6E-409C-BE32-E72D297353CC}">
              <c16:uniqueId val="{00000002-7C3B-4D88-AC20-A856B28AC81C}"/>
            </c:ext>
          </c:extLst>
        </c:ser>
        <c:ser>
          <c:idx val="7"/>
          <c:order val="3"/>
          <c:tx>
            <c:strRef>
              <c:f>'Graf-Národní účty-souhrnné'!$A$32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účty-souhrnné'!$G$32:$S$32</c:f>
              <c:numCache>
                <c:formatCode>0.0</c:formatCode>
                <c:ptCount val="13"/>
                <c:pt idx="0">
                  <c:v>94.91776546585109</c:v>
                </c:pt>
                <c:pt idx="1">
                  <c:v>95.533931725255854</c:v>
                </c:pt>
                <c:pt idx="2">
                  <c:v>96.812232356712258</c:v>
                </c:pt>
                <c:pt idx="3">
                  <c:v>100.75271574770764</c:v>
                </c:pt>
                <c:pt idx="4">
                  <c:v>99.435027701836304</c:v>
                </c:pt>
                <c:pt idx="5">
                  <c:v>100</c:v>
                </c:pt>
                <c:pt idx="6">
                  <c:v>99.675707062152725</c:v>
                </c:pt>
                <c:pt idx="7">
                  <c:v>98.985507947644678</c:v>
                </c:pt>
                <c:pt idx="8">
                  <c:v>99.389349914112216</c:v>
                </c:pt>
                <c:pt idx="9">
                  <c:v>100.01829047008444</c:v>
                </c:pt>
                <c:pt idx="10">
                  <c:v>100.48852006871064</c:v>
                </c:pt>
                <c:pt idx="11">
                  <c:v>100.14283986161178</c:v>
                </c:pt>
                <c:pt idx="12">
                  <c:v>100.60590811216105</c:v>
                </c:pt>
              </c:numCache>
            </c:numRef>
          </c:val>
          <c:extLst xmlns:c16r2="http://schemas.microsoft.com/office/drawing/2015/06/chart">
            <c:ext xmlns:c16="http://schemas.microsoft.com/office/drawing/2014/chart" uri="{C3380CC4-5D6E-409C-BE32-E72D297353CC}">
              <c16:uniqueId val="{00000003-7C3B-4D88-AC20-A856B28AC81C}"/>
            </c:ext>
          </c:extLst>
        </c:ser>
        <c:marker val="1"/>
        <c:axId val="151579648"/>
        <c:axId val="162542336"/>
      </c:lineChart>
      <c:lineChart>
        <c:grouping val="standard"/>
        <c:ser>
          <c:idx val="2"/>
          <c:order val="4"/>
          <c:tx>
            <c:strRef>
              <c:f>'Graf-Národní účty-souhrnné'!$A$33</c:f>
              <c:strCache>
                <c:ptCount val="1"/>
                <c:pt idx="0">
                  <c:v>Míra investic (v %)</c:v>
                </c:pt>
              </c:strCache>
            </c:strRef>
          </c:tx>
          <c:spPr>
            <a:ln w="19050">
              <a:solidFill>
                <a:srgbClr val="BD1B21"/>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účty-souhrnné'!$G$33:$S$33</c:f>
              <c:numCache>
                <c:formatCode>0.0</c:formatCode>
                <c:ptCount val="13"/>
                <c:pt idx="0">
                  <c:v>35.329620822708172</c:v>
                </c:pt>
                <c:pt idx="1">
                  <c:v>33.622363710812628</c:v>
                </c:pt>
                <c:pt idx="2">
                  <c:v>33.591417864267996</c:v>
                </c:pt>
                <c:pt idx="3">
                  <c:v>35.277746049263747</c:v>
                </c:pt>
                <c:pt idx="4">
                  <c:v>33.619448627501605</c:v>
                </c:pt>
                <c:pt idx="5">
                  <c:v>30.074255764636639</c:v>
                </c:pt>
                <c:pt idx="6">
                  <c:v>28.774048374205176</c:v>
                </c:pt>
                <c:pt idx="7">
                  <c:v>24.094345175530787</c:v>
                </c:pt>
                <c:pt idx="8">
                  <c:v>23.167971971726342</c:v>
                </c:pt>
                <c:pt idx="9">
                  <c:v>22.711216891879889</c:v>
                </c:pt>
                <c:pt idx="10">
                  <c:v>24.063680012186442</c:v>
                </c:pt>
                <c:pt idx="11">
                  <c:v>25.366503901163725</c:v>
                </c:pt>
                <c:pt idx="12">
                  <c:v>22.164625208210357</c:v>
                </c:pt>
              </c:numCache>
            </c:numRef>
          </c:val>
          <c:extLst xmlns:c16r2="http://schemas.microsoft.com/office/drawing/2015/06/chart">
            <c:ext xmlns:c16="http://schemas.microsoft.com/office/drawing/2014/chart" uri="{C3380CC4-5D6E-409C-BE32-E72D297353CC}">
              <c16:uniqueId val="{00000004-7C3B-4D88-AC20-A856B28AC81C}"/>
            </c:ext>
          </c:extLst>
        </c:ser>
        <c:ser>
          <c:idx val="5"/>
          <c:order val="5"/>
          <c:tx>
            <c:strRef>
              <c:f>'Graf-Národní účty-souhrnné'!$A$34</c:f>
              <c:strCache>
                <c:ptCount val="1"/>
                <c:pt idx="0">
                  <c:v>Míra zisku nefinančních podniků (v %)</c:v>
                </c:pt>
              </c:strCache>
            </c:strRef>
          </c:tx>
          <c:spPr>
            <a:ln w="19050">
              <a:solidFill>
                <a:srgbClr val="0071BC"/>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účty-souhrnné'!$G$34:$S$34</c:f>
              <c:numCache>
                <c:formatCode>0.0</c:formatCode>
                <c:ptCount val="13"/>
                <c:pt idx="0">
                  <c:v>44.670435355602194</c:v>
                </c:pt>
                <c:pt idx="1">
                  <c:v>46.255272493979419</c:v>
                </c:pt>
                <c:pt idx="2">
                  <c:v>46.809447813596883</c:v>
                </c:pt>
                <c:pt idx="3">
                  <c:v>42.576898701528393</c:v>
                </c:pt>
                <c:pt idx="4">
                  <c:v>38.282318078464087</c:v>
                </c:pt>
                <c:pt idx="5">
                  <c:v>38.688685378009417</c:v>
                </c:pt>
                <c:pt idx="6">
                  <c:v>38.730074016449606</c:v>
                </c:pt>
                <c:pt idx="7">
                  <c:v>40.152312317623213</c:v>
                </c:pt>
                <c:pt idx="8">
                  <c:v>39.712827256531803</c:v>
                </c:pt>
                <c:pt idx="9">
                  <c:v>42.311896294026795</c:v>
                </c:pt>
                <c:pt idx="10">
                  <c:v>45.400863889279904</c:v>
                </c:pt>
                <c:pt idx="11">
                  <c:v>44.600043563030894</c:v>
                </c:pt>
                <c:pt idx="12">
                  <c:v>44.435202859115464</c:v>
                </c:pt>
              </c:numCache>
            </c:numRef>
          </c:val>
          <c:extLst xmlns:c16r2="http://schemas.microsoft.com/office/drawing/2015/06/chart">
            <c:ext xmlns:c16="http://schemas.microsoft.com/office/drawing/2014/chart" uri="{C3380CC4-5D6E-409C-BE32-E72D297353CC}">
              <c16:uniqueId val="{00000005-7C3B-4D88-AC20-A856B28AC81C}"/>
            </c:ext>
          </c:extLst>
        </c:ser>
        <c:marker val="1"/>
        <c:axId val="162566144"/>
        <c:axId val="162543872"/>
      </c:lineChart>
      <c:catAx>
        <c:axId val="151579648"/>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62542336"/>
        <c:crossesAt val="100"/>
        <c:lblAlgn val="ctr"/>
        <c:lblOffset val="0"/>
        <c:tickLblSkip val="1"/>
        <c:tickMarkSkip val="4"/>
      </c:catAx>
      <c:valAx>
        <c:axId val="162542336"/>
        <c:scaling>
          <c:orientation val="minMax"/>
          <c:max val="130"/>
          <c:min val="8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51579648"/>
        <c:crosses val="autoZero"/>
        <c:crossBetween val="between"/>
        <c:majorUnit val="5"/>
      </c:valAx>
      <c:valAx>
        <c:axId val="162543872"/>
        <c:scaling>
          <c:orientation val="minMax"/>
          <c:max val="50"/>
          <c:min val="0"/>
        </c:scaling>
        <c:axPos val="r"/>
        <c:numFmt formatCode="0" sourceLinked="0"/>
        <c:tickLblPos val="nextTo"/>
        <c:crossAx val="162566144"/>
        <c:crosses val="max"/>
        <c:crossBetween val="between"/>
      </c:valAx>
      <c:catAx>
        <c:axId val="162566144"/>
        <c:scaling>
          <c:orientation val="minMax"/>
        </c:scaling>
        <c:delete val="1"/>
        <c:axPos val="b"/>
        <c:numFmt formatCode="General" sourceLinked="1"/>
        <c:tickLblPos val="none"/>
        <c:crossAx val="162543872"/>
        <c:crosses val="autoZero"/>
        <c:auto val="1"/>
        <c:lblAlgn val="ctr"/>
        <c:lblOffset val="100"/>
      </c:catAx>
      <c:spPr>
        <a:noFill/>
        <a:ln w="9525">
          <a:solidFill>
            <a:schemeClr val="tx1"/>
          </a:solidFill>
        </a:ln>
      </c:spPr>
    </c:plotArea>
    <c:legend>
      <c:legendPos val="b"/>
      <c:layout>
        <c:manualLayout>
          <c:xMode val="edge"/>
          <c:yMode val="edge"/>
          <c:x val="6.0825149028219005E-2"/>
          <c:y val="0.82924800180119362"/>
          <c:w val="0.88531755998340889"/>
          <c:h val="0.1671777552628617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5.3834071173074864E-2"/>
          <c:y val="1.643251153889452E-2"/>
          <c:w val="0.93243256741239411"/>
          <c:h val="0.76870539232242052"/>
        </c:manualLayout>
      </c:layout>
      <c:barChart>
        <c:barDir val="col"/>
        <c:grouping val="stacked"/>
        <c:ser>
          <c:idx val="0"/>
          <c:order val="0"/>
          <c:tx>
            <c:strRef>
              <c:f>'[Obchod-doprava-grafy.xlsx]Graf-příspěvky k růstu'!$A$59</c:f>
              <c:strCache>
                <c:ptCount val="1"/>
                <c:pt idx="0">
                  <c:v>Obchod a opravy motor.voz.(NACE 45)</c:v>
                </c:pt>
              </c:strCache>
            </c:strRef>
          </c:tx>
          <c:spPr>
            <a:solidFill>
              <a:srgbClr val="0071BC"/>
            </a:solidFill>
            <a:ln w="6350">
              <a:solidFill>
                <a:schemeClr val="bg1">
                  <a:lumMod val="65000"/>
                </a:schemeClr>
              </a:solidFill>
              <a:prstDash val="solid"/>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růstu'!$H$59:$T$59</c:f>
              <c:numCache>
                <c:formatCode>#,##0.0</c:formatCode>
                <c:ptCount val="13"/>
                <c:pt idx="0">
                  <c:v>0.48960304755808776</c:v>
                </c:pt>
                <c:pt idx="1">
                  <c:v>0.85560139981513572</c:v>
                </c:pt>
                <c:pt idx="2">
                  <c:v>1.3434857738712265</c:v>
                </c:pt>
                <c:pt idx="3">
                  <c:v>-0.76960158076420004</c:v>
                </c:pt>
                <c:pt idx="4">
                  <c:v>-0.55989794433162576</c:v>
                </c:pt>
                <c:pt idx="5">
                  <c:v>0.84512665861417835</c:v>
                </c:pt>
                <c:pt idx="6">
                  <c:v>-0.26289829007059901</c:v>
                </c:pt>
                <c:pt idx="7">
                  <c:v>0.94265712719583861</c:v>
                </c:pt>
                <c:pt idx="8">
                  <c:v>-0.51414780643636881</c:v>
                </c:pt>
                <c:pt idx="9">
                  <c:v>1.5866714163312761</c:v>
                </c:pt>
                <c:pt idx="10">
                  <c:v>0.86849260968514364</c:v>
                </c:pt>
                <c:pt idx="11">
                  <c:v>1.0817600337506215</c:v>
                </c:pt>
                <c:pt idx="12">
                  <c:v>-0.47955520206042834</c:v>
                </c:pt>
              </c:numCache>
            </c:numRef>
          </c:val>
          <c:extLst xmlns:c16r2="http://schemas.microsoft.com/office/drawing/2015/06/chart">
            <c:ext xmlns:c16="http://schemas.microsoft.com/office/drawing/2014/chart" uri="{C3380CC4-5D6E-409C-BE32-E72D297353CC}">
              <c16:uniqueId val="{00000000-38AA-42ED-9EF7-AB4B06B62CAA}"/>
            </c:ext>
          </c:extLst>
        </c:ser>
        <c:ser>
          <c:idx val="3"/>
          <c:order val="1"/>
          <c:tx>
            <c:strRef>
              <c:f>'[Obchod-doprava-grafy.xlsx]Graf-příspěvky k růstu'!$A$60</c:f>
              <c:strCache>
                <c:ptCount val="1"/>
                <c:pt idx="0">
                  <c:v>Velkoobchod bez motor. voz. (46)</c:v>
                </c:pt>
              </c:strCache>
            </c:strRef>
          </c:tx>
          <c:spPr>
            <a:solidFill>
              <a:srgbClr val="48AEE7"/>
            </a:solidFill>
            <a:ln w="6350">
              <a:solidFill>
                <a:schemeClr val="bg1">
                  <a:lumMod val="65000"/>
                </a:schemeClr>
              </a:solidFill>
              <a:prstDash val="solid"/>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růstu'!$H$60:$T$60</c:f>
              <c:numCache>
                <c:formatCode>#,##0.0</c:formatCode>
                <c:ptCount val="13"/>
                <c:pt idx="0">
                  <c:v>4.7864978579515842</c:v>
                </c:pt>
                <c:pt idx="1">
                  <c:v>2.8625765720666512</c:v>
                </c:pt>
                <c:pt idx="2">
                  <c:v>3.7188170737375676</c:v>
                </c:pt>
                <c:pt idx="3">
                  <c:v>-0.67966862745881462</c:v>
                </c:pt>
                <c:pt idx="4">
                  <c:v>-5.1257159141752782</c:v>
                </c:pt>
                <c:pt idx="5">
                  <c:v>3.6692978104292142</c:v>
                </c:pt>
                <c:pt idx="6">
                  <c:v>2.1744893028749392</c:v>
                </c:pt>
                <c:pt idx="7">
                  <c:v>0.93553805239668764</c:v>
                </c:pt>
                <c:pt idx="8">
                  <c:v>0.75477846819230043</c:v>
                </c:pt>
                <c:pt idx="9">
                  <c:v>2.3755644352274543</c:v>
                </c:pt>
                <c:pt idx="10">
                  <c:v>5.4224953098616471</c:v>
                </c:pt>
                <c:pt idx="11">
                  <c:v>-0.63389871776281936</c:v>
                </c:pt>
                <c:pt idx="12">
                  <c:v>0.40094001383098782</c:v>
                </c:pt>
              </c:numCache>
            </c:numRef>
          </c:val>
          <c:extLst xmlns:c16r2="http://schemas.microsoft.com/office/drawing/2015/06/chart">
            <c:ext xmlns:c16="http://schemas.microsoft.com/office/drawing/2014/chart" uri="{C3380CC4-5D6E-409C-BE32-E72D297353CC}">
              <c16:uniqueId val="{00000001-38AA-42ED-9EF7-AB4B06B62CAA}"/>
            </c:ext>
          </c:extLst>
        </c:ser>
        <c:ser>
          <c:idx val="1"/>
          <c:order val="2"/>
          <c:tx>
            <c:strRef>
              <c:f>'[Obchod-doprava-grafy.xlsx]Graf-příspěvky k růstu'!$A$61</c:f>
              <c:strCache>
                <c:ptCount val="1"/>
                <c:pt idx="0">
                  <c:v>Maloobchod bez motor. voz. (47)</c:v>
                </c:pt>
              </c:strCache>
            </c:strRef>
          </c:tx>
          <c:spPr>
            <a:solidFill>
              <a:srgbClr val="C5E3FE"/>
            </a:solidFill>
            <a:ln w="6350">
              <a:solidFill>
                <a:schemeClr val="bg1">
                  <a:lumMod val="65000"/>
                </a:schemeClr>
              </a:solidFill>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růstu'!$H$61:$T$61</c:f>
              <c:numCache>
                <c:formatCode>#,##0.0</c:formatCode>
                <c:ptCount val="13"/>
                <c:pt idx="0">
                  <c:v>4.1113841732586387</c:v>
                </c:pt>
                <c:pt idx="1">
                  <c:v>1.0123368310102983</c:v>
                </c:pt>
                <c:pt idx="2">
                  <c:v>1.1351551968347804</c:v>
                </c:pt>
                <c:pt idx="3">
                  <c:v>1.4974111525739884</c:v>
                </c:pt>
                <c:pt idx="4">
                  <c:v>1.0323616646485361</c:v>
                </c:pt>
                <c:pt idx="5">
                  <c:v>0.66060894811025062</c:v>
                </c:pt>
                <c:pt idx="6">
                  <c:v>0.6637049365151888</c:v>
                </c:pt>
                <c:pt idx="7">
                  <c:v>-0.10297577379830977</c:v>
                </c:pt>
                <c:pt idx="8">
                  <c:v>-0.26701000566224786</c:v>
                </c:pt>
                <c:pt idx="9">
                  <c:v>1.5396040811398737</c:v>
                </c:pt>
                <c:pt idx="10">
                  <c:v>0.41027647556560437</c:v>
                </c:pt>
                <c:pt idx="11">
                  <c:v>0.65295599202883592</c:v>
                </c:pt>
                <c:pt idx="12">
                  <c:v>1.1927171268928953</c:v>
                </c:pt>
              </c:numCache>
            </c:numRef>
          </c:val>
          <c:extLst xmlns:c16r2="http://schemas.microsoft.com/office/drawing/2015/06/chart">
            <c:ext xmlns:c16="http://schemas.microsoft.com/office/drawing/2014/chart" uri="{C3380CC4-5D6E-409C-BE32-E72D297353CC}">
              <c16:uniqueId val="{00000002-38AA-42ED-9EF7-AB4B06B62CAA}"/>
            </c:ext>
          </c:extLst>
        </c:ser>
        <c:ser>
          <c:idx val="7"/>
          <c:order val="3"/>
          <c:tx>
            <c:strRef>
              <c:f>'[Obchod-doprava-grafy.xlsx]Graf-příspěvky k růstu'!$A$62</c:f>
              <c:strCache>
                <c:ptCount val="1"/>
                <c:pt idx="0">
                  <c:v>Pozemní doprava (49)</c:v>
                </c:pt>
              </c:strCache>
            </c:strRef>
          </c:tx>
          <c:spPr>
            <a:solidFill>
              <a:srgbClr val="FDDEB3"/>
            </a:solidFill>
            <a:ln w="6350">
              <a:solidFill>
                <a:schemeClr val="bg1">
                  <a:lumMod val="65000"/>
                </a:schemeClr>
              </a:solidFill>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růstu'!$H$62:$T$62</c:f>
              <c:numCache>
                <c:formatCode>#,##0.0</c:formatCode>
                <c:ptCount val="13"/>
                <c:pt idx="0">
                  <c:v>-1.2630098416425031</c:v>
                </c:pt>
                <c:pt idx="1">
                  <c:v>2.174093243776845</c:v>
                </c:pt>
                <c:pt idx="2">
                  <c:v>-0.53421371878653257</c:v>
                </c:pt>
                <c:pt idx="3">
                  <c:v>-2.9013793517131643</c:v>
                </c:pt>
                <c:pt idx="4">
                  <c:v>-3.7708349401484802</c:v>
                </c:pt>
                <c:pt idx="5">
                  <c:v>0.39165268130881908</c:v>
                </c:pt>
                <c:pt idx="6">
                  <c:v>-1.4965237698977281</c:v>
                </c:pt>
                <c:pt idx="7">
                  <c:v>-1.8302268171973242</c:v>
                </c:pt>
                <c:pt idx="8">
                  <c:v>-0.45801435218430131</c:v>
                </c:pt>
                <c:pt idx="9">
                  <c:v>-0.96493683073946135</c:v>
                </c:pt>
                <c:pt idx="10">
                  <c:v>1.1769595786084621</c:v>
                </c:pt>
                <c:pt idx="11">
                  <c:v>0.47387590027589654</c:v>
                </c:pt>
                <c:pt idx="12">
                  <c:v>0.94009301264926048</c:v>
                </c:pt>
              </c:numCache>
            </c:numRef>
          </c:val>
          <c:extLst xmlns:c16r2="http://schemas.microsoft.com/office/drawing/2015/06/chart">
            <c:ext xmlns:c16="http://schemas.microsoft.com/office/drawing/2014/chart" uri="{C3380CC4-5D6E-409C-BE32-E72D297353CC}">
              <c16:uniqueId val="{00000003-38AA-42ED-9EF7-AB4B06B62CAA}"/>
            </c:ext>
          </c:extLst>
        </c:ser>
        <c:ser>
          <c:idx val="2"/>
          <c:order val="4"/>
          <c:tx>
            <c:strRef>
              <c:f>'[Obchod-doprava-grafy.xlsx]Graf-příspěvky k růstu'!$A$63</c:f>
              <c:strCache>
                <c:ptCount val="1"/>
                <c:pt idx="0">
                  <c:v>Vodní doprava (50)</c:v>
                </c:pt>
              </c:strCache>
            </c:strRef>
          </c:tx>
          <c:spPr>
            <a:solidFill>
              <a:srgbClr val="F8A124"/>
            </a:solidFill>
            <a:ln w="6350">
              <a:solidFill>
                <a:schemeClr val="bg1">
                  <a:lumMod val="65000"/>
                </a:schemeClr>
              </a:solidFill>
              <a:prstDash val="sysDash"/>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růstu'!$H$63:$T$63</c:f>
              <c:numCache>
                <c:formatCode>#,##0.0</c:formatCode>
                <c:ptCount val="13"/>
                <c:pt idx="0">
                  <c:v>4.5827461570053817E-2</c:v>
                </c:pt>
                <c:pt idx="1">
                  <c:v>7.8510728009966813E-4</c:v>
                </c:pt>
                <c:pt idx="2">
                  <c:v>9.9194319524040387E-3</c:v>
                </c:pt>
                <c:pt idx="3">
                  <c:v>-7.8038186760420883E-3</c:v>
                </c:pt>
                <c:pt idx="4">
                  <c:v>-1.236328515097389E-2</c:v>
                </c:pt>
                <c:pt idx="5">
                  <c:v>-5.5931611416861534E-3</c:v>
                </c:pt>
                <c:pt idx="6">
                  <c:v>-2.4830215016240581E-2</c:v>
                </c:pt>
                <c:pt idx="7">
                  <c:v>6.3586961458615542E-3</c:v>
                </c:pt>
                <c:pt idx="8">
                  <c:v>-3.18499483038961E-3</c:v>
                </c:pt>
                <c:pt idx="9">
                  <c:v>-1.2553194873297917E-3</c:v>
                </c:pt>
                <c:pt idx="10">
                  <c:v>-9.2485109481190552E-3</c:v>
                </c:pt>
                <c:pt idx="11">
                  <c:v>6.0118958585732791E-3</c:v>
                </c:pt>
                <c:pt idx="12">
                  <c:v>-3.3132743086869681E-3</c:v>
                </c:pt>
              </c:numCache>
            </c:numRef>
          </c:val>
          <c:extLst xmlns:c16r2="http://schemas.microsoft.com/office/drawing/2015/06/chart">
            <c:ext xmlns:c16="http://schemas.microsoft.com/office/drawing/2014/chart" uri="{C3380CC4-5D6E-409C-BE32-E72D297353CC}">
              <c16:uniqueId val="{00000004-38AA-42ED-9EF7-AB4B06B62CAA}"/>
            </c:ext>
          </c:extLst>
        </c:ser>
        <c:ser>
          <c:idx val="5"/>
          <c:order val="5"/>
          <c:tx>
            <c:strRef>
              <c:f>'[Obchod-doprava-grafy.xlsx]Graf-příspěvky k růstu'!$A$64</c:f>
              <c:strCache>
                <c:ptCount val="1"/>
                <c:pt idx="0">
                  <c:v>Letecká doprava (51)</c:v>
                </c:pt>
              </c:strCache>
            </c:strRef>
          </c:tx>
          <c:spPr>
            <a:solidFill>
              <a:srgbClr val="BD1B21"/>
            </a:solidFill>
            <a:ln w="6350">
              <a:solidFill>
                <a:schemeClr val="bg1">
                  <a:lumMod val="65000"/>
                </a:schemeClr>
              </a:solidFill>
              <a:prstDash val="sysDash"/>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růstu'!$H$64:$T$64</c:f>
              <c:numCache>
                <c:formatCode>#,##0.0</c:formatCode>
                <c:ptCount val="13"/>
                <c:pt idx="0">
                  <c:v>-1.0010124006625327E-2</c:v>
                </c:pt>
                <c:pt idx="1">
                  <c:v>0.19709791195878532</c:v>
                </c:pt>
                <c:pt idx="2">
                  <c:v>0.61330640021979965</c:v>
                </c:pt>
                <c:pt idx="3">
                  <c:v>0.34118552835057181</c:v>
                </c:pt>
                <c:pt idx="4">
                  <c:v>-0.77311799014025329</c:v>
                </c:pt>
                <c:pt idx="5">
                  <c:v>-0.41883798137243117</c:v>
                </c:pt>
                <c:pt idx="6">
                  <c:v>-0.32631600139586686</c:v>
                </c:pt>
                <c:pt idx="7">
                  <c:v>0.14621362933063123</c:v>
                </c:pt>
                <c:pt idx="8">
                  <c:v>-0.59210030065611319</c:v>
                </c:pt>
                <c:pt idx="9">
                  <c:v>-0.24256907232217498</c:v>
                </c:pt>
                <c:pt idx="10">
                  <c:v>-0.39864937245935766</c:v>
                </c:pt>
                <c:pt idx="11">
                  <c:v>-0.11713489851563012</c:v>
                </c:pt>
                <c:pt idx="12">
                  <c:v>0.12969372283251637</c:v>
                </c:pt>
              </c:numCache>
            </c:numRef>
          </c:val>
          <c:extLst xmlns:c16r2="http://schemas.microsoft.com/office/drawing/2015/06/chart">
            <c:ext xmlns:c16="http://schemas.microsoft.com/office/drawing/2014/chart" uri="{C3380CC4-5D6E-409C-BE32-E72D297353CC}">
              <c16:uniqueId val="{00000005-38AA-42ED-9EF7-AB4B06B62CAA}"/>
            </c:ext>
          </c:extLst>
        </c:ser>
        <c:ser>
          <c:idx val="4"/>
          <c:order val="6"/>
          <c:tx>
            <c:strRef>
              <c:f>'[Obchod-doprava-grafy.xlsx]Graf-příspěvky k růstu'!$A$65</c:f>
              <c:strCache>
                <c:ptCount val="1"/>
                <c:pt idx="0">
                  <c:v>Skladování (52)</c:v>
                </c:pt>
              </c:strCache>
            </c:strRef>
          </c:tx>
          <c:spPr>
            <a:solidFill>
              <a:srgbClr val="E8AFB2"/>
            </a:solidFill>
            <a:ln w="6350">
              <a:solidFill>
                <a:prstClr val="white">
                  <a:lumMod val="65000"/>
                </a:prstClr>
              </a:solidFill>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růstu'!$H$65:$T$65</c:f>
              <c:numCache>
                <c:formatCode>#,##0.0</c:formatCode>
                <c:ptCount val="13"/>
                <c:pt idx="0">
                  <c:v>0.4451812448852317</c:v>
                </c:pt>
                <c:pt idx="1">
                  <c:v>0.53913929671131866</c:v>
                </c:pt>
                <c:pt idx="2">
                  <c:v>0.20662862745849939</c:v>
                </c:pt>
                <c:pt idx="3">
                  <c:v>1.5796630670116074</c:v>
                </c:pt>
                <c:pt idx="4">
                  <c:v>0.89240684994982655</c:v>
                </c:pt>
                <c:pt idx="5">
                  <c:v>0.18016846640906894</c:v>
                </c:pt>
                <c:pt idx="6">
                  <c:v>-0.52428663463345215</c:v>
                </c:pt>
                <c:pt idx="7">
                  <c:v>0.6317578451313417</c:v>
                </c:pt>
                <c:pt idx="8">
                  <c:v>0.74487401133161224</c:v>
                </c:pt>
                <c:pt idx="9">
                  <c:v>7.9664738673700081E-2</c:v>
                </c:pt>
                <c:pt idx="10">
                  <c:v>0.12540106251475183</c:v>
                </c:pt>
                <c:pt idx="11">
                  <c:v>0.61826342915633536</c:v>
                </c:pt>
                <c:pt idx="12">
                  <c:v>1.0218164477410958</c:v>
                </c:pt>
              </c:numCache>
            </c:numRef>
          </c:val>
          <c:extLst xmlns:c16r2="http://schemas.microsoft.com/office/drawing/2015/06/chart">
            <c:ext xmlns:c16="http://schemas.microsoft.com/office/drawing/2014/chart" uri="{C3380CC4-5D6E-409C-BE32-E72D297353CC}">
              <c16:uniqueId val="{00000006-38AA-42ED-9EF7-AB4B06B62CAA}"/>
            </c:ext>
          </c:extLst>
        </c:ser>
        <c:ser>
          <c:idx val="6"/>
          <c:order val="7"/>
          <c:tx>
            <c:strRef>
              <c:f>'[Obchod-doprava-grafy.xlsx]Graf-příspěvky k růstu'!$A$66</c:f>
              <c:strCache>
                <c:ptCount val="1"/>
                <c:pt idx="0">
                  <c:v>Poštovní a kurýrní čin. (53)</c:v>
                </c:pt>
              </c:strCache>
            </c:strRef>
          </c:tx>
          <c:spPr>
            <a:solidFill>
              <a:srgbClr val="7DBB2D"/>
            </a:solidFill>
            <a:ln w="6350">
              <a:solidFill>
                <a:prstClr val="white">
                  <a:lumMod val="65000"/>
                </a:prstClr>
              </a:solidFill>
            </a:ln>
          </c:spP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růstu'!$H$66:$T$66</c:f>
              <c:numCache>
                <c:formatCode>#,##0.0</c:formatCode>
                <c:ptCount val="13"/>
                <c:pt idx="0">
                  <c:v>0.14627211959831871</c:v>
                </c:pt>
                <c:pt idx="1">
                  <c:v>7.7548851626127083E-2</c:v>
                </c:pt>
                <c:pt idx="2">
                  <c:v>0.38292582773655592</c:v>
                </c:pt>
                <c:pt idx="3">
                  <c:v>2.347028912718158E-2</c:v>
                </c:pt>
                <c:pt idx="4">
                  <c:v>2.8753754785299741E-2</c:v>
                </c:pt>
                <c:pt idx="5">
                  <c:v>-2.1586908546660892E-2</c:v>
                </c:pt>
                <c:pt idx="6">
                  <c:v>-2.3823584677744172E-2</c:v>
                </c:pt>
                <c:pt idx="7">
                  <c:v>-0.13192365149239646</c:v>
                </c:pt>
                <c:pt idx="8">
                  <c:v>-0.14366932100600871</c:v>
                </c:pt>
                <c:pt idx="9">
                  <c:v>-0.18626420646755687</c:v>
                </c:pt>
                <c:pt idx="10">
                  <c:v>-5.5972334136194804E-2</c:v>
                </c:pt>
                <c:pt idx="11">
                  <c:v>-9.6508575437114025E-2</c:v>
                </c:pt>
                <c:pt idx="12">
                  <c:v>-0.10733439453303317</c:v>
                </c:pt>
              </c:numCache>
            </c:numRef>
          </c:val>
          <c:extLst xmlns:c16r2="http://schemas.microsoft.com/office/drawing/2015/06/chart">
            <c:ext xmlns:c16="http://schemas.microsoft.com/office/drawing/2014/chart" uri="{C3380CC4-5D6E-409C-BE32-E72D297353CC}">
              <c16:uniqueId val="{00000007-38AA-42ED-9EF7-AB4B06B62CAA}"/>
            </c:ext>
          </c:extLst>
        </c:ser>
        <c:gapWidth val="30"/>
        <c:overlap val="100"/>
        <c:axId val="162645120"/>
        <c:axId val="162647040"/>
      </c:barChart>
      <c:lineChart>
        <c:grouping val="standard"/>
        <c:ser>
          <c:idx val="8"/>
          <c:order val="8"/>
          <c:tx>
            <c:strRef>
              <c:f>'[Obchod-doprava-grafy.xlsx]Graf-příspěvky k růstu'!$A$67</c:f>
              <c:strCache>
                <c:ptCount val="1"/>
                <c:pt idx="0">
                  <c:v>Obchod, Doprava a skladování celkem (G+H)</c:v>
                </c:pt>
              </c:strCache>
            </c:strRef>
          </c:tx>
          <c:spPr>
            <a:ln>
              <a:noFill/>
            </a:ln>
          </c:spPr>
          <c:marker>
            <c:symbol val="diamond"/>
            <c:size val="7"/>
            <c:spPr>
              <a:solidFill>
                <a:schemeClr val="bg1"/>
              </a:solidFill>
              <a:ln>
                <a:solidFill>
                  <a:sysClr val="windowText" lastClr="000000"/>
                </a:solidFill>
              </a:ln>
            </c:spPr>
          </c:marker>
          <c:cat>
            <c:numRef>
              <c:f>'[Obchod-doprava-grafy.xlsx]Graf-příspěvky k růstu'!$H$58:$T$58</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'[Obchod-doprava-grafy.xlsx]Graf-příspěvky k růstu'!$H$67:$T$67</c:f>
              <c:numCache>
                <c:formatCode>#,##0.0</c:formatCode>
                <c:ptCount val="13"/>
                <c:pt idx="0">
                  <c:v>8.7517459391727872</c:v>
                </c:pt>
                <c:pt idx="1">
                  <c:v>7.7191792142452611</c:v>
                </c:pt>
                <c:pt idx="2">
                  <c:v>6.8760246130242813</c:v>
                </c:pt>
                <c:pt idx="3">
                  <c:v>-0.9167233415488546</c:v>
                </c:pt>
                <c:pt idx="4">
                  <c:v>-8.2884078045629845</c:v>
                </c:pt>
                <c:pt idx="5">
                  <c:v>5.3008365138107365</c:v>
                </c:pt>
                <c:pt idx="6">
                  <c:v>0.17951574369849163</c:v>
                </c:pt>
                <c:pt idx="7">
                  <c:v>0.59739910771232008</c:v>
                </c:pt>
                <c:pt idx="8">
                  <c:v>-0.47847430125152363</c:v>
                </c:pt>
                <c:pt idx="9">
                  <c:v>4.1864792423557855</c:v>
                </c:pt>
                <c:pt idx="10">
                  <c:v>7.5397548186919359</c:v>
                </c:pt>
                <c:pt idx="11">
                  <c:v>1.9853250593546934</c:v>
                </c:pt>
                <c:pt idx="12">
                  <c:v>3.0950574530445767</c:v>
                </c:pt>
              </c:numCache>
            </c:numRef>
          </c:val>
          <c:extLst xmlns:c16r2="http://schemas.microsoft.com/office/drawing/2015/06/chart">
            <c:ext xmlns:c16="http://schemas.microsoft.com/office/drawing/2014/chart" uri="{C3380CC4-5D6E-409C-BE32-E72D297353CC}">
              <c16:uniqueId val="{00000008-38AA-42ED-9EF7-AB4B06B62CAA}"/>
            </c:ext>
          </c:extLst>
        </c:ser>
        <c:marker val="1"/>
        <c:axId val="162645120"/>
        <c:axId val="162647040"/>
      </c:lineChart>
      <c:catAx>
        <c:axId val="162645120"/>
        <c:scaling>
          <c:orientation val="minMax"/>
        </c:scaling>
        <c:axPos val="b"/>
        <c:numFmt formatCode="General" sourceLinked="1"/>
        <c:majorTickMark val="none"/>
        <c:tickLblPos val="low"/>
        <c:spPr>
          <a:ln w="9525">
            <a:solidFill>
              <a:schemeClr val="tx1"/>
            </a:solidFill>
            <a:prstDash val="solid"/>
          </a:ln>
        </c:spPr>
        <c:txPr>
          <a:bodyPr rot="0" vert="horz"/>
          <a:lstStyle/>
          <a:p>
            <a:pPr>
              <a:defRPr/>
            </a:pPr>
            <a:endParaRPr lang="cs-CZ"/>
          </a:p>
        </c:txPr>
        <c:crossAx val="162647040"/>
        <c:crossesAt val="100"/>
        <c:lblAlgn val="ctr"/>
        <c:lblOffset val="0"/>
        <c:tickLblSkip val="1"/>
        <c:tickMarkSkip val="4"/>
      </c:catAx>
      <c:valAx>
        <c:axId val="162647040"/>
        <c:scaling>
          <c:orientation val="minMax"/>
          <c:max val="11"/>
          <c:min val="-11"/>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2645120"/>
        <c:crosses val="autoZero"/>
        <c:crossBetween val="between"/>
        <c:majorUnit val="1"/>
      </c:valAx>
      <c:spPr>
        <a:noFill/>
        <a:ln w="9525">
          <a:solidFill>
            <a:schemeClr val="tx1"/>
          </a:solidFill>
        </a:ln>
      </c:spPr>
    </c:plotArea>
    <c:legend>
      <c:legendPos val="b"/>
      <c:layout>
        <c:manualLayout>
          <c:xMode val="edge"/>
          <c:yMode val="edge"/>
          <c:x val="5.002292045973597E-2"/>
          <c:y val="0.82924800180119362"/>
          <c:w val="0.9374147124061426"/>
          <c:h val="0.16360351232691617"/>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4942586963863733E-2"/>
          <c:y val="3.9316672295395698E-2"/>
          <c:w val="0.93343042890915229"/>
          <c:h val="0.73367015416571002"/>
        </c:manualLayout>
      </c:layout>
      <c:barChart>
        <c:barDir val="col"/>
        <c:grouping val="stacked"/>
        <c:ser>
          <c:idx val="13"/>
          <c:order val="0"/>
          <c:tx>
            <c:strRef>
              <c:f>List2!$O$4</c:f>
              <c:strCache>
                <c:ptCount val="1"/>
                <c:pt idx="0">
                  <c:v>Ostatní</c:v>
                </c:pt>
              </c:strCache>
            </c:strRef>
          </c:tx>
          <c:spPr>
            <a:solidFill>
              <a:srgbClr val="7030A0"/>
            </a:solidFill>
          </c:spPr>
          <c:cat>
            <c:strRef>
              <c:f>List2!$A$5:$A$19</c:f>
              <c:strCache>
                <c:ptCount val="15"/>
                <c:pt idx="0">
                  <c:v>2008</c:v>
                </c:pt>
                <c:pt idx="1">
                  <c:v>2009</c:v>
                </c:pt>
                <c:pt idx="2">
                  <c:v>2010</c:v>
                </c:pt>
                <c:pt idx="3">
                  <c:v>2011</c:v>
                </c:pt>
                <c:pt idx="4">
                  <c:v>2012</c:v>
                </c:pt>
                <c:pt idx="5">
                  <c:v>2013</c:v>
                </c:pt>
                <c:pt idx="6">
                  <c:v>2014</c:v>
                </c:pt>
                <c:pt idx="7">
                  <c:v>2015</c:v>
                </c:pt>
                <c:pt idx="8">
                  <c:v>2016</c:v>
                </c:pt>
                <c:pt idx="9">
                  <c:v>2017</c:v>
                </c:pt>
                <c:pt idx="11">
                  <c:v>1Q 2017</c:v>
                </c:pt>
                <c:pt idx="12">
                  <c:v>2Q 2017</c:v>
                </c:pt>
                <c:pt idx="13">
                  <c:v>3Q 2017</c:v>
                </c:pt>
                <c:pt idx="14">
                  <c:v>4Q 2017</c:v>
                </c:pt>
              </c:strCache>
            </c:strRef>
          </c:cat>
          <c:val>
            <c:numRef>
              <c:f>List2!$O$5:$O$19</c:f>
              <c:numCache>
                <c:formatCode>General</c:formatCode>
                <c:ptCount val="15"/>
                <c:pt idx="0">
                  <c:v>1.0343480973999863</c:v>
                </c:pt>
                <c:pt idx="1">
                  <c:v>-0.29357919630000323</c:v>
                </c:pt>
                <c:pt idx="2">
                  <c:v>-8.7078242600000022E-2</c:v>
                </c:pt>
                <c:pt idx="3">
                  <c:v>-0.22402802630000027</c:v>
                </c:pt>
                <c:pt idx="4">
                  <c:v>8.1498359800000392E-2</c:v>
                </c:pt>
                <c:pt idx="5">
                  <c:v>-0.20757454410000095</c:v>
                </c:pt>
                <c:pt idx="6">
                  <c:v>-1.555517899999974E-2</c:v>
                </c:pt>
                <c:pt idx="7">
                  <c:v>0.15402221130000054</c:v>
                </c:pt>
                <c:pt idx="8">
                  <c:v>0.30618782800000038</c:v>
                </c:pt>
                <c:pt idx="9">
                  <c:v>0.24521601400000206</c:v>
                </c:pt>
                <c:pt idx="10">
                  <c:v>0</c:v>
                </c:pt>
                <c:pt idx="11">
                  <c:v>0.24325648720000193</c:v>
                </c:pt>
                <c:pt idx="12">
                  <c:v>0.29117217449999938</c:v>
                </c:pt>
                <c:pt idx="13">
                  <c:v>0.22914268719999994</c:v>
                </c:pt>
                <c:pt idx="14">
                  <c:v>0.21210461820000037</c:v>
                </c:pt>
              </c:numCache>
            </c:numRef>
          </c:val>
          <c:extLst xmlns:c16r2="http://schemas.microsoft.com/office/drawing/2015/06/chart">
            <c:ext xmlns:c16="http://schemas.microsoft.com/office/drawing/2014/chart" uri="{C3380CC4-5D6E-409C-BE32-E72D297353CC}">
              <c16:uniqueId val="{00000000-1FC8-42FF-BC74-EB6E1316A63A}"/>
            </c:ext>
          </c:extLst>
        </c:ser>
        <c:ser>
          <c:idx val="2"/>
          <c:order val="1"/>
          <c:tx>
            <c:strRef>
              <c:f>List2!$L$4</c:f>
              <c:strCache>
                <c:ptCount val="1"/>
                <c:pt idx="0">
                  <c:v>Stravování a ubytování</c:v>
                </c:pt>
              </c:strCache>
            </c:strRef>
          </c:tx>
          <c:spPr>
            <a:solidFill>
              <a:srgbClr val="A6CDE8"/>
            </a:solidFill>
          </c:spPr>
          <c:val>
            <c:numRef>
              <c:f>List2!$L$5:$L$19</c:f>
              <c:numCache>
                <c:formatCode>General</c:formatCode>
                <c:ptCount val="15"/>
                <c:pt idx="0">
                  <c:v>0.33992882700000943</c:v>
                </c:pt>
                <c:pt idx="1">
                  <c:v>0.11169090030000002</c:v>
                </c:pt>
                <c:pt idx="2">
                  <c:v>0.12140315250000012</c:v>
                </c:pt>
                <c:pt idx="3">
                  <c:v>7.2841891500000033E-2</c:v>
                </c:pt>
                <c:pt idx="4">
                  <c:v>0.18453279180000204</c:v>
                </c:pt>
                <c:pt idx="5">
                  <c:v>9.7122522000000225E-2</c:v>
                </c:pt>
                <c:pt idx="6">
                  <c:v>9.4474249600000212E-2</c:v>
                </c:pt>
                <c:pt idx="7">
                  <c:v>8.3359632000000225E-2</c:v>
                </c:pt>
                <c:pt idx="8">
                  <c:v>8.7167136000000006E-2</c:v>
                </c:pt>
                <c:pt idx="9">
                  <c:v>0.33123511680000017</c:v>
                </c:pt>
                <c:pt idx="11">
                  <c:v>0.30217940480000038</c:v>
                </c:pt>
                <c:pt idx="12">
                  <c:v>0.33704625920000453</c:v>
                </c:pt>
                <c:pt idx="13">
                  <c:v>0.36610197120000543</c:v>
                </c:pt>
                <c:pt idx="14">
                  <c:v>0.32542397440000492</c:v>
                </c:pt>
              </c:numCache>
            </c:numRef>
          </c:val>
          <c:extLst xmlns:c16r2="http://schemas.microsoft.com/office/drawing/2015/06/chart">
            <c:ext xmlns:c16="http://schemas.microsoft.com/office/drawing/2014/chart" uri="{C3380CC4-5D6E-409C-BE32-E72D297353CC}">
              <c16:uniqueId val="{00000001-1FC8-42FF-BC74-EB6E1316A63A}"/>
            </c:ext>
          </c:extLst>
        </c:ser>
        <c:ser>
          <c:idx val="6"/>
          <c:order val="2"/>
          <c:tx>
            <c:strRef>
              <c:f>List2!$H$4</c:f>
              <c:strCache>
                <c:ptCount val="1"/>
                <c:pt idx="0">
                  <c:v>Doprava</c:v>
                </c:pt>
              </c:strCache>
            </c:strRef>
          </c:tx>
          <c:spPr>
            <a:solidFill>
              <a:srgbClr val="F8A124"/>
            </a:solidFill>
          </c:spPr>
          <c:cat>
            <c:strRef>
              <c:f>List2!$A$5:$A$19</c:f>
              <c:strCache>
                <c:ptCount val="15"/>
                <c:pt idx="0">
                  <c:v>2008</c:v>
                </c:pt>
                <c:pt idx="1">
                  <c:v>2009</c:v>
                </c:pt>
                <c:pt idx="2">
                  <c:v>2010</c:v>
                </c:pt>
                <c:pt idx="3">
                  <c:v>2011</c:v>
                </c:pt>
                <c:pt idx="4">
                  <c:v>2012</c:v>
                </c:pt>
                <c:pt idx="5">
                  <c:v>2013</c:v>
                </c:pt>
                <c:pt idx="6">
                  <c:v>2014</c:v>
                </c:pt>
                <c:pt idx="7">
                  <c:v>2015</c:v>
                </c:pt>
                <c:pt idx="8">
                  <c:v>2016</c:v>
                </c:pt>
                <c:pt idx="9">
                  <c:v>2017</c:v>
                </c:pt>
                <c:pt idx="11">
                  <c:v>1Q 2017</c:v>
                </c:pt>
                <c:pt idx="12">
                  <c:v>2Q 2017</c:v>
                </c:pt>
                <c:pt idx="13">
                  <c:v>3Q 2017</c:v>
                </c:pt>
                <c:pt idx="14">
                  <c:v>4Q 2017</c:v>
                </c:pt>
              </c:strCache>
            </c:strRef>
          </c:cat>
          <c:val>
            <c:numRef>
              <c:f>List2!$H$5:$H$19</c:f>
              <c:numCache>
                <c:formatCode>General</c:formatCode>
                <c:ptCount val="15"/>
                <c:pt idx="0">
                  <c:v>0.24151518230000227</c:v>
                </c:pt>
                <c:pt idx="1">
                  <c:v>-0.60903828579999952</c:v>
                </c:pt>
                <c:pt idx="2">
                  <c:v>0.27301716259999942</c:v>
                </c:pt>
                <c:pt idx="3">
                  <c:v>0.29401848280000453</c:v>
                </c:pt>
                <c:pt idx="4">
                  <c:v>0.29401848280000453</c:v>
                </c:pt>
                <c:pt idx="5">
                  <c:v>-7.3504620700000411E-2</c:v>
                </c:pt>
                <c:pt idx="6">
                  <c:v>2.0265798800000286E-2</c:v>
                </c:pt>
                <c:pt idx="7">
                  <c:v>-0.42558177480000497</c:v>
                </c:pt>
                <c:pt idx="8">
                  <c:v>-0.17143030350000288</c:v>
                </c:pt>
                <c:pt idx="9">
                  <c:v>0.37311301350000031</c:v>
                </c:pt>
                <c:pt idx="11">
                  <c:v>0.60504812999999991</c:v>
                </c:pt>
                <c:pt idx="12">
                  <c:v>0.39328128450000088</c:v>
                </c:pt>
                <c:pt idx="13">
                  <c:v>0.2521033875</c:v>
                </c:pt>
                <c:pt idx="14">
                  <c:v>0.2521033875</c:v>
                </c:pt>
              </c:numCache>
            </c:numRef>
          </c:val>
          <c:extLst xmlns:c16r2="http://schemas.microsoft.com/office/drawing/2015/06/chart">
            <c:ext xmlns:c16="http://schemas.microsoft.com/office/drawing/2014/chart" uri="{C3380CC4-5D6E-409C-BE32-E72D297353CC}">
              <c16:uniqueId val="{00000002-1FC8-42FF-BC74-EB6E1316A63A}"/>
            </c:ext>
          </c:extLst>
        </c:ser>
        <c:ser>
          <c:idx val="3"/>
          <c:order val="4"/>
          <c:tx>
            <c:strRef>
              <c:f>List2!$E$4</c:f>
              <c:strCache>
                <c:ptCount val="1"/>
                <c:pt idx="0">
                  <c:v>Bydlení, voda, energie, paliva</c:v>
                </c:pt>
              </c:strCache>
            </c:strRef>
          </c:tx>
          <c:spPr>
            <a:solidFill>
              <a:srgbClr val="7DBB2D"/>
            </a:solidFill>
          </c:spPr>
          <c:cat>
            <c:strRef>
              <c:f>List2!$A$5:$A$19</c:f>
              <c:strCache>
                <c:ptCount val="15"/>
                <c:pt idx="0">
                  <c:v>2008</c:v>
                </c:pt>
                <c:pt idx="1">
                  <c:v>2009</c:v>
                </c:pt>
                <c:pt idx="2">
                  <c:v>2010</c:v>
                </c:pt>
                <c:pt idx="3">
                  <c:v>2011</c:v>
                </c:pt>
                <c:pt idx="4">
                  <c:v>2012</c:v>
                </c:pt>
                <c:pt idx="5">
                  <c:v>2013</c:v>
                </c:pt>
                <c:pt idx="6">
                  <c:v>2014</c:v>
                </c:pt>
                <c:pt idx="7">
                  <c:v>2015</c:v>
                </c:pt>
                <c:pt idx="8">
                  <c:v>2016</c:v>
                </c:pt>
                <c:pt idx="9">
                  <c:v>2017</c:v>
                </c:pt>
                <c:pt idx="11">
                  <c:v>1Q 2017</c:v>
                </c:pt>
                <c:pt idx="12">
                  <c:v>2Q 2017</c:v>
                </c:pt>
                <c:pt idx="13">
                  <c:v>3Q 2017</c:v>
                </c:pt>
                <c:pt idx="14">
                  <c:v>4Q 2017</c:v>
                </c:pt>
              </c:strCache>
            </c:strRef>
          </c:cat>
          <c:val>
            <c:numRef>
              <c:f>List2!$E$5:$E$19</c:f>
              <c:numCache>
                <c:formatCode>General</c:formatCode>
                <c:ptCount val="15"/>
                <c:pt idx="0">
                  <c:v>2.8876560055999994</c:v>
                </c:pt>
                <c:pt idx="1">
                  <c:v>2.0185556543999987</c:v>
                </c:pt>
                <c:pt idx="2">
                  <c:v>0.47660341840000076</c:v>
                </c:pt>
                <c:pt idx="3">
                  <c:v>0.78499386559999962</c:v>
                </c:pt>
                <c:pt idx="4">
                  <c:v>1.4017747599999721</c:v>
                </c:pt>
                <c:pt idx="5">
                  <c:v>0.50463891360000634</c:v>
                </c:pt>
                <c:pt idx="6">
                  <c:v>-0.37187623480000642</c:v>
                </c:pt>
                <c:pt idx="7">
                  <c:v>0.26562588200000031</c:v>
                </c:pt>
                <c:pt idx="8">
                  <c:v>0.15074644260000225</c:v>
                </c:pt>
                <c:pt idx="9">
                  <c:v>0.42711492070000434</c:v>
                </c:pt>
                <c:pt idx="11">
                  <c:v>0.20099525680000202</c:v>
                </c:pt>
                <c:pt idx="12">
                  <c:v>0.37686610650000407</c:v>
                </c:pt>
                <c:pt idx="13">
                  <c:v>0.52761254909999356</c:v>
                </c:pt>
                <c:pt idx="14">
                  <c:v>0.55273695620000074</c:v>
                </c:pt>
              </c:numCache>
            </c:numRef>
          </c:val>
          <c:extLst xmlns:c16r2="http://schemas.microsoft.com/office/drawing/2015/06/chart">
            <c:ext xmlns:c16="http://schemas.microsoft.com/office/drawing/2014/chart" uri="{C3380CC4-5D6E-409C-BE32-E72D297353CC}">
              <c16:uniqueId val="{00000003-1FC8-42FF-BC74-EB6E1316A63A}"/>
            </c:ext>
          </c:extLst>
        </c:ser>
        <c:ser>
          <c:idx val="1"/>
          <c:order val="5"/>
          <c:tx>
            <c:strRef>
              <c:f>List2!$C$4</c:f>
              <c:strCache>
                <c:ptCount val="1"/>
                <c:pt idx="0">
                  <c:v>Alkoholické nápoje, tabák</c:v>
                </c:pt>
              </c:strCache>
            </c:strRef>
          </c:tx>
          <c:spPr>
            <a:solidFill>
              <a:srgbClr val="BD1B21"/>
            </a:solidFill>
          </c:spPr>
          <c:cat>
            <c:strRef>
              <c:f>List2!$A$5:$A$19</c:f>
              <c:strCache>
                <c:ptCount val="15"/>
                <c:pt idx="0">
                  <c:v>2008</c:v>
                </c:pt>
                <c:pt idx="1">
                  <c:v>2009</c:v>
                </c:pt>
                <c:pt idx="2">
                  <c:v>2010</c:v>
                </c:pt>
                <c:pt idx="3">
                  <c:v>2011</c:v>
                </c:pt>
                <c:pt idx="4">
                  <c:v>2012</c:v>
                </c:pt>
                <c:pt idx="5">
                  <c:v>2013</c:v>
                </c:pt>
                <c:pt idx="6">
                  <c:v>2014</c:v>
                </c:pt>
                <c:pt idx="7">
                  <c:v>2015</c:v>
                </c:pt>
                <c:pt idx="8">
                  <c:v>2016</c:v>
                </c:pt>
                <c:pt idx="9">
                  <c:v>2017</c:v>
                </c:pt>
                <c:pt idx="11">
                  <c:v>1Q 2017</c:v>
                </c:pt>
                <c:pt idx="12">
                  <c:v>2Q 2017</c:v>
                </c:pt>
                <c:pt idx="13">
                  <c:v>3Q 2017</c:v>
                </c:pt>
                <c:pt idx="14">
                  <c:v>4Q 2017</c:v>
                </c:pt>
              </c:strCache>
            </c:strRef>
          </c:cat>
          <c:val>
            <c:numRef>
              <c:f>List2!$C$5:$C$19</c:f>
              <c:numCache>
                <c:formatCode>General</c:formatCode>
                <c:ptCount val="15"/>
                <c:pt idx="0">
                  <c:v>0.95047600230000062</c:v>
                </c:pt>
                <c:pt idx="1">
                  <c:v>0.62404990050001152</c:v>
                </c:pt>
                <c:pt idx="2">
                  <c:v>0.44163531419999924</c:v>
                </c:pt>
                <c:pt idx="3">
                  <c:v>0.29762379870000188</c:v>
                </c:pt>
                <c:pt idx="4">
                  <c:v>0.24961996020000021</c:v>
                </c:pt>
                <c:pt idx="5">
                  <c:v>0.34562763720000295</c:v>
                </c:pt>
                <c:pt idx="6">
                  <c:v>0.26594328319999982</c:v>
                </c:pt>
                <c:pt idx="7">
                  <c:v>0.44640479680000361</c:v>
                </c:pt>
                <c:pt idx="8">
                  <c:v>0.41090227200000412</c:v>
                </c:pt>
                <c:pt idx="9">
                  <c:v>0.16809638400000207</c:v>
                </c:pt>
                <c:pt idx="11">
                  <c:v>0.31751539200000406</c:v>
                </c:pt>
                <c:pt idx="12">
                  <c:v>7.4709503999999829E-2</c:v>
                </c:pt>
                <c:pt idx="13">
                  <c:v>0.12140294399999976</c:v>
                </c:pt>
                <c:pt idx="14">
                  <c:v>0.14008032000000001</c:v>
                </c:pt>
              </c:numCache>
            </c:numRef>
          </c:val>
          <c:extLst xmlns:c16r2="http://schemas.microsoft.com/office/drawing/2015/06/chart">
            <c:ext xmlns:c16="http://schemas.microsoft.com/office/drawing/2014/chart" uri="{C3380CC4-5D6E-409C-BE32-E72D297353CC}">
              <c16:uniqueId val="{00000004-1FC8-42FF-BC74-EB6E1316A63A}"/>
            </c:ext>
          </c:extLst>
        </c:ser>
        <c:ser>
          <c:idx val="0"/>
          <c:order val="6"/>
          <c:tx>
            <c:strRef>
              <c:f>List2!$B$4</c:f>
              <c:strCache>
                <c:ptCount val="1"/>
                <c:pt idx="0">
                  <c:v>Potraviny a nealkoholické nápoje</c:v>
                </c:pt>
              </c:strCache>
            </c:strRef>
          </c:tx>
          <c:spPr>
            <a:solidFill>
              <a:srgbClr val="0071BC"/>
            </a:solidFill>
          </c:spPr>
          <c:cat>
            <c:strRef>
              <c:f>List2!$A$5:$A$19</c:f>
              <c:strCache>
                <c:ptCount val="15"/>
                <c:pt idx="0">
                  <c:v>2008</c:v>
                </c:pt>
                <c:pt idx="1">
                  <c:v>2009</c:v>
                </c:pt>
                <c:pt idx="2">
                  <c:v>2010</c:v>
                </c:pt>
                <c:pt idx="3">
                  <c:v>2011</c:v>
                </c:pt>
                <c:pt idx="4">
                  <c:v>2012</c:v>
                </c:pt>
                <c:pt idx="5">
                  <c:v>2013</c:v>
                </c:pt>
                <c:pt idx="6">
                  <c:v>2014</c:v>
                </c:pt>
                <c:pt idx="7">
                  <c:v>2015</c:v>
                </c:pt>
                <c:pt idx="8">
                  <c:v>2016</c:v>
                </c:pt>
                <c:pt idx="9">
                  <c:v>2017</c:v>
                </c:pt>
                <c:pt idx="11">
                  <c:v>1Q 2017</c:v>
                </c:pt>
                <c:pt idx="12">
                  <c:v>2Q 2017</c:v>
                </c:pt>
                <c:pt idx="13">
                  <c:v>3Q 2017</c:v>
                </c:pt>
                <c:pt idx="14">
                  <c:v>4Q 2017</c:v>
                </c:pt>
              </c:strCache>
            </c:strRef>
          </c:cat>
          <c:val>
            <c:numRef>
              <c:f>List2!$B$5:$B$19</c:f>
              <c:numCache>
                <c:formatCode>General</c:formatCode>
                <c:ptCount val="15"/>
                <c:pt idx="0">
                  <c:v>1.2135643721999669</c:v>
                </c:pt>
                <c:pt idx="1">
                  <c:v>-0.58430877179999308</c:v>
                </c:pt>
                <c:pt idx="2">
                  <c:v>0.22473414300000041</c:v>
                </c:pt>
                <c:pt idx="3">
                  <c:v>0.68918470519999953</c:v>
                </c:pt>
                <c:pt idx="4">
                  <c:v>1.033777057800001</c:v>
                </c:pt>
                <c:pt idx="5">
                  <c:v>0.73413153380000085</c:v>
                </c:pt>
                <c:pt idx="6">
                  <c:v>0.34164883400000018</c:v>
                </c:pt>
                <c:pt idx="7">
                  <c:v>-0.18790685870000126</c:v>
                </c:pt>
                <c:pt idx="8">
                  <c:v>-0.16254718020000244</c:v>
                </c:pt>
                <c:pt idx="9">
                  <c:v>0.93916148560000068</c:v>
                </c:pt>
                <c:pt idx="11">
                  <c:v>0.75855350760000062</c:v>
                </c:pt>
                <c:pt idx="12">
                  <c:v>0.81273590100000004</c:v>
                </c:pt>
                <c:pt idx="13">
                  <c:v>1.0294654746000005</c:v>
                </c:pt>
                <c:pt idx="14">
                  <c:v>1.1378302613999978</c:v>
                </c:pt>
              </c:numCache>
            </c:numRef>
          </c:val>
          <c:extLst xmlns:c16r2="http://schemas.microsoft.com/office/drawing/2015/06/chart">
            <c:ext xmlns:c16="http://schemas.microsoft.com/office/drawing/2014/chart" uri="{C3380CC4-5D6E-409C-BE32-E72D297353CC}">
              <c16:uniqueId val="{00000005-1FC8-42FF-BC74-EB6E1316A63A}"/>
            </c:ext>
          </c:extLst>
        </c:ser>
        <c:gapWidth val="96"/>
        <c:overlap val="100"/>
        <c:axId val="118816768"/>
        <c:axId val="118818304"/>
      </c:barChart>
      <c:lineChart>
        <c:grouping val="standard"/>
        <c:ser>
          <c:idx val="12"/>
          <c:order val="3"/>
          <c:tx>
            <c:strRef>
              <c:f>List2!$N$4</c:f>
              <c:strCache>
                <c:ptCount val="1"/>
                <c:pt idx="0">
                  <c:v>Index spotřebitelských cen</c:v>
                </c:pt>
              </c:strCache>
            </c:strRef>
          </c:tx>
          <c:spPr>
            <a:ln>
              <a:solidFill>
                <a:schemeClr val="tx1"/>
              </a:solidFill>
            </a:ln>
          </c:spPr>
          <c:marker>
            <c:symbol val="none"/>
          </c:marker>
          <c:cat>
            <c:strRef>
              <c:f>List2!$A$5:$A$19</c:f>
              <c:strCache>
                <c:ptCount val="15"/>
                <c:pt idx="0">
                  <c:v>2008</c:v>
                </c:pt>
                <c:pt idx="1">
                  <c:v>2009</c:v>
                </c:pt>
                <c:pt idx="2">
                  <c:v>2010</c:v>
                </c:pt>
                <c:pt idx="3">
                  <c:v>2011</c:v>
                </c:pt>
                <c:pt idx="4">
                  <c:v>2012</c:v>
                </c:pt>
                <c:pt idx="5">
                  <c:v>2013</c:v>
                </c:pt>
                <c:pt idx="6">
                  <c:v>2014</c:v>
                </c:pt>
                <c:pt idx="7">
                  <c:v>2015</c:v>
                </c:pt>
                <c:pt idx="8">
                  <c:v>2016</c:v>
                </c:pt>
                <c:pt idx="9">
                  <c:v>2017</c:v>
                </c:pt>
                <c:pt idx="11">
                  <c:v>1Q 2017</c:v>
                </c:pt>
                <c:pt idx="12">
                  <c:v>2Q 2017</c:v>
                </c:pt>
                <c:pt idx="13">
                  <c:v>3Q 2017</c:v>
                </c:pt>
                <c:pt idx="14">
                  <c:v>4Q 2017</c:v>
                </c:pt>
              </c:strCache>
            </c:strRef>
          </c:cat>
          <c:val>
            <c:numRef>
              <c:f>List2!$N$5:$N$19</c:f>
              <c:numCache>
                <c:formatCode>General</c:formatCode>
                <c:ptCount val="15"/>
                <c:pt idx="0">
                  <c:v>6.2999999999999972</c:v>
                </c:pt>
                <c:pt idx="1">
                  <c:v>1</c:v>
                </c:pt>
                <c:pt idx="2">
                  <c:v>1.5</c:v>
                </c:pt>
                <c:pt idx="3">
                  <c:v>1.9000000000000061</c:v>
                </c:pt>
                <c:pt idx="4">
                  <c:v>3.2999999999999972</c:v>
                </c:pt>
                <c:pt idx="5">
                  <c:v>1.4000000000000057</c:v>
                </c:pt>
                <c:pt idx="6">
                  <c:v>0.40000000000000568</c:v>
                </c:pt>
                <c:pt idx="7">
                  <c:v>0.30000000000000032</c:v>
                </c:pt>
                <c:pt idx="8">
                  <c:v>0.70000000000000284</c:v>
                </c:pt>
                <c:pt idx="9">
                  <c:v>2.5</c:v>
                </c:pt>
                <c:pt idx="11" formatCode="###,###,##0.0">
                  <c:v>2.4</c:v>
                </c:pt>
                <c:pt idx="12" formatCode="###,###,##0.0">
                  <c:v>2.2000000000000002</c:v>
                </c:pt>
                <c:pt idx="13" formatCode="###,###,##0.0">
                  <c:v>2.5</c:v>
                </c:pt>
                <c:pt idx="14" formatCode="###,###,##0.0">
                  <c:v>2.6</c:v>
                </c:pt>
              </c:numCache>
            </c:numRef>
          </c:val>
          <c:extLst xmlns:c16r2="http://schemas.microsoft.com/office/drawing/2015/06/chart">
            <c:ext xmlns:c16="http://schemas.microsoft.com/office/drawing/2014/chart" uri="{C3380CC4-5D6E-409C-BE32-E72D297353CC}">
              <c16:uniqueId val="{00000006-1FC8-42FF-BC74-EB6E1316A63A}"/>
            </c:ext>
          </c:extLst>
        </c:ser>
        <c:marker val="1"/>
        <c:axId val="118816768"/>
        <c:axId val="118818304"/>
      </c:lineChart>
      <c:catAx>
        <c:axId val="118816768"/>
        <c:scaling>
          <c:orientation val="minMax"/>
        </c:scaling>
        <c:axPos val="b"/>
        <c:numFmt formatCode="General" sourceLinked="0"/>
        <c:tickLblPos val="low"/>
        <c:crossAx val="118818304"/>
        <c:crosses val="autoZero"/>
        <c:auto val="1"/>
        <c:lblAlgn val="ctr"/>
        <c:lblOffset val="100"/>
      </c:catAx>
      <c:valAx>
        <c:axId val="118818304"/>
        <c:scaling>
          <c:orientation val="minMax"/>
          <c:max val="7"/>
        </c:scaling>
        <c:axPos val="l"/>
        <c:majorGridlines/>
        <c:numFmt formatCode="General" sourceLinked="1"/>
        <c:tickLblPos val="nextTo"/>
        <c:crossAx val="118816768"/>
        <c:crosses val="autoZero"/>
        <c:crossBetween val="between"/>
      </c:valAx>
      <c:spPr>
        <a:ln>
          <a:solidFill>
            <a:prstClr val="black"/>
          </a:solidFill>
        </a:ln>
      </c:spPr>
    </c:plotArea>
    <c:legend>
      <c:legendPos val="r"/>
      <c:layout>
        <c:manualLayout>
          <c:xMode val="edge"/>
          <c:yMode val="edge"/>
          <c:x val="5.5622467071935432E-2"/>
          <c:y val="0.86783627700706623"/>
          <c:w val="0.93097412191827089"/>
          <c:h val="0.12924629321656891"/>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7.3562142311828851E-2"/>
          <c:y val="1.6427920487154187E-2"/>
          <c:w val="0.91112827457077816"/>
          <c:h val="0.79415439735546167"/>
        </c:manualLayout>
      </c:layout>
      <c:barChart>
        <c:barDir val="col"/>
        <c:grouping val="stacked"/>
        <c:ser>
          <c:idx val="4"/>
          <c:order val="4"/>
          <c:tx>
            <c:strRef>
              <c:f>'Graf-dopravní výkony'!$F$89</c:f>
              <c:strCache>
                <c:ptCount val="1"/>
                <c:pt idx="0">
                  <c:v>Osobní železnič. doprava (pravá osa)</c:v>
                </c:pt>
              </c:strCache>
            </c:strRef>
          </c:tx>
          <c:spPr>
            <a:solidFill>
              <a:srgbClr val="ECECEC"/>
            </a:solidFill>
            <a:ln>
              <a:solidFill>
                <a:srgbClr val="AEAEAE"/>
              </a:solidFill>
            </a:ln>
          </c:spP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výkony'!$F$95:$F$107</c:f>
              <c:numCache>
                <c:formatCode>#,##0.00</c:formatCode>
                <c:ptCount val="13"/>
                <c:pt idx="0">
                  <c:v>6.6667009999999909</c:v>
                </c:pt>
                <c:pt idx="1">
                  <c:v>6.9221209999999909</c:v>
                </c:pt>
                <c:pt idx="2">
                  <c:v>6.8982479999999997</c:v>
                </c:pt>
                <c:pt idx="3">
                  <c:v>6.8033739999999998</c:v>
                </c:pt>
                <c:pt idx="4">
                  <c:v>6.5028149999999885</c:v>
                </c:pt>
                <c:pt idx="5">
                  <c:v>6.5907189999999956</c:v>
                </c:pt>
                <c:pt idx="6">
                  <c:v>6.7139930000000003</c:v>
                </c:pt>
                <c:pt idx="7">
                  <c:v>7.2647559999999896</c:v>
                </c:pt>
                <c:pt idx="8">
                  <c:v>7.6005969999999907</c:v>
                </c:pt>
                <c:pt idx="9">
                  <c:v>7.7965099999999996</c:v>
                </c:pt>
                <c:pt idx="10">
                  <c:v>8.298112591999999</c:v>
                </c:pt>
                <c:pt idx="11">
                  <c:v>8.8433732679999988</c:v>
                </c:pt>
                <c:pt idx="12">
                  <c:v>9.5146141800000006</c:v>
                </c:pt>
              </c:numCache>
            </c:numRef>
          </c:val>
          <c:extLst xmlns:c16r2="http://schemas.microsoft.com/office/drawing/2015/06/chart">
            <c:ext xmlns:c16="http://schemas.microsoft.com/office/drawing/2014/chart" uri="{C3380CC4-5D6E-409C-BE32-E72D297353CC}">
              <c16:uniqueId val="{00000000-BE86-470B-B3ED-93DDD423D69E}"/>
            </c:ext>
          </c:extLst>
        </c:ser>
        <c:ser>
          <c:idx val="5"/>
          <c:order val="5"/>
          <c:tx>
            <c:strRef>
              <c:f>'Graf-dopravní výkony'!$G$89</c:f>
              <c:strCache>
                <c:ptCount val="1"/>
                <c:pt idx="0">
                  <c:v>Veř. autobous. doprava (pravá osa)</c:v>
                </c:pt>
              </c:strCache>
            </c:strRef>
          </c:tx>
          <c:spPr>
            <a:solidFill>
              <a:srgbClr val="D3D3D3"/>
            </a:solidFill>
            <a:ln>
              <a:solidFill>
                <a:srgbClr val="AEAEAE"/>
              </a:solidFill>
            </a:ln>
          </c:spP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výkony'!$G$95:$G$107</c:f>
              <c:numCache>
                <c:formatCode>#,##0.00</c:formatCode>
                <c:ptCount val="13"/>
                <c:pt idx="0">
                  <c:v>8.607598890000002</c:v>
                </c:pt>
                <c:pt idx="1">
                  <c:v>9.5011483199999986</c:v>
                </c:pt>
                <c:pt idx="2">
                  <c:v>9.5187626200000004</c:v>
                </c:pt>
                <c:pt idx="3">
                  <c:v>9.2151800000000001</c:v>
                </c:pt>
                <c:pt idx="4">
                  <c:v>9.4935521100000066</c:v>
                </c:pt>
                <c:pt idx="5">
                  <c:v>10.335654910000024</c:v>
                </c:pt>
                <c:pt idx="6">
                  <c:v>9.2667312000000006</c:v>
                </c:pt>
                <c:pt idx="7">
                  <c:v>9.0154106600000024</c:v>
                </c:pt>
                <c:pt idx="8">
                  <c:v>9.0255682500000027</c:v>
                </c:pt>
                <c:pt idx="9">
                  <c:v>10.01019814</c:v>
                </c:pt>
                <c:pt idx="10">
                  <c:v>9.995755530000018</c:v>
                </c:pt>
                <c:pt idx="11">
                  <c:v>10.25714305</c:v>
                </c:pt>
                <c:pt idx="12">
                  <c:v>11.121737489999999</c:v>
                </c:pt>
              </c:numCache>
            </c:numRef>
          </c:val>
          <c:extLst xmlns:c16r2="http://schemas.microsoft.com/office/drawing/2015/06/chart">
            <c:ext xmlns:c16="http://schemas.microsoft.com/office/drawing/2014/chart" uri="{C3380CC4-5D6E-409C-BE32-E72D297353CC}">
              <c16:uniqueId val="{00000001-BE86-470B-B3ED-93DDD423D69E}"/>
            </c:ext>
          </c:extLst>
        </c:ser>
        <c:ser>
          <c:idx val="6"/>
          <c:order val="6"/>
          <c:tx>
            <c:strRef>
              <c:f>'Graf-dopravní výkony'!$H$89</c:f>
              <c:strCache>
                <c:ptCount val="1"/>
                <c:pt idx="0">
                  <c:v>MHD (pravá osa)</c:v>
                </c:pt>
              </c:strCache>
            </c:strRef>
          </c:tx>
          <c:spPr>
            <a:solidFill>
              <a:srgbClr val="AEAEAE"/>
            </a:solidFill>
            <a:ln>
              <a:solidFill>
                <a:srgbClr val="AEAEAE"/>
              </a:solidFill>
            </a:ln>
          </c:spP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výkony'!$H$95:$H$107</c:f>
              <c:numCache>
                <c:formatCode>#,##0.00</c:formatCode>
                <c:ptCount val="13"/>
                <c:pt idx="0">
                  <c:v>14.934782470000002</c:v>
                </c:pt>
                <c:pt idx="1">
                  <c:v>14.312665550000018</c:v>
                </c:pt>
                <c:pt idx="2">
                  <c:v>14.352502880000031</c:v>
                </c:pt>
                <c:pt idx="3">
                  <c:v>15.880456730000025</c:v>
                </c:pt>
                <c:pt idx="4">
                  <c:v>15.555059620000016</c:v>
                </c:pt>
                <c:pt idx="5">
                  <c:v>15.617444410000004</c:v>
                </c:pt>
                <c:pt idx="6">
                  <c:v>15.281468970000001</c:v>
                </c:pt>
                <c:pt idx="7">
                  <c:v>15.813667970000004</c:v>
                </c:pt>
                <c:pt idx="8">
                  <c:v>16.276193500000002</c:v>
                </c:pt>
                <c:pt idx="9">
                  <c:v>16.27018</c:v>
                </c:pt>
                <c:pt idx="10">
                  <c:v>16.100467073000001</c:v>
                </c:pt>
                <c:pt idx="11">
                  <c:v>17.387054529000039</c:v>
                </c:pt>
                <c:pt idx="12">
                  <c:v>17.824203494000031</c:v>
                </c:pt>
              </c:numCache>
            </c:numRef>
          </c:val>
          <c:extLst xmlns:c16r2="http://schemas.microsoft.com/office/drawing/2015/06/chart">
            <c:ext xmlns:c16="http://schemas.microsoft.com/office/drawing/2014/chart" uri="{C3380CC4-5D6E-409C-BE32-E72D297353CC}">
              <c16:uniqueId val="{00000002-BE86-470B-B3ED-93DDD423D69E}"/>
            </c:ext>
          </c:extLst>
        </c:ser>
        <c:ser>
          <c:idx val="7"/>
          <c:order val="7"/>
          <c:tx>
            <c:strRef>
              <c:f>'Graf-dopravní výkony'!$I$89</c:f>
              <c:strCache>
                <c:ptCount val="1"/>
                <c:pt idx="0">
                  <c:v>Obch.letecká osob.přepr.(pravá osa)*</c:v>
                </c:pt>
              </c:strCache>
            </c:strRef>
          </c:tx>
          <c:spPr>
            <a:solidFill>
              <a:srgbClr val="7D7D7D"/>
            </a:solidFill>
            <a:ln>
              <a:solidFill>
                <a:srgbClr val="AEAEAE"/>
              </a:solidFill>
            </a:ln>
          </c:spP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výkony'!$I$95:$I$107</c:f>
              <c:numCache>
                <c:formatCode>#,##0.00</c:formatCode>
                <c:ptCount val="13"/>
                <c:pt idx="0">
                  <c:v>9.7357101900000007</c:v>
                </c:pt>
                <c:pt idx="1">
                  <c:v>10.233053079999999</c:v>
                </c:pt>
                <c:pt idx="2">
                  <c:v>10.4772915</c:v>
                </c:pt>
                <c:pt idx="3">
                  <c:v>10.748869599999999</c:v>
                </c:pt>
                <c:pt idx="4">
                  <c:v>11.330473000000001</c:v>
                </c:pt>
                <c:pt idx="5">
                  <c:v>10.902008500000004</c:v>
                </c:pt>
                <c:pt idx="6">
                  <c:v>11.585630000000021</c:v>
                </c:pt>
                <c:pt idx="7">
                  <c:v>10.611569999999999</c:v>
                </c:pt>
                <c:pt idx="8">
                  <c:v>9.603860000000001</c:v>
                </c:pt>
                <c:pt idx="9">
                  <c:v>9.7561400000000003</c:v>
                </c:pt>
                <c:pt idx="10">
                  <c:v>9.7009999999999987</c:v>
                </c:pt>
                <c:pt idx="11">
                  <c:v>10.202540000000004</c:v>
                </c:pt>
                <c:pt idx="12">
                  <c:v>11.32605</c:v>
                </c:pt>
              </c:numCache>
            </c:numRef>
          </c:val>
          <c:extLst xmlns:c16r2="http://schemas.microsoft.com/office/drawing/2015/06/chart">
            <c:ext xmlns:c16="http://schemas.microsoft.com/office/drawing/2014/chart" uri="{C3380CC4-5D6E-409C-BE32-E72D297353CC}">
              <c16:uniqueId val="{00000003-BE86-470B-B3ED-93DDD423D69E}"/>
            </c:ext>
          </c:extLst>
        </c:ser>
        <c:gapWidth val="80"/>
        <c:overlap val="100"/>
        <c:axId val="162874496"/>
        <c:axId val="162868608"/>
      </c:barChart>
      <c:lineChart>
        <c:grouping val="standard"/>
        <c:ser>
          <c:idx val="0"/>
          <c:order val="0"/>
          <c:tx>
            <c:strRef>
              <c:f>'Graf-dopravní výkony'!$B$89</c:f>
              <c:strCache>
                <c:ptCount val="1"/>
                <c:pt idx="0">
                  <c:v>Železniční nákladní dopr. (2010=100)</c:v>
                </c:pt>
              </c:strCache>
            </c:strRef>
          </c:tx>
          <c:spPr>
            <a:ln w="22225">
              <a:solidFill>
                <a:srgbClr val="0071BC"/>
              </a:solidFill>
            </a:ln>
          </c:spPr>
          <c:marker>
            <c:symbol val="none"/>
          </c:marke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výkony'!$B$95:$B$107</c:f>
              <c:numCache>
                <c:formatCode>#,##0</c:formatCode>
                <c:ptCount val="13"/>
                <c:pt idx="0">
                  <c:v>107.95661000052138</c:v>
                </c:pt>
                <c:pt idx="1">
                  <c:v>114.58318960678011</c:v>
                </c:pt>
                <c:pt idx="2">
                  <c:v>118.39928391134546</c:v>
                </c:pt>
                <c:pt idx="3">
                  <c:v>112.10415528654947</c:v>
                </c:pt>
                <c:pt idx="4">
                  <c:v>92.891160014529689</c:v>
                </c:pt>
                <c:pt idx="5">
                  <c:v>100</c:v>
                </c:pt>
                <c:pt idx="6">
                  <c:v>103.96104328992968</c:v>
                </c:pt>
                <c:pt idx="7">
                  <c:v>103.60098013400062</c:v>
                </c:pt>
                <c:pt idx="8">
                  <c:v>101.41287498469542</c:v>
                </c:pt>
                <c:pt idx="9">
                  <c:v>105.84071791286235</c:v>
                </c:pt>
                <c:pt idx="10">
                  <c:v>110.82571404440914</c:v>
                </c:pt>
                <c:pt idx="11">
                  <c:v>113.42251019254248</c:v>
                </c:pt>
                <c:pt idx="12">
                  <c:v>114.23454437871727</c:v>
                </c:pt>
              </c:numCache>
            </c:numRef>
          </c:val>
          <c:extLst xmlns:c16r2="http://schemas.microsoft.com/office/drawing/2015/06/chart">
            <c:ext xmlns:c16="http://schemas.microsoft.com/office/drawing/2014/chart" uri="{C3380CC4-5D6E-409C-BE32-E72D297353CC}">
              <c16:uniqueId val="{00000004-BE86-470B-B3ED-93DDD423D69E}"/>
            </c:ext>
          </c:extLst>
        </c:ser>
        <c:ser>
          <c:idx val="1"/>
          <c:order val="1"/>
          <c:tx>
            <c:strRef>
              <c:f>'Graf-dopravní výkony'!$C$89</c:f>
              <c:strCache>
                <c:ptCount val="1"/>
                <c:pt idx="0">
                  <c:v>Silniční nákladní dopr. (2010=100)**</c:v>
                </c:pt>
              </c:strCache>
            </c:strRef>
          </c:tx>
          <c:spPr>
            <a:ln w="22225">
              <a:solidFill>
                <a:srgbClr val="C00000"/>
              </a:solidFill>
              <a:prstDash val="solid"/>
            </a:ln>
          </c:spPr>
          <c:marker>
            <c:symbol val="none"/>
          </c:marke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výkony'!$C$95:$C$107</c:f>
              <c:numCache>
                <c:formatCode>#,##0</c:formatCode>
                <c:ptCount val="13"/>
                <c:pt idx="0">
                  <c:v>83.822502976808664</c:v>
                </c:pt>
                <c:pt idx="1">
                  <c:v>97.1768750512352</c:v>
                </c:pt>
                <c:pt idx="2">
                  <c:v>92.879294430189049</c:v>
                </c:pt>
                <c:pt idx="3">
                  <c:v>98.157285646674111</c:v>
                </c:pt>
                <c:pt idx="4">
                  <c:v>86.731195628977986</c:v>
                </c:pt>
                <c:pt idx="5">
                  <c:v>100</c:v>
                </c:pt>
                <c:pt idx="6">
                  <c:v>105.7844017890522</c:v>
                </c:pt>
                <c:pt idx="7">
                  <c:v>98.833947235582997</c:v>
                </c:pt>
                <c:pt idx="8">
                  <c:v>105.90519098841749</c:v>
                </c:pt>
                <c:pt idx="9">
                  <c:v>104.3602807194318</c:v>
                </c:pt>
                <c:pt idx="10">
                  <c:v>113.27668796505917</c:v>
                </c:pt>
                <c:pt idx="11">
                  <c:v>97.072503667857717</c:v>
                </c:pt>
                <c:pt idx="12">
                  <c:v>85.417496548502896</c:v>
                </c:pt>
              </c:numCache>
            </c:numRef>
          </c:val>
          <c:extLst xmlns:c16r2="http://schemas.microsoft.com/office/drawing/2015/06/chart">
            <c:ext xmlns:c16="http://schemas.microsoft.com/office/drawing/2014/chart" uri="{C3380CC4-5D6E-409C-BE32-E72D297353CC}">
              <c16:uniqueId val="{00000005-BE86-470B-B3ED-93DDD423D69E}"/>
            </c:ext>
          </c:extLst>
        </c:ser>
        <c:ser>
          <c:idx val="2"/>
          <c:order val="2"/>
          <c:tx>
            <c:strRef>
              <c:f>'Graf-dopravní výkony'!$D$89</c:f>
              <c:strCache>
                <c:ptCount val="1"/>
                <c:pt idx="0">
                  <c:v>Vnitrozem.vodní nákl.dopr. (2010=100)</c:v>
                </c:pt>
              </c:strCache>
            </c:strRef>
          </c:tx>
          <c:spPr>
            <a:ln w="22225">
              <a:solidFill>
                <a:srgbClr val="48AEE7"/>
              </a:solidFill>
            </a:ln>
          </c:spPr>
          <c:marker>
            <c:symbol val="none"/>
          </c:marke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výkony'!$D$95:$D$107</c:f>
              <c:numCache>
                <c:formatCode>#,##0</c:formatCode>
                <c:ptCount val="13"/>
                <c:pt idx="0">
                  <c:v>114.88172416482823</c:v>
                </c:pt>
                <c:pt idx="1">
                  <c:v>120.39262897165588</c:v>
                </c:pt>
                <c:pt idx="2">
                  <c:v>132.20078561115886</c:v>
                </c:pt>
                <c:pt idx="3">
                  <c:v>126.97318943707678</c:v>
                </c:pt>
                <c:pt idx="4">
                  <c:v>94.297181189484149</c:v>
                </c:pt>
                <c:pt idx="5">
                  <c:v>100</c:v>
                </c:pt>
                <c:pt idx="6">
                  <c:v>102.28722049947693</c:v>
                </c:pt>
                <c:pt idx="7">
                  <c:v>98.511194738259633</c:v>
                </c:pt>
                <c:pt idx="8">
                  <c:v>102.05924903343913</c:v>
                </c:pt>
                <c:pt idx="9">
                  <c:v>96.614866565313491</c:v>
                </c:pt>
                <c:pt idx="10">
                  <c:v>86.078396723333171</c:v>
                </c:pt>
                <c:pt idx="11">
                  <c:v>91.305455126119938</c:v>
                </c:pt>
                <c:pt idx="12">
                  <c:v>91.641671388477235</c:v>
                </c:pt>
              </c:numCache>
            </c:numRef>
          </c:val>
          <c:extLst xmlns:c16r2="http://schemas.microsoft.com/office/drawing/2015/06/chart">
            <c:ext xmlns:c16="http://schemas.microsoft.com/office/drawing/2014/chart" uri="{C3380CC4-5D6E-409C-BE32-E72D297353CC}">
              <c16:uniqueId val="{00000006-BE86-470B-B3ED-93DDD423D69E}"/>
            </c:ext>
          </c:extLst>
        </c:ser>
        <c:ser>
          <c:idx val="3"/>
          <c:order val="3"/>
          <c:tx>
            <c:strRef>
              <c:f>'Graf-dopravní výkony'!$E$89</c:f>
              <c:strCache>
                <c:ptCount val="1"/>
                <c:pt idx="0">
                  <c:v>Letecká nákladní dopr. (2010=100)*</c:v>
                </c:pt>
              </c:strCache>
            </c:strRef>
          </c:tx>
          <c:spPr>
            <a:ln w="22225">
              <a:solidFill>
                <a:srgbClr val="7DBB2D"/>
              </a:solidFill>
              <a:prstDash val="solid"/>
            </a:ln>
          </c:spPr>
          <c:marker>
            <c:symbol val="none"/>
          </c:marker>
          <c:cat>
            <c:numRef>
              <c:f>'Graf-dopravní výkony'!$A$95:$A$107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'Graf-dopravní výkony'!$E$95:$E$107</c:f>
              <c:numCache>
                <c:formatCode>#,##0</c:formatCode>
                <c:ptCount val="13"/>
                <c:pt idx="0">
                  <c:v>200.22342374547563</c:v>
                </c:pt>
                <c:pt idx="1">
                  <c:v>212.06528441842801</c:v>
                </c:pt>
                <c:pt idx="2">
                  <c:v>182.13383082353994</c:v>
                </c:pt>
                <c:pt idx="3">
                  <c:v>165.71920103668612</c:v>
                </c:pt>
                <c:pt idx="4">
                  <c:v>128.3243219089328</c:v>
                </c:pt>
                <c:pt idx="5">
                  <c:v>100</c:v>
                </c:pt>
                <c:pt idx="6">
                  <c:v>98.153179319898058</c:v>
                </c:pt>
                <c:pt idx="7">
                  <c:v>74.060503150274812</c:v>
                </c:pt>
                <c:pt idx="8">
                  <c:v>108.69118369900366</c:v>
                </c:pt>
                <c:pt idx="9">
                  <c:v>156.56195540462039</c:v>
                </c:pt>
                <c:pt idx="10">
                  <c:v>138.88913713749548</c:v>
                </c:pt>
                <c:pt idx="11">
                  <c:v>138.26355065016256</c:v>
                </c:pt>
                <c:pt idx="12">
                  <c:v>142.93989901246707</c:v>
                </c:pt>
              </c:numCache>
            </c:numRef>
          </c:val>
          <c:extLst xmlns:c16r2="http://schemas.microsoft.com/office/drawing/2015/06/chart">
            <c:ext xmlns:c16="http://schemas.microsoft.com/office/drawing/2014/chart" uri="{C3380CC4-5D6E-409C-BE32-E72D297353CC}">
              <c16:uniqueId val="{00000007-BE86-470B-B3ED-93DDD423D69E}"/>
            </c:ext>
          </c:extLst>
        </c:ser>
        <c:marker val="1"/>
        <c:axId val="162865536"/>
        <c:axId val="162867072"/>
      </c:lineChart>
      <c:catAx>
        <c:axId val="162865536"/>
        <c:scaling>
          <c:orientation val="minMax"/>
        </c:scaling>
        <c:axPos val="b"/>
        <c:numFmt formatCode="General" sourceLinked="1"/>
        <c:tickLblPos val="nextTo"/>
        <c:txPr>
          <a:bodyPr rot="0"/>
          <a:lstStyle/>
          <a:p>
            <a:pPr>
              <a:defRPr sz="800">
                <a:latin typeface="Arial" pitchFamily="34" charset="0"/>
                <a:cs typeface="Arial" pitchFamily="34" charset="0"/>
              </a:defRPr>
            </a:pPr>
            <a:endParaRPr lang="cs-CZ"/>
          </a:p>
        </c:txPr>
        <c:crossAx val="162867072"/>
        <c:crosses val="autoZero"/>
        <c:auto val="1"/>
        <c:lblAlgn val="ctr"/>
        <c:lblOffset val="0"/>
      </c:catAx>
      <c:valAx>
        <c:axId val="162867072"/>
        <c:scaling>
          <c:orientation val="minMax"/>
          <c:max val="220"/>
          <c:min val="0"/>
        </c:scaling>
        <c:axPos val="l"/>
        <c:majorGridlines/>
        <c:numFmt formatCode="#,##0" sourceLinked="1"/>
        <c:tickLblPos val="nextTo"/>
        <c:txPr>
          <a:bodyPr/>
          <a:lstStyle/>
          <a:p>
            <a:pPr>
              <a:defRPr sz="800">
                <a:latin typeface="Arial" pitchFamily="34" charset="0"/>
                <a:cs typeface="Arial" pitchFamily="34" charset="0"/>
              </a:defRPr>
            </a:pPr>
            <a:endParaRPr lang="cs-CZ"/>
          </a:p>
        </c:txPr>
        <c:crossAx val="162865536"/>
        <c:crosses val="autoZero"/>
        <c:crossBetween val="between"/>
        <c:majorUnit val="20"/>
      </c:valAx>
      <c:valAx>
        <c:axId val="162868608"/>
        <c:scaling>
          <c:orientation val="minMax"/>
          <c:max val="55"/>
          <c:min val="0"/>
        </c:scaling>
        <c:axPos val="r"/>
        <c:numFmt formatCode="#,##0" sourceLinked="0"/>
        <c:tickLblPos val="nextTo"/>
        <c:txPr>
          <a:bodyPr/>
          <a:lstStyle/>
          <a:p>
            <a:pPr>
              <a:defRPr sz="800">
                <a:latin typeface="Arial" pitchFamily="34" charset="0"/>
                <a:cs typeface="Arial" pitchFamily="34" charset="0"/>
              </a:defRPr>
            </a:pPr>
            <a:endParaRPr lang="cs-CZ"/>
          </a:p>
        </c:txPr>
        <c:crossAx val="162874496"/>
        <c:crosses val="max"/>
        <c:crossBetween val="between"/>
      </c:valAx>
      <c:catAx>
        <c:axId val="162874496"/>
        <c:scaling>
          <c:orientation val="minMax"/>
        </c:scaling>
        <c:delete val="1"/>
        <c:axPos val="b"/>
        <c:numFmt formatCode="General" sourceLinked="1"/>
        <c:tickLblPos val="none"/>
        <c:crossAx val="162868608"/>
        <c:crosses val="autoZero"/>
        <c:auto val="1"/>
        <c:lblAlgn val="ctr"/>
        <c:lblOffset val="100"/>
      </c:catAx>
    </c:plotArea>
    <c:legend>
      <c:legendPos val="r"/>
      <c:layout>
        <c:manualLayout>
          <c:xMode val="edge"/>
          <c:yMode val="edge"/>
          <c:x val="4.9056426081549545E-2"/>
          <c:y val="0.8572699906842427"/>
          <c:w val="0.91126569290457726"/>
          <c:h val="0.13558352064730309"/>
        </c:manualLayout>
      </c:layout>
      <c:spPr>
        <a:ln>
          <a:solidFill>
            <a:sysClr val="windowText" lastClr="000000">
              <a:lumMod val="95000"/>
              <a:lumOff val="5000"/>
            </a:sys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9513175616352796E-2"/>
          <c:w val="0.87721032836745738"/>
          <c:h val="0.73334616138578512"/>
        </c:manualLayout>
      </c:layout>
      <c:barChart>
        <c:barDir val="col"/>
        <c:grouping val="clustered"/>
        <c:ser>
          <c:idx val="0"/>
          <c:order val="0"/>
          <c:tx>
            <c:strRef>
              <c:f>'Graf-letiště'!$U$12</c:f>
              <c:strCache>
                <c:ptCount val="1"/>
                <c:pt idx="0">
                  <c:v> Přepravované osoby  (y/y, %, rok 2016)</c:v>
                </c:pt>
              </c:strCache>
            </c:strRef>
          </c:tx>
          <c:spPr>
            <a:solidFill>
              <a:schemeClr val="bg1">
                <a:lumMod val="50000"/>
              </a:schemeClr>
            </a:solidFill>
            <a:ln w="12700">
              <a:noFill/>
              <a:prstDash val="solid"/>
            </a:ln>
          </c:spPr>
          <c:cat>
            <c:strRef>
              <c:f>'Graf-letiště'!$T$13:$T$43</c:f>
              <c:strCache>
                <c:ptCount val="31"/>
                <c:pt idx="0">
                  <c:v>Island</c:v>
                </c:pt>
                <c:pt idx="1">
                  <c:v>Bulharsko</c:v>
                </c:pt>
                <c:pt idx="2">
                  <c:v>Rumunsko</c:v>
                </c:pt>
                <c:pt idx="3">
                  <c:v>Kypr</c:v>
                </c:pt>
                <c:pt idx="4">
                  <c:v>Maďarsko</c:v>
                </c:pt>
                <c:pt idx="5">
                  <c:v>Chorvatsko</c:v>
                </c:pt>
                <c:pt idx="6">
                  <c:v>Litva</c:v>
                </c:pt>
                <c:pt idx="7">
                  <c:v>Slovensko</c:v>
                </c:pt>
                <c:pt idx="8">
                  <c:v>Portugalsko</c:v>
                </c:pt>
                <c:pt idx="9">
                  <c:v>Lucemburs.</c:v>
                </c:pt>
                <c:pt idx="10">
                  <c:v>Polsko</c:v>
                </c:pt>
                <c:pt idx="11">
                  <c:v>Španělsko</c:v>
                </c:pt>
                <c:pt idx="12">
                  <c:v>Irsko</c:v>
                </c:pt>
                <c:pt idx="13">
                  <c:v>Malta</c:v>
                </c:pt>
                <c:pt idx="14">
                  <c:v>Nizozemsko</c:v>
                </c:pt>
                <c:pt idx="15">
                  <c:v>Dánsko</c:v>
                </c:pt>
                <c:pt idx="16">
                  <c:v>Česko</c:v>
                </c:pt>
                <c:pt idx="17">
                  <c:v>Řecko</c:v>
                </c:pt>
                <c:pt idx="18">
                  <c:v>Vel.Británie</c:v>
                </c:pt>
                <c:pt idx="19">
                  <c:v>Švédsko</c:v>
                </c:pt>
                <c:pt idx="20">
                  <c:v>Itálie</c:v>
                </c:pt>
                <c:pt idx="21">
                  <c:v>Lotyšsko</c:v>
                </c:pt>
                <c:pt idx="22">
                  <c:v>Německo</c:v>
                </c:pt>
                <c:pt idx="23">
                  <c:v>Francie</c:v>
                </c:pt>
                <c:pt idx="24">
                  <c:v>Finsko</c:v>
                </c:pt>
                <c:pt idx="25">
                  <c:v>Švýcarsko</c:v>
                </c:pt>
                <c:pt idx="26">
                  <c:v>Estonsko</c:v>
                </c:pt>
                <c:pt idx="27">
                  <c:v>Rakousko</c:v>
                </c:pt>
                <c:pt idx="28">
                  <c:v>Norsko</c:v>
                </c:pt>
                <c:pt idx="29">
                  <c:v>Slovinsko</c:v>
                </c:pt>
                <c:pt idx="30">
                  <c:v>Belgie</c:v>
                </c:pt>
              </c:strCache>
            </c:strRef>
          </c:cat>
          <c:val>
            <c:numRef>
              <c:f>'Graf-letiště'!$U$13:$U$43</c:f>
              <c:numCache>
                <c:formatCode>0.0</c:formatCode>
                <c:ptCount val="31"/>
                <c:pt idx="0">
                  <c:v>40.603137259432494</c:v>
                </c:pt>
                <c:pt idx="1">
                  <c:v>23.233534256166834</c:v>
                </c:pt>
                <c:pt idx="2">
                  <c:v>20.942457067808025</c:v>
                </c:pt>
                <c:pt idx="3">
                  <c:v>20.006845140036191</c:v>
                </c:pt>
                <c:pt idx="4">
                  <c:v>14.334205549437469</c:v>
                </c:pt>
                <c:pt idx="5">
                  <c:v>14.285257782691748</c:v>
                </c:pt>
                <c:pt idx="6">
                  <c:v>13.392474645697376</c:v>
                </c:pt>
                <c:pt idx="7">
                  <c:v>13.290623443654585</c:v>
                </c:pt>
                <c:pt idx="8">
                  <c:v>12.77629993174159</c:v>
                </c:pt>
                <c:pt idx="9">
                  <c:v>12.538545285737612</c:v>
                </c:pt>
                <c:pt idx="10">
                  <c:v>11.88320694473542</c:v>
                </c:pt>
                <c:pt idx="11">
                  <c:v>11.221476167450048</c:v>
                </c:pt>
                <c:pt idx="12">
                  <c:v>10.635526155250957</c:v>
                </c:pt>
                <c:pt idx="13">
                  <c:v>9.9769090412782226</c:v>
                </c:pt>
                <c:pt idx="14">
                  <c:v>9.3725926646122844</c:v>
                </c:pt>
                <c:pt idx="15">
                  <c:v>9.2378219073413419</c:v>
                </c:pt>
                <c:pt idx="16">
                  <c:v>9.1392253348404839</c:v>
                </c:pt>
                <c:pt idx="17">
                  <c:v>8.1838799429936984</c:v>
                </c:pt>
                <c:pt idx="18">
                  <c:v>7.2357085977795403</c:v>
                </c:pt>
                <c:pt idx="19">
                  <c:v>6.0751910852736994</c:v>
                </c:pt>
                <c:pt idx="20">
                  <c:v>5.8531378885683845</c:v>
                </c:pt>
                <c:pt idx="21">
                  <c:v>5.155177292174514</c:v>
                </c:pt>
                <c:pt idx="22">
                  <c:v>3.8767889644579157</c:v>
                </c:pt>
                <c:pt idx="23">
                  <c:v>3.6628506035494377</c:v>
                </c:pt>
                <c:pt idx="24">
                  <c:v>3.5348321088907397</c:v>
                </c:pt>
                <c:pt idx="25">
                  <c:v>3.0058301235393827</c:v>
                </c:pt>
                <c:pt idx="26">
                  <c:v>2.5364904223920774</c:v>
                </c:pt>
                <c:pt idx="27">
                  <c:v>2.3482688032487697</c:v>
                </c:pt>
                <c:pt idx="28">
                  <c:v>2.2357160504246592</c:v>
                </c:pt>
                <c:pt idx="29">
                  <c:v>-2.1234635303686673</c:v>
                </c:pt>
                <c:pt idx="30">
                  <c:v>-2.4226732941124283</c:v>
                </c:pt>
              </c:numCache>
            </c:numRef>
          </c:val>
          <c:extLst xmlns:c16r2="http://schemas.microsoft.com/office/drawing/2015/06/chart">
            <c:ext xmlns:c16="http://schemas.microsoft.com/office/drawing/2014/chart" uri="{C3380CC4-5D6E-409C-BE32-E72D297353CC}">
              <c16:uniqueId val="{00000000-9E93-41E0-AC64-93A10F145CE9}"/>
            </c:ext>
          </c:extLst>
        </c:ser>
        <c:ser>
          <c:idx val="3"/>
          <c:order val="1"/>
          <c:tx>
            <c:strRef>
              <c:f>'Graf-letiště'!$V$12</c:f>
              <c:strCache>
                <c:ptCount val="1"/>
                <c:pt idx="0">
                  <c:v> Přepravované osoby  (y/y, %, rok 2015)</c:v>
                </c:pt>
              </c:strCache>
            </c:strRef>
          </c:tx>
          <c:spPr>
            <a:solidFill>
              <a:schemeClr val="bg1">
                <a:lumMod val="75000"/>
              </a:schemeClr>
            </a:solidFill>
            <a:ln w="19050">
              <a:noFill/>
              <a:prstDash val="solid"/>
            </a:ln>
          </c:spPr>
          <c:cat>
            <c:strRef>
              <c:f>'Graf-letiště'!$T$13:$T$43</c:f>
              <c:strCache>
                <c:ptCount val="31"/>
                <c:pt idx="0">
                  <c:v>Island</c:v>
                </c:pt>
                <c:pt idx="1">
                  <c:v>Bulharsko</c:v>
                </c:pt>
                <c:pt idx="2">
                  <c:v>Rumunsko</c:v>
                </c:pt>
                <c:pt idx="3">
                  <c:v>Kypr</c:v>
                </c:pt>
                <c:pt idx="4">
                  <c:v>Maďarsko</c:v>
                </c:pt>
                <c:pt idx="5">
                  <c:v>Chorvatsko</c:v>
                </c:pt>
                <c:pt idx="6">
                  <c:v>Litva</c:v>
                </c:pt>
                <c:pt idx="7">
                  <c:v>Slovensko</c:v>
                </c:pt>
                <c:pt idx="8">
                  <c:v>Portugalsko</c:v>
                </c:pt>
                <c:pt idx="9">
                  <c:v>Lucemburs.</c:v>
                </c:pt>
                <c:pt idx="10">
                  <c:v>Polsko</c:v>
                </c:pt>
                <c:pt idx="11">
                  <c:v>Španělsko</c:v>
                </c:pt>
                <c:pt idx="12">
                  <c:v>Irsko</c:v>
                </c:pt>
                <c:pt idx="13">
                  <c:v>Malta</c:v>
                </c:pt>
                <c:pt idx="14">
                  <c:v>Nizozemsko</c:v>
                </c:pt>
                <c:pt idx="15">
                  <c:v>Dánsko</c:v>
                </c:pt>
                <c:pt idx="16">
                  <c:v>Česko</c:v>
                </c:pt>
                <c:pt idx="17">
                  <c:v>Řecko</c:v>
                </c:pt>
                <c:pt idx="18">
                  <c:v>Vel.Británie</c:v>
                </c:pt>
                <c:pt idx="19">
                  <c:v>Švédsko</c:v>
                </c:pt>
                <c:pt idx="20">
                  <c:v>Itálie</c:v>
                </c:pt>
                <c:pt idx="21">
                  <c:v>Lotyšsko</c:v>
                </c:pt>
                <c:pt idx="22">
                  <c:v>Německo</c:v>
                </c:pt>
                <c:pt idx="23">
                  <c:v>Francie</c:v>
                </c:pt>
                <c:pt idx="24">
                  <c:v>Finsko</c:v>
                </c:pt>
                <c:pt idx="25">
                  <c:v>Švýcarsko</c:v>
                </c:pt>
                <c:pt idx="26">
                  <c:v>Estonsko</c:v>
                </c:pt>
                <c:pt idx="27">
                  <c:v>Rakousko</c:v>
                </c:pt>
                <c:pt idx="28">
                  <c:v>Norsko</c:v>
                </c:pt>
                <c:pt idx="29">
                  <c:v>Slovinsko</c:v>
                </c:pt>
                <c:pt idx="30">
                  <c:v>Belgie</c:v>
                </c:pt>
              </c:strCache>
            </c:strRef>
          </c:cat>
          <c:val>
            <c:numRef>
              <c:f>'Graf-letiště'!$V$13:$V$43</c:f>
              <c:numCache>
                <c:formatCode>0.0</c:formatCode>
                <c:ptCount val="31"/>
                <c:pt idx="0">
                  <c:v>25.785509394557746</c:v>
                </c:pt>
                <c:pt idx="1">
                  <c:v>1.2021681612364021</c:v>
                </c:pt>
                <c:pt idx="2">
                  <c:v>15.340142051051714</c:v>
                </c:pt>
                <c:pt idx="3">
                  <c:v>3.5783496480747914</c:v>
                </c:pt>
                <c:pt idx="4">
                  <c:v>12.959952502791896</c:v>
                </c:pt>
                <c:pt idx="5">
                  <c:v>7.0203146007691686</c:v>
                </c:pt>
                <c:pt idx="6">
                  <c:v>11.302437264850191</c:v>
                </c:pt>
                <c:pt idx="7">
                  <c:v>16.296752807711279</c:v>
                </c:pt>
                <c:pt idx="8">
                  <c:v>10.585011227321926</c:v>
                </c:pt>
                <c:pt idx="9">
                  <c:v>8.9489506515980999</c:v>
                </c:pt>
                <c:pt idx="10">
                  <c:v>12.417257085158013</c:v>
                </c:pt>
                <c:pt idx="11">
                  <c:v>5.6231476224198218</c:v>
                </c:pt>
                <c:pt idx="12">
                  <c:v>12.299534039714375</c:v>
                </c:pt>
                <c:pt idx="13">
                  <c:v>7.6811781357341999</c:v>
                </c:pt>
                <c:pt idx="14">
                  <c:v>5.9185229387020541</c:v>
                </c:pt>
                <c:pt idx="15">
                  <c:v>3.7437427587564374</c:v>
                </c:pt>
                <c:pt idx="16">
                  <c:v>4.9017982225475594</c:v>
                </c:pt>
                <c:pt idx="17">
                  <c:v>7.6143507233644669</c:v>
                </c:pt>
                <c:pt idx="18">
                  <c:v>5.5668836403089275</c:v>
                </c:pt>
                <c:pt idx="19">
                  <c:v>3.8003154057699637</c:v>
                </c:pt>
                <c:pt idx="20">
                  <c:v>5.3619254134262615</c:v>
                </c:pt>
                <c:pt idx="21">
                  <c:v>7.1543903502543165</c:v>
                </c:pt>
                <c:pt idx="22">
                  <c:v>4.0175945832963285</c:v>
                </c:pt>
                <c:pt idx="23">
                  <c:v>3.3135136961361269</c:v>
                </c:pt>
                <c:pt idx="24">
                  <c:v>1.7896356560016358</c:v>
                </c:pt>
                <c:pt idx="25">
                  <c:v>6.4245336386209617</c:v>
                </c:pt>
                <c:pt idx="26">
                  <c:v>6.9893841289708121</c:v>
                </c:pt>
                <c:pt idx="27">
                  <c:v>1.4228576142335783</c:v>
                </c:pt>
                <c:pt idx="28">
                  <c:v>-0.26736872843011383</c:v>
                </c:pt>
                <c:pt idx="29">
                  <c:v>9.8594016806311231</c:v>
                </c:pt>
                <c:pt idx="30">
                  <c:v>7.5831814077885555</c:v>
                </c:pt>
              </c:numCache>
            </c:numRef>
          </c:val>
          <c:extLst xmlns:c16r2="http://schemas.microsoft.com/office/drawing/2015/06/chart">
            <c:ext xmlns:c16="http://schemas.microsoft.com/office/drawing/2014/chart" uri="{C3380CC4-5D6E-409C-BE32-E72D297353CC}">
              <c16:uniqueId val="{00000001-9E93-41E0-AC64-93A10F145CE9}"/>
            </c:ext>
          </c:extLst>
        </c:ser>
        <c:axId val="162915456"/>
        <c:axId val="162917376"/>
      </c:barChart>
      <c:lineChart>
        <c:grouping val="standard"/>
        <c:ser>
          <c:idx val="1"/>
          <c:order val="2"/>
          <c:tx>
            <c:strRef>
              <c:f>'Graf-letiště'!$W$12</c:f>
              <c:strCache>
                <c:ptCount val="1"/>
                <c:pt idx="0">
                  <c:v> Přepravované os. v r. 2016 (v mil., pr.osa)*</c:v>
                </c:pt>
              </c:strCache>
            </c:strRef>
          </c:tx>
          <c:spPr>
            <a:ln w="19050">
              <a:noFill/>
            </a:ln>
          </c:spPr>
          <c:marker>
            <c:symbol val="diamond"/>
            <c:size val="5"/>
            <c:spPr>
              <a:solidFill>
                <a:srgbClr val="48AEE7"/>
              </a:solidFill>
              <a:ln>
                <a:noFill/>
              </a:ln>
            </c:spPr>
          </c:marker>
          <c:cat>
            <c:strRef>
              <c:f>'Graf-letiště'!$T$13:$T$43</c:f>
              <c:strCache>
                <c:ptCount val="31"/>
                <c:pt idx="0">
                  <c:v>Island</c:v>
                </c:pt>
                <c:pt idx="1">
                  <c:v>Bulharsko</c:v>
                </c:pt>
                <c:pt idx="2">
                  <c:v>Rumunsko</c:v>
                </c:pt>
                <c:pt idx="3">
                  <c:v>Kypr</c:v>
                </c:pt>
                <c:pt idx="4">
                  <c:v>Maďarsko</c:v>
                </c:pt>
                <c:pt idx="5">
                  <c:v>Chorvatsko</c:v>
                </c:pt>
                <c:pt idx="6">
                  <c:v>Litva</c:v>
                </c:pt>
                <c:pt idx="7">
                  <c:v>Slovensko</c:v>
                </c:pt>
                <c:pt idx="8">
                  <c:v>Portugalsko</c:v>
                </c:pt>
                <c:pt idx="9">
                  <c:v>Lucemburs.</c:v>
                </c:pt>
                <c:pt idx="10">
                  <c:v>Polsko</c:v>
                </c:pt>
                <c:pt idx="11">
                  <c:v>Španělsko</c:v>
                </c:pt>
                <c:pt idx="12">
                  <c:v>Irsko</c:v>
                </c:pt>
                <c:pt idx="13">
                  <c:v>Malta</c:v>
                </c:pt>
                <c:pt idx="14">
                  <c:v>Nizozemsko</c:v>
                </c:pt>
                <c:pt idx="15">
                  <c:v>Dánsko</c:v>
                </c:pt>
                <c:pt idx="16">
                  <c:v>Česko</c:v>
                </c:pt>
                <c:pt idx="17">
                  <c:v>Řecko</c:v>
                </c:pt>
                <c:pt idx="18">
                  <c:v>Vel.Británie</c:v>
                </c:pt>
                <c:pt idx="19">
                  <c:v>Švédsko</c:v>
                </c:pt>
                <c:pt idx="20">
                  <c:v>Itálie</c:v>
                </c:pt>
                <c:pt idx="21">
                  <c:v>Lotyšsko</c:v>
                </c:pt>
                <c:pt idx="22">
                  <c:v>Německo</c:v>
                </c:pt>
                <c:pt idx="23">
                  <c:v>Francie</c:v>
                </c:pt>
                <c:pt idx="24">
                  <c:v>Finsko</c:v>
                </c:pt>
                <c:pt idx="25">
                  <c:v>Švýcarsko</c:v>
                </c:pt>
                <c:pt idx="26">
                  <c:v>Estonsko</c:v>
                </c:pt>
                <c:pt idx="27">
                  <c:v>Rakousko</c:v>
                </c:pt>
                <c:pt idx="28">
                  <c:v>Norsko</c:v>
                </c:pt>
                <c:pt idx="29">
                  <c:v>Slovinsko</c:v>
                </c:pt>
                <c:pt idx="30">
                  <c:v>Belgie</c:v>
                </c:pt>
              </c:strCache>
            </c:strRef>
          </c:cat>
          <c:val>
            <c:numRef>
              <c:f>'Graf-letiště'!$W$13:$W$43</c:f>
              <c:numCache>
                <c:formatCode>0_ ;\-0\ </c:formatCode>
                <c:ptCount val="31"/>
                <c:pt idx="0">
                  <c:v>6.8154390000000005</c:v>
                </c:pt>
                <c:pt idx="1">
                  <c:v>9.377319</c:v>
                </c:pt>
                <c:pt idx="2">
                  <c:v>15.215421000000001</c:v>
                </c:pt>
                <c:pt idx="3">
                  <c:v>9.1094640000000027</c:v>
                </c:pt>
                <c:pt idx="4">
                  <c:v>11.694505000000001</c:v>
                </c:pt>
                <c:pt idx="5">
                  <c:v>7.5104819999999846</c:v>
                </c:pt>
                <c:pt idx="6">
                  <c:v>4.7935410000000003</c:v>
                </c:pt>
                <c:pt idx="7">
                  <c:v>2.2019799999999998</c:v>
                </c:pt>
                <c:pt idx="8">
                  <c:v>40.604376000000009</c:v>
                </c:pt>
                <c:pt idx="9">
                  <c:v>2.9842419999999987</c:v>
                </c:pt>
                <c:pt idx="10">
                  <c:v>32.341648999999997</c:v>
                </c:pt>
                <c:pt idx="11">
                  <c:v>194.251092</c:v>
                </c:pt>
                <c:pt idx="12">
                  <c:v>32.689406999999996</c:v>
                </c:pt>
                <c:pt idx="13">
                  <c:v>5.0804460000000002</c:v>
                </c:pt>
                <c:pt idx="14">
                  <c:v>70.622838999999416</c:v>
                </c:pt>
                <c:pt idx="15">
                  <c:v>32.869476000000006</c:v>
                </c:pt>
                <c:pt idx="16">
                  <c:v>13.830127000000001</c:v>
                </c:pt>
                <c:pt idx="17">
                  <c:v>45.541520999999996</c:v>
                </c:pt>
                <c:pt idx="18">
                  <c:v>249.076212</c:v>
                </c:pt>
                <c:pt idx="19">
                  <c:v>36.076810000000002</c:v>
                </c:pt>
                <c:pt idx="20">
                  <c:v>135.12403499999999</c:v>
                </c:pt>
                <c:pt idx="21">
                  <c:v>5.4111339999999997</c:v>
                </c:pt>
                <c:pt idx="22">
                  <c:v>201.45493300000001</c:v>
                </c:pt>
                <c:pt idx="23">
                  <c:v>146.04014100000001</c:v>
                </c:pt>
                <c:pt idx="24">
                  <c:v>18.097107999999999</c:v>
                </c:pt>
                <c:pt idx="25">
                  <c:v>50.566486999999995</c:v>
                </c:pt>
                <c:pt idx="26">
                  <c:v>2.2157910000000012</c:v>
                </c:pt>
                <c:pt idx="27">
                  <c:v>27.382262999999899</c:v>
                </c:pt>
                <c:pt idx="28">
                  <c:v>38.339513000000011</c:v>
                </c:pt>
                <c:pt idx="29">
                  <c:v>1.4055099999999929</c:v>
                </c:pt>
                <c:pt idx="30">
                  <c:v>30.207134999999987</c:v>
                </c:pt>
              </c:numCache>
            </c:numRef>
          </c:val>
          <c:extLst xmlns:c16r2="http://schemas.microsoft.com/office/drawing/2015/06/chart">
            <c:ext xmlns:c16="http://schemas.microsoft.com/office/drawing/2014/chart" uri="{C3380CC4-5D6E-409C-BE32-E72D297353CC}">
              <c16:uniqueId val="{00000002-9E93-41E0-AC64-93A10F145CE9}"/>
            </c:ext>
          </c:extLst>
        </c:ser>
        <c:marker val="1"/>
        <c:axId val="162941184"/>
        <c:axId val="162939648"/>
      </c:lineChart>
      <c:catAx>
        <c:axId val="162915456"/>
        <c:scaling>
          <c:orientation val="minMax"/>
        </c:scaling>
        <c:axPos val="b"/>
        <c:numFmt formatCode="General" sourceLinked="1"/>
        <c:tickLblPos val="low"/>
        <c:spPr>
          <a:ln w="9525">
            <a:solidFill>
              <a:schemeClr val="tx1"/>
            </a:solidFill>
            <a:prstDash val="solid"/>
          </a:ln>
        </c:spPr>
        <c:txPr>
          <a:bodyPr rot="-5400000" vert="horz"/>
          <a:lstStyle/>
          <a:p>
            <a:pPr>
              <a:defRPr/>
            </a:pPr>
            <a:endParaRPr lang="cs-CZ"/>
          </a:p>
        </c:txPr>
        <c:crossAx val="162917376"/>
        <c:crossesAt val="0"/>
        <c:lblAlgn val="ctr"/>
        <c:lblOffset val="0"/>
        <c:tickLblSkip val="1"/>
        <c:tickMarkSkip val="4"/>
      </c:catAx>
      <c:valAx>
        <c:axId val="162917376"/>
        <c:scaling>
          <c:orientation val="minMax"/>
          <c:max val="45"/>
          <c:min val="-5"/>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2915456"/>
        <c:crosses val="autoZero"/>
        <c:crossBetween val="between"/>
        <c:majorUnit val="5"/>
      </c:valAx>
      <c:valAx>
        <c:axId val="162939648"/>
        <c:scaling>
          <c:logBase val="10"/>
          <c:orientation val="minMax"/>
        </c:scaling>
        <c:axPos val="r"/>
        <c:numFmt formatCode="0_ ;\-0\ " sourceLinked="1"/>
        <c:tickLblPos val="nextTo"/>
        <c:crossAx val="162941184"/>
        <c:crosses val="max"/>
        <c:crossBetween val="between"/>
      </c:valAx>
      <c:catAx>
        <c:axId val="162941184"/>
        <c:scaling>
          <c:orientation val="minMax"/>
        </c:scaling>
        <c:delete val="1"/>
        <c:axPos val="b"/>
        <c:numFmt formatCode="General" sourceLinked="1"/>
        <c:tickLblPos val="none"/>
        <c:crossAx val="162939648"/>
        <c:crosses val="autoZero"/>
        <c:auto val="1"/>
        <c:lblAlgn val="ctr"/>
        <c:lblOffset val="100"/>
      </c:catAx>
      <c:spPr>
        <a:noFill/>
        <a:ln w="9525">
          <a:solidFill>
            <a:schemeClr val="tx1"/>
          </a:solidFill>
        </a:ln>
      </c:spPr>
    </c:plotArea>
    <c:legend>
      <c:legendPos val="b"/>
      <c:layout>
        <c:manualLayout>
          <c:xMode val="edge"/>
          <c:yMode val="edge"/>
          <c:x val="5.2762185640071534E-2"/>
          <c:y val="0.91035357111322457"/>
          <c:w val="0.9085830450280995"/>
          <c:h val="7.2718397592990924E-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9513175616352893E-2"/>
          <c:w val="0.88956025070613831"/>
          <c:h val="0.76155690645052365"/>
        </c:manualLayout>
      </c:layout>
      <c:barChart>
        <c:barDir val="col"/>
        <c:grouping val="clustered"/>
        <c:ser>
          <c:idx val="0"/>
          <c:order val="0"/>
          <c:tx>
            <c:strRef>
              <c:f>'Graf-Národní účty-souhrnné'!$A$39</c:f>
              <c:strCache>
                <c:ptCount val="1"/>
                <c:pt idx="0">
                  <c:v>Hrubá přidaná hodnota (2010=100)</c:v>
                </c:pt>
              </c:strCache>
            </c:strRef>
          </c:tx>
          <c:spPr>
            <a:solidFill>
              <a:schemeClr val="bg1">
                <a:lumMod val="65000"/>
              </a:schemeClr>
            </a:solidFill>
            <a:ln w="12700">
              <a:noFill/>
              <a:prstDash val="solid"/>
            </a:ln>
          </c:spP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účty-souhrnné'!$G$39:$S$39</c:f>
              <c:numCache>
                <c:formatCode>#,##0.0</c:formatCode>
                <c:ptCount val="13"/>
                <c:pt idx="0">
                  <c:v>109.5</c:v>
                </c:pt>
                <c:pt idx="1">
                  <c:v>109.7</c:v>
                </c:pt>
                <c:pt idx="2">
                  <c:v>122.6</c:v>
                </c:pt>
                <c:pt idx="3">
                  <c:v>118.3</c:v>
                </c:pt>
                <c:pt idx="4">
                  <c:v>105.2</c:v>
                </c:pt>
                <c:pt idx="5">
                  <c:v>100</c:v>
                </c:pt>
                <c:pt idx="6">
                  <c:v>104.8</c:v>
                </c:pt>
                <c:pt idx="7">
                  <c:v>98.8</c:v>
                </c:pt>
                <c:pt idx="8">
                  <c:v>97.6</c:v>
                </c:pt>
                <c:pt idx="9">
                  <c:v>94.6</c:v>
                </c:pt>
                <c:pt idx="10">
                  <c:v>102.8</c:v>
                </c:pt>
                <c:pt idx="11">
                  <c:v>103.7</c:v>
                </c:pt>
                <c:pt idx="12">
                  <c:v>107.4</c:v>
                </c:pt>
              </c:numCache>
            </c:numRef>
          </c:val>
          <c:extLst xmlns:c16r2="http://schemas.microsoft.com/office/drawing/2015/06/chart">
            <c:ext xmlns:c16="http://schemas.microsoft.com/office/drawing/2014/chart" uri="{C3380CC4-5D6E-409C-BE32-E72D297353CC}">
              <c16:uniqueId val="{00000000-863A-45D5-90C6-79E1CB478DF9}"/>
            </c:ext>
          </c:extLst>
        </c:ser>
        <c:gapWidth val="30"/>
        <c:axId val="163004800"/>
        <c:axId val="163006336"/>
      </c:barChart>
      <c:lineChart>
        <c:grouping val="standard"/>
        <c:ser>
          <c:idx val="3"/>
          <c:order val="1"/>
          <c:tx>
            <c:strRef>
              <c:f>'Graf-Národní účty-souhrnné'!$A$40</c:f>
              <c:strCache>
                <c:ptCount val="1"/>
                <c:pt idx="0">
                  <c:v>Objem reálných vyplacených mezd a platů (2010=100)*</c:v>
                </c:pt>
              </c:strCache>
            </c:strRef>
          </c:tx>
          <c:spPr>
            <a:ln w="19050">
              <a:solidFill>
                <a:srgbClr val="F8A124"/>
              </a:solidFill>
              <a:prstDash val="solid"/>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účty-souhrnné'!$G$40:$S$40</c:f>
              <c:numCache>
                <c:formatCode>0.0</c:formatCode>
                <c:ptCount val="13"/>
                <c:pt idx="0">
                  <c:v>90.313979338620442</c:v>
                </c:pt>
                <c:pt idx="1">
                  <c:v>97.598816178167709</c:v>
                </c:pt>
                <c:pt idx="2">
                  <c:v>101.49201731535717</c:v>
                </c:pt>
                <c:pt idx="3">
                  <c:v>98.620823646580419</c:v>
                </c:pt>
                <c:pt idx="4">
                  <c:v>100.77850400570757</c:v>
                </c:pt>
                <c:pt idx="5">
                  <c:v>100</c:v>
                </c:pt>
                <c:pt idx="6">
                  <c:v>99.37625007974691</c:v>
                </c:pt>
                <c:pt idx="7">
                  <c:v>104.11842740190184</c:v>
                </c:pt>
                <c:pt idx="8">
                  <c:v>105.67473665245332</c:v>
                </c:pt>
                <c:pt idx="9">
                  <c:v>106.33569751403881</c:v>
                </c:pt>
                <c:pt idx="10">
                  <c:v>114.59279083198282</c:v>
                </c:pt>
                <c:pt idx="11">
                  <c:v>121.78485108779056</c:v>
                </c:pt>
                <c:pt idx="12">
                  <c:v>130.27499298709481</c:v>
                </c:pt>
              </c:numCache>
            </c:numRef>
          </c:val>
          <c:extLst xmlns:c16r2="http://schemas.microsoft.com/office/drawing/2015/06/chart">
            <c:ext xmlns:c16="http://schemas.microsoft.com/office/drawing/2014/chart" uri="{C3380CC4-5D6E-409C-BE32-E72D297353CC}">
              <c16:uniqueId val="{00000001-863A-45D5-90C6-79E1CB478DF9}"/>
            </c:ext>
          </c:extLst>
        </c:ser>
        <c:ser>
          <c:idx val="1"/>
          <c:order val="2"/>
          <c:tx>
            <c:strRef>
              <c:f>'Graf-Národní účty-souhrnné'!$A$41</c:f>
              <c:strCache>
                <c:ptCount val="1"/>
                <c:pt idx="0">
                  <c:v>Reálná hodinová produktivita práce (2010=100)</c:v>
                </c:pt>
              </c:strCache>
            </c:strRef>
          </c:tx>
          <c:spPr>
            <a:ln w="19050">
              <a:solidFill>
                <a:srgbClr val="7DBB2D"/>
              </a:solidFill>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účty-souhrnné'!$G$41:$S$41</c:f>
              <c:numCache>
                <c:formatCode>0.0</c:formatCode>
                <c:ptCount val="13"/>
                <c:pt idx="0">
                  <c:v>118.91058464364143</c:v>
                </c:pt>
                <c:pt idx="1">
                  <c:v>118.02955132972905</c:v>
                </c:pt>
                <c:pt idx="2">
                  <c:v>129.03568706844752</c:v>
                </c:pt>
                <c:pt idx="3">
                  <c:v>119.02958965124382</c:v>
                </c:pt>
                <c:pt idx="4">
                  <c:v>101.34581767154427</c:v>
                </c:pt>
                <c:pt idx="5">
                  <c:v>100</c:v>
                </c:pt>
                <c:pt idx="6">
                  <c:v>103.42815986690719</c:v>
                </c:pt>
                <c:pt idx="7">
                  <c:v>102.15025255596781</c:v>
                </c:pt>
                <c:pt idx="8">
                  <c:v>102.4517089294352</c:v>
                </c:pt>
                <c:pt idx="9">
                  <c:v>103.00526706890498</c:v>
                </c:pt>
                <c:pt idx="10">
                  <c:v>111.43367046111712</c:v>
                </c:pt>
                <c:pt idx="11">
                  <c:v>109.0737089264198</c:v>
                </c:pt>
                <c:pt idx="12">
                  <c:v>109.48740937256743</c:v>
                </c:pt>
              </c:numCache>
            </c:numRef>
          </c:val>
          <c:extLst xmlns:c16r2="http://schemas.microsoft.com/office/drawing/2015/06/chart">
            <c:ext xmlns:c16="http://schemas.microsoft.com/office/drawing/2014/chart" uri="{C3380CC4-5D6E-409C-BE32-E72D297353CC}">
              <c16:uniqueId val="{00000002-863A-45D5-90C6-79E1CB478DF9}"/>
            </c:ext>
          </c:extLst>
        </c:ser>
        <c:ser>
          <c:idx val="7"/>
          <c:order val="3"/>
          <c:tx>
            <c:strRef>
              <c:f>'Graf-Národní účty-souhrnné'!$A$42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účty-souhrnné'!$G$42:$S$42</c:f>
              <c:numCache>
                <c:formatCode>0.0</c:formatCode>
                <c:ptCount val="13"/>
                <c:pt idx="0">
                  <c:v>88.627149950823949</c:v>
                </c:pt>
                <c:pt idx="1">
                  <c:v>90.245400244680582</c:v>
                </c:pt>
                <c:pt idx="2">
                  <c:v>93.372034447188938</c:v>
                </c:pt>
                <c:pt idx="3">
                  <c:v>96.523136709285879</c:v>
                </c:pt>
                <c:pt idx="4">
                  <c:v>101.88547988581573</c:v>
                </c:pt>
                <c:pt idx="5">
                  <c:v>100</c:v>
                </c:pt>
                <c:pt idx="6">
                  <c:v>99.902607527526158</c:v>
                </c:pt>
                <c:pt idx="7">
                  <c:v>98.660013913210364</c:v>
                </c:pt>
                <c:pt idx="8">
                  <c:v>97.627557751817122</c:v>
                </c:pt>
                <c:pt idx="9">
                  <c:v>93.767841293448782</c:v>
                </c:pt>
                <c:pt idx="10">
                  <c:v>95.261352459999515</c:v>
                </c:pt>
                <c:pt idx="11">
                  <c:v>96.644037709597711</c:v>
                </c:pt>
                <c:pt idx="12">
                  <c:v>99.751001511262501</c:v>
                </c:pt>
              </c:numCache>
            </c:numRef>
          </c:val>
          <c:extLst xmlns:c16r2="http://schemas.microsoft.com/office/drawing/2015/06/chart">
            <c:ext xmlns:c16="http://schemas.microsoft.com/office/drawing/2014/chart" uri="{C3380CC4-5D6E-409C-BE32-E72D297353CC}">
              <c16:uniqueId val="{00000003-863A-45D5-90C6-79E1CB478DF9}"/>
            </c:ext>
          </c:extLst>
        </c:ser>
        <c:marker val="1"/>
        <c:axId val="163004800"/>
        <c:axId val="163006336"/>
      </c:lineChart>
      <c:lineChart>
        <c:grouping val="standard"/>
        <c:ser>
          <c:idx val="2"/>
          <c:order val="4"/>
          <c:tx>
            <c:strRef>
              <c:f>'Graf-Národní účty-souhrnné'!$A$43</c:f>
              <c:strCache>
                <c:ptCount val="1"/>
                <c:pt idx="0">
                  <c:v>Míra investic (v %, pravá osa)</c:v>
                </c:pt>
              </c:strCache>
            </c:strRef>
          </c:tx>
          <c:spPr>
            <a:ln w="19050">
              <a:solidFill>
                <a:srgbClr val="BD1B21"/>
              </a:solidFill>
              <a:prstDash val="sysDash"/>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účty-souhrnné'!$G$43:$S$43</c:f>
              <c:numCache>
                <c:formatCode>0.0</c:formatCode>
                <c:ptCount val="13"/>
                <c:pt idx="0">
                  <c:v>19.39668597769889</c:v>
                </c:pt>
                <c:pt idx="1">
                  <c:v>20.038855685239291</c:v>
                </c:pt>
                <c:pt idx="2">
                  <c:v>16.870995074935127</c:v>
                </c:pt>
                <c:pt idx="3">
                  <c:v>13.42695083771075</c:v>
                </c:pt>
                <c:pt idx="4">
                  <c:v>12.955935350005541</c:v>
                </c:pt>
                <c:pt idx="5">
                  <c:v>10.354344358921104</c:v>
                </c:pt>
                <c:pt idx="6">
                  <c:v>14.762119534763027</c:v>
                </c:pt>
                <c:pt idx="7">
                  <c:v>14.477387354752416</c:v>
                </c:pt>
                <c:pt idx="8">
                  <c:v>14.167036502829362</c:v>
                </c:pt>
                <c:pt idx="9">
                  <c:v>12.648167180541195</c:v>
                </c:pt>
                <c:pt idx="10">
                  <c:v>11.499852739053606</c:v>
                </c:pt>
                <c:pt idx="11">
                  <c:v>13.598414179104479</c:v>
                </c:pt>
                <c:pt idx="12">
                  <c:v>13.005021565645</c:v>
                </c:pt>
              </c:numCache>
            </c:numRef>
          </c:val>
          <c:extLst xmlns:c16r2="http://schemas.microsoft.com/office/drawing/2015/06/chart">
            <c:ext xmlns:c16="http://schemas.microsoft.com/office/drawing/2014/chart" uri="{C3380CC4-5D6E-409C-BE32-E72D297353CC}">
              <c16:uniqueId val="{00000004-863A-45D5-90C6-79E1CB478DF9}"/>
            </c:ext>
          </c:extLst>
        </c:ser>
        <c:ser>
          <c:idx val="5"/>
          <c:order val="5"/>
          <c:tx>
            <c:strRef>
              <c:f>'Graf-Národní účty-souhrnné'!$A$44</c:f>
              <c:strCache>
                <c:ptCount val="1"/>
                <c:pt idx="0">
                  <c:v>Míra zisku nefinančních podniků (v %, pravá osa)</c:v>
                </c:pt>
              </c:strCache>
            </c:strRef>
          </c:tx>
          <c:spPr>
            <a:ln w="19050">
              <a:solidFill>
                <a:srgbClr val="0071BC"/>
              </a:solidFill>
              <a:prstDash val="sysDash"/>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účty-souhrnné'!$G$44:$S$44</c:f>
              <c:numCache>
                <c:formatCode>0.0</c:formatCode>
                <c:ptCount val="13"/>
                <c:pt idx="0">
                  <c:v>37.302725968436157</c:v>
                </c:pt>
                <c:pt idx="1">
                  <c:v>39.786349740665685</c:v>
                </c:pt>
                <c:pt idx="2">
                  <c:v>43.865160906852338</c:v>
                </c:pt>
                <c:pt idx="3">
                  <c:v>42.944768171299117</c:v>
                </c:pt>
                <c:pt idx="4">
                  <c:v>28.839479392624728</c:v>
                </c:pt>
                <c:pt idx="5">
                  <c:v>38.250117389262797</c:v>
                </c:pt>
                <c:pt idx="6">
                  <c:v>34.450238890797245</c:v>
                </c:pt>
                <c:pt idx="7">
                  <c:v>31.209850107066391</c:v>
                </c:pt>
                <c:pt idx="8">
                  <c:v>33.512208210356853</c:v>
                </c:pt>
                <c:pt idx="9">
                  <c:v>37.914604611982178</c:v>
                </c:pt>
                <c:pt idx="10">
                  <c:v>39.012510743959865</c:v>
                </c:pt>
                <c:pt idx="11">
                  <c:v>39.421659585536922</c:v>
                </c:pt>
                <c:pt idx="12">
                  <c:v>38.62383963904</c:v>
                </c:pt>
              </c:numCache>
            </c:numRef>
          </c:val>
          <c:extLst xmlns:c16r2="http://schemas.microsoft.com/office/drawing/2015/06/chart">
            <c:ext xmlns:c16="http://schemas.microsoft.com/office/drawing/2014/chart" uri="{C3380CC4-5D6E-409C-BE32-E72D297353CC}">
              <c16:uniqueId val="{00000005-863A-45D5-90C6-79E1CB478DF9}"/>
            </c:ext>
          </c:extLst>
        </c:ser>
        <c:marker val="1"/>
        <c:axId val="163030144"/>
        <c:axId val="163007872"/>
      </c:lineChart>
      <c:catAx>
        <c:axId val="163004800"/>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63006336"/>
        <c:crossesAt val="100"/>
        <c:lblAlgn val="ctr"/>
        <c:lblOffset val="0"/>
        <c:tickLblSkip val="1"/>
        <c:tickMarkSkip val="4"/>
      </c:catAx>
      <c:valAx>
        <c:axId val="163006336"/>
        <c:scaling>
          <c:orientation val="minMax"/>
          <c:max val="130"/>
          <c:min val="8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3004800"/>
        <c:crosses val="autoZero"/>
        <c:crossBetween val="between"/>
        <c:majorUnit val="5"/>
      </c:valAx>
      <c:valAx>
        <c:axId val="163007872"/>
        <c:scaling>
          <c:orientation val="minMax"/>
          <c:max val="50"/>
          <c:min val="0"/>
        </c:scaling>
        <c:axPos val="r"/>
        <c:numFmt formatCode="0" sourceLinked="0"/>
        <c:tickLblPos val="nextTo"/>
        <c:crossAx val="163030144"/>
        <c:crosses val="max"/>
        <c:crossBetween val="between"/>
      </c:valAx>
      <c:catAx>
        <c:axId val="163030144"/>
        <c:scaling>
          <c:orientation val="minMax"/>
        </c:scaling>
        <c:delete val="1"/>
        <c:axPos val="b"/>
        <c:numFmt formatCode="General" sourceLinked="1"/>
        <c:tickLblPos val="none"/>
        <c:crossAx val="163007872"/>
        <c:crosses val="autoZero"/>
        <c:auto val="1"/>
        <c:lblAlgn val="ctr"/>
        <c:lblOffset val="100"/>
      </c:catAx>
      <c:spPr>
        <a:noFill/>
        <a:ln w="9525">
          <a:solidFill>
            <a:schemeClr val="tx1"/>
          </a:solidFill>
        </a:ln>
      </c:spPr>
    </c:plotArea>
    <c:legend>
      <c:legendPos val="b"/>
      <c:layout>
        <c:manualLayout>
          <c:xMode val="edge"/>
          <c:yMode val="edge"/>
          <c:x val="6.0825149028219005E-2"/>
          <c:y val="0.82924800180119362"/>
          <c:w val="0.88531755998340778"/>
          <c:h val="0.1671777552628617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402259241214903E-2"/>
          <c:y val="1.6434241361665363E-2"/>
          <c:w val="0.87833403286788514"/>
          <c:h val="0.68734901278840976"/>
        </c:manualLayout>
      </c:layout>
      <c:barChart>
        <c:barDir val="col"/>
        <c:grouping val="stacked"/>
        <c:ser>
          <c:idx val="0"/>
          <c:order val="0"/>
          <c:tx>
            <c:strRef>
              <c:f>'GRAF-přenocování-zahr.'!$B$26</c:f>
              <c:strCache>
                <c:ptCount val="1"/>
                <c:pt idx="0">
                  <c:v>Ostatní státy světa (v p. b.)</c:v>
                </c:pt>
              </c:strCache>
            </c:strRef>
          </c:tx>
          <c:spPr>
            <a:solidFill>
              <a:schemeClr val="tx1">
                <a:lumMod val="95000"/>
                <a:lumOff val="5000"/>
              </a:schemeClr>
            </a:solidFill>
            <a:ln>
              <a:noFill/>
            </a:ln>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'GRAF-přenocování-zahr.'!$B$27:$B$38</c:f>
              <c:numCache>
                <c:formatCode>#,##0.0</c:formatCode>
                <c:ptCount val="12"/>
                <c:pt idx="0">
                  <c:v>0.24928253509115941</c:v>
                </c:pt>
                <c:pt idx="1">
                  <c:v>0.18082314950443054</c:v>
                </c:pt>
                <c:pt idx="2">
                  <c:v>0.21313732927980325</c:v>
                </c:pt>
                <c:pt idx="3">
                  <c:v>-0.22483089276631604</c:v>
                </c:pt>
                <c:pt idx="4">
                  <c:v>0.46321347629694981</c:v>
                </c:pt>
                <c:pt idx="5">
                  <c:v>0.36844819382306088</c:v>
                </c:pt>
                <c:pt idx="6">
                  <c:v>0.51985501655895883</c:v>
                </c:pt>
                <c:pt idx="7">
                  <c:v>0.26327906530173428</c:v>
                </c:pt>
                <c:pt idx="8">
                  <c:v>0.21379192749426354</c:v>
                </c:pt>
                <c:pt idx="9">
                  <c:v>4.8968544347491323E-2</c:v>
                </c:pt>
                <c:pt idx="10">
                  <c:v>5.4207338453177774E-2</c:v>
                </c:pt>
                <c:pt idx="11">
                  <c:v>0.22527470059624224</c:v>
                </c:pt>
              </c:numCache>
            </c:numRef>
          </c:val>
          <c:extLst xmlns:c16r2="http://schemas.microsoft.com/office/drawing/2015/06/chart">
            <c:ext xmlns:c16="http://schemas.microsoft.com/office/drawing/2014/chart" uri="{C3380CC4-5D6E-409C-BE32-E72D297353CC}">
              <c16:uniqueId val="{00000000-468F-4269-98FF-4E3C040CBB7E}"/>
            </c:ext>
          </c:extLst>
        </c:ser>
        <c:ser>
          <c:idx val="1"/>
          <c:order val="1"/>
          <c:tx>
            <c:strRef>
              <c:f>'GRAF-přenocování-zahr.'!$C$26</c:f>
              <c:strCache>
                <c:ptCount val="1"/>
                <c:pt idx="0">
                  <c:v>Ost. asijské státy (v p. b.)</c:v>
                </c:pt>
              </c:strCache>
            </c:strRef>
          </c:tx>
          <c:spPr>
            <a:solidFill>
              <a:srgbClr val="808080"/>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'GRAF-přenocování-zahr.'!$C$27:$C$38</c:f>
              <c:numCache>
                <c:formatCode>#,##0.0</c:formatCode>
                <c:ptCount val="12"/>
                <c:pt idx="0">
                  <c:v>0.46805734207670369</c:v>
                </c:pt>
                <c:pt idx="1">
                  <c:v>8.1526711234668717E-2</c:v>
                </c:pt>
                <c:pt idx="2">
                  <c:v>6.9286128713249113E-3</c:v>
                </c:pt>
                <c:pt idx="3">
                  <c:v>-2.6797388825608951E-2</c:v>
                </c:pt>
                <c:pt idx="4">
                  <c:v>0.38538013386343639</c:v>
                </c:pt>
                <c:pt idx="5">
                  <c:v>0.38984104658474888</c:v>
                </c:pt>
                <c:pt idx="6">
                  <c:v>0.41193134213364685</c:v>
                </c:pt>
                <c:pt idx="7">
                  <c:v>0.23952021624315217</c:v>
                </c:pt>
                <c:pt idx="8">
                  <c:v>0.262588724733682</c:v>
                </c:pt>
                <c:pt idx="9">
                  <c:v>1.1224230795393517</c:v>
                </c:pt>
                <c:pt idx="10">
                  <c:v>0.41477224050056472</c:v>
                </c:pt>
                <c:pt idx="11">
                  <c:v>0.70615191953865075</c:v>
                </c:pt>
              </c:numCache>
            </c:numRef>
          </c:val>
          <c:extLst xmlns:c16r2="http://schemas.microsoft.com/office/drawing/2015/06/chart">
            <c:ext xmlns:c16="http://schemas.microsoft.com/office/drawing/2014/chart" uri="{C3380CC4-5D6E-409C-BE32-E72D297353CC}">
              <c16:uniqueId val="{00000001-468F-4269-98FF-4E3C040CBB7E}"/>
            </c:ext>
          </c:extLst>
        </c:ser>
        <c:ser>
          <c:idx val="2"/>
          <c:order val="2"/>
          <c:tx>
            <c:strRef>
              <c:f>'GRAF-přenocování-zahr.'!$D$26</c:f>
              <c:strCache>
                <c:ptCount val="1"/>
                <c:pt idx="0">
                  <c:v>Čína Japonsko, J. Korea  (v p. b.)</c:v>
                </c:pt>
              </c:strCache>
            </c:strRef>
          </c:tx>
          <c:spPr>
            <a:solidFill>
              <a:srgbClr val="0071BC"/>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'GRAF-přenocování-zahr.'!$D$27:$D$38</c:f>
              <c:numCache>
                <c:formatCode>#,##0.0</c:formatCode>
                <c:ptCount val="12"/>
                <c:pt idx="0">
                  <c:v>0.1494715370500739</c:v>
                </c:pt>
                <c:pt idx="1">
                  <c:v>3.7391089492327459E-2</c:v>
                </c:pt>
                <c:pt idx="2">
                  <c:v>-0.19743635501397191</c:v>
                </c:pt>
                <c:pt idx="3">
                  <c:v>-0.16325593677737646</c:v>
                </c:pt>
                <c:pt idx="4">
                  <c:v>0.47751457114211843</c:v>
                </c:pt>
                <c:pt idx="5">
                  <c:v>0.33006737959115517</c:v>
                </c:pt>
                <c:pt idx="6">
                  <c:v>0.64363982630693251</c:v>
                </c:pt>
                <c:pt idx="7">
                  <c:v>0.27128586167238633</c:v>
                </c:pt>
                <c:pt idx="8">
                  <c:v>0.54117210575293428</c:v>
                </c:pt>
                <c:pt idx="9">
                  <c:v>1.0839293803667738</c:v>
                </c:pt>
                <c:pt idx="10">
                  <c:v>0.69688830638676569</c:v>
                </c:pt>
                <c:pt idx="11">
                  <c:v>1.3605446381592579</c:v>
                </c:pt>
              </c:numCache>
            </c:numRef>
          </c:val>
          <c:extLst xmlns:c16r2="http://schemas.microsoft.com/office/drawing/2015/06/chart">
            <c:ext xmlns:c16="http://schemas.microsoft.com/office/drawing/2014/chart" uri="{C3380CC4-5D6E-409C-BE32-E72D297353CC}">
              <c16:uniqueId val="{00000002-468F-4269-98FF-4E3C040CBB7E}"/>
            </c:ext>
          </c:extLst>
        </c:ser>
        <c:ser>
          <c:idx val="3"/>
          <c:order val="3"/>
          <c:tx>
            <c:strRef>
              <c:f>'GRAF-přenocování-zahr.'!$E$26</c:f>
              <c:strCache>
                <c:ptCount val="1"/>
                <c:pt idx="0">
                  <c:v>Izrael  (v p. b.)</c:v>
                </c:pt>
              </c:strCache>
            </c:strRef>
          </c:tx>
          <c:spPr>
            <a:solidFill>
              <a:srgbClr val="D2E7B6"/>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'GRAF-přenocování-zahr.'!$E$27:$E$38</c:f>
              <c:numCache>
                <c:formatCode>#,##0.0</c:formatCode>
                <c:ptCount val="12"/>
                <c:pt idx="0">
                  <c:v>0.11550374878126109</c:v>
                </c:pt>
                <c:pt idx="1">
                  <c:v>-6.9849462040179874E-2</c:v>
                </c:pt>
                <c:pt idx="2">
                  <c:v>0.12456947258991315</c:v>
                </c:pt>
                <c:pt idx="3">
                  <c:v>0.37598397600203137</c:v>
                </c:pt>
                <c:pt idx="4">
                  <c:v>0.10012456828358728</c:v>
                </c:pt>
                <c:pt idx="5">
                  <c:v>-3.5195571456239076E-2</c:v>
                </c:pt>
                <c:pt idx="6">
                  <c:v>6.1931015232610222E-2</c:v>
                </c:pt>
                <c:pt idx="7">
                  <c:v>0.13621189516281837</c:v>
                </c:pt>
                <c:pt idx="8">
                  <c:v>0.24333823920419401</c:v>
                </c:pt>
                <c:pt idx="9">
                  <c:v>0.48741498912353187</c:v>
                </c:pt>
                <c:pt idx="10">
                  <c:v>0.37894034379983838</c:v>
                </c:pt>
                <c:pt idx="11">
                  <c:v>0.23494993375885509</c:v>
                </c:pt>
              </c:numCache>
            </c:numRef>
          </c:val>
          <c:extLst xmlns:c16r2="http://schemas.microsoft.com/office/drawing/2015/06/chart">
            <c:ext xmlns:c16="http://schemas.microsoft.com/office/drawing/2014/chart" uri="{C3380CC4-5D6E-409C-BE32-E72D297353CC}">
              <c16:uniqueId val="{00000003-468F-4269-98FF-4E3C040CBB7E}"/>
            </c:ext>
          </c:extLst>
        </c:ser>
        <c:ser>
          <c:idx val="4"/>
          <c:order val="4"/>
          <c:tx>
            <c:strRef>
              <c:f>'GRAF-přenocování-zahr.'!$F$26</c:f>
              <c:strCache>
                <c:ptCount val="1"/>
                <c:pt idx="0">
                  <c:v>USA a Kanada  (v p. b.)</c:v>
                </c:pt>
              </c:strCache>
            </c:strRef>
          </c:tx>
          <c:spPr>
            <a:solidFill>
              <a:srgbClr val="80BB2D"/>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'GRAF-přenocování-zahr.'!$F$27:$F$38</c:f>
              <c:numCache>
                <c:formatCode>#,##0.0</c:formatCode>
                <c:ptCount val="12"/>
                <c:pt idx="0">
                  <c:v>0.42943021025479278</c:v>
                </c:pt>
                <c:pt idx="1">
                  <c:v>-0.12309891297054719</c:v>
                </c:pt>
                <c:pt idx="2">
                  <c:v>-0.48136392364435987</c:v>
                </c:pt>
                <c:pt idx="3">
                  <c:v>-0.55633100318796858</c:v>
                </c:pt>
                <c:pt idx="4">
                  <c:v>0.61106470862251772</c:v>
                </c:pt>
                <c:pt idx="5">
                  <c:v>3.8990638489809416E-2</c:v>
                </c:pt>
                <c:pt idx="6">
                  <c:v>0.52271218309711187</c:v>
                </c:pt>
                <c:pt idx="7">
                  <c:v>0.16752328681514744</c:v>
                </c:pt>
                <c:pt idx="8">
                  <c:v>0.34500952273607244</c:v>
                </c:pt>
                <c:pt idx="9">
                  <c:v>0.97063280366920368</c:v>
                </c:pt>
                <c:pt idx="10">
                  <c:v>-4.8435757776550056E-2</c:v>
                </c:pt>
                <c:pt idx="11">
                  <c:v>0.31742841203093275</c:v>
                </c:pt>
              </c:numCache>
            </c:numRef>
          </c:val>
          <c:extLst xmlns:c16r2="http://schemas.microsoft.com/office/drawing/2015/06/chart">
            <c:ext xmlns:c16="http://schemas.microsoft.com/office/drawing/2014/chart" uri="{C3380CC4-5D6E-409C-BE32-E72D297353CC}">
              <c16:uniqueId val="{00000004-468F-4269-98FF-4E3C040CBB7E}"/>
            </c:ext>
          </c:extLst>
        </c:ser>
        <c:ser>
          <c:idx val="5"/>
          <c:order val="5"/>
          <c:tx>
            <c:strRef>
              <c:f>'GRAF-přenocování-zahr.'!$G$26</c:f>
              <c:strCache>
                <c:ptCount val="1"/>
                <c:pt idx="0">
                  <c:v>Ost. evrops. státy  (v p. b.)</c:v>
                </c:pt>
              </c:strCache>
            </c:strRef>
          </c:tx>
          <c:spPr>
            <a:solidFill>
              <a:srgbClr val="A6A6A6"/>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'GRAF-přenocování-zahr.'!$G$27:$G$38</c:f>
              <c:numCache>
                <c:formatCode>#,##0.0</c:formatCode>
                <c:ptCount val="12"/>
                <c:pt idx="0">
                  <c:v>0.83600769276502773</c:v>
                </c:pt>
                <c:pt idx="1">
                  <c:v>1.4060134747292621</c:v>
                </c:pt>
                <c:pt idx="2">
                  <c:v>-0.58606457991208083</c:v>
                </c:pt>
                <c:pt idx="3">
                  <c:v>-0.80427189203074323</c:v>
                </c:pt>
                <c:pt idx="4">
                  <c:v>0.42963576779327173</c:v>
                </c:pt>
                <c:pt idx="5">
                  <c:v>0.12672910359591041</c:v>
                </c:pt>
                <c:pt idx="6">
                  <c:v>7.4147332701187438E-2</c:v>
                </c:pt>
                <c:pt idx="7">
                  <c:v>0.23365162451933483</c:v>
                </c:pt>
                <c:pt idx="8">
                  <c:v>-0.19577874739172321</c:v>
                </c:pt>
                <c:pt idx="9">
                  <c:v>0.39782249859250346</c:v>
                </c:pt>
                <c:pt idx="10">
                  <c:v>-7.0384082805005924E-2</c:v>
                </c:pt>
                <c:pt idx="11">
                  <c:v>0.19388788160151788</c:v>
                </c:pt>
              </c:numCache>
            </c:numRef>
          </c:val>
          <c:extLst xmlns:c16r2="http://schemas.microsoft.com/office/drawing/2015/06/chart">
            <c:ext xmlns:c16="http://schemas.microsoft.com/office/drawing/2014/chart" uri="{C3380CC4-5D6E-409C-BE32-E72D297353CC}">
              <c16:uniqueId val="{00000005-468F-4269-98FF-4E3C040CBB7E}"/>
            </c:ext>
          </c:extLst>
        </c:ser>
        <c:ser>
          <c:idx val="6"/>
          <c:order val="6"/>
          <c:tx>
            <c:strRef>
              <c:f>'GRAF-přenocování-zahr.'!$H$26</c:f>
              <c:strCache>
                <c:ptCount val="1"/>
                <c:pt idx="0">
                  <c:v>Rusko  (v p. b.)</c:v>
                </c:pt>
              </c:strCache>
            </c:strRef>
          </c:tx>
          <c:spPr>
            <a:solidFill>
              <a:srgbClr val="BD1B21"/>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'GRAF-přenocování-zahr.'!$H$27:$H$38</c:f>
              <c:numCache>
                <c:formatCode>#,##0.0</c:formatCode>
                <c:ptCount val="12"/>
                <c:pt idx="0">
                  <c:v>1.5865498581655979</c:v>
                </c:pt>
                <c:pt idx="1">
                  <c:v>1.7418911807799342</c:v>
                </c:pt>
                <c:pt idx="2">
                  <c:v>1.9626605989873123</c:v>
                </c:pt>
                <c:pt idx="3">
                  <c:v>-2.2452319310000255</c:v>
                </c:pt>
                <c:pt idx="4">
                  <c:v>2.4219619738508587</c:v>
                </c:pt>
                <c:pt idx="5">
                  <c:v>4.2061266974145113</c:v>
                </c:pt>
                <c:pt idx="6">
                  <c:v>3.0032063586215805</c:v>
                </c:pt>
                <c:pt idx="7">
                  <c:v>1.6559477305320762</c:v>
                </c:pt>
                <c:pt idx="8">
                  <c:v>-2.5847987725930208</c:v>
                </c:pt>
                <c:pt idx="9">
                  <c:v>-5.8197489004126597</c:v>
                </c:pt>
                <c:pt idx="10">
                  <c:v>-0.96962555367345582</c:v>
                </c:pt>
                <c:pt idx="11">
                  <c:v>2.7462786716860834</c:v>
                </c:pt>
              </c:numCache>
            </c:numRef>
          </c:val>
          <c:extLst xmlns:c16r2="http://schemas.microsoft.com/office/drawing/2015/06/chart">
            <c:ext xmlns:c16="http://schemas.microsoft.com/office/drawing/2014/chart" uri="{C3380CC4-5D6E-409C-BE32-E72D297353CC}">
              <c16:uniqueId val="{00000006-468F-4269-98FF-4E3C040CBB7E}"/>
            </c:ext>
          </c:extLst>
        </c:ser>
        <c:ser>
          <c:idx val="7"/>
          <c:order val="7"/>
          <c:tx>
            <c:strRef>
              <c:f>'GRAF-přenocování-zahr.'!$I$26</c:f>
              <c:strCache>
                <c:ptCount val="1"/>
                <c:pt idx="0">
                  <c:v>Ost. státy EU  (v p. b.)</c:v>
                </c:pt>
              </c:strCache>
            </c:strRef>
          </c:tx>
          <c:spPr>
            <a:solidFill>
              <a:srgbClr val="E8AFB2"/>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'GRAF-přenocování-zahr.'!$I$27:$I$38</c:f>
              <c:numCache>
                <c:formatCode>#,##0.0</c:formatCode>
                <c:ptCount val="12"/>
                <c:pt idx="0">
                  <c:v>-0.81740093855408125</c:v>
                </c:pt>
                <c:pt idx="1">
                  <c:v>-0.11362670273307494</c:v>
                </c:pt>
                <c:pt idx="2">
                  <c:v>0.27298637673624415</c:v>
                </c:pt>
                <c:pt idx="3">
                  <c:v>-1.6222276635308661</c:v>
                </c:pt>
                <c:pt idx="4">
                  <c:v>-0.16318912837306218</c:v>
                </c:pt>
                <c:pt idx="5">
                  <c:v>-0.20346350776249303</c:v>
                </c:pt>
                <c:pt idx="6">
                  <c:v>0.21531195187769858</c:v>
                </c:pt>
                <c:pt idx="7">
                  <c:v>9.0667218500885046E-3</c:v>
                </c:pt>
                <c:pt idx="8">
                  <c:v>9.7548437346465233E-2</c:v>
                </c:pt>
                <c:pt idx="9">
                  <c:v>1.4027246899518178</c:v>
                </c:pt>
                <c:pt idx="10">
                  <c:v>0.94025662491789841</c:v>
                </c:pt>
                <c:pt idx="11">
                  <c:v>0.79209584546394474</c:v>
                </c:pt>
              </c:numCache>
            </c:numRef>
          </c:val>
          <c:extLst xmlns:c16r2="http://schemas.microsoft.com/office/drawing/2015/06/chart">
            <c:ext xmlns:c16="http://schemas.microsoft.com/office/drawing/2014/chart" uri="{C3380CC4-5D6E-409C-BE32-E72D297353CC}">
              <c16:uniqueId val="{00000007-468F-4269-98FF-4E3C040CBB7E}"/>
            </c:ext>
          </c:extLst>
        </c:ser>
        <c:ser>
          <c:idx val="8"/>
          <c:order val="8"/>
          <c:tx>
            <c:strRef>
              <c:f>'GRAF-přenocování-zahr.'!$J$26</c:f>
              <c:strCache>
                <c:ptCount val="1"/>
                <c:pt idx="0">
                  <c:v>Velká Británie a Irsko  (v p. b.)</c:v>
                </c:pt>
              </c:strCache>
            </c:strRef>
          </c:tx>
          <c:spPr>
            <a:solidFill>
              <a:srgbClr val="7030A0"/>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'GRAF-přenocování-zahr.'!$J$27:$J$38</c:f>
              <c:numCache>
                <c:formatCode>#,##0.0</c:formatCode>
                <c:ptCount val="12"/>
                <c:pt idx="0">
                  <c:v>-1.39117383561703</c:v>
                </c:pt>
                <c:pt idx="1">
                  <c:v>7.8365989479127193E-2</c:v>
                </c:pt>
                <c:pt idx="2">
                  <c:v>-1.2402896315443224</c:v>
                </c:pt>
                <c:pt idx="3">
                  <c:v>-1.7723400714723783</c:v>
                </c:pt>
                <c:pt idx="4">
                  <c:v>-0.251655317919593</c:v>
                </c:pt>
                <c:pt idx="5">
                  <c:v>-0.76642386041950861</c:v>
                </c:pt>
                <c:pt idx="6">
                  <c:v>0.18364630975834734</c:v>
                </c:pt>
                <c:pt idx="7">
                  <c:v>0.15937883778483078</c:v>
                </c:pt>
                <c:pt idx="8">
                  <c:v>0.3070278586993595</c:v>
                </c:pt>
                <c:pt idx="9">
                  <c:v>0.94286270463035049</c:v>
                </c:pt>
                <c:pt idx="10">
                  <c:v>0.33041011074435589</c:v>
                </c:pt>
                <c:pt idx="11">
                  <c:v>-5.0152156227489753E-2</c:v>
                </c:pt>
              </c:numCache>
            </c:numRef>
          </c:val>
          <c:extLst xmlns:c16r2="http://schemas.microsoft.com/office/drawing/2015/06/chart">
            <c:ext xmlns:c16="http://schemas.microsoft.com/office/drawing/2014/chart" uri="{C3380CC4-5D6E-409C-BE32-E72D297353CC}">
              <c16:uniqueId val="{00000008-468F-4269-98FF-4E3C040CBB7E}"/>
            </c:ext>
          </c:extLst>
        </c:ser>
        <c:ser>
          <c:idx val="9"/>
          <c:order val="9"/>
          <c:tx>
            <c:strRef>
              <c:f>'GRAF-přenocování-zahr.'!$K$26</c:f>
              <c:strCache>
                <c:ptCount val="1"/>
                <c:pt idx="0">
                  <c:v>Francie, Itálie, Španělsko  (v p. b.)</c:v>
                </c:pt>
              </c:strCache>
            </c:strRef>
          </c:tx>
          <c:spPr>
            <a:solidFill>
              <a:srgbClr val="BCA6E8"/>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'GRAF-přenocování-zahr.'!$K$27:$K$38</c:f>
              <c:numCache>
                <c:formatCode>#,##0.0</c:formatCode>
                <c:ptCount val="12"/>
                <c:pt idx="0">
                  <c:v>-0.45912650832213281</c:v>
                </c:pt>
                <c:pt idx="1">
                  <c:v>0.93094455108493124</c:v>
                </c:pt>
                <c:pt idx="2">
                  <c:v>-1.0424068953089478</c:v>
                </c:pt>
                <c:pt idx="3">
                  <c:v>-1.2626693461387093</c:v>
                </c:pt>
                <c:pt idx="4">
                  <c:v>4.4858556368148492E-2</c:v>
                </c:pt>
                <c:pt idx="5">
                  <c:v>0.93642326202944992</c:v>
                </c:pt>
                <c:pt idx="6">
                  <c:v>-0.5237366446126015</c:v>
                </c:pt>
                <c:pt idx="7">
                  <c:v>-0.80267101220820092</c:v>
                </c:pt>
                <c:pt idx="8">
                  <c:v>-0.11235997676394538</c:v>
                </c:pt>
                <c:pt idx="9">
                  <c:v>0.39038246391515968</c:v>
                </c:pt>
                <c:pt idx="10">
                  <c:v>0.25998308463074032</c:v>
                </c:pt>
                <c:pt idx="11">
                  <c:v>0.60717856973763695</c:v>
                </c:pt>
              </c:numCache>
            </c:numRef>
          </c:val>
          <c:extLst xmlns:c16r2="http://schemas.microsoft.com/office/drawing/2015/06/chart">
            <c:ext xmlns:c16="http://schemas.microsoft.com/office/drawing/2014/chart" uri="{C3380CC4-5D6E-409C-BE32-E72D297353CC}">
              <c16:uniqueId val="{00000009-468F-4269-98FF-4E3C040CBB7E}"/>
            </c:ext>
          </c:extLst>
        </c:ser>
        <c:ser>
          <c:idx val="10"/>
          <c:order val="10"/>
          <c:tx>
            <c:strRef>
              <c:f>'GRAF-přenocování-zahr.'!$L$26</c:f>
              <c:strCache>
                <c:ptCount val="1"/>
                <c:pt idx="0">
                  <c:v>Polsko a Slovensko  (v p. b.)</c:v>
                </c:pt>
              </c:strCache>
            </c:strRef>
          </c:tx>
          <c:spPr>
            <a:solidFill>
              <a:srgbClr val="F8A12E"/>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'GRAF-přenocování-zahr.'!$L$27:$L$38</c:f>
              <c:numCache>
                <c:formatCode>#,##0.0</c:formatCode>
                <c:ptCount val="12"/>
                <c:pt idx="0">
                  <c:v>0.5072917705939276</c:v>
                </c:pt>
                <c:pt idx="1">
                  <c:v>0.53007543721990902</c:v>
                </c:pt>
                <c:pt idx="2">
                  <c:v>-0.38961802673687812</c:v>
                </c:pt>
                <c:pt idx="3">
                  <c:v>-0.70801443056399804</c:v>
                </c:pt>
                <c:pt idx="4">
                  <c:v>0.33481917088248037</c:v>
                </c:pt>
                <c:pt idx="5">
                  <c:v>0.54464929034152876</c:v>
                </c:pt>
                <c:pt idx="6">
                  <c:v>0.41766626740123852</c:v>
                </c:pt>
                <c:pt idx="7">
                  <c:v>0.24015800689961089</c:v>
                </c:pt>
                <c:pt idx="8">
                  <c:v>0.51741945412613088</c:v>
                </c:pt>
                <c:pt idx="9">
                  <c:v>1.5303495522772552</c:v>
                </c:pt>
                <c:pt idx="10">
                  <c:v>0.92489580342959454</c:v>
                </c:pt>
                <c:pt idx="11">
                  <c:v>0.49730616043275827</c:v>
                </c:pt>
              </c:numCache>
            </c:numRef>
          </c:val>
          <c:extLst xmlns:c16r2="http://schemas.microsoft.com/office/drawing/2015/06/chart">
            <c:ext xmlns:c16="http://schemas.microsoft.com/office/drawing/2014/chart" uri="{C3380CC4-5D6E-409C-BE32-E72D297353CC}">
              <c16:uniqueId val="{0000000A-468F-4269-98FF-4E3C040CBB7E}"/>
            </c:ext>
          </c:extLst>
        </c:ser>
        <c:ser>
          <c:idx val="11"/>
          <c:order val="11"/>
          <c:tx>
            <c:strRef>
              <c:f>'GRAF-přenocování-zahr.'!$M$26</c:f>
              <c:strCache>
                <c:ptCount val="1"/>
                <c:pt idx="0">
                  <c:v>Německo  (v p. b.)</c:v>
                </c:pt>
              </c:strCache>
            </c:strRef>
          </c:tx>
          <c:spPr>
            <a:solidFill>
              <a:srgbClr val="FDDEB3"/>
            </a:solidFill>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'GRAF-přenocování-zahr.'!$M$27:$M$38</c:f>
              <c:numCache>
                <c:formatCode>#,##0.0</c:formatCode>
                <c:ptCount val="12"/>
                <c:pt idx="0">
                  <c:v>0.85385405027345385</c:v>
                </c:pt>
                <c:pt idx="1">
                  <c:v>-2.0929552838009577</c:v>
                </c:pt>
                <c:pt idx="2">
                  <c:v>-1.6666758854092791</c:v>
                </c:pt>
                <c:pt idx="3">
                  <c:v>-2.1979312375800895</c:v>
                </c:pt>
                <c:pt idx="4">
                  <c:v>-1.3654897226235601</c:v>
                </c:pt>
                <c:pt idx="5">
                  <c:v>-0.17067456418119895</c:v>
                </c:pt>
                <c:pt idx="6">
                  <c:v>0.11697394248673164</c:v>
                </c:pt>
                <c:pt idx="7">
                  <c:v>-0.9632244860221838</c:v>
                </c:pt>
                <c:pt idx="8">
                  <c:v>0.20796665741848491</c:v>
                </c:pt>
                <c:pt idx="9">
                  <c:v>2.7628941906761915</c:v>
                </c:pt>
                <c:pt idx="10">
                  <c:v>1.3035527213926181</c:v>
                </c:pt>
                <c:pt idx="11">
                  <c:v>0.56442293971410751</c:v>
                </c:pt>
              </c:numCache>
            </c:numRef>
          </c:val>
          <c:extLst xmlns:c16r2="http://schemas.microsoft.com/office/drawing/2015/06/chart">
            <c:ext xmlns:c16="http://schemas.microsoft.com/office/drawing/2014/chart" uri="{C3380CC4-5D6E-409C-BE32-E72D297353CC}">
              <c16:uniqueId val="{0000000B-468F-4269-98FF-4E3C040CBB7E}"/>
            </c:ext>
          </c:extLst>
        </c:ser>
        <c:ser>
          <c:idx val="12"/>
          <c:order val="12"/>
          <c:tx>
            <c:strRef>
              <c:f>'GRAF-přenocování-zahr.'!$N$26</c:f>
              <c:strCache>
                <c:ptCount val="1"/>
                <c:pt idx="0">
                  <c:v>Přenocování (přísp. v meziroč. změně)</c:v>
                </c:pt>
              </c:strCache>
            </c:strRef>
          </c:tx>
          <c:spPr>
            <a:noFill/>
            <a:ln>
              <a:noFill/>
            </a:ln>
          </c:spP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'GRAF-přenocování-zahr.'!$N$27:$N$38</c:f>
              <c:numCache>
                <c:formatCode>General</c:formatCode>
                <c:ptCount val="12"/>
              </c:numCache>
            </c:numRef>
          </c:val>
          <c:extLst xmlns:c16r2="http://schemas.microsoft.com/office/drawing/2015/06/chart">
            <c:ext xmlns:c16="http://schemas.microsoft.com/office/drawing/2014/chart" uri="{C3380CC4-5D6E-409C-BE32-E72D297353CC}">
              <c16:uniqueId val="{0000000C-468F-4269-98FF-4E3C040CBB7E}"/>
            </c:ext>
          </c:extLst>
        </c:ser>
        <c:gapWidth val="42"/>
        <c:overlap val="100"/>
        <c:axId val="164212736"/>
        <c:axId val="164214656"/>
      </c:barChart>
      <c:lineChart>
        <c:grouping val="standard"/>
        <c:ser>
          <c:idx val="13"/>
          <c:order val="13"/>
          <c:tx>
            <c:strRef>
              <c:f>'GRAF-přenocování-zahr.'!$O$26</c:f>
              <c:strCache>
                <c:ptCount val="1"/>
                <c:pt idx="0">
                  <c:v>Nerezidenti celkem (příspěvek v  p. b.)</c:v>
                </c:pt>
              </c:strCache>
            </c:strRef>
          </c:tx>
          <c:spPr>
            <a:ln>
              <a:noFill/>
            </a:ln>
          </c:spPr>
          <c:marker>
            <c:symbol val="diamond"/>
            <c:size val="7"/>
            <c:spPr>
              <a:solidFill>
                <a:srgbClr val="FFFFFF"/>
              </a:solidFill>
              <a:ln>
                <a:solidFill>
                  <a:schemeClr val="tx1">
                    <a:lumMod val="95000"/>
                    <a:lumOff val="5000"/>
                  </a:schemeClr>
                </a:solidFill>
              </a:ln>
            </c:spPr>
          </c:marke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'GRAF-přenocování-zahr.'!$O$27:$O$38</c:f>
              <c:numCache>
                <c:formatCode>#,##0.0</c:formatCode>
                <c:ptCount val="12"/>
                <c:pt idx="0">
                  <c:v>2.5277474625587502</c:v>
                </c:pt>
                <c:pt idx="1">
                  <c:v>2.5875012219798412</c:v>
                </c:pt>
                <c:pt idx="2">
                  <c:v>-3.0235729071052475</c:v>
                </c:pt>
                <c:pt idx="3">
                  <c:v>-11.207917817872017</c:v>
                </c:pt>
                <c:pt idx="4">
                  <c:v>3.4882387581871614</c:v>
                </c:pt>
                <c:pt idx="5">
                  <c:v>5.7655181080507285</c:v>
                </c:pt>
                <c:pt idx="6">
                  <c:v>5.6472849015633955</c:v>
                </c:pt>
                <c:pt idx="7">
                  <c:v>1.6101277485508101</c:v>
                </c:pt>
                <c:pt idx="8">
                  <c:v>-0.15707456923708138</c:v>
                </c:pt>
                <c:pt idx="9">
                  <c:v>5.3206559966769484</c:v>
                </c:pt>
                <c:pt idx="10">
                  <c:v>4.2154611800005712</c:v>
                </c:pt>
                <c:pt idx="11">
                  <c:v>8.195367516492496</c:v>
                </c:pt>
              </c:numCache>
            </c:numRef>
          </c:val>
          <c:extLst xmlns:c16r2="http://schemas.microsoft.com/office/drawing/2015/06/chart">
            <c:ext xmlns:c16="http://schemas.microsoft.com/office/drawing/2014/chart" uri="{C3380CC4-5D6E-409C-BE32-E72D297353CC}">
              <c16:uniqueId val="{0000000D-468F-4269-98FF-4E3C040CBB7E}"/>
            </c:ext>
          </c:extLst>
        </c:ser>
        <c:marker val="1"/>
        <c:axId val="164212736"/>
        <c:axId val="164214656"/>
      </c:lineChart>
      <c:lineChart>
        <c:grouping val="standard"/>
        <c:ser>
          <c:idx val="14"/>
          <c:order val="14"/>
          <c:tx>
            <c:strRef>
              <c:f>'GRAF-přenocování-zahr.'!$P$26</c:f>
              <c:strCache>
                <c:ptCount val="1"/>
                <c:pt idx="0">
                  <c:v>Prům. doba pobytu nerezid. (pr.osa)</c:v>
                </c:pt>
              </c:strCache>
            </c:strRef>
          </c:tx>
          <c:spPr>
            <a:ln w="22225">
              <a:solidFill>
                <a:schemeClr val="tx1">
                  <a:lumMod val="95000"/>
                  <a:lumOff val="5000"/>
                </a:schemeClr>
              </a:solidFill>
              <a:prstDash val="sysDot"/>
            </a:ln>
          </c:spPr>
          <c:marker>
            <c:symbol val="triangle"/>
            <c:size val="4"/>
            <c:spPr>
              <a:solidFill>
                <a:schemeClr val="tx1">
                  <a:lumMod val="95000"/>
                  <a:lumOff val="5000"/>
                </a:schemeClr>
              </a:solidFill>
              <a:ln>
                <a:noFill/>
              </a:ln>
            </c:spPr>
          </c:marke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'GRAF-přenocování-zahr.'!$P$27:$P$38</c:f>
              <c:numCache>
                <c:formatCode>0.0</c:formatCode>
                <c:ptCount val="12"/>
                <c:pt idx="0">
                  <c:v>4.1218132494979614</c:v>
                </c:pt>
                <c:pt idx="1">
                  <c:v>4.0854939081132935</c:v>
                </c:pt>
                <c:pt idx="2">
                  <c:v>4.0058339010528794</c:v>
                </c:pt>
                <c:pt idx="3">
                  <c:v>3.9419437136647777</c:v>
                </c:pt>
                <c:pt idx="4">
                  <c:v>3.8995829804755164</c:v>
                </c:pt>
                <c:pt idx="5">
                  <c:v>3.8927245253100229</c:v>
                </c:pt>
                <c:pt idx="6">
                  <c:v>3.8499881784386227</c:v>
                </c:pt>
                <c:pt idx="7">
                  <c:v>3.8203358055697594</c:v>
                </c:pt>
                <c:pt idx="8">
                  <c:v>3.731030887914045</c:v>
                </c:pt>
                <c:pt idx="9">
                  <c:v>3.6744857792882377</c:v>
                </c:pt>
                <c:pt idx="10">
                  <c:v>3.6034763942051873</c:v>
                </c:pt>
                <c:pt idx="11">
                  <c:v>3.5842326357407948</c:v>
                </c:pt>
              </c:numCache>
            </c:numRef>
          </c:val>
          <c:extLst xmlns:c16r2="http://schemas.microsoft.com/office/drawing/2015/06/chart">
            <c:ext xmlns:c16="http://schemas.microsoft.com/office/drawing/2014/chart" uri="{C3380CC4-5D6E-409C-BE32-E72D297353CC}">
              <c16:uniqueId val="{0000000E-468F-4269-98FF-4E3C040CBB7E}"/>
            </c:ext>
          </c:extLst>
        </c:ser>
        <c:ser>
          <c:idx val="15"/>
          <c:order val="15"/>
          <c:tx>
            <c:strRef>
              <c:f>'GRAF-přenocování-zahr.'!$Q$26</c:f>
              <c:strCache>
                <c:ptCount val="1"/>
                <c:pt idx="0">
                  <c:v>Prům. doba pobytu rezidentů (pr.osa)</c:v>
                </c:pt>
              </c:strCache>
            </c:strRef>
          </c:tx>
          <c:spPr>
            <a:ln w="19050">
              <a:solidFill>
                <a:schemeClr val="bg1">
                  <a:lumMod val="65000"/>
                </a:schemeClr>
              </a:solidFill>
              <a:prstDash val="sysDot"/>
            </a:ln>
          </c:spPr>
          <c:marker>
            <c:symbol val="triangle"/>
            <c:size val="4"/>
            <c:spPr>
              <a:solidFill>
                <a:schemeClr val="bg1">
                  <a:lumMod val="65000"/>
                </a:schemeClr>
              </a:solidFill>
              <a:ln>
                <a:noFill/>
              </a:ln>
            </c:spPr>
          </c:marker>
          <c:cat>
            <c:numRef>
              <c:f>'GRAF-přenocování-zahr.'!$A$27:$A$38</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'GRAF-přenocování-zahr.'!$Q$27:$Q$38</c:f>
              <c:numCache>
                <c:formatCode>0.0</c:formatCode>
                <c:ptCount val="12"/>
                <c:pt idx="0">
                  <c:v>4.3957567368349375</c:v>
                </c:pt>
                <c:pt idx="1">
                  <c:v>4.2192624454783925</c:v>
                </c:pt>
                <c:pt idx="2">
                  <c:v>4.1191347060911445</c:v>
                </c:pt>
                <c:pt idx="3">
                  <c:v>4.1771521107025587</c:v>
                </c:pt>
                <c:pt idx="4">
                  <c:v>4.1546846295995215</c:v>
                </c:pt>
                <c:pt idx="5">
                  <c:v>4.0419354603959246</c:v>
                </c:pt>
                <c:pt idx="6">
                  <c:v>3.8831355973940802</c:v>
                </c:pt>
                <c:pt idx="7">
                  <c:v>3.8009431422670201</c:v>
                </c:pt>
                <c:pt idx="8">
                  <c:v>3.7815092419883887</c:v>
                </c:pt>
                <c:pt idx="9">
                  <c:v>3.8046188098277733</c:v>
                </c:pt>
                <c:pt idx="10">
                  <c:v>3.8044170922842047</c:v>
                </c:pt>
                <c:pt idx="11">
                  <c:v>3.7400535746969092</c:v>
                </c:pt>
              </c:numCache>
            </c:numRef>
          </c:val>
          <c:extLst xmlns:c16r2="http://schemas.microsoft.com/office/drawing/2015/06/chart">
            <c:ext xmlns:c16="http://schemas.microsoft.com/office/drawing/2014/chart" uri="{C3380CC4-5D6E-409C-BE32-E72D297353CC}">
              <c16:uniqueId val="{0000000F-468F-4269-98FF-4E3C040CBB7E}"/>
            </c:ext>
          </c:extLst>
        </c:ser>
        <c:marker val="1"/>
        <c:axId val="164230272"/>
        <c:axId val="164216192"/>
      </c:lineChart>
      <c:catAx>
        <c:axId val="164212736"/>
        <c:scaling>
          <c:orientation val="minMax"/>
        </c:scaling>
        <c:axPos val="b"/>
        <c:numFmt formatCode="General" sourceLinked="1"/>
        <c:tickLblPos val="low"/>
        <c:txPr>
          <a:bodyPr/>
          <a:lstStyle/>
          <a:p>
            <a:pPr>
              <a:defRPr sz="800">
                <a:latin typeface="Arial" pitchFamily="34" charset="0"/>
                <a:cs typeface="Arial" pitchFamily="34" charset="0"/>
              </a:defRPr>
            </a:pPr>
            <a:endParaRPr lang="cs-CZ"/>
          </a:p>
        </c:txPr>
        <c:crossAx val="164214656"/>
        <c:crosses val="autoZero"/>
        <c:auto val="1"/>
        <c:lblAlgn val="ctr"/>
        <c:lblOffset val="0"/>
      </c:catAx>
      <c:valAx>
        <c:axId val="164214656"/>
        <c:scaling>
          <c:orientation val="minMax"/>
          <c:max val="15"/>
          <c:min val="-12"/>
        </c:scaling>
        <c:axPos val="l"/>
        <c:majorGridlines>
          <c:spPr>
            <a:ln w="6350">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64212736"/>
        <c:crosses val="autoZero"/>
        <c:crossBetween val="between"/>
        <c:majorUnit val="3"/>
      </c:valAx>
      <c:valAx>
        <c:axId val="164216192"/>
        <c:scaling>
          <c:orientation val="minMax"/>
          <c:max val="4.5"/>
          <c:min val="0"/>
        </c:scaling>
        <c:axPos val="r"/>
        <c:numFmt formatCode="0.0" sourceLinked="1"/>
        <c:tickLblPos val="nextTo"/>
        <c:txPr>
          <a:bodyPr/>
          <a:lstStyle/>
          <a:p>
            <a:pPr>
              <a:defRPr sz="800">
                <a:latin typeface="Arial" pitchFamily="34" charset="0"/>
                <a:cs typeface="Arial" pitchFamily="34" charset="0"/>
              </a:defRPr>
            </a:pPr>
            <a:endParaRPr lang="cs-CZ"/>
          </a:p>
        </c:txPr>
        <c:crossAx val="164230272"/>
        <c:crosses val="max"/>
        <c:crossBetween val="between"/>
      </c:valAx>
      <c:catAx>
        <c:axId val="164230272"/>
        <c:scaling>
          <c:orientation val="minMax"/>
        </c:scaling>
        <c:delete val="1"/>
        <c:axPos val="b"/>
        <c:numFmt formatCode="General" sourceLinked="1"/>
        <c:tickLblPos val="none"/>
        <c:crossAx val="164216192"/>
        <c:crosses val="autoZero"/>
        <c:auto val="1"/>
        <c:lblAlgn val="ctr"/>
        <c:lblOffset val="100"/>
      </c:catAx>
      <c:spPr>
        <a:ln w="6350">
          <a:solidFill>
            <a:sysClr val="windowText" lastClr="000000">
              <a:lumMod val="95000"/>
              <a:lumOff val="5000"/>
            </a:sysClr>
          </a:solidFill>
        </a:ln>
      </c:spPr>
    </c:plotArea>
    <c:legend>
      <c:legendPos val="r"/>
      <c:layout>
        <c:manualLayout>
          <c:xMode val="edge"/>
          <c:yMode val="edge"/>
          <c:x val="3.1086066324294691E-2"/>
          <c:y val="0.74733929423707646"/>
          <c:w val="0.92692186416624811"/>
          <c:h val="0.2420478746797132"/>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643251153889452E-2"/>
          <c:w val="0.92433548575002356"/>
          <c:h val="0.70436901947540265"/>
        </c:manualLayout>
      </c:layout>
      <c:barChart>
        <c:barDir val="col"/>
        <c:grouping val="clustered"/>
        <c:ser>
          <c:idx val="0"/>
          <c:order val="0"/>
          <c:tx>
            <c:strRef>
              <c:f>'Platební bilance-graf'!$N$99</c:f>
              <c:strCache>
                <c:ptCount val="1"/>
                <c:pt idx="0">
                  <c:v>Bilance příjmů a výdajů z cestovního ruchu k HDP (rok 2017, v %)</c:v>
                </c:pt>
              </c:strCache>
            </c:strRef>
          </c:tx>
          <c:spPr>
            <a:solidFill>
              <a:srgbClr val="A6A6A6"/>
            </a:solidFill>
            <a:ln w="12700">
              <a:noFill/>
              <a:prstDash val="solid"/>
            </a:ln>
          </c:spPr>
          <c:cat>
            <c:strRef>
              <c:f>'Platební bilance-graf'!$M$100:$M$137</c:f>
              <c:strCache>
                <c:ptCount val="38"/>
                <c:pt idx="0">
                  <c:v>Chorvatsko</c:v>
                </c:pt>
                <c:pt idx="1">
                  <c:v>Malta</c:v>
                </c:pt>
                <c:pt idx="2">
                  <c:v>Kypr</c:v>
                </c:pt>
                <c:pt idx="3">
                  <c:v>Řecko</c:v>
                </c:pt>
                <c:pt idx="4">
                  <c:v>Portugalsko</c:v>
                </c:pt>
                <c:pt idx="5">
                  <c:v>Bulharsko</c:v>
                </c:pt>
                <c:pt idx="6">
                  <c:v>Slovinsko</c:v>
                </c:pt>
                <c:pt idx="7">
                  <c:v>Španělsko</c:v>
                </c:pt>
                <c:pt idx="8">
                  <c:v>Maďarsko</c:v>
                </c:pt>
                <c:pt idx="9">
                  <c:v>Lucembursko</c:v>
                </c:pt>
                <c:pt idx="10">
                  <c:v>Rakousko</c:v>
                </c:pt>
                <c:pt idx="11">
                  <c:v>Estonsko</c:v>
                </c:pt>
                <c:pt idx="12">
                  <c:v>Itálie</c:v>
                </c:pt>
                <c:pt idx="13">
                  <c:v>Francie</c:v>
                </c:pt>
                <c:pt idx="14">
                  <c:v>Polsko</c:v>
                </c:pt>
                <c:pt idx="15">
                  <c:v>ČR</c:v>
                </c:pt>
                <c:pt idx="16">
                  <c:v>Slovensko</c:v>
                </c:pt>
                <c:pt idx="17">
                  <c:v>Lotyšsko</c:v>
                </c:pt>
                <c:pt idx="18">
                  <c:v>Litva</c:v>
                </c:pt>
                <c:pt idx="19">
                  <c:v>Irsko</c:v>
                </c:pt>
                <c:pt idx="20">
                  <c:v>Rumunsko</c:v>
                </c:pt>
                <c:pt idx="21">
                  <c:v>Švédsko</c:v>
                </c:pt>
                <c:pt idx="22">
                  <c:v>Nizozemsko</c:v>
                </c:pt>
                <c:pt idx="23">
                  <c:v>Dánsko</c:v>
                </c:pt>
                <c:pt idx="24">
                  <c:v>V. Británie</c:v>
                </c:pt>
                <c:pt idx="25">
                  <c:v>Finsko</c:v>
                </c:pt>
                <c:pt idx="26">
                  <c:v>Německo</c:v>
                </c:pt>
                <c:pt idx="27">
                  <c:v>Belgie</c:v>
                </c:pt>
                <c:pt idx="29">
                  <c:v>Černá Hora</c:v>
                </c:pt>
                <c:pt idx="30">
                  <c:v>Kosovo</c:v>
                </c:pt>
                <c:pt idx="31">
                  <c:v>Island</c:v>
                </c:pt>
                <c:pt idx="32">
                  <c:v>Albánie</c:v>
                </c:pt>
                <c:pt idx="33">
                  <c:v>Bosna a Herz.</c:v>
                </c:pt>
                <c:pt idx="34">
                  <c:v>Turecko</c:v>
                </c:pt>
                <c:pt idx="35">
                  <c:v>Makedonie</c:v>
                </c:pt>
                <c:pt idx="36">
                  <c:v>Švýcarsko</c:v>
                </c:pt>
                <c:pt idx="37">
                  <c:v>Srbsko</c:v>
                </c:pt>
              </c:strCache>
            </c:strRef>
          </c:cat>
          <c:val>
            <c:numRef>
              <c:f>'Platební bilance-graf'!$N$100:$N$137</c:f>
              <c:numCache>
                <c:formatCode>#,##0.0</c:formatCode>
                <c:ptCount val="38"/>
                <c:pt idx="0">
                  <c:v>16.995478622970229</c:v>
                </c:pt>
                <c:pt idx="1">
                  <c:v>9.9847204745640852</c:v>
                </c:pt>
                <c:pt idx="2">
                  <c:v>8.4626674577648231</c:v>
                </c:pt>
                <c:pt idx="3">
                  <c:v>7.1595231785694775</c:v>
                </c:pt>
                <c:pt idx="4">
                  <c:v>5.6253625590453256</c:v>
                </c:pt>
                <c:pt idx="5">
                  <c:v>4.1542650123636484</c:v>
                </c:pt>
                <c:pt idx="6">
                  <c:v>3.5861093717145622</c:v>
                </c:pt>
                <c:pt idx="7">
                  <c:v>3.4742906445342379</c:v>
                </c:pt>
                <c:pt idx="8">
                  <c:v>2.6759874520829494</c:v>
                </c:pt>
                <c:pt idx="9">
                  <c:v>2.4684982068626802</c:v>
                </c:pt>
                <c:pt idx="10">
                  <c:v>2.3744481463858587</c:v>
                </c:pt>
                <c:pt idx="11">
                  <c:v>1.4763741017202641</c:v>
                </c:pt>
                <c:pt idx="12">
                  <c:v>0.86106943962400684</c:v>
                </c:pt>
                <c:pt idx="13">
                  <c:v>0.74372574131488334</c:v>
                </c:pt>
                <c:pt idx="14">
                  <c:v>0.74307637226326462</c:v>
                </c:pt>
                <c:pt idx="15">
                  <c:v>0.69812171393864064</c:v>
                </c:pt>
                <c:pt idx="16">
                  <c:v>0.54433007158893554</c:v>
                </c:pt>
                <c:pt idx="17">
                  <c:v>0.53245757095089996</c:v>
                </c:pt>
                <c:pt idx="18">
                  <c:v>0.40280000955634682</c:v>
                </c:pt>
                <c:pt idx="19">
                  <c:v>-0.34365619448525131</c:v>
                </c:pt>
                <c:pt idx="20">
                  <c:v>-0.44663214144521729</c:v>
                </c:pt>
                <c:pt idx="21">
                  <c:v>-0.53554483506953565</c:v>
                </c:pt>
                <c:pt idx="22">
                  <c:v>-0.66690007722314026</c:v>
                </c:pt>
                <c:pt idx="23">
                  <c:v>-0.68097926195122238</c:v>
                </c:pt>
                <c:pt idx="24">
                  <c:v>-0.76854707240733244</c:v>
                </c:pt>
                <c:pt idx="25">
                  <c:v>-1.028846110890222</c:v>
                </c:pt>
                <c:pt idx="26">
                  <c:v>-1.1899428501386611</c:v>
                </c:pt>
                <c:pt idx="27">
                  <c:v>-1.7268822501893184</c:v>
                </c:pt>
                <c:pt idx="29">
                  <c:v>19.624702847605079</c:v>
                </c:pt>
                <c:pt idx="30">
                  <c:v>10.32602428296075</c:v>
                </c:pt>
                <c:pt idx="31">
                  <c:v>5.6981885271814638</c:v>
                </c:pt>
                <c:pt idx="32">
                  <c:v>3.8494764850201881</c:v>
                </c:pt>
                <c:pt idx="33">
                  <c:v>3.4020369050033037</c:v>
                </c:pt>
                <c:pt idx="34">
                  <c:v>1.6163544639500846</c:v>
                </c:pt>
                <c:pt idx="35">
                  <c:v>1.0292481322524238</c:v>
                </c:pt>
                <c:pt idx="36">
                  <c:v>-1.9955880873369315E-3</c:v>
                </c:pt>
                <c:pt idx="37">
                  <c:v>-9.7838316746114998E-2</c:v>
                </c:pt>
              </c:numCache>
            </c:numRef>
          </c:val>
          <c:extLst xmlns:c16r2="http://schemas.microsoft.com/office/drawing/2015/06/chart">
            <c:ext xmlns:c16="http://schemas.microsoft.com/office/drawing/2014/chart" uri="{C3380CC4-5D6E-409C-BE32-E72D297353CC}">
              <c16:uniqueId val="{00000000-8D8E-4243-8414-77DCB2943247}"/>
            </c:ext>
          </c:extLst>
        </c:ser>
        <c:gapWidth val="30"/>
        <c:axId val="164256384"/>
        <c:axId val="164258560"/>
      </c:barChart>
      <c:lineChart>
        <c:grouping val="standard"/>
        <c:ser>
          <c:idx val="3"/>
          <c:order val="1"/>
          <c:tx>
            <c:strRef>
              <c:f>'Platební bilance-graf'!$O$99</c:f>
              <c:strCache>
                <c:ptCount val="1"/>
                <c:pt idx="0">
                  <c:v>Příjmy z cestovního ruchu k HDP (2017-2013, v p. b., pravá osa)</c:v>
                </c:pt>
              </c:strCache>
            </c:strRef>
          </c:tx>
          <c:spPr>
            <a:ln w="19050">
              <a:noFill/>
              <a:prstDash val="solid"/>
            </a:ln>
          </c:spPr>
          <c:marker>
            <c:symbol val="diamond"/>
            <c:size val="5"/>
            <c:spPr>
              <a:solidFill>
                <a:srgbClr val="0071BC"/>
              </a:solidFill>
              <a:ln>
                <a:noFill/>
              </a:ln>
            </c:spPr>
          </c:marker>
          <c:cat>
            <c:strRef>
              <c:f>'Platební bilance-graf'!$M$100:$M$137</c:f>
              <c:strCache>
                <c:ptCount val="38"/>
                <c:pt idx="0">
                  <c:v>Chorvatsko</c:v>
                </c:pt>
                <c:pt idx="1">
                  <c:v>Malta</c:v>
                </c:pt>
                <c:pt idx="2">
                  <c:v>Kypr</c:v>
                </c:pt>
                <c:pt idx="3">
                  <c:v>Řecko</c:v>
                </c:pt>
                <c:pt idx="4">
                  <c:v>Portugalsko</c:v>
                </c:pt>
                <c:pt idx="5">
                  <c:v>Bulharsko</c:v>
                </c:pt>
                <c:pt idx="6">
                  <c:v>Slovinsko</c:v>
                </c:pt>
                <c:pt idx="7">
                  <c:v>Španělsko</c:v>
                </c:pt>
                <c:pt idx="8">
                  <c:v>Maďarsko</c:v>
                </c:pt>
                <c:pt idx="9">
                  <c:v>Lucembursko</c:v>
                </c:pt>
                <c:pt idx="10">
                  <c:v>Rakousko</c:v>
                </c:pt>
                <c:pt idx="11">
                  <c:v>Estonsko</c:v>
                </c:pt>
                <c:pt idx="12">
                  <c:v>Itálie</c:v>
                </c:pt>
                <c:pt idx="13">
                  <c:v>Francie</c:v>
                </c:pt>
                <c:pt idx="14">
                  <c:v>Polsko</c:v>
                </c:pt>
                <c:pt idx="15">
                  <c:v>ČR</c:v>
                </c:pt>
                <c:pt idx="16">
                  <c:v>Slovensko</c:v>
                </c:pt>
                <c:pt idx="17">
                  <c:v>Lotyšsko</c:v>
                </c:pt>
                <c:pt idx="18">
                  <c:v>Litva</c:v>
                </c:pt>
                <c:pt idx="19">
                  <c:v>Irsko</c:v>
                </c:pt>
                <c:pt idx="20">
                  <c:v>Rumunsko</c:v>
                </c:pt>
                <c:pt idx="21">
                  <c:v>Švédsko</c:v>
                </c:pt>
                <c:pt idx="22">
                  <c:v>Nizozemsko</c:v>
                </c:pt>
                <c:pt idx="23">
                  <c:v>Dánsko</c:v>
                </c:pt>
                <c:pt idx="24">
                  <c:v>V. Británie</c:v>
                </c:pt>
                <c:pt idx="25">
                  <c:v>Finsko</c:v>
                </c:pt>
                <c:pt idx="26">
                  <c:v>Německo</c:v>
                </c:pt>
                <c:pt idx="27">
                  <c:v>Belgie</c:v>
                </c:pt>
                <c:pt idx="29">
                  <c:v>Černá Hora</c:v>
                </c:pt>
                <c:pt idx="30">
                  <c:v>Kosovo</c:v>
                </c:pt>
                <c:pt idx="31">
                  <c:v>Island</c:v>
                </c:pt>
                <c:pt idx="32">
                  <c:v>Albánie</c:v>
                </c:pt>
                <c:pt idx="33">
                  <c:v>Bosna a Herz.</c:v>
                </c:pt>
                <c:pt idx="34">
                  <c:v>Turecko</c:v>
                </c:pt>
                <c:pt idx="35">
                  <c:v>Makedonie</c:v>
                </c:pt>
                <c:pt idx="36">
                  <c:v>Švýcarsko</c:v>
                </c:pt>
                <c:pt idx="37">
                  <c:v>Srbsko</c:v>
                </c:pt>
              </c:strCache>
            </c:strRef>
          </c:cat>
          <c:val>
            <c:numRef>
              <c:f>'Platební bilance-graf'!$O$100:$O$137</c:f>
              <c:numCache>
                <c:formatCode>#,##0.0</c:formatCode>
                <c:ptCount val="38"/>
                <c:pt idx="0">
                  <c:v>3.0481933151649652</c:v>
                </c:pt>
                <c:pt idx="1">
                  <c:v>-0.12429409527827294</c:v>
                </c:pt>
                <c:pt idx="2">
                  <c:v>2.3997199141090424</c:v>
                </c:pt>
                <c:pt idx="3">
                  <c:v>1.5045713644502401</c:v>
                </c:pt>
                <c:pt idx="4">
                  <c:v>2.4163147503371611</c:v>
                </c:pt>
                <c:pt idx="5">
                  <c:v>0.23640326192114641</c:v>
                </c:pt>
                <c:pt idx="6">
                  <c:v>-1.3263853731479541E-2</c:v>
                </c:pt>
                <c:pt idx="7">
                  <c:v>0.57171505322620064</c:v>
                </c:pt>
                <c:pt idx="8">
                  <c:v>0.47020687419726342</c:v>
                </c:pt>
                <c:pt idx="9">
                  <c:v>-0.94504590843391789</c:v>
                </c:pt>
                <c:pt idx="10">
                  <c:v>0.18060568060805782</c:v>
                </c:pt>
                <c:pt idx="11">
                  <c:v>-0.21443815812051831</c:v>
                </c:pt>
                <c:pt idx="12">
                  <c:v>0.21815386839807788</c:v>
                </c:pt>
                <c:pt idx="13">
                  <c:v>0.33221126233710185</c:v>
                </c:pt>
                <c:pt idx="14">
                  <c:v>0.25440613808506735</c:v>
                </c:pt>
                <c:pt idx="15">
                  <c:v>-0.14838677732460415</c:v>
                </c:pt>
                <c:pt idx="16">
                  <c:v>0.44758592233204375</c:v>
                </c:pt>
                <c:pt idx="17">
                  <c:v>6.0112414140677452E-2</c:v>
                </c:pt>
                <c:pt idx="18">
                  <c:v>-0.21368262840254937</c:v>
                </c:pt>
                <c:pt idx="19">
                  <c:v>-0.15840854409163069</c:v>
                </c:pt>
                <c:pt idx="20">
                  <c:v>0.35711601622965805</c:v>
                </c:pt>
                <c:pt idx="21">
                  <c:v>0.75107771743300544</c:v>
                </c:pt>
                <c:pt idx="23">
                  <c:v>0.19007788540837733</c:v>
                </c:pt>
                <c:pt idx="24">
                  <c:v>0.32460891643187417</c:v>
                </c:pt>
                <c:pt idx="25">
                  <c:v>-0.32017408071967746</c:v>
                </c:pt>
                <c:pt idx="26">
                  <c:v>-1.9520688480844105E-2</c:v>
                </c:pt>
                <c:pt idx="27">
                  <c:v>-9.7403892406460205E-2</c:v>
                </c:pt>
                <c:pt idx="29">
                  <c:v>1.3353853293068243</c:v>
                </c:pt>
                <c:pt idx="31">
                  <c:v>5.7361308661420845</c:v>
                </c:pt>
                <c:pt idx="32">
                  <c:v>3.2469290212270856</c:v>
                </c:pt>
                <c:pt idx="34">
                  <c:v>-0.7810249239674194</c:v>
                </c:pt>
                <c:pt idx="35">
                  <c:v>0.38439044345387874</c:v>
                </c:pt>
                <c:pt idx="36">
                  <c:v>-1.6723556993594201E-3</c:v>
                </c:pt>
                <c:pt idx="37">
                  <c:v>0.89538446845466058</c:v>
                </c:pt>
              </c:numCache>
            </c:numRef>
          </c:val>
          <c:extLst xmlns:c16r2="http://schemas.microsoft.com/office/drawing/2015/06/chart">
            <c:ext xmlns:c16="http://schemas.microsoft.com/office/drawing/2014/chart" uri="{C3380CC4-5D6E-409C-BE32-E72D297353CC}">
              <c16:uniqueId val="{00000001-8D8E-4243-8414-77DCB2943247}"/>
            </c:ext>
          </c:extLst>
        </c:ser>
        <c:marker val="1"/>
        <c:axId val="164278272"/>
        <c:axId val="164260096"/>
      </c:lineChart>
      <c:catAx>
        <c:axId val="164256384"/>
        <c:scaling>
          <c:orientation val="minMax"/>
        </c:scaling>
        <c:axPos val="b"/>
        <c:numFmt formatCode="General" sourceLinked="1"/>
        <c:majorTickMark val="none"/>
        <c:tickLblPos val="low"/>
        <c:spPr>
          <a:ln w="9525">
            <a:solidFill>
              <a:schemeClr val="tx1"/>
            </a:solidFill>
            <a:prstDash val="solid"/>
          </a:ln>
        </c:spPr>
        <c:txPr>
          <a:bodyPr rot="-5400000" vert="horz"/>
          <a:lstStyle/>
          <a:p>
            <a:pPr>
              <a:defRPr/>
            </a:pPr>
            <a:endParaRPr lang="cs-CZ"/>
          </a:p>
        </c:txPr>
        <c:crossAx val="164258560"/>
        <c:crossesAt val="0"/>
        <c:lblAlgn val="ctr"/>
        <c:lblOffset val="0"/>
        <c:tickLblSkip val="1"/>
        <c:tickMarkSkip val="4"/>
      </c:catAx>
      <c:valAx>
        <c:axId val="164258560"/>
        <c:scaling>
          <c:orientation val="minMax"/>
          <c:max val="21"/>
          <c:min val="-3"/>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4256384"/>
        <c:crosses val="autoZero"/>
        <c:crossBetween val="between"/>
        <c:majorUnit val="3"/>
      </c:valAx>
      <c:valAx>
        <c:axId val="164260096"/>
        <c:scaling>
          <c:orientation val="minMax"/>
          <c:max val="7"/>
          <c:min val="-1"/>
        </c:scaling>
        <c:axPos val="r"/>
        <c:numFmt formatCode="#,##0" sourceLinked="0"/>
        <c:tickLblPos val="nextTo"/>
        <c:crossAx val="164278272"/>
        <c:crosses val="max"/>
        <c:crossBetween val="between"/>
      </c:valAx>
      <c:catAx>
        <c:axId val="164278272"/>
        <c:scaling>
          <c:orientation val="minMax"/>
        </c:scaling>
        <c:delete val="1"/>
        <c:axPos val="b"/>
        <c:numFmt formatCode="General" sourceLinked="1"/>
        <c:tickLblPos val="none"/>
        <c:crossAx val="164260096"/>
        <c:crosses val="autoZero"/>
        <c:auto val="1"/>
        <c:lblAlgn val="ctr"/>
        <c:lblOffset val="100"/>
      </c:catAx>
      <c:spPr>
        <a:noFill/>
        <a:ln w="9525">
          <a:solidFill>
            <a:schemeClr val="tx1"/>
          </a:solidFill>
        </a:ln>
      </c:spPr>
    </c:plotArea>
    <c:legend>
      <c:legendPos val="b"/>
      <c:layout>
        <c:manualLayout>
          <c:xMode val="edge"/>
          <c:yMode val="edge"/>
          <c:x val="6.0825127544755463E-2"/>
          <c:y val="0.9078813463919847"/>
          <c:w val="0.89188411739456364"/>
          <c:h val="8.2890915231340734E-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9513175616352848E-2"/>
          <c:w val="0.92433548575002533"/>
          <c:h val="0.76155690645052365"/>
        </c:manualLayout>
      </c:layout>
      <c:barChart>
        <c:barDir val="col"/>
        <c:grouping val="clustered"/>
        <c:ser>
          <c:idx val="0"/>
          <c:order val="0"/>
          <c:tx>
            <c:strRef>
              <c:f>'Graf-Národní účty-souhrnné'!$A$29</c:f>
              <c:strCache>
                <c:ptCount val="1"/>
                <c:pt idx="0">
                  <c:v>Hrubá přidaná hodnota (2010=100)</c:v>
                </c:pt>
              </c:strCache>
            </c:strRef>
          </c:tx>
          <c:spPr>
            <a:solidFill>
              <a:schemeClr val="bg1">
                <a:lumMod val="65000"/>
              </a:schemeClr>
            </a:solidFill>
            <a:ln w="12700">
              <a:noFill/>
              <a:prstDash val="solid"/>
            </a:ln>
          </c:spP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účty-souhrnné'!$G$29:$S$29</c:f>
              <c:numCache>
                <c:formatCode>0.0</c:formatCode>
                <c:ptCount val="13"/>
                <c:pt idx="0">
                  <c:v>78.951977416494145</c:v>
                </c:pt>
                <c:pt idx="1">
                  <c:v>87.370751314922629</c:v>
                </c:pt>
                <c:pt idx="2">
                  <c:v>98.058210181070535</c:v>
                </c:pt>
                <c:pt idx="3">
                  <c:v>101.28691168391858</c:v>
                </c:pt>
                <c:pt idx="4">
                  <c:v>100.2996992129496</c:v>
                </c:pt>
                <c:pt idx="5">
                  <c:v>100</c:v>
                </c:pt>
                <c:pt idx="6">
                  <c:v>101.85585066167712</c:v>
                </c:pt>
                <c:pt idx="7">
                  <c:v>99.451729933478745</c:v>
                </c:pt>
                <c:pt idx="8">
                  <c:v>102.77017802459545</c:v>
                </c:pt>
                <c:pt idx="9">
                  <c:v>111.50279302261065</c:v>
                </c:pt>
                <c:pt idx="10">
                  <c:v>122.30828225030051</c:v>
                </c:pt>
                <c:pt idx="11">
                  <c:v>126.73523668622961</c:v>
                </c:pt>
                <c:pt idx="12">
                  <c:v>133.93563265905539</c:v>
                </c:pt>
              </c:numCache>
            </c:numRef>
          </c:val>
          <c:extLst xmlns:c16r2="http://schemas.microsoft.com/office/drawing/2015/06/chart">
            <c:ext xmlns:c16="http://schemas.microsoft.com/office/drawing/2014/chart" uri="{C3380CC4-5D6E-409C-BE32-E72D297353CC}">
              <c16:uniqueId val="{00000000-5B15-4557-A6F7-68197F74EFBA}"/>
            </c:ext>
          </c:extLst>
        </c:ser>
        <c:gapWidth val="30"/>
        <c:axId val="164305920"/>
        <c:axId val="164324096"/>
      </c:barChart>
      <c:lineChart>
        <c:grouping val="standard"/>
        <c:ser>
          <c:idx val="3"/>
          <c:order val="1"/>
          <c:tx>
            <c:strRef>
              <c:f>'Graf-Národní účty-souhrnné'!$A$30</c:f>
              <c:strCache>
                <c:ptCount val="1"/>
                <c:pt idx="0">
                  <c:v>Objem reálných vyplacených mezd a platů (2010=100)*</c:v>
                </c:pt>
              </c:strCache>
            </c:strRef>
          </c:tx>
          <c:spPr>
            <a:ln w="19050">
              <a:solidFill>
                <a:srgbClr val="F8A124"/>
              </a:solidFill>
              <a:prstDash val="solid"/>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účty-souhrnné'!$G$30:$S$30</c:f>
              <c:numCache>
                <c:formatCode>0.0</c:formatCode>
                <c:ptCount val="13"/>
                <c:pt idx="0">
                  <c:v>75.44833374383289</c:v>
                </c:pt>
                <c:pt idx="1">
                  <c:v>82.604096269533272</c:v>
                </c:pt>
                <c:pt idx="2">
                  <c:v>91.478257253495926</c:v>
                </c:pt>
                <c:pt idx="3">
                  <c:v>98.96293571620788</c:v>
                </c:pt>
                <c:pt idx="4">
                  <c:v>101.49828777051573</c:v>
                </c:pt>
                <c:pt idx="5">
                  <c:v>100</c:v>
                </c:pt>
                <c:pt idx="6">
                  <c:v>98.827215622748696</c:v>
                </c:pt>
                <c:pt idx="7">
                  <c:v>100.72305812406022</c:v>
                </c:pt>
                <c:pt idx="8">
                  <c:v>102.66100305117079</c:v>
                </c:pt>
                <c:pt idx="9">
                  <c:v>107.97530595598327</c:v>
                </c:pt>
                <c:pt idx="10">
                  <c:v>113.62504157118593</c:v>
                </c:pt>
                <c:pt idx="11">
                  <c:v>122.25328922461314</c:v>
                </c:pt>
                <c:pt idx="12">
                  <c:v>129.6120837086095</c:v>
                </c:pt>
              </c:numCache>
            </c:numRef>
          </c:val>
          <c:extLst xmlns:c16r2="http://schemas.microsoft.com/office/drawing/2015/06/chart">
            <c:ext xmlns:c16="http://schemas.microsoft.com/office/drawing/2014/chart" uri="{C3380CC4-5D6E-409C-BE32-E72D297353CC}">
              <c16:uniqueId val="{00000001-5B15-4557-A6F7-68197F74EFBA}"/>
            </c:ext>
          </c:extLst>
        </c:ser>
        <c:ser>
          <c:idx val="1"/>
          <c:order val="2"/>
          <c:tx>
            <c:strRef>
              <c:f>'Graf-Národní účty-souhrnné'!$A$31</c:f>
              <c:strCache>
                <c:ptCount val="1"/>
                <c:pt idx="0">
                  <c:v>Reálná hodinová produktivita práce (2010=100)</c:v>
                </c:pt>
              </c:strCache>
            </c:strRef>
          </c:tx>
          <c:spPr>
            <a:ln w="19050">
              <a:solidFill>
                <a:srgbClr val="7DBB2D"/>
              </a:solidFill>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účty-souhrnné'!$G$31:$S$31</c:f>
              <c:numCache>
                <c:formatCode>0.0</c:formatCode>
                <c:ptCount val="13"/>
                <c:pt idx="0">
                  <c:v>97.035228217348532</c:v>
                </c:pt>
                <c:pt idx="1">
                  <c:v>101.71280988718688</c:v>
                </c:pt>
                <c:pt idx="2">
                  <c:v>108.58363901924852</c:v>
                </c:pt>
                <c:pt idx="3">
                  <c:v>103.31910367730075</c:v>
                </c:pt>
                <c:pt idx="4">
                  <c:v>97.090102272864058</c:v>
                </c:pt>
                <c:pt idx="5">
                  <c:v>100</c:v>
                </c:pt>
                <c:pt idx="6">
                  <c:v>106.71121901940155</c:v>
                </c:pt>
                <c:pt idx="7">
                  <c:v>103.25616869993932</c:v>
                </c:pt>
                <c:pt idx="8">
                  <c:v>104.75716169721694</c:v>
                </c:pt>
                <c:pt idx="9">
                  <c:v>109.83814959573451</c:v>
                </c:pt>
                <c:pt idx="10">
                  <c:v>121.79457439052098</c:v>
                </c:pt>
                <c:pt idx="11">
                  <c:v>117.93363862806349</c:v>
                </c:pt>
                <c:pt idx="12">
                  <c:v>121.35240176765184</c:v>
                </c:pt>
              </c:numCache>
            </c:numRef>
          </c:val>
          <c:extLst xmlns:c16r2="http://schemas.microsoft.com/office/drawing/2015/06/chart">
            <c:ext xmlns:c16="http://schemas.microsoft.com/office/drawing/2014/chart" uri="{C3380CC4-5D6E-409C-BE32-E72D297353CC}">
              <c16:uniqueId val="{00000002-5B15-4557-A6F7-68197F74EFBA}"/>
            </c:ext>
          </c:extLst>
        </c:ser>
        <c:ser>
          <c:idx val="7"/>
          <c:order val="3"/>
          <c:tx>
            <c:strRef>
              <c:f>'Graf-Národní účty-souhrnné'!$A$32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účty-souhrnné'!$G$32:$S$32</c:f>
              <c:numCache>
                <c:formatCode>0.0</c:formatCode>
                <c:ptCount val="13"/>
                <c:pt idx="0">
                  <c:v>81.218546132338858</c:v>
                </c:pt>
                <c:pt idx="1">
                  <c:v>85.745573159366273</c:v>
                </c:pt>
                <c:pt idx="2">
                  <c:v>90.806150978564759</c:v>
                </c:pt>
                <c:pt idx="3">
                  <c:v>98.607486797141959</c:v>
                </c:pt>
                <c:pt idx="4">
                  <c:v>102.77260018639328</c:v>
                </c:pt>
                <c:pt idx="5">
                  <c:v>100</c:v>
                </c:pt>
                <c:pt idx="6">
                  <c:v>95.939732836283625</c:v>
                </c:pt>
                <c:pt idx="7">
                  <c:v>97.323703013357786</c:v>
                </c:pt>
                <c:pt idx="8">
                  <c:v>98.779123951537827</c:v>
                </c:pt>
                <c:pt idx="9">
                  <c:v>102.03013358185792</c:v>
                </c:pt>
                <c:pt idx="10">
                  <c:v>104.20782851817334</c:v>
                </c:pt>
                <c:pt idx="11">
                  <c:v>109.54255980118049</c:v>
                </c:pt>
                <c:pt idx="12">
                  <c:v>111.9850885368123</c:v>
                </c:pt>
              </c:numCache>
            </c:numRef>
          </c:val>
          <c:extLst xmlns:c16r2="http://schemas.microsoft.com/office/drawing/2015/06/chart">
            <c:ext xmlns:c16="http://schemas.microsoft.com/office/drawing/2014/chart" uri="{C3380CC4-5D6E-409C-BE32-E72D297353CC}">
              <c16:uniqueId val="{00000003-5B15-4557-A6F7-68197F74EFBA}"/>
            </c:ext>
          </c:extLst>
        </c:ser>
        <c:marker val="1"/>
        <c:axId val="164305920"/>
        <c:axId val="164324096"/>
      </c:lineChart>
      <c:lineChart>
        <c:grouping val="standard"/>
        <c:ser>
          <c:idx val="2"/>
          <c:order val="4"/>
          <c:tx>
            <c:strRef>
              <c:f>'Graf-Národní účty-souhrnné'!$A$33</c:f>
              <c:strCache>
                <c:ptCount val="1"/>
                <c:pt idx="0">
                  <c:v>Míra investic (v %, pravá osa)</c:v>
                </c:pt>
              </c:strCache>
            </c:strRef>
          </c:tx>
          <c:spPr>
            <a:ln w="19050">
              <a:solidFill>
                <a:srgbClr val="BD1B21"/>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účty-souhrnné'!$G$33:$S$33</c:f>
              <c:numCache>
                <c:formatCode>0.0</c:formatCode>
                <c:ptCount val="13"/>
                <c:pt idx="0">
                  <c:v>31.260726719952824</c:v>
                </c:pt>
                <c:pt idx="1">
                  <c:v>31.962522441651544</c:v>
                </c:pt>
                <c:pt idx="2">
                  <c:v>31.264028058875109</c:v>
                </c:pt>
                <c:pt idx="3">
                  <c:v>26.395228628230615</c:v>
                </c:pt>
                <c:pt idx="4">
                  <c:v>29.966173115302563</c:v>
                </c:pt>
                <c:pt idx="5">
                  <c:v>29.259563450837906</c:v>
                </c:pt>
                <c:pt idx="6">
                  <c:v>27.782036540181121</c:v>
                </c:pt>
                <c:pt idx="7">
                  <c:v>27.754898223269848</c:v>
                </c:pt>
                <c:pt idx="8">
                  <c:v>31.297664410031818</c:v>
                </c:pt>
                <c:pt idx="9">
                  <c:v>31.690738298937863</c:v>
                </c:pt>
                <c:pt idx="10">
                  <c:v>34.736341057651977</c:v>
                </c:pt>
                <c:pt idx="11">
                  <c:v>32.994679571157178</c:v>
                </c:pt>
                <c:pt idx="12">
                  <c:v>31.615016630222602</c:v>
                </c:pt>
              </c:numCache>
            </c:numRef>
          </c:val>
          <c:extLst xmlns:c16r2="http://schemas.microsoft.com/office/drawing/2015/06/chart">
            <c:ext xmlns:c16="http://schemas.microsoft.com/office/drawing/2014/chart" uri="{C3380CC4-5D6E-409C-BE32-E72D297353CC}">
              <c16:uniqueId val="{00000004-5B15-4557-A6F7-68197F74EFBA}"/>
            </c:ext>
          </c:extLst>
        </c:ser>
        <c:ser>
          <c:idx val="5"/>
          <c:order val="5"/>
          <c:tx>
            <c:strRef>
              <c:f>'Graf-Národní účty-souhrnné'!$A$34</c:f>
              <c:strCache>
                <c:ptCount val="1"/>
                <c:pt idx="0">
                  <c:v>Míra zisku nefinančních podniků (v %, pravá osa)</c:v>
                </c:pt>
              </c:strCache>
            </c:strRef>
          </c:tx>
          <c:spPr>
            <a:ln w="19050">
              <a:solidFill>
                <a:srgbClr val="0071BC"/>
              </a:solidFill>
              <a:prstDash val="sysDash"/>
            </a:ln>
          </c:spPr>
          <c:marker>
            <c:symbol val="none"/>
          </c:marker>
          <c:cat>
            <c:strRef>
              <c:f>'Graf-Národní účty-souhrnné'!$G$28:$S$28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účty-souhrnné'!$G$34:$S$34</c:f>
              <c:numCache>
                <c:formatCode>0.0</c:formatCode>
                <c:ptCount val="13"/>
                <c:pt idx="0">
                  <c:v>64.69023767733826</c:v>
                </c:pt>
                <c:pt idx="1">
                  <c:v>65.262737019015688</c:v>
                </c:pt>
                <c:pt idx="2">
                  <c:v>64.458994375891848</c:v>
                </c:pt>
                <c:pt idx="3">
                  <c:v>61.460200011561355</c:v>
                </c:pt>
                <c:pt idx="4">
                  <c:v>60.452884894172144</c:v>
                </c:pt>
                <c:pt idx="5">
                  <c:v>59.430130233726956</c:v>
                </c:pt>
                <c:pt idx="6">
                  <c:v>60.47726754685884</c:v>
                </c:pt>
                <c:pt idx="7">
                  <c:v>58.407835611308748</c:v>
                </c:pt>
                <c:pt idx="8">
                  <c:v>56.768426858996811</c:v>
                </c:pt>
                <c:pt idx="9">
                  <c:v>56.307244429514824</c:v>
                </c:pt>
                <c:pt idx="10">
                  <c:v>57.721558200170726</c:v>
                </c:pt>
                <c:pt idx="11">
                  <c:v>56.515606913926099</c:v>
                </c:pt>
                <c:pt idx="12">
                  <c:v>55.57079894076201</c:v>
                </c:pt>
              </c:numCache>
            </c:numRef>
          </c:val>
          <c:extLst xmlns:c16r2="http://schemas.microsoft.com/office/drawing/2015/06/chart">
            <c:ext xmlns:c16="http://schemas.microsoft.com/office/drawing/2014/chart" uri="{C3380CC4-5D6E-409C-BE32-E72D297353CC}">
              <c16:uniqueId val="{00000005-5B15-4557-A6F7-68197F74EFBA}"/>
            </c:ext>
          </c:extLst>
        </c:ser>
        <c:marker val="1"/>
        <c:axId val="164339712"/>
        <c:axId val="164325632"/>
      </c:lineChart>
      <c:catAx>
        <c:axId val="164305920"/>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64324096"/>
        <c:crossesAt val="100"/>
        <c:lblAlgn val="ctr"/>
        <c:lblOffset val="0"/>
        <c:tickLblSkip val="1"/>
        <c:tickMarkSkip val="4"/>
      </c:catAx>
      <c:valAx>
        <c:axId val="164324096"/>
        <c:scaling>
          <c:orientation val="minMax"/>
          <c:max val="141"/>
          <c:min val="75"/>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4305920"/>
        <c:crosses val="autoZero"/>
        <c:crossBetween val="between"/>
        <c:majorUnit val="5"/>
      </c:valAx>
      <c:valAx>
        <c:axId val="164325632"/>
        <c:scaling>
          <c:orientation val="minMax"/>
          <c:max val="66"/>
          <c:min val="0"/>
        </c:scaling>
        <c:axPos val="r"/>
        <c:numFmt formatCode="0" sourceLinked="0"/>
        <c:tickLblPos val="nextTo"/>
        <c:crossAx val="164339712"/>
        <c:crosses val="max"/>
        <c:crossBetween val="between"/>
        <c:majorUnit val="5"/>
      </c:valAx>
      <c:catAx>
        <c:axId val="164339712"/>
        <c:scaling>
          <c:orientation val="minMax"/>
        </c:scaling>
        <c:delete val="1"/>
        <c:axPos val="b"/>
        <c:numFmt formatCode="General" sourceLinked="1"/>
        <c:tickLblPos val="none"/>
        <c:crossAx val="164325632"/>
        <c:crosses val="autoZero"/>
        <c:auto val="1"/>
        <c:lblAlgn val="ctr"/>
        <c:lblOffset val="100"/>
      </c:catAx>
      <c:spPr>
        <a:noFill/>
        <a:ln w="9525">
          <a:solidFill>
            <a:schemeClr val="tx1"/>
          </a:solidFill>
        </a:ln>
      </c:spPr>
    </c:plotArea>
    <c:legend>
      <c:legendPos val="b"/>
      <c:layout>
        <c:manualLayout>
          <c:xMode val="edge"/>
          <c:yMode val="edge"/>
          <c:x val="6.0825149028219005E-2"/>
          <c:y val="0.82924800180119362"/>
          <c:w val="0.88531755998340833"/>
          <c:h val="0.1671777552628617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5.340225924121491E-2"/>
          <c:y val="1.6434241361665363E-2"/>
          <c:w val="0.93179896008611662"/>
          <c:h val="0.74114409205517884"/>
        </c:manualLayout>
      </c:layout>
      <c:barChart>
        <c:barDir val="col"/>
        <c:grouping val="stacked"/>
        <c:ser>
          <c:idx val="0"/>
          <c:order val="0"/>
          <c:tx>
            <c:strRef>
              <c:f>'GRAF-příspěvky'!$A$3</c:f>
              <c:strCache>
                <c:ptCount val="1"/>
                <c:pt idx="0">
                  <c:v>Vydavatelské činnosti (NACE 58)</c:v>
                </c:pt>
              </c:strCache>
            </c:strRef>
          </c:tx>
          <c:spPr>
            <a:solidFill>
              <a:srgbClr val="808080"/>
            </a:solidFill>
            <a:ln>
              <a:noFill/>
            </a:ln>
          </c:spP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'GRAF-příspěvky'!$B$3:$N$3</c:f>
              <c:numCache>
                <c:formatCode>0.0</c:formatCode>
                <c:ptCount val="13"/>
                <c:pt idx="0">
                  <c:v>2.2158411524361687</c:v>
                </c:pt>
                <c:pt idx="1">
                  <c:v>0.88525474427499606</c:v>
                </c:pt>
                <c:pt idx="2">
                  <c:v>0.91793836026331532</c:v>
                </c:pt>
                <c:pt idx="3">
                  <c:v>1.2739606138981796</c:v>
                </c:pt>
                <c:pt idx="4">
                  <c:v>-0.36112286282306377</c:v>
                </c:pt>
                <c:pt idx="5">
                  <c:v>5.6214035774974656E-2</c:v>
                </c:pt>
                <c:pt idx="6">
                  <c:v>-0.66708312709748674</c:v>
                </c:pt>
                <c:pt idx="7">
                  <c:v>0.21422639580937902</c:v>
                </c:pt>
                <c:pt idx="8">
                  <c:v>-0.18907329750162569</c:v>
                </c:pt>
                <c:pt idx="9">
                  <c:v>2.0415733930284587</c:v>
                </c:pt>
                <c:pt idx="10">
                  <c:v>2.1743752108184382</c:v>
                </c:pt>
                <c:pt idx="11">
                  <c:v>-1.1348480349880159</c:v>
                </c:pt>
                <c:pt idx="12">
                  <c:v>1.872933543655144</c:v>
                </c:pt>
              </c:numCache>
            </c:numRef>
          </c:val>
          <c:extLst xmlns:c16r2="http://schemas.microsoft.com/office/drawing/2015/06/chart">
            <c:ext xmlns:c16="http://schemas.microsoft.com/office/drawing/2014/chart" uri="{C3380CC4-5D6E-409C-BE32-E72D297353CC}">
              <c16:uniqueId val="{00000000-CDAE-44B1-8102-7FE5B880C233}"/>
            </c:ext>
          </c:extLst>
        </c:ser>
        <c:ser>
          <c:idx val="1"/>
          <c:order val="1"/>
          <c:tx>
            <c:strRef>
              <c:f>'GRAF-příspěvky'!$A$4</c:f>
              <c:strCache>
                <c:ptCount val="1"/>
                <c:pt idx="0">
                  <c:v>Filmový a hudební průmysl (59)</c:v>
                </c:pt>
              </c:strCache>
            </c:strRef>
          </c:tx>
          <c:spPr>
            <a:solidFill>
              <a:srgbClr val="B8B8B8"/>
            </a:solidFill>
          </c:spP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'GRAF-příspěvky'!$B$4:$N$4</c:f>
              <c:numCache>
                <c:formatCode>0.0</c:formatCode>
                <c:ptCount val="13"/>
                <c:pt idx="0">
                  <c:v>-0.97386347119717065</c:v>
                </c:pt>
                <c:pt idx="1">
                  <c:v>1.074927671259746</c:v>
                </c:pt>
                <c:pt idx="2">
                  <c:v>-1.0405788699381664</c:v>
                </c:pt>
                <c:pt idx="3">
                  <c:v>-0.73293884731406078</c:v>
                </c:pt>
                <c:pt idx="4">
                  <c:v>-0.21487077534791255</c:v>
                </c:pt>
                <c:pt idx="5">
                  <c:v>0.21334282674176691</c:v>
                </c:pt>
                <c:pt idx="6">
                  <c:v>-0.22713066559333384</c:v>
                </c:pt>
                <c:pt idx="7">
                  <c:v>0.24857544397598091</c:v>
                </c:pt>
                <c:pt idx="8">
                  <c:v>-0.76139947702171284</c:v>
                </c:pt>
                <c:pt idx="9">
                  <c:v>0.37205205617557296</c:v>
                </c:pt>
                <c:pt idx="10">
                  <c:v>0.71217789498430994</c:v>
                </c:pt>
                <c:pt idx="11">
                  <c:v>0.47293283754424342</c:v>
                </c:pt>
                <c:pt idx="12">
                  <c:v>-0.22706200037430141</c:v>
                </c:pt>
              </c:numCache>
            </c:numRef>
          </c:val>
          <c:extLst xmlns:c16r2="http://schemas.microsoft.com/office/drawing/2015/06/chart">
            <c:ext xmlns:c16="http://schemas.microsoft.com/office/drawing/2014/chart" uri="{C3380CC4-5D6E-409C-BE32-E72D297353CC}">
              <c16:uniqueId val="{00000001-CDAE-44B1-8102-7FE5B880C233}"/>
            </c:ext>
          </c:extLst>
        </c:ser>
        <c:ser>
          <c:idx val="2"/>
          <c:order val="2"/>
          <c:tx>
            <c:strRef>
              <c:f>'GRAF-příspěvky'!$A$5</c:f>
              <c:strCache>
                <c:ptCount val="1"/>
                <c:pt idx="0">
                  <c:v>Tvorba programů a vysílání (60)</c:v>
                </c:pt>
              </c:strCache>
            </c:strRef>
          </c:tx>
          <c:spPr>
            <a:solidFill>
              <a:srgbClr val="0071BC"/>
            </a:solidFill>
          </c:spP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'GRAF-příspěvky'!$B$5:$N$5</c:f>
              <c:numCache>
                <c:formatCode>0.0</c:formatCode>
                <c:ptCount val="13"/>
                <c:pt idx="0">
                  <c:v>1.6478416046252484</c:v>
                </c:pt>
                <c:pt idx="1">
                  <c:v>6.6669935762270885E-2</c:v>
                </c:pt>
                <c:pt idx="2">
                  <c:v>1.9666292639138241</c:v>
                </c:pt>
                <c:pt idx="3">
                  <c:v>0.43449234281680682</c:v>
                </c:pt>
                <c:pt idx="4">
                  <c:v>-0.78658926441351873</c:v>
                </c:pt>
                <c:pt idx="5">
                  <c:v>-4.5149097685055456E-2</c:v>
                </c:pt>
                <c:pt idx="6">
                  <c:v>0.58145998661959963</c:v>
                </c:pt>
                <c:pt idx="7">
                  <c:v>-0.43344193177462825</c:v>
                </c:pt>
                <c:pt idx="8">
                  <c:v>-0.68531848518854577</c:v>
                </c:pt>
                <c:pt idx="9">
                  <c:v>0.24352035036559624</c:v>
                </c:pt>
                <c:pt idx="10">
                  <c:v>0.41967894268805195</c:v>
                </c:pt>
                <c:pt idx="11">
                  <c:v>-0.16334601083006994</c:v>
                </c:pt>
                <c:pt idx="12">
                  <c:v>6.5264372733024642E-2</c:v>
                </c:pt>
              </c:numCache>
            </c:numRef>
          </c:val>
          <c:extLst xmlns:c16r2="http://schemas.microsoft.com/office/drawing/2015/06/chart">
            <c:ext xmlns:c16="http://schemas.microsoft.com/office/drawing/2014/chart" uri="{C3380CC4-5D6E-409C-BE32-E72D297353CC}">
              <c16:uniqueId val="{00000002-CDAE-44B1-8102-7FE5B880C233}"/>
            </c:ext>
          </c:extLst>
        </c:ser>
        <c:ser>
          <c:idx val="3"/>
          <c:order val="3"/>
          <c:tx>
            <c:strRef>
              <c:f>'GRAF-příspěvky'!$A$6</c:f>
              <c:strCache>
                <c:ptCount val="1"/>
                <c:pt idx="0">
                  <c:v>Telekomunikační činnosti (61)</c:v>
                </c:pt>
              </c:strCache>
            </c:strRef>
          </c:tx>
          <c:spPr>
            <a:solidFill>
              <a:srgbClr val="A6CDE8"/>
            </a:solidFill>
          </c:spP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'GRAF-příspěvky'!$B$6:$N$6</c:f>
              <c:numCache>
                <c:formatCode>0.0</c:formatCode>
                <c:ptCount val="13"/>
                <c:pt idx="0">
                  <c:v>1.863640768075451</c:v>
                </c:pt>
                <c:pt idx="1">
                  <c:v>3.2306680863881767</c:v>
                </c:pt>
                <c:pt idx="2">
                  <c:v>3.8637879014562202</c:v>
                </c:pt>
                <c:pt idx="3">
                  <c:v>-1.2138855034660003</c:v>
                </c:pt>
                <c:pt idx="4">
                  <c:v>0.42413253810470508</c:v>
                </c:pt>
                <c:pt idx="5">
                  <c:v>-1.1900864464831242</c:v>
                </c:pt>
                <c:pt idx="6">
                  <c:v>-3.2722661285497385</c:v>
                </c:pt>
                <c:pt idx="7">
                  <c:v>-2.6166805076444781</c:v>
                </c:pt>
                <c:pt idx="8">
                  <c:v>4.3595771070816864</c:v>
                </c:pt>
                <c:pt idx="9">
                  <c:v>3.3908115755069299</c:v>
                </c:pt>
                <c:pt idx="10">
                  <c:v>0.71743430130937413</c:v>
                </c:pt>
                <c:pt idx="11">
                  <c:v>0.699114460358082</c:v>
                </c:pt>
                <c:pt idx="12">
                  <c:v>0.47104242975162358</c:v>
                </c:pt>
              </c:numCache>
            </c:numRef>
          </c:val>
          <c:extLst xmlns:c16r2="http://schemas.microsoft.com/office/drawing/2015/06/chart">
            <c:ext xmlns:c16="http://schemas.microsoft.com/office/drawing/2014/chart" uri="{C3380CC4-5D6E-409C-BE32-E72D297353CC}">
              <c16:uniqueId val="{00000003-CDAE-44B1-8102-7FE5B880C233}"/>
            </c:ext>
          </c:extLst>
        </c:ser>
        <c:ser>
          <c:idx val="4"/>
          <c:order val="4"/>
          <c:tx>
            <c:strRef>
              <c:f>'GRAF-příspěvky'!$A$7</c:f>
              <c:strCache>
                <c:ptCount val="1"/>
                <c:pt idx="0">
                  <c:v>Činnosti v oblasti informač. technol. (62)</c:v>
                </c:pt>
              </c:strCache>
            </c:strRef>
          </c:tx>
          <c:spPr>
            <a:solidFill>
              <a:srgbClr val="80BB2D"/>
            </a:solidFill>
          </c:spP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'GRAF-příspěvky'!$B$7:$N$7</c:f>
              <c:numCache>
                <c:formatCode>0.0</c:formatCode>
                <c:ptCount val="13"/>
                <c:pt idx="0">
                  <c:v>10.138833352174498</c:v>
                </c:pt>
                <c:pt idx="1">
                  <c:v>4.8734397657459505</c:v>
                </c:pt>
                <c:pt idx="2">
                  <c:v>3.3410570017953312</c:v>
                </c:pt>
                <c:pt idx="3">
                  <c:v>1.854225099678493</c:v>
                </c:pt>
                <c:pt idx="4">
                  <c:v>0.15720344599072375</c:v>
                </c:pt>
                <c:pt idx="5">
                  <c:v>0.78029517794847358</c:v>
                </c:pt>
                <c:pt idx="6">
                  <c:v>5.1528030851069602</c:v>
                </c:pt>
                <c:pt idx="7">
                  <c:v>0.23385396703717679</c:v>
                </c:pt>
                <c:pt idx="8">
                  <c:v>0.6051433357853534</c:v>
                </c:pt>
                <c:pt idx="9">
                  <c:v>1.5984292086962637</c:v>
                </c:pt>
                <c:pt idx="10">
                  <c:v>4.5621528523095245</c:v>
                </c:pt>
                <c:pt idx="11">
                  <c:v>2.7639751728428212</c:v>
                </c:pt>
                <c:pt idx="12">
                  <c:v>2.5070466718355902</c:v>
                </c:pt>
              </c:numCache>
            </c:numRef>
          </c:val>
          <c:extLst xmlns:c16r2="http://schemas.microsoft.com/office/drawing/2015/06/chart">
            <c:ext xmlns:c16="http://schemas.microsoft.com/office/drawing/2014/chart" uri="{C3380CC4-5D6E-409C-BE32-E72D297353CC}">
              <c16:uniqueId val="{00000004-CDAE-44B1-8102-7FE5B880C233}"/>
            </c:ext>
          </c:extLst>
        </c:ser>
        <c:ser>
          <c:idx val="5"/>
          <c:order val="5"/>
          <c:tx>
            <c:strRef>
              <c:f>'GRAF-příspěvky'!$A$8</c:f>
              <c:strCache>
                <c:ptCount val="1"/>
                <c:pt idx="0">
                  <c:v>Informační činnosti (63)</c:v>
                </c:pt>
              </c:strCache>
            </c:strRef>
          </c:tx>
          <c:spPr>
            <a:solidFill>
              <a:srgbClr val="D2E7B6"/>
            </a:solidFill>
          </c:spP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'GRAF-příspěvky'!$B$8:$N$8</c:f>
              <c:numCache>
                <c:formatCode>0.0</c:formatCode>
                <c:ptCount val="13"/>
                <c:pt idx="0">
                  <c:v>0.57429628074482009</c:v>
                </c:pt>
                <c:pt idx="1">
                  <c:v>0.52719140321259095</c:v>
                </c:pt>
                <c:pt idx="2">
                  <c:v>3.1732719928186719</c:v>
                </c:pt>
                <c:pt idx="3">
                  <c:v>1.6618287901264457</c:v>
                </c:pt>
                <c:pt idx="4">
                  <c:v>-0.20807210072895935</c:v>
                </c:pt>
                <c:pt idx="5">
                  <c:v>-9.3207625077420767E-2</c:v>
                </c:pt>
                <c:pt idx="6">
                  <c:v>0.2722715677369173</c:v>
                </c:pt>
                <c:pt idx="7">
                  <c:v>-3.6372492653634854E-2</c:v>
                </c:pt>
                <c:pt idx="8">
                  <c:v>7.4366009632676599E-3</c:v>
                </c:pt>
                <c:pt idx="9">
                  <c:v>0.84302439658958006</c:v>
                </c:pt>
                <c:pt idx="10">
                  <c:v>1.1089734547647521</c:v>
                </c:pt>
                <c:pt idx="11">
                  <c:v>0.99693949205182175</c:v>
                </c:pt>
                <c:pt idx="12">
                  <c:v>1.0027778520439532</c:v>
                </c:pt>
              </c:numCache>
            </c:numRef>
          </c:val>
          <c:extLst xmlns:c16r2="http://schemas.microsoft.com/office/drawing/2015/06/chart">
            <c:ext xmlns:c16="http://schemas.microsoft.com/office/drawing/2014/chart" uri="{C3380CC4-5D6E-409C-BE32-E72D297353CC}">
              <c16:uniqueId val="{00000005-CDAE-44B1-8102-7FE5B880C233}"/>
            </c:ext>
          </c:extLst>
        </c:ser>
        <c:gapWidth val="42"/>
        <c:overlap val="100"/>
        <c:axId val="164383360"/>
        <c:axId val="164406016"/>
      </c:barChart>
      <c:lineChart>
        <c:grouping val="standard"/>
        <c:ser>
          <c:idx val="6"/>
          <c:order val="6"/>
          <c:tx>
            <c:strRef>
              <c:f>'GRAF-příspěvky'!$A$9</c:f>
              <c:strCache>
                <c:ptCount val="1"/>
                <c:pt idx="0">
                  <c:v>Informační a komunikační čin. celkem (J)</c:v>
                </c:pt>
              </c:strCache>
            </c:strRef>
          </c:tx>
          <c:spPr>
            <a:ln>
              <a:noFill/>
            </a:ln>
          </c:spPr>
          <c:marker>
            <c:symbol val="diamond"/>
            <c:size val="7"/>
            <c:spPr>
              <a:solidFill>
                <a:schemeClr val="bg1"/>
              </a:solidFill>
              <a:ln>
                <a:solidFill>
                  <a:sysClr val="windowText" lastClr="000000">
                    <a:lumMod val="95000"/>
                    <a:lumOff val="5000"/>
                  </a:sysClr>
                </a:solidFill>
              </a:ln>
            </c:spPr>
          </c:marker>
          <c:cat>
            <c:numRef>
              <c:f>'GRAF-příspěvky'!$B$2:$N$2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'GRAF-příspěvky'!$B$9:$N$9</c:f>
              <c:numCache>
                <c:formatCode>0.0</c:formatCode>
                <c:ptCount val="13"/>
                <c:pt idx="0">
                  <c:v>15.466589686859125</c:v>
                </c:pt>
                <c:pt idx="1">
                  <c:v>10.658151606643738</c:v>
                </c:pt>
                <c:pt idx="2">
                  <c:v>12.222105650309196</c:v>
                </c:pt>
                <c:pt idx="3">
                  <c:v>3.2776824957398767</c:v>
                </c:pt>
                <c:pt idx="4">
                  <c:v>-0.98931901921802434</c:v>
                </c:pt>
                <c:pt idx="5">
                  <c:v>-0.27859112878038123</c:v>
                </c:pt>
                <c:pt idx="6">
                  <c:v>1.8400547182229052</c:v>
                </c:pt>
                <c:pt idx="7">
                  <c:v>-2.3898391252501967</c:v>
                </c:pt>
                <c:pt idx="8">
                  <c:v>3.3363657841184167</c:v>
                </c:pt>
                <c:pt idx="9">
                  <c:v>8.4894109803624005</c:v>
                </c:pt>
                <c:pt idx="10">
                  <c:v>9.6947926568744709</c:v>
                </c:pt>
                <c:pt idx="11">
                  <c:v>3.6347679169788867</c:v>
                </c:pt>
                <c:pt idx="12">
                  <c:v>5.6920028696449947</c:v>
                </c:pt>
              </c:numCache>
            </c:numRef>
          </c:val>
          <c:extLst xmlns:c16r2="http://schemas.microsoft.com/office/drawing/2015/06/chart">
            <c:ext xmlns:c16="http://schemas.microsoft.com/office/drawing/2014/chart" uri="{C3380CC4-5D6E-409C-BE32-E72D297353CC}">
              <c16:uniqueId val="{00000006-CDAE-44B1-8102-7FE5B880C233}"/>
            </c:ext>
          </c:extLst>
        </c:ser>
        <c:marker val="1"/>
        <c:axId val="164383360"/>
        <c:axId val="164406016"/>
      </c:lineChart>
      <c:catAx>
        <c:axId val="164383360"/>
        <c:scaling>
          <c:orientation val="minMax"/>
        </c:scaling>
        <c:axPos val="b"/>
        <c:numFmt formatCode="General" sourceLinked="1"/>
        <c:tickLblPos val="low"/>
        <c:spPr>
          <a:noFill/>
        </c:spPr>
        <c:txPr>
          <a:bodyPr/>
          <a:lstStyle/>
          <a:p>
            <a:pPr>
              <a:defRPr sz="800">
                <a:latin typeface="Arial" pitchFamily="34" charset="0"/>
                <a:cs typeface="Arial" pitchFamily="34" charset="0"/>
              </a:defRPr>
            </a:pPr>
            <a:endParaRPr lang="cs-CZ"/>
          </a:p>
        </c:txPr>
        <c:crossAx val="164406016"/>
        <c:crosses val="autoZero"/>
        <c:auto val="1"/>
        <c:lblAlgn val="ctr"/>
        <c:lblOffset val="0"/>
      </c:catAx>
      <c:valAx>
        <c:axId val="164406016"/>
        <c:scaling>
          <c:orientation val="minMax"/>
          <c:max val="18"/>
          <c:min val="-6"/>
        </c:scaling>
        <c:axPos val="l"/>
        <c:majorGridlines>
          <c:spPr>
            <a:ln w="6350">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64383360"/>
        <c:crosses val="autoZero"/>
        <c:crossBetween val="between"/>
        <c:majorUnit val="2"/>
      </c:valAx>
      <c:spPr>
        <a:ln w="6350">
          <a:solidFill>
            <a:sysClr val="windowText" lastClr="000000">
              <a:lumMod val="95000"/>
              <a:lumOff val="5000"/>
            </a:sysClr>
          </a:solidFill>
        </a:ln>
      </c:spPr>
    </c:plotArea>
    <c:legend>
      <c:legendPos val="r"/>
      <c:layout>
        <c:manualLayout>
          <c:xMode val="edge"/>
          <c:yMode val="edge"/>
          <c:x val="4.1648251457136902E-2"/>
          <c:y val="0.81918309537252876"/>
          <c:w val="0.93778925070883823"/>
          <c:h val="0.17020394469078981"/>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4.7022469019128488E-2"/>
          <c:y val="1.6390304153157325E-2"/>
          <c:w val="0.93027287368946054"/>
          <c:h val="0.70153662610355561"/>
        </c:manualLayout>
      </c:layout>
      <c:barChart>
        <c:barDir val="col"/>
        <c:grouping val="clustered"/>
        <c:ser>
          <c:idx val="0"/>
          <c:order val="0"/>
          <c:tx>
            <c:strRef>
              <c:f>'Graf-evropské srovnání'!$C$3</c:f>
              <c:strCache>
                <c:ptCount val="1"/>
                <c:pt idx="0">
                  <c:v>% z HPH v celé ekonomice (rok 2017)</c:v>
                </c:pt>
              </c:strCache>
            </c:strRef>
          </c:tx>
          <c:spPr>
            <a:solidFill>
              <a:srgbClr val="48AEE7"/>
            </a:solidFill>
            <a:ln>
              <a:noFill/>
            </a:ln>
          </c:spPr>
          <c:cat>
            <c:strRef>
              <c:f>'Graf-evropské srovnání'!$B$4:$B$41</c:f>
              <c:strCache>
                <c:ptCount val="38"/>
                <c:pt idx="0">
                  <c:v>Irsko</c:v>
                </c:pt>
                <c:pt idx="1">
                  <c:v>Švédsko</c:v>
                </c:pt>
                <c:pt idx="2">
                  <c:v>Lucemburs.</c:v>
                </c:pt>
                <c:pt idx="3">
                  <c:v>Malta</c:v>
                </c:pt>
                <c:pt idx="4">
                  <c:v>V. Británie</c:v>
                </c:pt>
                <c:pt idx="5">
                  <c:v>Estonsko</c:v>
                </c:pt>
                <c:pt idx="6">
                  <c:v>Finsko</c:v>
                </c:pt>
                <c:pt idx="7">
                  <c:v>Rumunsko</c:v>
                </c:pt>
                <c:pt idx="8">
                  <c:v>Bulharsko</c:v>
                </c:pt>
                <c:pt idx="9">
                  <c:v>ČR</c:v>
                </c:pt>
                <c:pt idx="10">
                  <c:v>Francie</c:v>
                </c:pt>
                <c:pt idx="11">
                  <c:v>EU15</c:v>
                </c:pt>
                <c:pt idx="12">
                  <c:v>EU28</c:v>
                </c:pt>
                <c:pt idx="13">
                  <c:v>Lotyšsko</c:v>
                </c:pt>
                <c:pt idx="14">
                  <c:v>Maďarsko</c:v>
                </c:pt>
                <c:pt idx="15">
                  <c:v>Nizozemsko</c:v>
                </c:pt>
                <c:pt idx="16">
                  <c:v>Německo</c:v>
                </c:pt>
                <c:pt idx="17">
                  <c:v>Kypr</c:v>
                </c:pt>
                <c:pt idx="18">
                  <c:v>Chorvatsko</c:v>
                </c:pt>
                <c:pt idx="19">
                  <c:v>Dánsko</c:v>
                </c:pt>
                <c:pt idx="20">
                  <c:v>Slovensko</c:v>
                </c:pt>
                <c:pt idx="21">
                  <c:v>Španělsko</c:v>
                </c:pt>
                <c:pt idx="22">
                  <c:v>Belgie</c:v>
                </c:pt>
                <c:pt idx="23">
                  <c:v>Slovinsko</c:v>
                </c:pt>
                <c:pt idx="24">
                  <c:v>Polsko</c:v>
                </c:pt>
                <c:pt idx="25">
                  <c:v>Litva</c:v>
                </c:pt>
                <c:pt idx="26">
                  <c:v>Itálie</c:v>
                </c:pt>
                <c:pt idx="27">
                  <c:v>Rakousko</c:v>
                </c:pt>
                <c:pt idx="28">
                  <c:v>Portugalsko</c:v>
                </c:pt>
                <c:pt idx="29">
                  <c:v>Řecko</c:v>
                </c:pt>
                <c:pt idx="31">
                  <c:v>Srbsko</c:v>
                </c:pt>
                <c:pt idx="32">
                  <c:v>Island</c:v>
                </c:pt>
                <c:pt idx="33">
                  <c:v>Černá Hora</c:v>
                </c:pt>
                <c:pt idx="34">
                  <c:v>Norsko</c:v>
                </c:pt>
                <c:pt idx="35">
                  <c:v>Švýcarsko</c:v>
                </c:pt>
                <c:pt idx="36">
                  <c:v>Makedonie</c:v>
                </c:pt>
                <c:pt idx="37">
                  <c:v>Albánie</c:v>
                </c:pt>
              </c:strCache>
            </c:strRef>
          </c:cat>
          <c:val>
            <c:numRef>
              <c:f>'Graf-evropské srovnání'!$C$4:$C$41</c:f>
              <c:numCache>
                <c:formatCode>#,##0.0</c:formatCode>
                <c:ptCount val="38"/>
                <c:pt idx="0">
                  <c:v>10.313151054170969</c:v>
                </c:pt>
                <c:pt idx="1">
                  <c:v>7.182141533111527</c:v>
                </c:pt>
                <c:pt idx="2">
                  <c:v>6.9341512218602155</c:v>
                </c:pt>
                <c:pt idx="3">
                  <c:v>6.7582579981043134</c:v>
                </c:pt>
                <c:pt idx="4">
                  <c:v>6.4078981110073094</c:v>
                </c:pt>
                <c:pt idx="5">
                  <c:v>6.1678045636718704</c:v>
                </c:pt>
                <c:pt idx="6">
                  <c:v>5.7904050334250865</c:v>
                </c:pt>
                <c:pt idx="7">
                  <c:v>5.6533479287814155</c:v>
                </c:pt>
                <c:pt idx="8">
                  <c:v>5.5049127699962561</c:v>
                </c:pt>
                <c:pt idx="9">
                  <c:v>5.2726295872906723</c:v>
                </c:pt>
                <c:pt idx="10">
                  <c:v>5.2369591426788933</c:v>
                </c:pt>
                <c:pt idx="11">
                  <c:v>5.0387932377718503</c:v>
                </c:pt>
                <c:pt idx="12">
                  <c:v>5.0058716622090165</c:v>
                </c:pt>
                <c:pt idx="13">
                  <c:v>4.9856498914679834</c:v>
                </c:pt>
                <c:pt idx="14">
                  <c:v>4.8893500168934905</c:v>
                </c:pt>
                <c:pt idx="15">
                  <c:v>4.8268228161110045</c:v>
                </c:pt>
                <c:pt idx="16">
                  <c:v>4.7075390934973314</c:v>
                </c:pt>
                <c:pt idx="17">
                  <c:v>4.6555180734462454</c:v>
                </c:pt>
                <c:pt idx="18">
                  <c:v>4.5610361581165755</c:v>
                </c:pt>
                <c:pt idx="19">
                  <c:v>4.2990687736195135</c:v>
                </c:pt>
                <c:pt idx="20">
                  <c:v>4.2574433154368414</c:v>
                </c:pt>
                <c:pt idx="21">
                  <c:v>4.1904967754106464</c:v>
                </c:pt>
                <c:pt idx="22">
                  <c:v>4.1521030013864655</c:v>
                </c:pt>
                <c:pt idx="23">
                  <c:v>4.0683666231892905</c:v>
                </c:pt>
                <c:pt idx="24">
                  <c:v>3.8950544990666875</c:v>
                </c:pt>
                <c:pt idx="25">
                  <c:v>3.7499634208307064</c:v>
                </c:pt>
                <c:pt idx="26">
                  <c:v>3.5825360123396752</c:v>
                </c:pt>
                <c:pt idx="27">
                  <c:v>3.4688087153925142</c:v>
                </c:pt>
                <c:pt idx="28">
                  <c:v>3.341175568641924</c:v>
                </c:pt>
                <c:pt idx="29">
                  <c:v>3.3205167829275615</c:v>
                </c:pt>
                <c:pt idx="31">
                  <c:v>5.6058856520734937</c:v>
                </c:pt>
                <c:pt idx="32">
                  <c:v>4.9852571464042974</c:v>
                </c:pt>
                <c:pt idx="33">
                  <c:v>4.7294405380617546</c:v>
                </c:pt>
                <c:pt idx="34">
                  <c:v>4.1892829937443414</c:v>
                </c:pt>
                <c:pt idx="35">
                  <c:v>4.1522299758841834</c:v>
                </c:pt>
                <c:pt idx="36">
                  <c:v>3.6980639547530987</c:v>
                </c:pt>
                <c:pt idx="37">
                  <c:v>3.4261474874918427</c:v>
                </c:pt>
              </c:numCache>
            </c:numRef>
          </c:val>
          <c:extLst xmlns:c16r2="http://schemas.microsoft.com/office/drawing/2015/06/chart">
            <c:ext xmlns:c16="http://schemas.microsoft.com/office/drawing/2014/chart" uri="{C3380CC4-5D6E-409C-BE32-E72D297353CC}">
              <c16:uniqueId val="{00000000-72F8-43E2-87E6-C8DF3707A048}"/>
            </c:ext>
          </c:extLst>
        </c:ser>
        <c:gapWidth val="41"/>
        <c:axId val="164436608"/>
        <c:axId val="164455168"/>
      </c:barChart>
      <c:lineChart>
        <c:grouping val="standard"/>
        <c:ser>
          <c:idx val="1"/>
          <c:order val="1"/>
          <c:tx>
            <c:strRef>
              <c:f>'Graf-evropské srovnání'!$D$3</c:f>
              <c:strCache>
                <c:ptCount val="1"/>
                <c:pt idx="0">
                  <c:v>% z HPH v celé ekonomice (rok 2006)</c:v>
                </c:pt>
              </c:strCache>
            </c:strRef>
          </c:tx>
          <c:spPr>
            <a:ln>
              <a:noFill/>
            </a:ln>
          </c:spPr>
          <c:marker>
            <c:symbol val="dash"/>
            <c:size val="6"/>
          </c:marker>
          <c:cat>
            <c:strRef>
              <c:f>'Graf-evropské srovnání'!$B$4:$B$41</c:f>
              <c:strCache>
                <c:ptCount val="38"/>
                <c:pt idx="0">
                  <c:v>Irsko</c:v>
                </c:pt>
                <c:pt idx="1">
                  <c:v>Švédsko</c:v>
                </c:pt>
                <c:pt idx="2">
                  <c:v>Lucemburs.</c:v>
                </c:pt>
                <c:pt idx="3">
                  <c:v>Malta</c:v>
                </c:pt>
                <c:pt idx="4">
                  <c:v>V. Británie</c:v>
                </c:pt>
                <c:pt idx="5">
                  <c:v>Estonsko</c:v>
                </c:pt>
                <c:pt idx="6">
                  <c:v>Finsko</c:v>
                </c:pt>
                <c:pt idx="7">
                  <c:v>Rumunsko</c:v>
                </c:pt>
                <c:pt idx="8">
                  <c:v>Bulharsko</c:v>
                </c:pt>
                <c:pt idx="9">
                  <c:v>ČR</c:v>
                </c:pt>
                <c:pt idx="10">
                  <c:v>Francie</c:v>
                </c:pt>
                <c:pt idx="11">
                  <c:v>EU15</c:v>
                </c:pt>
                <c:pt idx="12">
                  <c:v>EU28</c:v>
                </c:pt>
                <c:pt idx="13">
                  <c:v>Lotyšsko</c:v>
                </c:pt>
                <c:pt idx="14">
                  <c:v>Maďarsko</c:v>
                </c:pt>
                <c:pt idx="15">
                  <c:v>Nizozemsko</c:v>
                </c:pt>
                <c:pt idx="16">
                  <c:v>Německo</c:v>
                </c:pt>
                <c:pt idx="17">
                  <c:v>Kypr</c:v>
                </c:pt>
                <c:pt idx="18">
                  <c:v>Chorvatsko</c:v>
                </c:pt>
                <c:pt idx="19">
                  <c:v>Dánsko</c:v>
                </c:pt>
                <c:pt idx="20">
                  <c:v>Slovensko</c:v>
                </c:pt>
                <c:pt idx="21">
                  <c:v>Španělsko</c:v>
                </c:pt>
                <c:pt idx="22">
                  <c:v>Belgie</c:v>
                </c:pt>
                <c:pt idx="23">
                  <c:v>Slovinsko</c:v>
                </c:pt>
                <c:pt idx="24">
                  <c:v>Polsko</c:v>
                </c:pt>
                <c:pt idx="25">
                  <c:v>Litva</c:v>
                </c:pt>
                <c:pt idx="26">
                  <c:v>Itálie</c:v>
                </c:pt>
                <c:pt idx="27">
                  <c:v>Rakousko</c:v>
                </c:pt>
                <c:pt idx="28">
                  <c:v>Portugalsko</c:v>
                </c:pt>
                <c:pt idx="29">
                  <c:v>Řecko</c:v>
                </c:pt>
                <c:pt idx="31">
                  <c:v>Srbsko</c:v>
                </c:pt>
                <c:pt idx="32">
                  <c:v>Island</c:v>
                </c:pt>
                <c:pt idx="33">
                  <c:v>Černá Hora</c:v>
                </c:pt>
                <c:pt idx="34">
                  <c:v>Norsko</c:v>
                </c:pt>
                <c:pt idx="35">
                  <c:v>Švýcarsko</c:v>
                </c:pt>
                <c:pt idx="36">
                  <c:v>Makedonie</c:v>
                </c:pt>
                <c:pt idx="37">
                  <c:v>Albánie</c:v>
                </c:pt>
              </c:strCache>
            </c:strRef>
          </c:cat>
          <c:val>
            <c:numRef>
              <c:f>'Graf-evropské srovnání'!$D$4:$D$41</c:f>
              <c:numCache>
                <c:formatCode>#,##0.0</c:formatCode>
                <c:ptCount val="38"/>
                <c:pt idx="0">
                  <c:v>6.3429375627398814</c:v>
                </c:pt>
                <c:pt idx="1">
                  <c:v>5.2708553521307664</c:v>
                </c:pt>
                <c:pt idx="2">
                  <c:v>5.7065351743141726</c:v>
                </c:pt>
                <c:pt idx="3">
                  <c:v>5.686090225563909</c:v>
                </c:pt>
                <c:pt idx="4">
                  <c:v>6.0785137183864766</c:v>
                </c:pt>
                <c:pt idx="5">
                  <c:v>4.5243502397173749</c:v>
                </c:pt>
                <c:pt idx="6">
                  <c:v>4.7443096859943639</c:v>
                </c:pt>
                <c:pt idx="7">
                  <c:v>4.5974447397077149</c:v>
                </c:pt>
                <c:pt idx="8">
                  <c:v>3.7926118404129676</c:v>
                </c:pt>
                <c:pt idx="9">
                  <c:v>5.0269376357761644</c:v>
                </c:pt>
                <c:pt idx="10">
                  <c:v>5.346746740938455</c:v>
                </c:pt>
                <c:pt idx="11">
                  <c:v>4.9829237227982714</c:v>
                </c:pt>
                <c:pt idx="12">
                  <c:v>4.9494798693006734</c:v>
                </c:pt>
                <c:pt idx="13">
                  <c:v>4.0970244525188964</c:v>
                </c:pt>
                <c:pt idx="14">
                  <c:v>5.1552522299865755</c:v>
                </c:pt>
                <c:pt idx="15">
                  <c:v>4.9868801696549694</c:v>
                </c:pt>
                <c:pt idx="16">
                  <c:v>4.6996450762411701</c:v>
                </c:pt>
                <c:pt idx="17">
                  <c:v>3.3863726209973453</c:v>
                </c:pt>
                <c:pt idx="18">
                  <c:v>4.7911697886239963</c:v>
                </c:pt>
                <c:pt idx="19">
                  <c:v>4.3264378690315866</c:v>
                </c:pt>
                <c:pt idx="20">
                  <c:v>3.9173443748796677</c:v>
                </c:pt>
                <c:pt idx="21">
                  <c:v>4.4468787635041895</c:v>
                </c:pt>
                <c:pt idx="22">
                  <c:v>4.0197611040559131</c:v>
                </c:pt>
                <c:pt idx="23">
                  <c:v>4.0065321542770826</c:v>
                </c:pt>
                <c:pt idx="24">
                  <c:v>4.209245681434612</c:v>
                </c:pt>
                <c:pt idx="25">
                  <c:v>3.917878686095781</c:v>
                </c:pt>
                <c:pt idx="26">
                  <c:v>4.3894480751663334</c:v>
                </c:pt>
                <c:pt idx="27">
                  <c:v>3.5046596061503448</c:v>
                </c:pt>
                <c:pt idx="28">
                  <c:v>3.8912963837430663</c:v>
                </c:pt>
                <c:pt idx="29">
                  <c:v>4.0377710931684554</c:v>
                </c:pt>
                <c:pt idx="31">
                  <c:v>4.0569370470188773</c:v>
                </c:pt>
                <c:pt idx="32">
                  <c:v>5.3911847915179365</c:v>
                </c:pt>
                <c:pt idx="33">
                  <c:v>7.1553425429940791</c:v>
                </c:pt>
                <c:pt idx="34">
                  <c:v>3.7088309745549992</c:v>
                </c:pt>
                <c:pt idx="35">
                  <c:v>4.1112627475822023</c:v>
                </c:pt>
                <c:pt idx="36">
                  <c:v>4.2859545129692656</c:v>
                </c:pt>
                <c:pt idx="37">
                  <c:v>5.2473763118440804</c:v>
                </c:pt>
              </c:numCache>
            </c:numRef>
          </c:val>
          <c:extLst xmlns:c16r2="http://schemas.microsoft.com/office/drawing/2015/06/chart">
            <c:ext xmlns:c16="http://schemas.microsoft.com/office/drawing/2014/chart" uri="{C3380CC4-5D6E-409C-BE32-E72D297353CC}">
              <c16:uniqueId val="{00000001-72F8-43E2-87E6-C8DF3707A048}"/>
            </c:ext>
          </c:extLst>
        </c:ser>
        <c:ser>
          <c:idx val="2"/>
          <c:order val="2"/>
          <c:tx>
            <c:strRef>
              <c:f>'Graf-evropské srovnání'!$E$3</c:f>
              <c:strCache>
                <c:ptCount val="1"/>
                <c:pt idx="0">
                  <c:v>% ze zaměstnanosti v celé ekonomice (rok 2017)</c:v>
                </c:pt>
              </c:strCache>
            </c:strRef>
          </c:tx>
          <c:spPr>
            <a:ln>
              <a:noFill/>
            </a:ln>
          </c:spPr>
          <c:marker>
            <c:symbol val="diamond"/>
            <c:size val="6"/>
            <c:spPr>
              <a:solidFill>
                <a:schemeClr val="bg1"/>
              </a:solidFill>
              <a:ln>
                <a:solidFill>
                  <a:schemeClr val="tx1">
                    <a:lumMod val="95000"/>
                    <a:lumOff val="5000"/>
                  </a:schemeClr>
                </a:solidFill>
              </a:ln>
            </c:spPr>
          </c:marker>
          <c:cat>
            <c:strRef>
              <c:f>'Graf-evropské srovnání'!$B$4:$B$41</c:f>
              <c:strCache>
                <c:ptCount val="38"/>
                <c:pt idx="0">
                  <c:v>Irsko</c:v>
                </c:pt>
                <c:pt idx="1">
                  <c:v>Švédsko</c:v>
                </c:pt>
                <c:pt idx="2">
                  <c:v>Lucemburs.</c:v>
                </c:pt>
                <c:pt idx="3">
                  <c:v>Malta</c:v>
                </c:pt>
                <c:pt idx="4">
                  <c:v>V. Británie</c:v>
                </c:pt>
                <c:pt idx="5">
                  <c:v>Estonsko</c:v>
                </c:pt>
                <c:pt idx="6">
                  <c:v>Finsko</c:v>
                </c:pt>
                <c:pt idx="7">
                  <c:v>Rumunsko</c:v>
                </c:pt>
                <c:pt idx="8">
                  <c:v>Bulharsko</c:v>
                </c:pt>
                <c:pt idx="9">
                  <c:v>ČR</c:v>
                </c:pt>
                <c:pt idx="10">
                  <c:v>Francie</c:v>
                </c:pt>
                <c:pt idx="11">
                  <c:v>EU15</c:v>
                </c:pt>
                <c:pt idx="12">
                  <c:v>EU28</c:v>
                </c:pt>
                <c:pt idx="13">
                  <c:v>Lotyšsko</c:v>
                </c:pt>
                <c:pt idx="14">
                  <c:v>Maďarsko</c:v>
                </c:pt>
                <c:pt idx="15">
                  <c:v>Nizozemsko</c:v>
                </c:pt>
                <c:pt idx="16">
                  <c:v>Německo</c:v>
                </c:pt>
                <c:pt idx="17">
                  <c:v>Kypr</c:v>
                </c:pt>
                <c:pt idx="18">
                  <c:v>Chorvatsko</c:v>
                </c:pt>
                <c:pt idx="19">
                  <c:v>Dánsko</c:v>
                </c:pt>
                <c:pt idx="20">
                  <c:v>Slovensko</c:v>
                </c:pt>
                <c:pt idx="21">
                  <c:v>Španělsko</c:v>
                </c:pt>
                <c:pt idx="22">
                  <c:v>Belgie</c:v>
                </c:pt>
                <c:pt idx="23">
                  <c:v>Slovinsko</c:v>
                </c:pt>
                <c:pt idx="24">
                  <c:v>Polsko</c:v>
                </c:pt>
                <c:pt idx="25">
                  <c:v>Litva</c:v>
                </c:pt>
                <c:pt idx="26">
                  <c:v>Itálie</c:v>
                </c:pt>
                <c:pt idx="27">
                  <c:v>Rakousko</c:v>
                </c:pt>
                <c:pt idx="28">
                  <c:v>Portugalsko</c:v>
                </c:pt>
                <c:pt idx="29">
                  <c:v>Řecko</c:v>
                </c:pt>
                <c:pt idx="31">
                  <c:v>Srbsko</c:v>
                </c:pt>
                <c:pt idx="32">
                  <c:v>Island</c:v>
                </c:pt>
                <c:pt idx="33">
                  <c:v>Černá Hora</c:v>
                </c:pt>
                <c:pt idx="34">
                  <c:v>Norsko</c:v>
                </c:pt>
                <c:pt idx="35">
                  <c:v>Švýcarsko</c:v>
                </c:pt>
                <c:pt idx="36">
                  <c:v>Makedonie</c:v>
                </c:pt>
                <c:pt idx="37">
                  <c:v>Albánie</c:v>
                </c:pt>
              </c:strCache>
            </c:strRef>
          </c:cat>
          <c:val>
            <c:numRef>
              <c:f>'Graf-evropské srovnání'!$E$4:$E$41</c:f>
              <c:numCache>
                <c:formatCode>#,##0.0</c:formatCode>
                <c:ptCount val="38"/>
                <c:pt idx="0">
                  <c:v>3.9810005147643781</c:v>
                </c:pt>
                <c:pt idx="1">
                  <c:v>4.0031977615668985</c:v>
                </c:pt>
                <c:pt idx="2">
                  <c:v>4.2329387830589971</c:v>
                </c:pt>
                <c:pt idx="3">
                  <c:v>4.2751796882292554</c:v>
                </c:pt>
                <c:pt idx="4">
                  <c:v>4.2484679512813814</c:v>
                </c:pt>
                <c:pt idx="5">
                  <c:v>4.8324240062353763</c:v>
                </c:pt>
                <c:pt idx="6">
                  <c:v>4.1529152915291414</c:v>
                </c:pt>
                <c:pt idx="7">
                  <c:v>2.1873053229044133</c:v>
                </c:pt>
                <c:pt idx="8">
                  <c:v>2.6732097522231832</c:v>
                </c:pt>
                <c:pt idx="9">
                  <c:v>2.7564070189615215</c:v>
                </c:pt>
                <c:pt idx="10">
                  <c:v>3.0845378573222018</c:v>
                </c:pt>
                <c:pt idx="11">
                  <c:v>3.0961714866491166</c:v>
                </c:pt>
                <c:pt idx="12">
                  <c:v>2.9922515514772887</c:v>
                </c:pt>
                <c:pt idx="13">
                  <c:v>3.3399878872165272</c:v>
                </c:pt>
                <c:pt idx="14">
                  <c:v>3.0573457103070849</c:v>
                </c:pt>
                <c:pt idx="15">
                  <c:v>3.220488019344911</c:v>
                </c:pt>
                <c:pt idx="16">
                  <c:v>2.8799891576878771</c:v>
                </c:pt>
                <c:pt idx="17">
                  <c:v>2.7898357576219217</c:v>
                </c:pt>
                <c:pt idx="18">
                  <c:v>2.7251590797846301</c:v>
                </c:pt>
                <c:pt idx="19">
                  <c:v>3.5946593632317647</c:v>
                </c:pt>
                <c:pt idx="20">
                  <c:v>2.852132565570384</c:v>
                </c:pt>
                <c:pt idx="21">
                  <c:v>2.7265082582258842</c:v>
                </c:pt>
                <c:pt idx="22">
                  <c:v>2.4791463776093488</c:v>
                </c:pt>
                <c:pt idx="23">
                  <c:v>3.0128543043672167</c:v>
                </c:pt>
                <c:pt idx="24">
                  <c:v>2.3481070191386384</c:v>
                </c:pt>
                <c:pt idx="25">
                  <c:v>2.0722097909327877</c:v>
                </c:pt>
                <c:pt idx="26">
                  <c:v>2.4082372388520494</c:v>
                </c:pt>
                <c:pt idx="27">
                  <c:v>2.6340419842224887</c:v>
                </c:pt>
                <c:pt idx="28">
                  <c:v>1.879209166142582</c:v>
                </c:pt>
                <c:pt idx="29">
                  <c:v>2.1616165006989592</c:v>
                </c:pt>
                <c:pt idx="32">
                  <c:v>4</c:v>
                </c:pt>
                <c:pt idx="34">
                  <c:v>3.3297529538130974</c:v>
                </c:pt>
                <c:pt idx="35">
                  <c:v>3.1540159178741547</c:v>
                </c:pt>
              </c:numCache>
            </c:numRef>
          </c:val>
          <c:extLst xmlns:c16r2="http://schemas.microsoft.com/office/drawing/2015/06/chart">
            <c:ext xmlns:c16="http://schemas.microsoft.com/office/drawing/2014/chart" uri="{C3380CC4-5D6E-409C-BE32-E72D297353CC}">
              <c16:uniqueId val="{00000002-72F8-43E2-87E6-C8DF3707A048}"/>
            </c:ext>
          </c:extLst>
        </c:ser>
        <c:marker val="1"/>
        <c:axId val="164436608"/>
        <c:axId val="164455168"/>
      </c:lineChart>
      <c:catAx>
        <c:axId val="164436608"/>
        <c:scaling>
          <c:orientation val="minMax"/>
        </c:scaling>
        <c:axPos val="b"/>
        <c:numFmt formatCode="General" sourceLinked="0"/>
        <c:tickLblPos val="nextTo"/>
        <c:txPr>
          <a:bodyPr rot="-5400000" vert="horz"/>
          <a:lstStyle/>
          <a:p>
            <a:pPr>
              <a:defRPr sz="800">
                <a:latin typeface="Arial" pitchFamily="34" charset="0"/>
                <a:cs typeface="Arial" pitchFamily="34" charset="0"/>
              </a:defRPr>
            </a:pPr>
            <a:endParaRPr lang="cs-CZ"/>
          </a:p>
        </c:txPr>
        <c:crossAx val="164455168"/>
        <c:crosses val="autoZero"/>
        <c:auto val="1"/>
        <c:lblAlgn val="ctr"/>
        <c:lblOffset val="20"/>
      </c:catAx>
      <c:valAx>
        <c:axId val="164455168"/>
        <c:scaling>
          <c:orientation val="minMax"/>
          <c:max val="11"/>
          <c:min val="0"/>
        </c:scaling>
        <c:axPos val="l"/>
        <c:majorGridlines>
          <c:spPr>
            <a:ln w="6350">
              <a:solidFill>
                <a:schemeClr val="bg1">
                  <a:lumMod val="65000"/>
                </a:schemeClr>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64436608"/>
        <c:crosses val="autoZero"/>
        <c:crossBetween val="between"/>
        <c:majorUnit val="1"/>
      </c:valAx>
      <c:spPr>
        <a:ln>
          <a:solidFill>
            <a:sysClr val="windowText" lastClr="000000"/>
          </a:solidFill>
        </a:ln>
      </c:spPr>
    </c:plotArea>
    <c:legend>
      <c:legendPos val="r"/>
      <c:layout>
        <c:manualLayout>
          <c:xMode val="edge"/>
          <c:yMode val="edge"/>
          <c:x val="4.8955370088302468E-2"/>
          <c:y val="0.88186983311578271"/>
          <c:w val="0.91818074493958002"/>
          <c:h val="0.11077912052437294"/>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534E-2"/>
          <c:y val="1.9513175616352921E-2"/>
          <c:w val="0.92433548575002433"/>
          <c:h val="0.76155690645052365"/>
        </c:manualLayout>
      </c:layout>
      <c:barChart>
        <c:barDir val="col"/>
        <c:grouping val="clustered"/>
        <c:ser>
          <c:idx val="0"/>
          <c:order val="0"/>
          <c:tx>
            <c:strRef>
              <c:f>'Graf-Národní účty-souhrnné'!$A$39</c:f>
              <c:strCache>
                <c:ptCount val="1"/>
                <c:pt idx="0">
                  <c:v>Hrubá přidaná hodnota (2010=100)</c:v>
                </c:pt>
              </c:strCache>
            </c:strRef>
          </c:tx>
          <c:spPr>
            <a:solidFill>
              <a:schemeClr val="bg1">
                <a:lumMod val="65000"/>
              </a:schemeClr>
            </a:solidFill>
            <a:ln w="12700">
              <a:noFill/>
              <a:prstDash val="solid"/>
            </a:ln>
          </c:spP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účty-souhrnné'!$G$39:$S$39</c:f>
              <c:numCache>
                <c:formatCode>0.0</c:formatCode>
                <c:ptCount val="13"/>
                <c:pt idx="0">
                  <c:v>95.9</c:v>
                </c:pt>
                <c:pt idx="1">
                  <c:v>94.6</c:v>
                </c:pt>
                <c:pt idx="2">
                  <c:v>105.1</c:v>
                </c:pt>
                <c:pt idx="3">
                  <c:v>108.5</c:v>
                </c:pt>
                <c:pt idx="4">
                  <c:v>100.7</c:v>
                </c:pt>
                <c:pt idx="5">
                  <c:v>100</c:v>
                </c:pt>
                <c:pt idx="6">
                  <c:v>101.9</c:v>
                </c:pt>
                <c:pt idx="7">
                  <c:v>103</c:v>
                </c:pt>
                <c:pt idx="8">
                  <c:v>106.1</c:v>
                </c:pt>
                <c:pt idx="9">
                  <c:v>107.4</c:v>
                </c:pt>
                <c:pt idx="10">
                  <c:v>115.3</c:v>
                </c:pt>
                <c:pt idx="11">
                  <c:v>121.6</c:v>
                </c:pt>
                <c:pt idx="12">
                  <c:v>125.6</c:v>
                </c:pt>
              </c:numCache>
            </c:numRef>
          </c:val>
          <c:extLst xmlns:c16r2="http://schemas.microsoft.com/office/drawing/2015/06/chart">
            <c:ext xmlns:c16="http://schemas.microsoft.com/office/drawing/2014/chart" uri="{C3380CC4-5D6E-409C-BE32-E72D297353CC}">
              <c16:uniqueId val="{00000000-554F-4998-8E74-FA74952B57FB}"/>
            </c:ext>
          </c:extLst>
        </c:ser>
        <c:gapWidth val="30"/>
        <c:axId val="164593664"/>
        <c:axId val="164595200"/>
      </c:barChart>
      <c:lineChart>
        <c:grouping val="standard"/>
        <c:ser>
          <c:idx val="3"/>
          <c:order val="1"/>
          <c:tx>
            <c:strRef>
              <c:f>'Graf-Národní účty-souhrnné'!$A$40</c:f>
              <c:strCache>
                <c:ptCount val="1"/>
                <c:pt idx="0">
                  <c:v>Objem reálných vyplacených mezd a platů (2010=100)*</c:v>
                </c:pt>
              </c:strCache>
            </c:strRef>
          </c:tx>
          <c:spPr>
            <a:ln w="19050">
              <a:solidFill>
                <a:srgbClr val="F8A124"/>
              </a:solidFill>
              <a:prstDash val="solid"/>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účty-souhrnné'!$G$40:$S$40</c:f>
              <c:numCache>
                <c:formatCode>0.0</c:formatCode>
                <c:ptCount val="13"/>
                <c:pt idx="0">
                  <c:v>79.984339791534651</c:v>
                </c:pt>
                <c:pt idx="1">
                  <c:v>83.080404195087283</c:v>
                </c:pt>
                <c:pt idx="2">
                  <c:v>88.864730425622128</c:v>
                </c:pt>
                <c:pt idx="3">
                  <c:v>94.943835629099937</c:v>
                </c:pt>
                <c:pt idx="4">
                  <c:v>96.607579093525459</c:v>
                </c:pt>
                <c:pt idx="5">
                  <c:v>100</c:v>
                </c:pt>
                <c:pt idx="6">
                  <c:v>96.600620809361374</c:v>
                </c:pt>
                <c:pt idx="7">
                  <c:v>98.350599523630279</c:v>
                </c:pt>
                <c:pt idx="8">
                  <c:v>98.358049562797078</c:v>
                </c:pt>
                <c:pt idx="9">
                  <c:v>100.60903167662526</c:v>
                </c:pt>
                <c:pt idx="10">
                  <c:v>106.68129570046581</c:v>
                </c:pt>
                <c:pt idx="11">
                  <c:v>113.91471921893297</c:v>
                </c:pt>
                <c:pt idx="12">
                  <c:v>119.95277563565615</c:v>
                </c:pt>
              </c:numCache>
            </c:numRef>
          </c:val>
          <c:extLst xmlns:c16r2="http://schemas.microsoft.com/office/drawing/2015/06/chart">
            <c:ext xmlns:c16="http://schemas.microsoft.com/office/drawing/2014/chart" uri="{C3380CC4-5D6E-409C-BE32-E72D297353CC}">
              <c16:uniqueId val="{00000001-554F-4998-8E74-FA74952B57FB}"/>
            </c:ext>
          </c:extLst>
        </c:ser>
        <c:ser>
          <c:idx val="1"/>
          <c:order val="2"/>
          <c:tx>
            <c:strRef>
              <c:f>'Graf-Národní účty-souhrnné'!$A$41</c:f>
              <c:strCache>
                <c:ptCount val="1"/>
                <c:pt idx="0">
                  <c:v>Reálná hodinová produktivita práce (2010=100)</c:v>
                </c:pt>
              </c:strCache>
            </c:strRef>
          </c:tx>
          <c:spPr>
            <a:ln w="19050">
              <a:solidFill>
                <a:srgbClr val="7DBB2D"/>
              </a:solidFill>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účty-souhrnné'!$G$41:$S$41</c:f>
              <c:numCache>
                <c:formatCode>0.0</c:formatCode>
                <c:ptCount val="13"/>
                <c:pt idx="0">
                  <c:v>102.864887589408</c:v>
                </c:pt>
                <c:pt idx="1">
                  <c:v>100.12233310037236</c:v>
                </c:pt>
                <c:pt idx="2">
                  <c:v>106.0019207219066</c:v>
                </c:pt>
                <c:pt idx="3">
                  <c:v>106.83093636825731</c:v>
                </c:pt>
                <c:pt idx="4">
                  <c:v>99.670583231097638</c:v>
                </c:pt>
                <c:pt idx="5">
                  <c:v>100</c:v>
                </c:pt>
                <c:pt idx="6">
                  <c:v>105.93554071728605</c:v>
                </c:pt>
                <c:pt idx="7">
                  <c:v>106.17450590947055</c:v>
                </c:pt>
                <c:pt idx="8">
                  <c:v>107.98031642789296</c:v>
                </c:pt>
                <c:pt idx="9">
                  <c:v>106.6297958387072</c:v>
                </c:pt>
                <c:pt idx="10">
                  <c:v>114.73707204493773</c:v>
                </c:pt>
                <c:pt idx="11">
                  <c:v>113.15519971999065</c:v>
                </c:pt>
                <c:pt idx="12">
                  <c:v>115.85520920332678</c:v>
                </c:pt>
              </c:numCache>
            </c:numRef>
          </c:val>
          <c:extLst xmlns:c16r2="http://schemas.microsoft.com/office/drawing/2015/06/chart">
            <c:ext xmlns:c16="http://schemas.microsoft.com/office/drawing/2014/chart" uri="{C3380CC4-5D6E-409C-BE32-E72D297353CC}">
              <c16:uniqueId val="{00000002-554F-4998-8E74-FA74952B57FB}"/>
            </c:ext>
          </c:extLst>
        </c:ser>
        <c:ser>
          <c:idx val="7"/>
          <c:order val="3"/>
          <c:tx>
            <c:strRef>
              <c:f>'Graf-Národní účty-souhrnné'!$A$42</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účty-souhrnné'!$G$42:$S$42</c:f>
              <c:numCache>
                <c:formatCode>0.0</c:formatCode>
                <c:ptCount val="13"/>
                <c:pt idx="0">
                  <c:v>91.640034544505312</c:v>
                </c:pt>
                <c:pt idx="1">
                  <c:v>93.049869970188297</c:v>
                </c:pt>
                <c:pt idx="2">
                  <c:v>98.508926436792819</c:v>
                </c:pt>
                <c:pt idx="3">
                  <c:v>101.14294496787069</c:v>
                </c:pt>
                <c:pt idx="4">
                  <c:v>100.72040906939642</c:v>
                </c:pt>
                <c:pt idx="5">
                  <c:v>100</c:v>
                </c:pt>
                <c:pt idx="6">
                  <c:v>96.817075134298989</c:v>
                </c:pt>
                <c:pt idx="7">
                  <c:v>98.579186447623826</c:v>
                </c:pt>
                <c:pt idx="8">
                  <c:v>100.1444233555986</c:v>
                </c:pt>
                <c:pt idx="9">
                  <c:v>102.68134645504091</c:v>
                </c:pt>
                <c:pt idx="10">
                  <c:v>105.00017077085917</c:v>
                </c:pt>
                <c:pt idx="11">
                  <c:v>107.90205559323358</c:v>
                </c:pt>
                <c:pt idx="12">
                  <c:v>108.97815596746571</c:v>
                </c:pt>
              </c:numCache>
            </c:numRef>
          </c:val>
          <c:extLst xmlns:c16r2="http://schemas.microsoft.com/office/drawing/2015/06/chart">
            <c:ext xmlns:c16="http://schemas.microsoft.com/office/drawing/2014/chart" uri="{C3380CC4-5D6E-409C-BE32-E72D297353CC}">
              <c16:uniqueId val="{00000003-554F-4998-8E74-FA74952B57FB}"/>
            </c:ext>
          </c:extLst>
        </c:ser>
        <c:marker val="1"/>
        <c:axId val="164593664"/>
        <c:axId val="164595200"/>
      </c:lineChart>
      <c:lineChart>
        <c:grouping val="standard"/>
        <c:ser>
          <c:idx val="2"/>
          <c:order val="4"/>
          <c:tx>
            <c:strRef>
              <c:f>'Graf-Národní účty-souhrnné'!$A$43</c:f>
              <c:strCache>
                <c:ptCount val="1"/>
                <c:pt idx="0">
                  <c:v>Míra investic (v %, pravá osa)</c:v>
                </c:pt>
              </c:strCache>
            </c:strRef>
          </c:tx>
          <c:spPr>
            <a:ln w="19050">
              <a:solidFill>
                <a:srgbClr val="BD1B21"/>
              </a:solidFill>
              <a:prstDash val="sysDash"/>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účty-souhrnné'!$G$43:$S$43</c:f>
              <c:numCache>
                <c:formatCode>0.0</c:formatCode>
                <c:ptCount val="13"/>
                <c:pt idx="0">
                  <c:v>24.149354029624735</c:v>
                </c:pt>
                <c:pt idx="1">
                  <c:v>24.850780872327441</c:v>
                </c:pt>
                <c:pt idx="2">
                  <c:v>23.963135633535778</c:v>
                </c:pt>
                <c:pt idx="3">
                  <c:v>27.087343409800887</c:v>
                </c:pt>
                <c:pt idx="4">
                  <c:v>23.362101498022874</c:v>
                </c:pt>
                <c:pt idx="5">
                  <c:v>25.090889153191455</c:v>
                </c:pt>
                <c:pt idx="6">
                  <c:v>25.741884880438565</c:v>
                </c:pt>
                <c:pt idx="7">
                  <c:v>27.650696952310227</c:v>
                </c:pt>
                <c:pt idx="8">
                  <c:v>23.941685190894194</c:v>
                </c:pt>
                <c:pt idx="9">
                  <c:v>22.649716020097646</c:v>
                </c:pt>
                <c:pt idx="10">
                  <c:v>26.551750792301153</c:v>
                </c:pt>
                <c:pt idx="11">
                  <c:v>25.033848931194353</c:v>
                </c:pt>
                <c:pt idx="12">
                  <c:v>25.468685402146562</c:v>
                </c:pt>
              </c:numCache>
            </c:numRef>
          </c:val>
          <c:extLst xmlns:c16r2="http://schemas.microsoft.com/office/drawing/2015/06/chart">
            <c:ext xmlns:c16="http://schemas.microsoft.com/office/drawing/2014/chart" uri="{C3380CC4-5D6E-409C-BE32-E72D297353CC}">
              <c16:uniqueId val="{00000004-554F-4998-8E74-FA74952B57FB}"/>
            </c:ext>
          </c:extLst>
        </c:ser>
        <c:ser>
          <c:idx val="5"/>
          <c:order val="5"/>
          <c:tx>
            <c:strRef>
              <c:f>'Graf-Národní účty-souhrnné'!$A$44</c:f>
              <c:strCache>
                <c:ptCount val="1"/>
                <c:pt idx="0">
                  <c:v>Míra zisku nefinančních podniků (v %, pravá osa)</c:v>
                </c:pt>
              </c:strCache>
            </c:strRef>
          </c:tx>
          <c:spPr>
            <a:ln w="19050">
              <a:solidFill>
                <a:srgbClr val="0071BC"/>
              </a:solidFill>
              <a:prstDash val="sysDash"/>
            </a:ln>
          </c:spPr>
          <c:marker>
            <c:symbol val="none"/>
          </c:marker>
          <c:cat>
            <c:strRef>
              <c:f>'Graf-Národní účty-souhrnné'!$G$38:$S$38</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účty-souhrnné'!$G$44:$S$44</c:f>
              <c:numCache>
                <c:formatCode>0.0</c:formatCode>
                <c:ptCount val="13"/>
                <c:pt idx="0">
                  <c:v>40.847552972060761</c:v>
                </c:pt>
                <c:pt idx="1">
                  <c:v>40.922024193970763</c:v>
                </c:pt>
                <c:pt idx="2">
                  <c:v>39.845199400388857</c:v>
                </c:pt>
                <c:pt idx="3">
                  <c:v>40.454847382571494</c:v>
                </c:pt>
                <c:pt idx="4">
                  <c:v>35.693275043178311</c:v>
                </c:pt>
                <c:pt idx="5">
                  <c:v>30.664077453662138</c:v>
                </c:pt>
                <c:pt idx="6">
                  <c:v>35.523111117026232</c:v>
                </c:pt>
                <c:pt idx="7">
                  <c:v>33.767521433987206</c:v>
                </c:pt>
                <c:pt idx="8">
                  <c:v>36.942047610305345</c:v>
                </c:pt>
                <c:pt idx="9">
                  <c:v>37.476246119707746</c:v>
                </c:pt>
                <c:pt idx="10">
                  <c:v>38.808608133540595</c:v>
                </c:pt>
                <c:pt idx="11">
                  <c:v>38.420232289205089</c:v>
                </c:pt>
                <c:pt idx="12">
                  <c:v>37.899160057965851</c:v>
                </c:pt>
              </c:numCache>
            </c:numRef>
          </c:val>
          <c:extLst xmlns:c16r2="http://schemas.microsoft.com/office/drawing/2015/06/chart">
            <c:ext xmlns:c16="http://schemas.microsoft.com/office/drawing/2014/chart" uri="{C3380CC4-5D6E-409C-BE32-E72D297353CC}">
              <c16:uniqueId val="{00000005-554F-4998-8E74-FA74952B57FB}"/>
            </c:ext>
          </c:extLst>
        </c:ser>
        <c:marker val="1"/>
        <c:axId val="164598528"/>
        <c:axId val="164596736"/>
      </c:lineChart>
      <c:catAx>
        <c:axId val="164593664"/>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64595200"/>
        <c:crossesAt val="100"/>
        <c:lblAlgn val="ctr"/>
        <c:lblOffset val="0"/>
        <c:tickLblSkip val="1"/>
        <c:tickMarkSkip val="4"/>
      </c:catAx>
      <c:valAx>
        <c:axId val="164595200"/>
        <c:scaling>
          <c:orientation val="minMax"/>
          <c:max val="130"/>
          <c:min val="8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4593664"/>
        <c:crosses val="autoZero"/>
        <c:crossBetween val="between"/>
        <c:majorUnit val="5"/>
      </c:valAx>
      <c:valAx>
        <c:axId val="164596736"/>
        <c:scaling>
          <c:orientation val="minMax"/>
          <c:max val="50"/>
          <c:min val="0"/>
        </c:scaling>
        <c:axPos val="r"/>
        <c:numFmt formatCode="0" sourceLinked="0"/>
        <c:tickLblPos val="nextTo"/>
        <c:crossAx val="164598528"/>
        <c:crosses val="max"/>
        <c:crossBetween val="between"/>
      </c:valAx>
      <c:catAx>
        <c:axId val="164598528"/>
        <c:scaling>
          <c:orientation val="minMax"/>
        </c:scaling>
        <c:delete val="1"/>
        <c:axPos val="b"/>
        <c:numFmt formatCode="General" sourceLinked="1"/>
        <c:tickLblPos val="none"/>
        <c:crossAx val="164596736"/>
        <c:crosses val="autoZero"/>
        <c:auto val="1"/>
        <c:lblAlgn val="ctr"/>
        <c:lblOffset val="100"/>
      </c:catAx>
      <c:spPr>
        <a:noFill/>
        <a:ln w="9525">
          <a:solidFill>
            <a:schemeClr val="tx1"/>
          </a:solidFill>
        </a:ln>
      </c:spPr>
    </c:plotArea>
    <c:legend>
      <c:legendPos val="b"/>
      <c:layout>
        <c:manualLayout>
          <c:xMode val="edge"/>
          <c:yMode val="edge"/>
          <c:x val="6.0825149028219005E-2"/>
          <c:y val="0.82202069383885679"/>
          <c:w val="0.88531755998340755"/>
          <c:h val="0.17440494685409819"/>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402259241214903E-2"/>
          <c:y val="1.6434241361665363E-2"/>
          <c:w val="0.93179896008611662"/>
          <c:h val="0.74114409205517884"/>
        </c:manualLayout>
      </c:layout>
      <c:barChart>
        <c:barDir val="col"/>
        <c:grouping val="stacked"/>
        <c:ser>
          <c:idx val="0"/>
          <c:order val="0"/>
          <c:tx>
            <c:strRef>
              <c:f>'GRAF-příspěvky'!$A$36</c:f>
              <c:strCache>
                <c:ptCount val="1"/>
                <c:pt idx="0">
                  <c:v>Právní a účetnické čin. (NACE 69)</c:v>
                </c:pt>
              </c:strCache>
            </c:strRef>
          </c:tx>
          <c:spPr>
            <a:solidFill>
              <a:srgbClr val="A6CDE8"/>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'GRAF-příspěvky'!$B$36:$N$36</c:f>
              <c:numCache>
                <c:formatCode>0.0</c:formatCode>
                <c:ptCount val="13"/>
                <c:pt idx="0">
                  <c:v>1.2008930681354817</c:v>
                </c:pt>
                <c:pt idx="1">
                  <c:v>-0.23942738296540864</c:v>
                </c:pt>
                <c:pt idx="2">
                  <c:v>1.70857607095022</c:v>
                </c:pt>
                <c:pt idx="3">
                  <c:v>-0.30059258217322032</c:v>
                </c:pt>
                <c:pt idx="4">
                  <c:v>-1.3499904037509138</c:v>
                </c:pt>
                <c:pt idx="5">
                  <c:v>-0.97692394973245256</c:v>
                </c:pt>
                <c:pt idx="6">
                  <c:v>5.1032888798912213E-2</c:v>
                </c:pt>
                <c:pt idx="7">
                  <c:v>0.68272883921550875</c:v>
                </c:pt>
                <c:pt idx="8">
                  <c:v>2.601872836721774E-2</c:v>
                </c:pt>
                <c:pt idx="9">
                  <c:v>6.7582153388131394E-2</c:v>
                </c:pt>
                <c:pt idx="10">
                  <c:v>0.94725508422449478</c:v>
                </c:pt>
                <c:pt idx="11">
                  <c:v>1.161380165502826</c:v>
                </c:pt>
                <c:pt idx="12">
                  <c:v>0.38133238825532101</c:v>
                </c:pt>
              </c:numCache>
            </c:numRef>
          </c:val>
          <c:extLst xmlns:c16r2="http://schemas.microsoft.com/office/drawing/2015/06/chart">
            <c:ext xmlns:c16="http://schemas.microsoft.com/office/drawing/2014/chart" uri="{C3380CC4-5D6E-409C-BE32-E72D297353CC}">
              <c16:uniqueId val="{00000000-4BB5-4047-A2B8-9E8C70C9A1E7}"/>
            </c:ext>
          </c:extLst>
        </c:ser>
        <c:ser>
          <c:idx val="1"/>
          <c:order val="1"/>
          <c:tx>
            <c:strRef>
              <c:f>'GRAF-příspěvky'!$A$37</c:f>
              <c:strCache>
                <c:ptCount val="1"/>
                <c:pt idx="0">
                  <c:v>Poradenství v oblasti řízení (70)</c:v>
                </c:pt>
              </c:strCache>
            </c:strRef>
          </c:tx>
          <c:spPr>
            <a:solidFill>
              <a:srgbClr val="0085BC"/>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'GRAF-příspěvky'!$B$37:$N$37</c:f>
              <c:numCache>
                <c:formatCode>0.0</c:formatCode>
                <c:ptCount val="13"/>
                <c:pt idx="0">
                  <c:v>0.98564240139338444</c:v>
                </c:pt>
                <c:pt idx="1">
                  <c:v>-5.2836230550903814E-2</c:v>
                </c:pt>
                <c:pt idx="2">
                  <c:v>1.5621529708537834</c:v>
                </c:pt>
                <c:pt idx="3">
                  <c:v>0.80334273059208361</c:v>
                </c:pt>
                <c:pt idx="4">
                  <c:v>1.4180766686993878</c:v>
                </c:pt>
                <c:pt idx="5">
                  <c:v>0.52658832026808278</c:v>
                </c:pt>
                <c:pt idx="6">
                  <c:v>0.4706835033023784</c:v>
                </c:pt>
                <c:pt idx="7">
                  <c:v>-0.67783291522875255</c:v>
                </c:pt>
                <c:pt idx="8">
                  <c:v>0.9659797309053676</c:v>
                </c:pt>
                <c:pt idx="9">
                  <c:v>-0.31725774799127138</c:v>
                </c:pt>
                <c:pt idx="10">
                  <c:v>1.046487718064256</c:v>
                </c:pt>
                <c:pt idx="11">
                  <c:v>-0.36700307242163899</c:v>
                </c:pt>
                <c:pt idx="12">
                  <c:v>0.28675256077754741</c:v>
                </c:pt>
              </c:numCache>
            </c:numRef>
          </c:val>
          <c:extLst xmlns:c16r2="http://schemas.microsoft.com/office/drawing/2015/06/chart">
            <c:ext xmlns:c16="http://schemas.microsoft.com/office/drawing/2014/chart" uri="{C3380CC4-5D6E-409C-BE32-E72D297353CC}">
              <c16:uniqueId val="{00000001-4BB5-4047-A2B8-9E8C70C9A1E7}"/>
            </c:ext>
          </c:extLst>
        </c:ser>
        <c:ser>
          <c:idx val="2"/>
          <c:order val="2"/>
          <c:tx>
            <c:strRef>
              <c:f>'GRAF-příspěvky'!$A$38</c:f>
              <c:strCache>
                <c:ptCount val="1"/>
                <c:pt idx="0">
                  <c:v>Architektonické a inženýrské čin. (71)</c:v>
                </c:pt>
              </c:strCache>
            </c:strRef>
          </c:tx>
          <c:spPr>
            <a:solidFill>
              <a:srgbClr val="48AEE7"/>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'GRAF-příspěvky'!$B$38:$N$38</c:f>
              <c:numCache>
                <c:formatCode>0.0</c:formatCode>
                <c:ptCount val="13"/>
                <c:pt idx="0">
                  <c:v>2.4109266570658243</c:v>
                </c:pt>
                <c:pt idx="1">
                  <c:v>-1.8196852738246376</c:v>
                </c:pt>
                <c:pt idx="2">
                  <c:v>3.7127655381712978</c:v>
                </c:pt>
                <c:pt idx="3">
                  <c:v>0.38237265390043945</c:v>
                </c:pt>
                <c:pt idx="4">
                  <c:v>-0.8797603838888971</c:v>
                </c:pt>
                <c:pt idx="5">
                  <c:v>0.24508686554183623</c:v>
                </c:pt>
                <c:pt idx="6">
                  <c:v>-1.406145878145272</c:v>
                </c:pt>
                <c:pt idx="7">
                  <c:v>0.26325675398283538</c:v>
                </c:pt>
                <c:pt idx="8">
                  <c:v>-0.73570766712172164</c:v>
                </c:pt>
                <c:pt idx="9">
                  <c:v>-0.34636100597760916</c:v>
                </c:pt>
                <c:pt idx="10">
                  <c:v>0.81028130606193727</c:v>
                </c:pt>
                <c:pt idx="11">
                  <c:v>1.1238323252586477</c:v>
                </c:pt>
                <c:pt idx="12">
                  <c:v>0.7582478817228977</c:v>
                </c:pt>
              </c:numCache>
            </c:numRef>
          </c:val>
          <c:extLst xmlns:c16r2="http://schemas.microsoft.com/office/drawing/2015/06/chart">
            <c:ext xmlns:c16="http://schemas.microsoft.com/office/drawing/2014/chart" uri="{C3380CC4-5D6E-409C-BE32-E72D297353CC}">
              <c16:uniqueId val="{00000002-4BB5-4047-A2B8-9E8C70C9A1E7}"/>
            </c:ext>
          </c:extLst>
        </c:ser>
        <c:ser>
          <c:idx val="3"/>
          <c:order val="3"/>
          <c:tx>
            <c:strRef>
              <c:f>'GRAF-příspěvky'!$A$39</c:f>
              <c:strCache>
                <c:ptCount val="1"/>
                <c:pt idx="0">
                  <c:v>Výzkum a vývoj (72)</c:v>
                </c:pt>
              </c:strCache>
            </c:strRef>
          </c:tx>
          <c:spPr>
            <a:solidFill>
              <a:srgbClr val="7DBB2D"/>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'GRAF-příspěvky'!$B$39:$N$39</c:f>
              <c:numCache>
                <c:formatCode>0.0</c:formatCode>
                <c:ptCount val="13"/>
                <c:pt idx="0">
                  <c:v>-0.45705420320730838</c:v>
                </c:pt>
                <c:pt idx="1">
                  <c:v>-0.550835889867898</c:v>
                </c:pt>
                <c:pt idx="2">
                  <c:v>0.74674855594720424</c:v>
                </c:pt>
                <c:pt idx="3">
                  <c:v>0.11864788362850805</c:v>
                </c:pt>
                <c:pt idx="4">
                  <c:v>0.1748598507901537</c:v>
                </c:pt>
                <c:pt idx="5">
                  <c:v>-0.27854283390559681</c:v>
                </c:pt>
                <c:pt idx="6">
                  <c:v>1.0506026941991218</c:v>
                </c:pt>
                <c:pt idx="7">
                  <c:v>0.60027308807229907</c:v>
                </c:pt>
                <c:pt idx="8">
                  <c:v>0.24955830740587817</c:v>
                </c:pt>
                <c:pt idx="9">
                  <c:v>1.4887504645007676</c:v>
                </c:pt>
                <c:pt idx="10">
                  <c:v>1.5842582647007966</c:v>
                </c:pt>
                <c:pt idx="11">
                  <c:v>0.85695912633353666</c:v>
                </c:pt>
                <c:pt idx="12">
                  <c:v>4.2811808035925714E-2</c:v>
                </c:pt>
              </c:numCache>
            </c:numRef>
          </c:val>
          <c:extLst xmlns:c16r2="http://schemas.microsoft.com/office/drawing/2015/06/chart">
            <c:ext xmlns:c16="http://schemas.microsoft.com/office/drawing/2014/chart" uri="{C3380CC4-5D6E-409C-BE32-E72D297353CC}">
              <c16:uniqueId val="{00000003-4BB5-4047-A2B8-9E8C70C9A1E7}"/>
            </c:ext>
          </c:extLst>
        </c:ser>
        <c:ser>
          <c:idx val="4"/>
          <c:order val="4"/>
          <c:tx>
            <c:strRef>
              <c:f>'GRAF-příspěvky'!$A$40</c:f>
              <c:strCache>
                <c:ptCount val="1"/>
                <c:pt idx="0">
                  <c:v>Reklama a průzkum trhu (73)</c:v>
                </c:pt>
              </c:strCache>
            </c:strRef>
          </c:tx>
          <c:spPr>
            <a:solidFill>
              <a:srgbClr val="D2E7B6"/>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'GRAF-příspěvky'!$B$40:$N$40</c:f>
              <c:numCache>
                <c:formatCode>0.0</c:formatCode>
                <c:ptCount val="13"/>
                <c:pt idx="0">
                  <c:v>-1.1229392296885703</c:v>
                </c:pt>
                <c:pt idx="1">
                  <c:v>-0.47405060572234803</c:v>
                </c:pt>
                <c:pt idx="2">
                  <c:v>-1.419999720094818</c:v>
                </c:pt>
                <c:pt idx="3">
                  <c:v>0.90648032566752856</c:v>
                </c:pt>
                <c:pt idx="4">
                  <c:v>-1.6703376280358768</c:v>
                </c:pt>
                <c:pt idx="5">
                  <c:v>0.50810554629124216</c:v>
                </c:pt>
                <c:pt idx="6">
                  <c:v>-0.59763308618231759</c:v>
                </c:pt>
                <c:pt idx="7">
                  <c:v>0.912843731969461</c:v>
                </c:pt>
                <c:pt idx="8">
                  <c:v>-1.3655765336971979</c:v>
                </c:pt>
                <c:pt idx="9">
                  <c:v>0.2411284266308274</c:v>
                </c:pt>
                <c:pt idx="10">
                  <c:v>0.64806917228632765</c:v>
                </c:pt>
                <c:pt idx="11">
                  <c:v>-2.5989755619744651E-2</c:v>
                </c:pt>
                <c:pt idx="12">
                  <c:v>3.7017287181030999E-2</c:v>
                </c:pt>
              </c:numCache>
            </c:numRef>
          </c:val>
          <c:extLst xmlns:c16r2="http://schemas.microsoft.com/office/drawing/2015/06/chart">
            <c:ext xmlns:c16="http://schemas.microsoft.com/office/drawing/2014/chart" uri="{C3380CC4-5D6E-409C-BE32-E72D297353CC}">
              <c16:uniqueId val="{00000004-4BB5-4047-A2B8-9E8C70C9A1E7}"/>
            </c:ext>
          </c:extLst>
        </c:ser>
        <c:ser>
          <c:idx val="5"/>
          <c:order val="5"/>
          <c:tx>
            <c:strRef>
              <c:f>'GRAF-příspěvky'!$A$41</c:f>
              <c:strCache>
                <c:ptCount val="1"/>
                <c:pt idx="0">
                  <c:v>Ost. profesní, věd., technic. čin. (74+75)</c:v>
                </c:pt>
              </c:strCache>
            </c:strRef>
          </c:tx>
          <c:spPr>
            <a:solidFill>
              <a:srgbClr val="808080"/>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'GRAF-příspěvky'!$B$41:$N$41</c:f>
              <c:numCache>
                <c:formatCode>0.0</c:formatCode>
                <c:ptCount val="13"/>
                <c:pt idx="0">
                  <c:v>0.19748406504091151</c:v>
                </c:pt>
                <c:pt idx="1">
                  <c:v>0.42628222668475974</c:v>
                </c:pt>
                <c:pt idx="2">
                  <c:v>6.955258235342497E-3</c:v>
                </c:pt>
                <c:pt idx="3">
                  <c:v>-0.52396500967678661</c:v>
                </c:pt>
                <c:pt idx="4">
                  <c:v>-1.3885130170822013</c:v>
                </c:pt>
                <c:pt idx="5">
                  <c:v>0.53526453781920136</c:v>
                </c:pt>
                <c:pt idx="6">
                  <c:v>0.1467722752233227</c:v>
                </c:pt>
                <c:pt idx="7">
                  <c:v>-0.56720137840763252</c:v>
                </c:pt>
                <c:pt idx="8">
                  <c:v>1.8258252557537598</c:v>
                </c:pt>
                <c:pt idx="9">
                  <c:v>0.16877163992873515</c:v>
                </c:pt>
                <c:pt idx="10">
                  <c:v>0.55966474483473549</c:v>
                </c:pt>
                <c:pt idx="11">
                  <c:v>1.0782977526125239</c:v>
                </c:pt>
                <c:pt idx="12">
                  <c:v>0.49511499833377887</c:v>
                </c:pt>
              </c:numCache>
            </c:numRef>
          </c:val>
          <c:extLst xmlns:c16r2="http://schemas.microsoft.com/office/drawing/2015/06/chart">
            <c:ext xmlns:c16="http://schemas.microsoft.com/office/drawing/2014/chart" uri="{C3380CC4-5D6E-409C-BE32-E72D297353CC}">
              <c16:uniqueId val="{00000005-4BB5-4047-A2B8-9E8C70C9A1E7}"/>
            </c:ext>
          </c:extLst>
        </c:ser>
        <c:ser>
          <c:idx val="6"/>
          <c:order val="6"/>
          <c:tx>
            <c:strRef>
              <c:f>'GRAF-příspěvky'!$A$42</c:f>
              <c:strCache>
                <c:ptCount val="1"/>
                <c:pt idx="0">
                  <c:v>Pronájem, operativní leasing (77)</c:v>
                </c:pt>
              </c:strCache>
            </c:strRef>
          </c:tx>
          <c:spPr>
            <a:solidFill>
              <a:srgbClr val="FDDEB3"/>
            </a:solidFill>
            <a:ln>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'GRAF-příspěvky'!$B$42:$N$42</c:f>
              <c:numCache>
                <c:formatCode>0.0</c:formatCode>
                <c:ptCount val="13"/>
                <c:pt idx="0">
                  <c:v>0.55880944206565364</c:v>
                </c:pt>
                <c:pt idx="1">
                  <c:v>1.0820268908243198</c:v>
                </c:pt>
                <c:pt idx="2">
                  <c:v>0.97262667030880934</c:v>
                </c:pt>
                <c:pt idx="3">
                  <c:v>1.2840901216756315</c:v>
                </c:pt>
                <c:pt idx="4">
                  <c:v>-0.36263262774805038</c:v>
                </c:pt>
                <c:pt idx="5">
                  <c:v>8.5793180757170864E-2</c:v>
                </c:pt>
                <c:pt idx="6">
                  <c:v>0.47996221035672482</c:v>
                </c:pt>
                <c:pt idx="7">
                  <c:v>0.25585408243731234</c:v>
                </c:pt>
                <c:pt idx="8">
                  <c:v>1.6718876168025005</c:v>
                </c:pt>
                <c:pt idx="9">
                  <c:v>-6.4557879548727631E-2</c:v>
                </c:pt>
                <c:pt idx="10">
                  <c:v>0.49298426828612346</c:v>
                </c:pt>
                <c:pt idx="11">
                  <c:v>1.0926568052578123</c:v>
                </c:pt>
                <c:pt idx="12">
                  <c:v>0.97136865413598994</c:v>
                </c:pt>
              </c:numCache>
            </c:numRef>
          </c:val>
          <c:extLst xmlns:c16r2="http://schemas.microsoft.com/office/drawing/2015/06/chart">
            <c:ext xmlns:c16="http://schemas.microsoft.com/office/drawing/2014/chart" uri="{C3380CC4-5D6E-409C-BE32-E72D297353CC}">
              <c16:uniqueId val="{00000006-4BB5-4047-A2B8-9E8C70C9A1E7}"/>
            </c:ext>
          </c:extLst>
        </c:ser>
        <c:ser>
          <c:idx val="7"/>
          <c:order val="7"/>
          <c:tx>
            <c:strRef>
              <c:f>'GRAF-příspěvky'!$A$43</c:f>
              <c:strCache>
                <c:ptCount val="1"/>
                <c:pt idx="0">
                  <c:v>Pracovní agentury (78)</c:v>
                </c:pt>
              </c:strCache>
            </c:strRef>
          </c:tx>
          <c:spPr>
            <a:solidFill>
              <a:srgbClr val="F8A124"/>
            </a:solidFill>
            <a:ln w="28575">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'GRAF-příspěvky'!$B$43:$N$43</c:f>
              <c:numCache>
                <c:formatCode>0.0</c:formatCode>
                <c:ptCount val="13"/>
                <c:pt idx="0">
                  <c:v>0.18170894228249451</c:v>
                </c:pt>
                <c:pt idx="1">
                  <c:v>3.4077713362822212E-2</c:v>
                </c:pt>
                <c:pt idx="2">
                  <c:v>0.51251749862182316</c:v>
                </c:pt>
                <c:pt idx="3">
                  <c:v>0.75835177826689104</c:v>
                </c:pt>
                <c:pt idx="4">
                  <c:v>-0.32859718002976507</c:v>
                </c:pt>
                <c:pt idx="5">
                  <c:v>-1.1415760773649852</c:v>
                </c:pt>
                <c:pt idx="6">
                  <c:v>0.96372025541750372</c:v>
                </c:pt>
                <c:pt idx="7">
                  <c:v>-0.65140997445908799</c:v>
                </c:pt>
                <c:pt idx="8">
                  <c:v>0.27583319257543476</c:v>
                </c:pt>
                <c:pt idx="9">
                  <c:v>-0.31989800941553898</c:v>
                </c:pt>
                <c:pt idx="10">
                  <c:v>0.5749965079221766</c:v>
                </c:pt>
                <c:pt idx="11">
                  <c:v>0.13532824653503425</c:v>
                </c:pt>
                <c:pt idx="12">
                  <c:v>0.46019478637268973</c:v>
                </c:pt>
              </c:numCache>
            </c:numRef>
          </c:val>
          <c:extLst xmlns:c16r2="http://schemas.microsoft.com/office/drawing/2015/06/chart">
            <c:ext xmlns:c16="http://schemas.microsoft.com/office/drawing/2014/chart" uri="{C3380CC4-5D6E-409C-BE32-E72D297353CC}">
              <c16:uniqueId val="{00000007-4BB5-4047-A2B8-9E8C70C9A1E7}"/>
            </c:ext>
          </c:extLst>
        </c:ser>
        <c:ser>
          <c:idx val="8"/>
          <c:order val="8"/>
          <c:tx>
            <c:strRef>
              <c:f>'GRAF-příspěvky'!$A$44</c:f>
              <c:strCache>
                <c:ptCount val="1"/>
                <c:pt idx="0">
                  <c:v>Cestovní agentury, kanceláře (79)</c:v>
                </c:pt>
              </c:strCache>
            </c:strRef>
          </c:tx>
          <c:spPr>
            <a:solidFill>
              <a:srgbClr val="E8AFB2"/>
            </a:solidFill>
            <a:ln w="28575">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'GRAF-příspěvky'!$B$44:$N$44</c:f>
              <c:numCache>
                <c:formatCode>0.0</c:formatCode>
                <c:ptCount val="13"/>
                <c:pt idx="0">
                  <c:v>-0.84498905606620234</c:v>
                </c:pt>
                <c:pt idx="1">
                  <c:v>0.15206701559911354</c:v>
                </c:pt>
                <c:pt idx="2">
                  <c:v>-0.22242793655133514</c:v>
                </c:pt>
                <c:pt idx="3">
                  <c:v>0.14391904212810497</c:v>
                </c:pt>
                <c:pt idx="4">
                  <c:v>-0.31064052365861311</c:v>
                </c:pt>
                <c:pt idx="5">
                  <c:v>0.38559901258336926</c:v>
                </c:pt>
                <c:pt idx="6">
                  <c:v>0.3875968992248105</c:v>
                </c:pt>
                <c:pt idx="7">
                  <c:v>1.2277314181592298E-2</c:v>
                </c:pt>
                <c:pt idx="8">
                  <c:v>-0.25947965087043218</c:v>
                </c:pt>
                <c:pt idx="9">
                  <c:v>-0.19723943782348499</c:v>
                </c:pt>
                <c:pt idx="10">
                  <c:v>-0.39171042704799175</c:v>
                </c:pt>
                <c:pt idx="11">
                  <c:v>-0.17522231359719662</c:v>
                </c:pt>
                <c:pt idx="12">
                  <c:v>3.3861289329143642E-3</c:v>
                </c:pt>
              </c:numCache>
            </c:numRef>
          </c:val>
          <c:extLst xmlns:c16r2="http://schemas.microsoft.com/office/drawing/2015/06/chart">
            <c:ext xmlns:c16="http://schemas.microsoft.com/office/drawing/2014/chart" uri="{C3380CC4-5D6E-409C-BE32-E72D297353CC}">
              <c16:uniqueId val="{00000008-4BB5-4047-A2B8-9E8C70C9A1E7}"/>
            </c:ext>
          </c:extLst>
        </c:ser>
        <c:ser>
          <c:idx val="9"/>
          <c:order val="9"/>
          <c:tx>
            <c:strRef>
              <c:f>'GRAF-příspěvky'!$A$45</c:f>
              <c:strCache>
                <c:ptCount val="1"/>
                <c:pt idx="0">
                  <c:v>Bezpečnostní a pátrací čin. (80)</c:v>
                </c:pt>
              </c:strCache>
            </c:strRef>
          </c:tx>
          <c:spPr>
            <a:solidFill>
              <a:srgbClr val="BD1B21"/>
            </a:solidFill>
            <a:ln w="28575">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'GRAF-příspěvky'!$B$45:$N$45</c:f>
              <c:numCache>
                <c:formatCode>0.0</c:formatCode>
                <c:ptCount val="13"/>
                <c:pt idx="0">
                  <c:v>-0.77708494605809453</c:v>
                </c:pt>
                <c:pt idx="1">
                  <c:v>-0.38854212710914343</c:v>
                </c:pt>
                <c:pt idx="2">
                  <c:v>1.7419008119295298</c:v>
                </c:pt>
                <c:pt idx="3">
                  <c:v>-0.20545666702683701</c:v>
                </c:pt>
                <c:pt idx="4">
                  <c:v>-0.48853058676929056</c:v>
                </c:pt>
                <c:pt idx="5">
                  <c:v>-0.61004938597624259</c:v>
                </c:pt>
                <c:pt idx="6">
                  <c:v>-5.1876407622035894E-2</c:v>
                </c:pt>
                <c:pt idx="7">
                  <c:v>-0.23987049974013774</c:v>
                </c:pt>
                <c:pt idx="8">
                  <c:v>-0.11092566896929566</c:v>
                </c:pt>
                <c:pt idx="9">
                  <c:v>6.4519196538268334E-2</c:v>
                </c:pt>
                <c:pt idx="10">
                  <c:v>3.8266444974988725E-2</c:v>
                </c:pt>
                <c:pt idx="11">
                  <c:v>-5.2209376445428474E-2</c:v>
                </c:pt>
                <c:pt idx="12">
                  <c:v>-0.11184046823409793</c:v>
                </c:pt>
              </c:numCache>
            </c:numRef>
          </c:val>
          <c:extLst xmlns:c16r2="http://schemas.microsoft.com/office/drawing/2015/06/chart">
            <c:ext xmlns:c16="http://schemas.microsoft.com/office/drawing/2014/chart" uri="{C3380CC4-5D6E-409C-BE32-E72D297353CC}">
              <c16:uniqueId val="{00000009-4BB5-4047-A2B8-9E8C70C9A1E7}"/>
            </c:ext>
          </c:extLst>
        </c:ser>
        <c:ser>
          <c:idx val="10"/>
          <c:order val="10"/>
          <c:tx>
            <c:strRef>
              <c:f>'GRAF-příspěvky'!$A$46</c:f>
              <c:strCache>
                <c:ptCount val="1"/>
                <c:pt idx="0">
                  <c:v>Ost. administr. a  podpůrné čin. (81+82)</c:v>
                </c:pt>
              </c:strCache>
            </c:strRef>
          </c:tx>
          <c:spPr>
            <a:solidFill>
              <a:srgbClr val="A6A6A6"/>
            </a:solidFill>
            <a:ln w="28575">
              <a:noFill/>
            </a:ln>
          </c:spP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'GRAF-příspěvky'!$B$46:$N$46</c:f>
              <c:numCache>
                <c:formatCode>0.0</c:formatCode>
                <c:ptCount val="13"/>
                <c:pt idx="0">
                  <c:v>1.1149879687013623E-2</c:v>
                </c:pt>
                <c:pt idx="1">
                  <c:v>0.50031356854213638</c:v>
                </c:pt>
                <c:pt idx="2">
                  <c:v>1.7076159829888835</c:v>
                </c:pt>
                <c:pt idx="3">
                  <c:v>-7.5249411343452227E-2</c:v>
                </c:pt>
                <c:pt idx="4">
                  <c:v>-2.0319212760271612</c:v>
                </c:pt>
                <c:pt idx="5">
                  <c:v>4.0345740562930686E-2</c:v>
                </c:pt>
                <c:pt idx="6">
                  <c:v>0.44200386331621205</c:v>
                </c:pt>
                <c:pt idx="7">
                  <c:v>0.49694489143326565</c:v>
                </c:pt>
                <c:pt idx="8">
                  <c:v>0.44003448716134441</c:v>
                </c:pt>
                <c:pt idx="9">
                  <c:v>0.46103501616149073</c:v>
                </c:pt>
                <c:pt idx="10">
                  <c:v>0.97056635653731849</c:v>
                </c:pt>
                <c:pt idx="11">
                  <c:v>0.70167543033531399</c:v>
                </c:pt>
                <c:pt idx="12">
                  <c:v>-8.4351977960553506E-2</c:v>
                </c:pt>
              </c:numCache>
            </c:numRef>
          </c:val>
          <c:extLst xmlns:c16r2="http://schemas.microsoft.com/office/drawing/2015/06/chart">
            <c:ext xmlns:c16="http://schemas.microsoft.com/office/drawing/2014/chart" uri="{C3380CC4-5D6E-409C-BE32-E72D297353CC}">
              <c16:uniqueId val="{0000000A-4BB5-4047-A2B8-9E8C70C9A1E7}"/>
            </c:ext>
          </c:extLst>
        </c:ser>
        <c:gapWidth val="43"/>
        <c:overlap val="100"/>
        <c:axId val="164722176"/>
        <c:axId val="164724096"/>
      </c:barChart>
      <c:lineChart>
        <c:grouping val="standard"/>
        <c:ser>
          <c:idx val="11"/>
          <c:order val="11"/>
          <c:tx>
            <c:strRef>
              <c:f>'GRAF-příspěvky'!$A$47</c:f>
              <c:strCache>
                <c:ptCount val="1"/>
                <c:pt idx="0">
                  <c:v>Všechna zahrnutá odvětvíi (sekce M+N)</c:v>
                </c:pt>
              </c:strCache>
            </c:strRef>
          </c:tx>
          <c:spPr>
            <a:ln>
              <a:noFill/>
            </a:ln>
          </c:spPr>
          <c:marker>
            <c:symbol val="diamond"/>
            <c:size val="7"/>
            <c:spPr>
              <a:solidFill>
                <a:schemeClr val="bg1"/>
              </a:solidFill>
              <a:ln w="9525">
                <a:solidFill>
                  <a:sysClr val="windowText" lastClr="000000"/>
                </a:solidFill>
              </a:ln>
            </c:spPr>
          </c:marker>
          <c:cat>
            <c:numRef>
              <c:f>'GRAF-příspěvky'!$B$35:$N$35</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'GRAF-příspěvky'!$B$47:$N$47</c:f>
              <c:numCache>
                <c:formatCode>0.0</c:formatCode>
                <c:ptCount val="13"/>
                <c:pt idx="0">
                  <c:v>2.3450721976162177</c:v>
                </c:pt>
                <c:pt idx="1">
                  <c:v>-1.3290643773803834</c:v>
                </c:pt>
                <c:pt idx="2">
                  <c:v>11.027563336839677</c:v>
                </c:pt>
                <c:pt idx="3">
                  <c:v>3.2918903077917352</c:v>
                </c:pt>
                <c:pt idx="4">
                  <c:v>-7.2177289280481318</c:v>
                </c:pt>
                <c:pt idx="5">
                  <c:v>-0.68027780803096449</c:v>
                </c:pt>
                <c:pt idx="6">
                  <c:v>1.9367192178893318</c:v>
                </c:pt>
                <c:pt idx="7">
                  <c:v>1.0881527882363768</c:v>
                </c:pt>
                <c:pt idx="8">
                  <c:v>2.9833336061950591</c:v>
                </c:pt>
                <c:pt idx="9">
                  <c:v>1.2467559307348921</c:v>
                </c:pt>
                <c:pt idx="10">
                  <c:v>7.2812561334642192</c:v>
                </c:pt>
                <c:pt idx="11">
                  <c:v>5.5291091441973794</c:v>
                </c:pt>
                <c:pt idx="12">
                  <c:v>3.2401789119656002</c:v>
                </c:pt>
              </c:numCache>
            </c:numRef>
          </c:val>
          <c:extLst xmlns:c16r2="http://schemas.microsoft.com/office/drawing/2015/06/chart">
            <c:ext xmlns:c16="http://schemas.microsoft.com/office/drawing/2014/chart" uri="{C3380CC4-5D6E-409C-BE32-E72D297353CC}">
              <c16:uniqueId val="{0000000B-4BB5-4047-A2B8-9E8C70C9A1E7}"/>
            </c:ext>
          </c:extLst>
        </c:ser>
        <c:marker val="1"/>
        <c:axId val="164722176"/>
        <c:axId val="164724096"/>
      </c:lineChart>
      <c:catAx>
        <c:axId val="164722176"/>
        <c:scaling>
          <c:orientation val="minMax"/>
        </c:scaling>
        <c:axPos val="b"/>
        <c:numFmt formatCode="General" sourceLinked="1"/>
        <c:tickLblPos val="low"/>
        <c:spPr>
          <a:noFill/>
        </c:spPr>
        <c:txPr>
          <a:bodyPr/>
          <a:lstStyle/>
          <a:p>
            <a:pPr>
              <a:defRPr sz="800">
                <a:latin typeface="Arial" pitchFamily="34" charset="0"/>
                <a:cs typeface="Arial" pitchFamily="34" charset="0"/>
              </a:defRPr>
            </a:pPr>
            <a:endParaRPr lang="cs-CZ"/>
          </a:p>
        </c:txPr>
        <c:crossAx val="164724096"/>
        <c:crosses val="autoZero"/>
        <c:auto val="1"/>
        <c:lblAlgn val="ctr"/>
        <c:lblOffset val="0"/>
      </c:catAx>
      <c:valAx>
        <c:axId val="164724096"/>
        <c:scaling>
          <c:orientation val="minMax"/>
          <c:max val="14"/>
          <c:min val="-10"/>
        </c:scaling>
        <c:axPos val="l"/>
        <c:majorGridlines>
          <c:spPr>
            <a:ln w="6350">
              <a:solidFill>
                <a:srgbClr val="BFBFBF"/>
              </a:solidFill>
            </a:ln>
          </c:spPr>
        </c:majorGridlines>
        <c:numFmt formatCode="#,##0" sourceLinked="0"/>
        <c:tickLblPos val="nextTo"/>
        <c:txPr>
          <a:bodyPr/>
          <a:lstStyle/>
          <a:p>
            <a:pPr>
              <a:defRPr sz="800">
                <a:latin typeface="Arial" pitchFamily="34" charset="0"/>
                <a:cs typeface="Arial" pitchFamily="34" charset="0"/>
              </a:defRPr>
            </a:pPr>
            <a:endParaRPr lang="cs-CZ"/>
          </a:p>
        </c:txPr>
        <c:crossAx val="164722176"/>
        <c:crosses val="autoZero"/>
        <c:crossBetween val="between"/>
        <c:majorUnit val="2"/>
      </c:valAx>
      <c:spPr>
        <a:ln w="6350">
          <a:solidFill>
            <a:sysClr val="windowText" lastClr="000000">
              <a:lumMod val="95000"/>
              <a:lumOff val="5000"/>
            </a:sysClr>
          </a:solidFill>
        </a:ln>
      </c:spPr>
    </c:plotArea>
    <c:legend>
      <c:legendPos val="r"/>
      <c:layout>
        <c:manualLayout>
          <c:xMode val="edge"/>
          <c:yMode val="edge"/>
          <c:x val="5.2491709953499124E-2"/>
          <c:y val="0.80845923780111961"/>
          <c:w val="0.9312430427112155"/>
          <c:h val="0.18092780226220032"/>
        </c:manualLayout>
      </c:layout>
      <c:spPr>
        <a:ln w="6350">
          <a:solidFill>
            <a:sysClr val="windowText" lastClr="000000"/>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4219858156028392E-2"/>
          <c:y val="2.1445457615670793E-2"/>
          <c:w val="0.94012094731509765"/>
          <c:h val="0.69016098165034256"/>
        </c:manualLayout>
      </c:layout>
      <c:barChart>
        <c:barDir val="col"/>
        <c:grouping val="clustered"/>
        <c:ser>
          <c:idx val="0"/>
          <c:order val="0"/>
          <c:tx>
            <c:strRef>
              <c:f>List4!$B$3</c:f>
              <c:strCache>
                <c:ptCount val="1"/>
                <c:pt idx="0">
                  <c:v>2016</c:v>
                </c:pt>
              </c:strCache>
            </c:strRef>
          </c:tx>
          <c:spPr>
            <a:solidFill>
              <a:srgbClr val="BFE3F7"/>
            </a:solidFill>
          </c:spPr>
          <c:dPt>
            <c:idx val="4"/>
            <c:spPr>
              <a:solidFill>
                <a:srgbClr val="0071BC"/>
              </a:solidFill>
            </c:spPr>
            <c:extLst xmlns:c16r2="http://schemas.microsoft.com/office/drawing/2015/06/chart">
              <c:ext xmlns:c16="http://schemas.microsoft.com/office/drawing/2014/chart" uri="{C3380CC4-5D6E-409C-BE32-E72D297353CC}">
                <c16:uniqueId val="{00000000-A851-49D6-8BF3-57D64CCCF603}"/>
              </c:ext>
            </c:extLst>
          </c:dPt>
          <c:dPt>
            <c:idx val="11"/>
            <c:spPr>
              <a:solidFill>
                <a:srgbClr val="0071BC"/>
              </a:solidFill>
            </c:spPr>
            <c:extLst xmlns:c16r2="http://schemas.microsoft.com/office/drawing/2015/06/chart">
              <c:ext xmlns:c16="http://schemas.microsoft.com/office/drawing/2014/chart" uri="{C3380CC4-5D6E-409C-BE32-E72D297353CC}">
                <c16:uniqueId val="{00000001-A851-49D6-8BF3-57D64CCCF603}"/>
              </c:ext>
            </c:extLst>
          </c:dPt>
          <c:cat>
            <c:strRef>
              <c:f>List4!$A$4:$A$33</c:f>
              <c:strCache>
                <c:ptCount val="30"/>
                <c:pt idx="0">
                  <c:v>Estonsko</c:v>
                </c:pt>
                <c:pt idx="1">
                  <c:v>Litva</c:v>
                </c:pt>
                <c:pt idx="2">
                  <c:v>Lotyšsko</c:v>
                </c:pt>
                <c:pt idx="3">
                  <c:v>Velká Británie</c:v>
                </c:pt>
                <c:pt idx="4">
                  <c:v>ČR</c:v>
                </c:pt>
                <c:pt idx="5">
                  <c:v>Maďarsko</c:v>
                </c:pt>
                <c:pt idx="6">
                  <c:v>Belgie</c:v>
                </c:pt>
                <c:pt idx="7">
                  <c:v>Rakousko</c:v>
                </c:pt>
                <c:pt idx="8">
                  <c:v>Lucembursko</c:v>
                </c:pt>
                <c:pt idx="9">
                  <c:v>Španělsko</c:v>
                </c:pt>
                <c:pt idx="10">
                  <c:v>Švédsko</c:v>
                </c:pt>
                <c:pt idx="11">
                  <c:v>EU 28</c:v>
                </c:pt>
                <c:pt idx="12">
                  <c:v>Německo</c:v>
                </c:pt>
                <c:pt idx="13">
                  <c:v>Polsko</c:v>
                </c:pt>
                <c:pt idx="14">
                  <c:v>Portugalsko</c:v>
                </c:pt>
                <c:pt idx="15">
                  <c:v>Slovinsko</c:v>
                </c:pt>
                <c:pt idx="16">
                  <c:v>Eurozóna</c:v>
                </c:pt>
                <c:pt idx="17">
                  <c:v>Slovensko</c:v>
                </c:pt>
                <c:pt idx="18">
                  <c:v>Chorvatsko</c:v>
                </c:pt>
                <c:pt idx="19">
                  <c:v>Itálie</c:v>
                </c:pt>
                <c:pt idx="20">
                  <c:v>Malta</c:v>
                </c:pt>
                <c:pt idx="21">
                  <c:v>Nizozemí</c:v>
                </c:pt>
                <c:pt idx="22">
                  <c:v>Bulharsko</c:v>
                </c:pt>
                <c:pt idx="23">
                  <c:v>Francie</c:v>
                </c:pt>
                <c:pt idx="24">
                  <c:v>Dánsko</c:v>
                </c:pt>
                <c:pt idx="25">
                  <c:v>Řecko</c:v>
                </c:pt>
                <c:pt idx="26">
                  <c:v>Rumunsko</c:v>
                </c:pt>
                <c:pt idx="27">
                  <c:v>Finsko</c:v>
                </c:pt>
                <c:pt idx="28">
                  <c:v>Kypr</c:v>
                </c:pt>
                <c:pt idx="29">
                  <c:v>Irsko</c:v>
                </c:pt>
              </c:strCache>
            </c:strRef>
          </c:cat>
          <c:val>
            <c:numRef>
              <c:f>List4!$B$4:$B$33</c:f>
              <c:numCache>
                <c:formatCode>#,##0.0</c:formatCode>
                <c:ptCount val="30"/>
                <c:pt idx="0">
                  <c:v>0.8</c:v>
                </c:pt>
                <c:pt idx="1">
                  <c:v>0.70000000000000062</c:v>
                </c:pt>
                <c:pt idx="2">
                  <c:v>0.1</c:v>
                </c:pt>
                <c:pt idx="3">
                  <c:v>0.70000000000000062</c:v>
                </c:pt>
                <c:pt idx="4">
                  <c:v>0.60000000000000064</c:v>
                </c:pt>
                <c:pt idx="5">
                  <c:v>0.4</c:v>
                </c:pt>
                <c:pt idx="6">
                  <c:v>1.8</c:v>
                </c:pt>
                <c:pt idx="7">
                  <c:v>1</c:v>
                </c:pt>
                <c:pt idx="8">
                  <c:v>0</c:v>
                </c:pt>
                <c:pt idx="9">
                  <c:v>-0.30000000000000032</c:v>
                </c:pt>
                <c:pt idx="10">
                  <c:v>1.1000000000000001</c:v>
                </c:pt>
                <c:pt idx="11">
                  <c:v>0.30000000000000032</c:v>
                </c:pt>
                <c:pt idx="12">
                  <c:v>0.4</c:v>
                </c:pt>
                <c:pt idx="13">
                  <c:v>-0.2</c:v>
                </c:pt>
                <c:pt idx="14">
                  <c:v>0.60000000000000064</c:v>
                </c:pt>
                <c:pt idx="15">
                  <c:v>-0.2</c:v>
                </c:pt>
                <c:pt idx="16">
                  <c:v>0.2</c:v>
                </c:pt>
                <c:pt idx="17">
                  <c:v>-0.5</c:v>
                </c:pt>
                <c:pt idx="18">
                  <c:v>-0.60000000000000064</c:v>
                </c:pt>
                <c:pt idx="19">
                  <c:v>-0.1</c:v>
                </c:pt>
                <c:pt idx="20">
                  <c:v>0.9</c:v>
                </c:pt>
                <c:pt idx="21">
                  <c:v>0.1</c:v>
                </c:pt>
                <c:pt idx="22">
                  <c:v>-1.3</c:v>
                </c:pt>
                <c:pt idx="23">
                  <c:v>0.30000000000000032</c:v>
                </c:pt>
                <c:pt idx="24">
                  <c:v>0</c:v>
                </c:pt>
                <c:pt idx="25">
                  <c:v>0</c:v>
                </c:pt>
                <c:pt idx="26">
                  <c:v>-1.1000000000000001</c:v>
                </c:pt>
                <c:pt idx="27">
                  <c:v>0.4</c:v>
                </c:pt>
                <c:pt idx="28">
                  <c:v>-1.2</c:v>
                </c:pt>
                <c:pt idx="29">
                  <c:v>-0.2</c:v>
                </c:pt>
              </c:numCache>
            </c:numRef>
          </c:val>
          <c:extLst xmlns:c16r2="http://schemas.microsoft.com/office/drawing/2015/06/chart">
            <c:ext xmlns:c16="http://schemas.microsoft.com/office/drawing/2014/chart" uri="{C3380CC4-5D6E-409C-BE32-E72D297353CC}">
              <c16:uniqueId val="{00000002-A851-49D6-8BF3-57D64CCCF603}"/>
            </c:ext>
          </c:extLst>
        </c:ser>
        <c:ser>
          <c:idx val="1"/>
          <c:order val="1"/>
          <c:tx>
            <c:strRef>
              <c:f>List4!$C$3</c:f>
              <c:strCache>
                <c:ptCount val="1"/>
                <c:pt idx="0">
                  <c:v>2017</c:v>
                </c:pt>
              </c:strCache>
            </c:strRef>
          </c:tx>
          <c:spPr>
            <a:solidFill>
              <a:srgbClr val="E8AFB2"/>
            </a:solidFill>
          </c:spPr>
          <c:dPt>
            <c:idx val="4"/>
            <c:spPr>
              <a:solidFill>
                <a:srgbClr val="BD1B21"/>
              </a:solidFill>
            </c:spPr>
            <c:extLst xmlns:c16r2="http://schemas.microsoft.com/office/drawing/2015/06/chart">
              <c:ext xmlns:c16="http://schemas.microsoft.com/office/drawing/2014/chart" uri="{C3380CC4-5D6E-409C-BE32-E72D297353CC}">
                <c16:uniqueId val="{00000003-A851-49D6-8BF3-57D64CCCF603}"/>
              </c:ext>
            </c:extLst>
          </c:dPt>
          <c:dPt>
            <c:idx val="11"/>
            <c:spPr>
              <a:solidFill>
                <a:srgbClr val="BD1B21"/>
              </a:solidFill>
            </c:spPr>
            <c:extLst xmlns:c16r2="http://schemas.microsoft.com/office/drawing/2015/06/chart">
              <c:ext xmlns:c16="http://schemas.microsoft.com/office/drawing/2014/chart" uri="{C3380CC4-5D6E-409C-BE32-E72D297353CC}">
                <c16:uniqueId val="{00000004-A851-49D6-8BF3-57D64CCCF603}"/>
              </c:ext>
            </c:extLst>
          </c:dPt>
          <c:cat>
            <c:strRef>
              <c:f>List4!$A$4:$A$33</c:f>
              <c:strCache>
                <c:ptCount val="30"/>
                <c:pt idx="0">
                  <c:v>Estonsko</c:v>
                </c:pt>
                <c:pt idx="1">
                  <c:v>Litva</c:v>
                </c:pt>
                <c:pt idx="2">
                  <c:v>Lotyšsko</c:v>
                </c:pt>
                <c:pt idx="3">
                  <c:v>Velká Británie</c:v>
                </c:pt>
                <c:pt idx="4">
                  <c:v>ČR</c:v>
                </c:pt>
                <c:pt idx="5">
                  <c:v>Maďarsko</c:v>
                </c:pt>
                <c:pt idx="6">
                  <c:v>Belgie</c:v>
                </c:pt>
                <c:pt idx="7">
                  <c:v>Rakousko</c:v>
                </c:pt>
                <c:pt idx="8">
                  <c:v>Lucembursko</c:v>
                </c:pt>
                <c:pt idx="9">
                  <c:v>Španělsko</c:v>
                </c:pt>
                <c:pt idx="10">
                  <c:v>Švédsko</c:v>
                </c:pt>
                <c:pt idx="11">
                  <c:v>EU 28</c:v>
                </c:pt>
                <c:pt idx="12">
                  <c:v>Německo</c:v>
                </c:pt>
                <c:pt idx="13">
                  <c:v>Polsko</c:v>
                </c:pt>
                <c:pt idx="14">
                  <c:v>Portugalsko</c:v>
                </c:pt>
                <c:pt idx="15">
                  <c:v>Slovinsko</c:v>
                </c:pt>
                <c:pt idx="16">
                  <c:v>Eurozóna</c:v>
                </c:pt>
                <c:pt idx="17">
                  <c:v>Slovensko</c:v>
                </c:pt>
                <c:pt idx="18">
                  <c:v>Chorvatsko</c:v>
                </c:pt>
                <c:pt idx="19">
                  <c:v>Itálie</c:v>
                </c:pt>
                <c:pt idx="20">
                  <c:v>Malta</c:v>
                </c:pt>
                <c:pt idx="21">
                  <c:v>Nizozemí</c:v>
                </c:pt>
                <c:pt idx="22">
                  <c:v>Bulharsko</c:v>
                </c:pt>
                <c:pt idx="23">
                  <c:v>Francie</c:v>
                </c:pt>
                <c:pt idx="24">
                  <c:v>Dánsko</c:v>
                </c:pt>
                <c:pt idx="25">
                  <c:v>Řecko</c:v>
                </c:pt>
                <c:pt idx="26">
                  <c:v>Rumunsko</c:v>
                </c:pt>
                <c:pt idx="27">
                  <c:v>Finsko</c:v>
                </c:pt>
                <c:pt idx="28">
                  <c:v>Kypr</c:v>
                </c:pt>
                <c:pt idx="29">
                  <c:v>Irsko</c:v>
                </c:pt>
              </c:strCache>
            </c:strRef>
          </c:cat>
          <c:val>
            <c:numRef>
              <c:f>List4!$C$4:$C$33</c:f>
              <c:numCache>
                <c:formatCode>#,##0.0</c:formatCode>
                <c:ptCount val="30"/>
                <c:pt idx="0">
                  <c:v>3.7</c:v>
                </c:pt>
                <c:pt idx="1">
                  <c:v>3.7</c:v>
                </c:pt>
                <c:pt idx="2">
                  <c:v>2.9</c:v>
                </c:pt>
                <c:pt idx="3">
                  <c:v>2.7</c:v>
                </c:pt>
                <c:pt idx="4">
                  <c:v>2.4</c:v>
                </c:pt>
                <c:pt idx="5">
                  <c:v>2.4</c:v>
                </c:pt>
                <c:pt idx="6">
                  <c:v>2.2000000000000002</c:v>
                </c:pt>
                <c:pt idx="7">
                  <c:v>2.2000000000000002</c:v>
                </c:pt>
                <c:pt idx="8">
                  <c:v>2.1</c:v>
                </c:pt>
                <c:pt idx="9">
                  <c:v>2</c:v>
                </c:pt>
                <c:pt idx="10">
                  <c:v>1.9000000000000001</c:v>
                </c:pt>
                <c:pt idx="11">
                  <c:v>1.7</c:v>
                </c:pt>
                <c:pt idx="12">
                  <c:v>1.7</c:v>
                </c:pt>
                <c:pt idx="13">
                  <c:v>1.6</c:v>
                </c:pt>
                <c:pt idx="14">
                  <c:v>1.6</c:v>
                </c:pt>
                <c:pt idx="15">
                  <c:v>1.6</c:v>
                </c:pt>
                <c:pt idx="16">
                  <c:v>1.5</c:v>
                </c:pt>
                <c:pt idx="17">
                  <c:v>1.4</c:v>
                </c:pt>
                <c:pt idx="18">
                  <c:v>1.3</c:v>
                </c:pt>
                <c:pt idx="19">
                  <c:v>1.3</c:v>
                </c:pt>
                <c:pt idx="20">
                  <c:v>1.3</c:v>
                </c:pt>
                <c:pt idx="21">
                  <c:v>1.3</c:v>
                </c:pt>
                <c:pt idx="22">
                  <c:v>1.2</c:v>
                </c:pt>
                <c:pt idx="23">
                  <c:v>1.2</c:v>
                </c:pt>
                <c:pt idx="24">
                  <c:v>1.1000000000000001</c:v>
                </c:pt>
                <c:pt idx="25">
                  <c:v>1.1000000000000001</c:v>
                </c:pt>
                <c:pt idx="26">
                  <c:v>1.1000000000000001</c:v>
                </c:pt>
                <c:pt idx="27">
                  <c:v>0.8</c:v>
                </c:pt>
                <c:pt idx="28">
                  <c:v>0.70000000000000062</c:v>
                </c:pt>
                <c:pt idx="29">
                  <c:v>0.30000000000000032</c:v>
                </c:pt>
              </c:numCache>
            </c:numRef>
          </c:val>
          <c:extLst xmlns:c16r2="http://schemas.microsoft.com/office/drawing/2015/06/chart">
            <c:ext xmlns:c16="http://schemas.microsoft.com/office/drawing/2014/chart" uri="{C3380CC4-5D6E-409C-BE32-E72D297353CC}">
              <c16:uniqueId val="{00000005-A851-49D6-8BF3-57D64CCCF603}"/>
            </c:ext>
          </c:extLst>
        </c:ser>
        <c:gapWidth val="95"/>
        <c:axId val="118847744"/>
        <c:axId val="118853632"/>
      </c:barChart>
      <c:catAx>
        <c:axId val="118847744"/>
        <c:scaling>
          <c:orientation val="minMax"/>
        </c:scaling>
        <c:axPos val="b"/>
        <c:numFmt formatCode="General" sourceLinked="0"/>
        <c:tickLblPos val="low"/>
        <c:txPr>
          <a:bodyPr rot="-5400000" vert="horz"/>
          <a:lstStyle/>
          <a:p>
            <a:pPr>
              <a:defRPr/>
            </a:pPr>
            <a:endParaRPr lang="cs-CZ"/>
          </a:p>
        </c:txPr>
        <c:crossAx val="118853632"/>
        <c:crosses val="autoZero"/>
        <c:auto val="1"/>
        <c:lblAlgn val="ctr"/>
        <c:lblOffset val="100"/>
      </c:catAx>
      <c:valAx>
        <c:axId val="118853632"/>
        <c:scaling>
          <c:orientation val="minMax"/>
        </c:scaling>
        <c:axPos val="l"/>
        <c:majorGridlines/>
        <c:numFmt formatCode="#,##0" sourceLinked="0"/>
        <c:tickLblPos val="nextTo"/>
        <c:crossAx val="118847744"/>
        <c:crosses val="autoZero"/>
        <c:crossBetween val="between"/>
      </c:valAx>
      <c:spPr>
        <a:ln>
          <a:solidFill>
            <a:sysClr val="windowText" lastClr="000000"/>
          </a:solidFill>
        </a:ln>
      </c:spPr>
    </c:plotArea>
    <c:legend>
      <c:legendPos val="r"/>
      <c:layout>
        <c:manualLayout>
          <c:xMode val="edge"/>
          <c:yMode val="edge"/>
          <c:x val="4.0740670381627833E-2"/>
          <c:y val="0.92588680625914765"/>
          <c:w val="0.94049455420466055"/>
          <c:h val="5.2509850275807686E-2"/>
        </c:manualLayout>
      </c:layout>
      <c:spPr>
        <a:ln>
          <a:solidFill>
            <a:sysClr val="windowText" lastClr="000000"/>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643251153889452E-2"/>
          <c:w val="0.92638384981032296"/>
          <c:h val="0.59446977372509258"/>
        </c:manualLayout>
      </c:layout>
      <c:barChart>
        <c:barDir val="col"/>
        <c:grouping val="clustered"/>
        <c:ser>
          <c:idx val="0"/>
          <c:order val="0"/>
          <c:tx>
            <c:strRef>
              <c:f>'Graf-porovnání oddílů M+N'!$B$63</c:f>
              <c:strCache>
                <c:ptCount val="1"/>
                <c:pt idx="0">
                  <c:v>Průměrná mzda zaměstnance</c:v>
                </c:pt>
              </c:strCache>
            </c:strRef>
          </c:tx>
          <c:spPr>
            <a:solidFill>
              <a:srgbClr val="0085BC"/>
            </a:solidFill>
            <a:ln w="12700">
              <a:noFill/>
              <a:prstDash val="solid"/>
            </a:ln>
          </c:spPr>
          <c:cat>
            <c:strRef>
              <c:f>'Graf-porovnání oddílů M+N'!$A$64:$A$75</c:f>
              <c:strCache>
                <c:ptCount val="12"/>
                <c:pt idx="0">
                  <c:v>Právní a účetnické
činnosti (NACE 69)</c:v>
                </c:pt>
                <c:pt idx="1">
                  <c:v>Poradenství 
v oblasti řízení (70)</c:v>
                </c:pt>
                <c:pt idx="2">
                  <c:v>Architektonic. 
a inženýrské čin. (71)</c:v>
                </c:pt>
                <c:pt idx="3">
                  <c:v>Výzkum a vývoj (72)</c:v>
                </c:pt>
                <c:pt idx="4">
                  <c:v>Reklama 
a průzkum trhu (73)</c:v>
                </c:pt>
                <c:pt idx="5">
                  <c:v>74 Ostatní profesní, 
vědec. a techn. čin. (74)*</c:v>
                </c:pt>
                <c:pt idx="6">
                  <c:v>Pronájem, 
operativ. leasing (77)</c:v>
                </c:pt>
                <c:pt idx="7">
                  <c:v>Činnosti související 
se zaměstnáním(78)</c:v>
                </c:pt>
                <c:pt idx="8">
                  <c:v>Cestovní agentury 
a kanceláře (79)</c:v>
                </c:pt>
                <c:pt idx="9">
                  <c:v>Bezpečnostní 
a pátrací čin. (80)</c:v>
                </c:pt>
                <c:pt idx="10">
                  <c:v>Čin. souvis. se stavbami 
a úpravou krajiny (81)</c:v>
                </c:pt>
                <c:pt idx="11">
                  <c:v>Admin.,kancel.a jiné 
podp.čin.pro podnik. (82)</c:v>
                </c:pt>
              </c:strCache>
            </c:strRef>
          </c:cat>
          <c:val>
            <c:numRef>
              <c:f>'Graf-porovnání oddílů M+N'!$B$64:$B$75</c:f>
              <c:numCache>
                <c:formatCode>0</c:formatCode>
                <c:ptCount val="12"/>
                <c:pt idx="0">
                  <c:v>100.28175940114799</c:v>
                </c:pt>
                <c:pt idx="1">
                  <c:v>160.751035042821</c:v>
                </c:pt>
                <c:pt idx="2">
                  <c:v>114.49925173083534</c:v>
                </c:pt>
                <c:pt idx="3">
                  <c:v>128.38928303435713</c:v>
                </c:pt>
                <c:pt idx="4">
                  <c:v>112.14562641189715</c:v>
                </c:pt>
                <c:pt idx="5">
                  <c:v>67.484633121034747</c:v>
                </c:pt>
                <c:pt idx="6">
                  <c:v>110.84727096491761</c:v>
                </c:pt>
                <c:pt idx="7">
                  <c:v>85.358649065298891</c:v>
                </c:pt>
                <c:pt idx="8">
                  <c:v>80.392050449241296</c:v>
                </c:pt>
                <c:pt idx="9">
                  <c:v>53.988079571147047</c:v>
                </c:pt>
                <c:pt idx="10">
                  <c:v>68.980326078065104</c:v>
                </c:pt>
                <c:pt idx="11">
                  <c:v>93.804116227122904</c:v>
                </c:pt>
              </c:numCache>
            </c:numRef>
          </c:val>
          <c:extLst xmlns:c16r2="http://schemas.microsoft.com/office/drawing/2015/06/chart">
            <c:ext xmlns:c16="http://schemas.microsoft.com/office/drawing/2014/chart" uri="{C3380CC4-5D6E-409C-BE32-E72D297353CC}">
              <c16:uniqueId val="{00000000-BAFA-479C-8EBE-2B78388BACFB}"/>
            </c:ext>
          </c:extLst>
        </c:ser>
        <c:ser>
          <c:idx val="3"/>
          <c:order val="1"/>
          <c:tx>
            <c:strRef>
              <c:f>'Graf-porovnání oddílů M+N'!$C$63</c:f>
              <c:strCache>
                <c:ptCount val="1"/>
                <c:pt idx="0">
                  <c:v>Hodinová produktivita práce</c:v>
                </c:pt>
              </c:strCache>
            </c:strRef>
          </c:tx>
          <c:spPr>
            <a:solidFill>
              <a:srgbClr val="48AEE7"/>
            </a:solidFill>
            <a:ln w="19050">
              <a:noFill/>
              <a:prstDash val="solid"/>
            </a:ln>
          </c:spPr>
          <c:cat>
            <c:strRef>
              <c:f>'Graf-porovnání oddílů M+N'!$A$64:$A$75</c:f>
              <c:strCache>
                <c:ptCount val="12"/>
                <c:pt idx="0">
                  <c:v>Právní a účetnické
činnosti (NACE 69)</c:v>
                </c:pt>
                <c:pt idx="1">
                  <c:v>Poradenství 
v oblasti řízení (70)</c:v>
                </c:pt>
                <c:pt idx="2">
                  <c:v>Architektonic. 
a inženýrské čin. (71)</c:v>
                </c:pt>
                <c:pt idx="3">
                  <c:v>Výzkum a vývoj (72)</c:v>
                </c:pt>
                <c:pt idx="4">
                  <c:v>Reklama 
a průzkum trhu (73)</c:v>
                </c:pt>
                <c:pt idx="5">
                  <c:v>74 Ostatní profesní, 
vědec. a techn. čin. (74)*</c:v>
                </c:pt>
                <c:pt idx="6">
                  <c:v>Pronájem, 
operativ. leasing (77)</c:v>
                </c:pt>
                <c:pt idx="7">
                  <c:v>Činnosti související 
se zaměstnáním(78)</c:v>
                </c:pt>
                <c:pt idx="8">
                  <c:v>Cestovní agentury 
a kanceláře (79)</c:v>
                </c:pt>
                <c:pt idx="9">
                  <c:v>Bezpečnostní 
a pátrací čin. (80)</c:v>
                </c:pt>
                <c:pt idx="10">
                  <c:v>Čin. souvis. se stavbami 
a úpravou krajiny (81)</c:v>
                </c:pt>
                <c:pt idx="11">
                  <c:v>Admin.,kancel.a jiné 
podp.čin.pro podnik. (82)</c:v>
                </c:pt>
              </c:strCache>
            </c:strRef>
          </c:cat>
          <c:val>
            <c:numRef>
              <c:f>'Graf-porovnání oddílů M+N'!$C$64:$C$75</c:f>
              <c:numCache>
                <c:formatCode>0</c:formatCode>
                <c:ptCount val="12"/>
                <c:pt idx="0">
                  <c:v>74.360044245249597</c:v>
                </c:pt>
                <c:pt idx="1">
                  <c:v>118.14244335375381</c:v>
                </c:pt>
                <c:pt idx="2">
                  <c:v>90.598045284510093</c:v>
                </c:pt>
                <c:pt idx="3">
                  <c:v>153.71281832823854</c:v>
                </c:pt>
                <c:pt idx="4">
                  <c:v>89.898551984679514</c:v>
                </c:pt>
                <c:pt idx="5">
                  <c:v>61.64826743864009</c:v>
                </c:pt>
                <c:pt idx="6">
                  <c:v>254.48652442357158</c:v>
                </c:pt>
                <c:pt idx="7">
                  <c:v>114.60167231043734</c:v>
                </c:pt>
                <c:pt idx="8">
                  <c:v>64.705418342207778</c:v>
                </c:pt>
                <c:pt idx="9">
                  <c:v>31.19985873164293</c:v>
                </c:pt>
                <c:pt idx="10">
                  <c:v>47.382994733777394</c:v>
                </c:pt>
                <c:pt idx="11">
                  <c:v>64.045266372508848</c:v>
                </c:pt>
              </c:numCache>
            </c:numRef>
          </c:val>
          <c:extLst xmlns:c16r2="http://schemas.microsoft.com/office/drawing/2015/06/chart">
            <c:ext xmlns:c16="http://schemas.microsoft.com/office/drawing/2014/chart" uri="{C3380CC4-5D6E-409C-BE32-E72D297353CC}">
              <c16:uniqueId val="{00000001-BAFA-479C-8EBE-2B78388BACFB}"/>
            </c:ext>
          </c:extLst>
        </c:ser>
        <c:ser>
          <c:idx val="1"/>
          <c:order val="2"/>
          <c:tx>
            <c:strRef>
              <c:f>'Graf-porovnání oddílů M+N'!$D$63</c:f>
              <c:strCache>
                <c:ptCount val="1"/>
                <c:pt idx="0">
                  <c:v>Mira zisku**</c:v>
                </c:pt>
              </c:strCache>
            </c:strRef>
          </c:tx>
          <c:spPr>
            <a:solidFill>
              <a:srgbClr val="7DBB2D"/>
            </a:solidFill>
            <a:ln w="19050">
              <a:noFill/>
            </a:ln>
          </c:spPr>
          <c:cat>
            <c:strRef>
              <c:f>'Graf-porovnání oddílů M+N'!$A$64:$A$75</c:f>
              <c:strCache>
                <c:ptCount val="12"/>
                <c:pt idx="0">
                  <c:v>Právní a účetnické
činnosti (NACE 69)</c:v>
                </c:pt>
                <c:pt idx="1">
                  <c:v>Poradenství 
v oblasti řízení (70)</c:v>
                </c:pt>
                <c:pt idx="2">
                  <c:v>Architektonic. 
a inženýrské čin. (71)</c:v>
                </c:pt>
                <c:pt idx="3">
                  <c:v>Výzkum a vývoj (72)</c:v>
                </c:pt>
                <c:pt idx="4">
                  <c:v>Reklama 
a průzkum trhu (73)</c:v>
                </c:pt>
                <c:pt idx="5">
                  <c:v>74 Ostatní profesní, 
vědec. a techn. čin. (74)*</c:v>
                </c:pt>
                <c:pt idx="6">
                  <c:v>Pronájem, 
operativ. leasing (77)</c:v>
                </c:pt>
                <c:pt idx="7">
                  <c:v>Činnosti související 
se zaměstnáním(78)</c:v>
                </c:pt>
                <c:pt idx="8">
                  <c:v>Cestovní agentury 
a kanceláře (79)</c:v>
                </c:pt>
                <c:pt idx="9">
                  <c:v>Bezpečnostní 
a pátrací čin. (80)</c:v>
                </c:pt>
                <c:pt idx="10">
                  <c:v>Čin. souvis. se stavbami 
a úpravou krajiny (81)</c:v>
                </c:pt>
                <c:pt idx="11">
                  <c:v>Admin.,kancel.a jiné 
podp.čin.pro podnik. (82)</c:v>
                </c:pt>
              </c:strCache>
            </c:strRef>
          </c:cat>
          <c:val>
            <c:numRef>
              <c:f>'Graf-porovnání oddílů M+N'!$D$64:$D$75</c:f>
              <c:numCache>
                <c:formatCode>0</c:formatCode>
                <c:ptCount val="12"/>
                <c:pt idx="0">
                  <c:v>68.350533751354988</c:v>
                </c:pt>
                <c:pt idx="1">
                  <c:v>56.555429435726538</c:v>
                </c:pt>
                <c:pt idx="2">
                  <c:v>68.712117306885048</c:v>
                </c:pt>
                <c:pt idx="3">
                  <c:v>117.95905793454567</c:v>
                </c:pt>
                <c:pt idx="4">
                  <c:v>77.748203818603074</c:v>
                </c:pt>
                <c:pt idx="5">
                  <c:v>86.245121811566918</c:v>
                </c:pt>
                <c:pt idx="6">
                  <c:v>153.40820503107929</c:v>
                </c:pt>
                <c:pt idx="7">
                  <c:v>144.64659112213937</c:v>
                </c:pt>
                <c:pt idx="8">
                  <c:v>71.766649971639126</c:v>
                </c:pt>
                <c:pt idx="9">
                  <c:v>34.387189562993242</c:v>
                </c:pt>
                <c:pt idx="10">
                  <c:v>51.618262863584732</c:v>
                </c:pt>
                <c:pt idx="11">
                  <c:v>36.608430203098678</c:v>
                </c:pt>
              </c:numCache>
            </c:numRef>
          </c:val>
          <c:extLst xmlns:c16r2="http://schemas.microsoft.com/office/drawing/2015/06/chart">
            <c:ext xmlns:c16="http://schemas.microsoft.com/office/drawing/2014/chart" uri="{C3380CC4-5D6E-409C-BE32-E72D297353CC}">
              <c16:uniqueId val="{00000002-BAFA-479C-8EBE-2B78388BACFB}"/>
            </c:ext>
          </c:extLst>
        </c:ser>
        <c:ser>
          <c:idx val="7"/>
          <c:order val="3"/>
          <c:tx>
            <c:strRef>
              <c:f>'Graf-porovnání oddílů M+N'!$E$63</c:f>
              <c:strCache>
                <c:ptCount val="1"/>
                <c:pt idx="0">
                  <c:v>Míra investic</c:v>
                </c:pt>
              </c:strCache>
            </c:strRef>
          </c:tx>
          <c:spPr>
            <a:solidFill>
              <a:srgbClr val="D2E7B6"/>
            </a:solidFill>
            <a:ln w="19050">
              <a:noFill/>
            </a:ln>
          </c:spPr>
          <c:cat>
            <c:strRef>
              <c:f>'Graf-porovnání oddílů M+N'!$A$64:$A$75</c:f>
              <c:strCache>
                <c:ptCount val="12"/>
                <c:pt idx="0">
                  <c:v>Právní a účetnické
činnosti (NACE 69)</c:v>
                </c:pt>
                <c:pt idx="1">
                  <c:v>Poradenství 
v oblasti řízení (70)</c:v>
                </c:pt>
                <c:pt idx="2">
                  <c:v>Architektonic. 
a inženýrské čin. (71)</c:v>
                </c:pt>
                <c:pt idx="3">
                  <c:v>Výzkum a vývoj (72)</c:v>
                </c:pt>
                <c:pt idx="4">
                  <c:v>Reklama 
a průzkum trhu (73)</c:v>
                </c:pt>
                <c:pt idx="5">
                  <c:v>74 Ostatní profesní, 
vědec. a techn. čin. (74)*</c:v>
                </c:pt>
                <c:pt idx="6">
                  <c:v>Pronájem, 
operativ. leasing (77)</c:v>
                </c:pt>
                <c:pt idx="7">
                  <c:v>Činnosti související 
se zaměstnáním(78)</c:v>
                </c:pt>
                <c:pt idx="8">
                  <c:v>Cestovní agentury 
a kanceláře (79)</c:v>
                </c:pt>
                <c:pt idx="9">
                  <c:v>Bezpečnostní 
a pátrací čin. (80)</c:v>
                </c:pt>
                <c:pt idx="10">
                  <c:v>Čin. souvis. se stavbami 
a úpravou krajiny (81)</c:v>
                </c:pt>
                <c:pt idx="11">
                  <c:v>Admin.,kancel.a jiné 
podp.čin.pro podnik. (82)</c:v>
                </c:pt>
              </c:strCache>
            </c:strRef>
          </c:cat>
          <c:val>
            <c:numRef>
              <c:f>'Graf-porovnání oddílů M+N'!$E$64:$E$75</c:f>
              <c:numCache>
                <c:formatCode>0</c:formatCode>
                <c:ptCount val="12"/>
                <c:pt idx="0">
                  <c:v>41.414743712330477</c:v>
                </c:pt>
                <c:pt idx="1">
                  <c:v>76.22196855502861</c:v>
                </c:pt>
                <c:pt idx="2">
                  <c:v>70.243428753629757</c:v>
                </c:pt>
                <c:pt idx="3">
                  <c:v>198.73556751990066</c:v>
                </c:pt>
                <c:pt idx="4">
                  <c:v>53.431057594808394</c:v>
                </c:pt>
                <c:pt idx="5">
                  <c:v>90.235676379911439</c:v>
                </c:pt>
                <c:pt idx="6">
                  <c:v>281.77801448576844</c:v>
                </c:pt>
                <c:pt idx="7">
                  <c:v>96.452864974285347</c:v>
                </c:pt>
                <c:pt idx="8">
                  <c:v>39.10235023467537</c:v>
                </c:pt>
                <c:pt idx="9">
                  <c:v>22.605822892657592</c:v>
                </c:pt>
                <c:pt idx="10">
                  <c:v>43.581531549003145</c:v>
                </c:pt>
                <c:pt idx="11">
                  <c:v>57.500991399227544</c:v>
                </c:pt>
              </c:numCache>
            </c:numRef>
          </c:val>
          <c:extLst xmlns:c16r2="http://schemas.microsoft.com/office/drawing/2015/06/chart">
            <c:ext xmlns:c16="http://schemas.microsoft.com/office/drawing/2014/chart" uri="{C3380CC4-5D6E-409C-BE32-E72D297353CC}">
              <c16:uniqueId val="{00000003-BAFA-479C-8EBE-2B78388BACFB}"/>
            </c:ext>
          </c:extLst>
        </c:ser>
        <c:gapWidth val="153"/>
        <c:axId val="164838016"/>
        <c:axId val="164852096"/>
      </c:barChart>
      <c:catAx>
        <c:axId val="164838016"/>
        <c:scaling>
          <c:orientation val="minMax"/>
        </c:scaling>
        <c:axPos val="b"/>
        <c:numFmt formatCode="General" sourceLinked="1"/>
        <c:majorTickMark val="cross"/>
        <c:tickLblPos val="low"/>
        <c:spPr>
          <a:ln w="9525">
            <a:solidFill>
              <a:schemeClr val="tx1"/>
            </a:solidFill>
            <a:prstDash val="solid"/>
          </a:ln>
        </c:spPr>
        <c:txPr>
          <a:bodyPr rot="-5400000" vert="horz"/>
          <a:lstStyle/>
          <a:p>
            <a:pPr>
              <a:defRPr/>
            </a:pPr>
            <a:endParaRPr lang="cs-CZ"/>
          </a:p>
        </c:txPr>
        <c:crossAx val="164852096"/>
        <c:crossesAt val="100"/>
        <c:lblAlgn val="ctr"/>
        <c:lblOffset val="0"/>
        <c:tickLblSkip val="1"/>
        <c:tickMarkSkip val="1"/>
      </c:catAx>
      <c:valAx>
        <c:axId val="164852096"/>
        <c:scaling>
          <c:orientation val="minMax"/>
          <c:max val="200"/>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4838016"/>
        <c:crossesAt val="1"/>
        <c:crossBetween val="between"/>
        <c:majorUnit val="20"/>
      </c:valAx>
      <c:spPr>
        <a:noFill/>
        <a:ln w="9525">
          <a:solidFill>
            <a:schemeClr val="tx1"/>
          </a:solidFill>
        </a:ln>
      </c:spPr>
    </c:plotArea>
    <c:legend>
      <c:legendPos val="b"/>
      <c:layout>
        <c:manualLayout>
          <c:xMode val="edge"/>
          <c:yMode val="edge"/>
          <c:x val="5.8134314301508304E-2"/>
          <c:y val="0.93290104694360065"/>
          <c:w val="0.89999983040147324"/>
          <c:h val="5.3061747157491922E-2"/>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2040029038385534E-2"/>
          <c:y val="1.9513175616353028E-2"/>
          <c:w val="0.92433548575002356"/>
          <c:h val="0.72581447709107794"/>
        </c:manualLayout>
      </c:layout>
      <c:barChart>
        <c:barDir val="col"/>
        <c:grouping val="clustered"/>
        <c:ser>
          <c:idx val="0"/>
          <c:order val="0"/>
          <c:tx>
            <c:strRef>
              <c:f>'Graf-Národní účty-souhrnné'!$A$62</c:f>
              <c:strCache>
                <c:ptCount val="1"/>
                <c:pt idx="0">
                  <c:v>Hrubá přidaná hodnota (2010=100)</c:v>
                </c:pt>
              </c:strCache>
            </c:strRef>
          </c:tx>
          <c:spPr>
            <a:solidFill>
              <a:schemeClr val="bg1">
                <a:lumMod val="65000"/>
              </a:schemeClr>
            </a:solidFill>
            <a:ln w="12700">
              <a:noFill/>
              <a:prstDash val="solid"/>
            </a:ln>
          </c:spP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účty-souhrnné'!$G$62:$S$62</c:f>
              <c:numCache>
                <c:formatCode>0.0</c:formatCode>
                <c:ptCount val="13"/>
                <c:pt idx="0">
                  <c:v>97.499013682771377</c:v>
                </c:pt>
                <c:pt idx="1">
                  <c:v>96.541126373301694</c:v>
                </c:pt>
                <c:pt idx="2">
                  <c:v>97.145189464925707</c:v>
                </c:pt>
                <c:pt idx="3">
                  <c:v>98.744504477064922</c:v>
                </c:pt>
                <c:pt idx="4">
                  <c:v>99.073460842404188</c:v>
                </c:pt>
                <c:pt idx="5">
                  <c:v>100</c:v>
                </c:pt>
                <c:pt idx="6">
                  <c:v>98.268169702314694</c:v>
                </c:pt>
                <c:pt idx="7">
                  <c:v>98.555791732063781</c:v>
                </c:pt>
                <c:pt idx="8">
                  <c:v>99.076013891970604</c:v>
                </c:pt>
                <c:pt idx="9">
                  <c:v>99.902317081388176</c:v>
                </c:pt>
                <c:pt idx="10">
                  <c:v>100.53754013215122</c:v>
                </c:pt>
                <c:pt idx="11">
                  <c:v>102.83966657596753</c:v>
                </c:pt>
                <c:pt idx="12">
                  <c:v>104.49737358065232</c:v>
                </c:pt>
              </c:numCache>
            </c:numRef>
          </c:val>
          <c:extLst xmlns:c16r2="http://schemas.microsoft.com/office/drawing/2015/06/chart">
            <c:ext xmlns:c16="http://schemas.microsoft.com/office/drawing/2014/chart" uri="{C3380CC4-5D6E-409C-BE32-E72D297353CC}">
              <c16:uniqueId val="{00000000-05A4-42C0-9C19-152672C5C025}"/>
            </c:ext>
          </c:extLst>
        </c:ser>
        <c:gapWidth val="30"/>
        <c:axId val="168416000"/>
        <c:axId val="168417536"/>
      </c:barChart>
      <c:lineChart>
        <c:grouping val="standard"/>
        <c:ser>
          <c:idx val="3"/>
          <c:order val="1"/>
          <c:tx>
            <c:strRef>
              <c:f>'Graf-Národní účty-souhrnné'!$A$63</c:f>
              <c:strCache>
                <c:ptCount val="1"/>
                <c:pt idx="0">
                  <c:v>Objem reálných vyplacených mezd a platů (2010=100)*</c:v>
                </c:pt>
              </c:strCache>
            </c:strRef>
          </c:tx>
          <c:spPr>
            <a:ln w="19050">
              <a:solidFill>
                <a:srgbClr val="7DBB2D"/>
              </a:solidFill>
              <a:prstDash val="solid"/>
            </a:ln>
          </c:spPr>
          <c:marker>
            <c:symbol val="none"/>
          </c:marke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účty-souhrnné'!$G$63:$S$63</c:f>
              <c:numCache>
                <c:formatCode>0</c:formatCode>
                <c:ptCount val="13"/>
                <c:pt idx="0">
                  <c:v>88.165442825475424</c:v>
                </c:pt>
                <c:pt idx="1">
                  <c:v>92.550089812570235</c:v>
                </c:pt>
                <c:pt idx="2">
                  <c:v>95.65980141534321</c:v>
                </c:pt>
                <c:pt idx="3">
                  <c:v>96.227544035561849</c:v>
                </c:pt>
                <c:pt idx="4">
                  <c:v>99.584315104247864</c:v>
                </c:pt>
                <c:pt idx="5">
                  <c:v>100</c:v>
                </c:pt>
                <c:pt idx="6">
                  <c:v>97.483065810290455</c:v>
                </c:pt>
                <c:pt idx="7">
                  <c:v>97.175792697185244</c:v>
                </c:pt>
                <c:pt idx="8">
                  <c:v>98.428499257893478</c:v>
                </c:pt>
                <c:pt idx="9">
                  <c:v>101.95760321402852</c:v>
                </c:pt>
                <c:pt idx="10">
                  <c:v>106.45174280779614</c:v>
                </c:pt>
                <c:pt idx="11">
                  <c:v>112.32063483805028</c:v>
                </c:pt>
                <c:pt idx="12">
                  <c:v>120.68533140832545</c:v>
                </c:pt>
              </c:numCache>
            </c:numRef>
          </c:val>
          <c:extLst xmlns:c16r2="http://schemas.microsoft.com/office/drawing/2015/06/chart">
            <c:ext xmlns:c16="http://schemas.microsoft.com/office/drawing/2014/chart" uri="{C3380CC4-5D6E-409C-BE32-E72D297353CC}">
              <c16:uniqueId val="{00000001-05A4-42C0-9C19-152672C5C025}"/>
            </c:ext>
          </c:extLst>
        </c:ser>
        <c:ser>
          <c:idx val="1"/>
          <c:order val="2"/>
          <c:tx>
            <c:strRef>
              <c:f>'Graf-Národní účty-souhrnné'!$A$64</c:f>
              <c:strCache>
                <c:ptCount val="1"/>
                <c:pt idx="0">
                  <c:v>Reálná hodinová produktivita práce (2010=100)</c:v>
                </c:pt>
              </c:strCache>
            </c:strRef>
          </c:tx>
          <c:spPr>
            <a:ln w="19050">
              <a:solidFill>
                <a:srgbClr val="0071BC"/>
              </a:solidFill>
            </a:ln>
          </c:spPr>
          <c:marker>
            <c:symbol val="none"/>
          </c:marke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účty-souhrnné'!$G$64:$S$64</c:f>
              <c:numCache>
                <c:formatCode>0</c:formatCode>
                <c:ptCount val="13"/>
                <c:pt idx="0">
                  <c:v>100.32568682518738</c:v>
                </c:pt>
                <c:pt idx="1">
                  <c:v>98.584060256507783</c:v>
                </c:pt>
                <c:pt idx="2">
                  <c:v>98.525366918973418</c:v>
                </c:pt>
                <c:pt idx="3">
                  <c:v>98.798940454532953</c:v>
                </c:pt>
                <c:pt idx="4">
                  <c:v>99.596554931979327</c:v>
                </c:pt>
                <c:pt idx="5">
                  <c:v>100</c:v>
                </c:pt>
                <c:pt idx="6">
                  <c:v>98.221037930274278</c:v>
                </c:pt>
                <c:pt idx="7">
                  <c:v>100.76013582037636</c:v>
                </c:pt>
                <c:pt idx="8">
                  <c:v>101.14656020309407</c:v>
                </c:pt>
                <c:pt idx="9">
                  <c:v>98.174638853600342</c:v>
                </c:pt>
                <c:pt idx="10">
                  <c:v>98.757736613122319</c:v>
                </c:pt>
                <c:pt idx="11">
                  <c:v>97.233575733795959</c:v>
                </c:pt>
                <c:pt idx="12">
                  <c:v>95.145985922973779</c:v>
                </c:pt>
              </c:numCache>
            </c:numRef>
          </c:val>
          <c:extLst xmlns:c16r2="http://schemas.microsoft.com/office/drawing/2015/06/chart">
            <c:ext xmlns:c16="http://schemas.microsoft.com/office/drawing/2014/chart" uri="{C3380CC4-5D6E-409C-BE32-E72D297353CC}">
              <c16:uniqueId val="{00000002-05A4-42C0-9C19-152672C5C025}"/>
            </c:ext>
          </c:extLst>
        </c:ser>
        <c:ser>
          <c:idx val="7"/>
          <c:order val="3"/>
          <c:tx>
            <c:strRef>
              <c:f>'Graf-Národní účty-souhrnné'!$A$65</c:f>
              <c:strCache>
                <c:ptCount val="1"/>
                <c:pt idx="0">
                  <c:v>Zaměstnanost (úvazky na plnou pracovní dobu, 2010=100)</c:v>
                </c:pt>
              </c:strCache>
            </c:strRef>
          </c:tx>
          <c:spPr>
            <a:ln w="19050">
              <a:noFill/>
            </a:ln>
          </c:spPr>
          <c:marker>
            <c:symbol val="circle"/>
            <c:size val="5"/>
            <c:spPr>
              <a:solidFill>
                <a:srgbClr val="FFFF00"/>
              </a:solidFill>
              <a:ln w="6350">
                <a:solidFill>
                  <a:sysClr val="windowText" lastClr="000000">
                    <a:lumMod val="65000"/>
                    <a:lumOff val="35000"/>
                  </a:sysClr>
                </a:solidFill>
              </a:ln>
            </c:spPr>
          </c:marke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účty-souhrnné'!$G$65:$S$65</c:f>
              <c:numCache>
                <c:formatCode>0.0</c:formatCode>
                <c:ptCount val="13"/>
                <c:pt idx="0">
                  <c:v>98.279530876528852</c:v>
                </c:pt>
                <c:pt idx="1">
                  <c:v>98.807409536570589</c:v>
                </c:pt>
                <c:pt idx="2">
                  <c:v>99.752017250593127</c:v>
                </c:pt>
                <c:pt idx="3">
                  <c:v>100.75116149698957</c:v>
                </c:pt>
                <c:pt idx="4">
                  <c:v>100.26929462077486</c:v>
                </c:pt>
                <c:pt idx="5">
                  <c:v>100</c:v>
                </c:pt>
                <c:pt idx="6">
                  <c:v>99.446000636077727</c:v>
                </c:pt>
                <c:pt idx="7">
                  <c:v>98.217890387034515</c:v>
                </c:pt>
                <c:pt idx="8">
                  <c:v>99.29255516222706</c:v>
                </c:pt>
                <c:pt idx="9">
                  <c:v>100.8742238926839</c:v>
                </c:pt>
                <c:pt idx="10">
                  <c:v>101.7358792458439</c:v>
                </c:pt>
                <c:pt idx="11">
                  <c:v>104.10980313295352</c:v>
                </c:pt>
                <c:pt idx="12">
                  <c:v>107.28625559163393</c:v>
                </c:pt>
              </c:numCache>
            </c:numRef>
          </c:val>
          <c:extLst xmlns:c16r2="http://schemas.microsoft.com/office/drawing/2015/06/chart">
            <c:ext xmlns:c16="http://schemas.microsoft.com/office/drawing/2014/chart" uri="{C3380CC4-5D6E-409C-BE32-E72D297353CC}">
              <c16:uniqueId val="{00000003-05A4-42C0-9C19-152672C5C025}"/>
            </c:ext>
          </c:extLst>
        </c:ser>
        <c:marker val="1"/>
        <c:axId val="168416000"/>
        <c:axId val="168417536"/>
      </c:lineChart>
      <c:lineChart>
        <c:grouping val="standard"/>
        <c:ser>
          <c:idx val="2"/>
          <c:order val="4"/>
          <c:tx>
            <c:strRef>
              <c:f>'Graf-Národní účty-souhrnné'!$A$66</c:f>
              <c:strCache>
                <c:ptCount val="1"/>
                <c:pt idx="0">
                  <c:v>Míra investic celkem (v %, pravá osa)</c:v>
                </c:pt>
              </c:strCache>
            </c:strRef>
          </c:tx>
          <c:spPr>
            <a:ln w="19050">
              <a:solidFill>
                <a:srgbClr val="BD1B21"/>
              </a:solidFill>
              <a:prstDash val="sysDash"/>
            </a:ln>
          </c:spPr>
          <c:marker>
            <c:symbol val="none"/>
          </c:marke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účty-souhrnné'!$G$66:$S$66</c:f>
              <c:numCache>
                <c:formatCode>0</c:formatCode>
                <c:ptCount val="13"/>
                <c:pt idx="0">
                  <c:v>24.491683484824289</c:v>
                </c:pt>
                <c:pt idx="1">
                  <c:v>24.88039472862409</c:v>
                </c:pt>
                <c:pt idx="2">
                  <c:v>23.770089378138689</c:v>
                </c:pt>
                <c:pt idx="3">
                  <c:v>23.884443846791569</c:v>
                </c:pt>
                <c:pt idx="4">
                  <c:v>27.960894205757789</c:v>
                </c:pt>
                <c:pt idx="5">
                  <c:v>26.103704978391029</c:v>
                </c:pt>
                <c:pt idx="6">
                  <c:v>24.521542445157429</c:v>
                </c:pt>
                <c:pt idx="7">
                  <c:v>24.215917683724019</c:v>
                </c:pt>
                <c:pt idx="8">
                  <c:v>21.88296316138269</c:v>
                </c:pt>
                <c:pt idx="9">
                  <c:v>24.282350825546196</c:v>
                </c:pt>
                <c:pt idx="10">
                  <c:v>29.496812386156652</c:v>
                </c:pt>
                <c:pt idx="11">
                  <c:v>17.215038516077087</c:v>
                </c:pt>
                <c:pt idx="12">
                  <c:v>19.25513806581769</c:v>
                </c:pt>
              </c:numCache>
            </c:numRef>
          </c:val>
          <c:extLst xmlns:c16r2="http://schemas.microsoft.com/office/drawing/2015/06/chart">
            <c:ext xmlns:c16="http://schemas.microsoft.com/office/drawing/2014/chart" uri="{C3380CC4-5D6E-409C-BE32-E72D297353CC}">
              <c16:uniqueId val="{00000004-05A4-42C0-9C19-152672C5C025}"/>
            </c:ext>
          </c:extLst>
        </c:ser>
        <c:ser>
          <c:idx val="4"/>
          <c:order val="5"/>
          <c:tx>
            <c:strRef>
              <c:f>'Graf-Národní účty-souhrnné'!$A$67</c:f>
              <c:strCache>
                <c:ptCount val="1"/>
                <c:pt idx="0">
                  <c:v>Míra investic do budov a staveb, mimo obydlí (v %, pravá osa)</c:v>
                </c:pt>
              </c:strCache>
            </c:strRef>
          </c:tx>
          <c:spPr>
            <a:ln w="19050">
              <a:solidFill>
                <a:srgbClr val="F8A124"/>
              </a:solidFill>
              <a:prstDash val="sysDash"/>
            </a:ln>
          </c:spPr>
          <c:marker>
            <c:symbol val="none"/>
          </c:marke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účty-souhrnné'!$G$67:$S$67</c:f>
              <c:numCache>
                <c:formatCode>#,##0.0</c:formatCode>
                <c:ptCount val="13"/>
                <c:pt idx="0">
                  <c:v>14.475123791537046</c:v>
                </c:pt>
                <c:pt idx="1">
                  <c:v>16.959757388239176</c:v>
                </c:pt>
                <c:pt idx="2">
                  <c:v>14.802845655759725</c:v>
                </c:pt>
                <c:pt idx="3">
                  <c:v>15.21719002897466</c:v>
                </c:pt>
                <c:pt idx="4">
                  <c:v>17.477684862507289</c:v>
                </c:pt>
                <c:pt idx="5">
                  <c:v>17.154887604101631</c:v>
                </c:pt>
                <c:pt idx="6">
                  <c:v>14.304701525281727</c:v>
                </c:pt>
                <c:pt idx="7">
                  <c:v>13.850574064317327</c:v>
                </c:pt>
                <c:pt idx="8">
                  <c:v>11.839711361994498</c:v>
                </c:pt>
                <c:pt idx="9">
                  <c:v>14.218878967208129</c:v>
                </c:pt>
                <c:pt idx="10">
                  <c:v>15.409849943151327</c:v>
                </c:pt>
                <c:pt idx="11">
                  <c:v>8.4984060181214804</c:v>
                </c:pt>
                <c:pt idx="12">
                  <c:v>10.132824243916657</c:v>
                </c:pt>
              </c:numCache>
            </c:numRef>
          </c:val>
          <c:extLst xmlns:c16r2="http://schemas.microsoft.com/office/drawing/2015/06/chart">
            <c:ext xmlns:c16="http://schemas.microsoft.com/office/drawing/2014/chart" uri="{C3380CC4-5D6E-409C-BE32-E72D297353CC}">
              <c16:uniqueId val="{00000005-05A4-42C0-9C19-152672C5C025}"/>
            </c:ext>
          </c:extLst>
        </c:ser>
        <c:ser>
          <c:idx val="5"/>
          <c:order val="6"/>
          <c:tx>
            <c:strRef>
              <c:f>'Graf-Národní účty-souhrnné'!$A$68</c:f>
              <c:strCache>
                <c:ptCount val="1"/>
                <c:pt idx="0">
                  <c:v>Míra investic do produktů duševního vlastnictví (v %, pravá osa)</c:v>
                </c:pt>
              </c:strCache>
            </c:strRef>
          </c:tx>
          <c:spPr>
            <a:ln w="19050">
              <a:solidFill>
                <a:srgbClr val="7030A0"/>
              </a:solidFill>
              <a:prstDash val="sysDash"/>
            </a:ln>
          </c:spPr>
          <c:marker>
            <c:symbol val="none"/>
          </c:marker>
          <c:cat>
            <c:strRef>
              <c:f>'Graf-Národní účty-souhrnné'!$G$61:$S$61</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'Graf-Národní účty-souhrnné'!$G$68:$S$68</c:f>
              <c:numCache>
                <c:formatCode>#,##0.0</c:formatCode>
                <c:ptCount val="13"/>
                <c:pt idx="0">
                  <c:v>2.7431644263310444</c:v>
                </c:pt>
                <c:pt idx="1">
                  <c:v>2.7442636340984388</c:v>
                </c:pt>
                <c:pt idx="2">
                  <c:v>3.0477706586705384</c:v>
                </c:pt>
                <c:pt idx="3">
                  <c:v>3.1359946577401412</c:v>
                </c:pt>
                <c:pt idx="4">
                  <c:v>3.9113061592558767</c:v>
                </c:pt>
                <c:pt idx="5">
                  <c:v>3.3847109147240877</c:v>
                </c:pt>
                <c:pt idx="6">
                  <c:v>3.7051900722464759</c:v>
                </c:pt>
                <c:pt idx="7">
                  <c:v>4.2640676000168058</c:v>
                </c:pt>
                <c:pt idx="8">
                  <c:v>4.2379211169370885</c:v>
                </c:pt>
                <c:pt idx="9">
                  <c:v>4.2547492911320424</c:v>
                </c:pt>
                <c:pt idx="10">
                  <c:v>4.3712483964929927</c:v>
                </c:pt>
                <c:pt idx="11">
                  <c:v>3.7604525055763602</c:v>
                </c:pt>
                <c:pt idx="12">
                  <c:v>3.6672149910317446</c:v>
                </c:pt>
              </c:numCache>
            </c:numRef>
          </c:val>
          <c:extLst xmlns:c16r2="http://schemas.microsoft.com/office/drawing/2015/06/chart">
            <c:ext xmlns:c16="http://schemas.microsoft.com/office/drawing/2014/chart" uri="{C3380CC4-5D6E-409C-BE32-E72D297353CC}">
              <c16:uniqueId val="{00000006-05A4-42C0-9C19-152672C5C025}"/>
            </c:ext>
          </c:extLst>
        </c:ser>
        <c:marker val="1"/>
        <c:axId val="175412736"/>
        <c:axId val="175411200"/>
      </c:lineChart>
      <c:catAx>
        <c:axId val="168416000"/>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68417536"/>
        <c:crossesAt val="100"/>
        <c:lblAlgn val="ctr"/>
        <c:lblOffset val="0"/>
        <c:tickLblSkip val="1"/>
        <c:tickMarkSkip val="4"/>
      </c:catAx>
      <c:valAx>
        <c:axId val="168417536"/>
        <c:scaling>
          <c:orientation val="minMax"/>
          <c:max val="121"/>
          <c:min val="8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68416000"/>
        <c:crosses val="autoZero"/>
        <c:crossBetween val="between"/>
        <c:majorUnit val="5"/>
      </c:valAx>
      <c:valAx>
        <c:axId val="175411200"/>
        <c:scaling>
          <c:orientation val="minMax"/>
          <c:max val="41"/>
          <c:min val="0"/>
        </c:scaling>
        <c:axPos val="r"/>
        <c:numFmt formatCode="0" sourceLinked="0"/>
        <c:tickLblPos val="nextTo"/>
        <c:crossAx val="175412736"/>
        <c:crosses val="max"/>
        <c:crossBetween val="between"/>
        <c:majorUnit val="5"/>
      </c:valAx>
      <c:catAx>
        <c:axId val="175412736"/>
        <c:scaling>
          <c:orientation val="minMax"/>
        </c:scaling>
        <c:delete val="1"/>
        <c:axPos val="b"/>
        <c:numFmt formatCode="General" sourceLinked="1"/>
        <c:tickLblPos val="none"/>
        <c:crossAx val="175411200"/>
        <c:crosses val="autoZero"/>
        <c:auto val="1"/>
        <c:lblAlgn val="ctr"/>
        <c:lblOffset val="100"/>
      </c:catAx>
      <c:spPr>
        <a:noFill/>
        <a:ln w="9525">
          <a:solidFill>
            <a:schemeClr val="tx1"/>
          </a:solidFill>
        </a:ln>
      </c:spPr>
    </c:plotArea>
    <c:legend>
      <c:legendPos val="b"/>
      <c:layout>
        <c:manualLayout>
          <c:xMode val="edge"/>
          <c:yMode val="edge"/>
          <c:x val="5.8118780233128588E-2"/>
          <c:y val="0.7863570865698527"/>
          <c:w val="0.89005817546401911"/>
          <c:h val="0.20292018462231368"/>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6.2040029038385493E-2"/>
          <c:y val="1.643251153889452E-2"/>
          <c:w val="0.91748516470091346"/>
          <c:h val="0.71866599121918895"/>
        </c:manualLayout>
      </c:layout>
      <c:barChart>
        <c:barDir val="col"/>
        <c:grouping val="stacked"/>
        <c:ser>
          <c:idx val="0"/>
          <c:order val="0"/>
          <c:tx>
            <c:strRef>
              <c:f>'Graf-skladba investic'!$C$93</c:f>
              <c:strCache>
                <c:ptCount val="1"/>
                <c:pt idx="0">
                  <c:v>Budovy a stavby (vč. obydlí)</c:v>
                </c:pt>
              </c:strCache>
            </c:strRef>
          </c:tx>
          <c:spPr>
            <a:solidFill>
              <a:srgbClr val="C4C4C4"/>
            </a:solidFill>
            <a:ln w="12700">
              <a:noFill/>
              <a:prstDash val="solid"/>
            </a:ln>
          </c:spPr>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investic'!$C$94:$C$123</c:f>
              <c:numCache>
                <c:formatCode>#,##0.0</c:formatCode>
                <c:ptCount val="30"/>
                <c:pt idx="0">
                  <c:v>50.795000000000279</c:v>
                </c:pt>
                <c:pt idx="1">
                  <c:v>66.144000000000005</c:v>
                </c:pt>
                <c:pt idx="2">
                  <c:v>60.949999999999996</c:v>
                </c:pt>
                <c:pt idx="3">
                  <c:v>54.68</c:v>
                </c:pt>
                <c:pt idx="4">
                  <c:v>52.965000000000003</c:v>
                </c:pt>
                <c:pt idx="5">
                  <c:v>46.290000000000013</c:v>
                </c:pt>
                <c:pt idx="6">
                  <c:v>66.021000000000001</c:v>
                </c:pt>
                <c:pt idx="7">
                  <c:v>73.637</c:v>
                </c:pt>
                <c:pt idx="8">
                  <c:v>40.598000000000013</c:v>
                </c:pt>
                <c:pt idx="9">
                  <c:v>58.898000000000003</c:v>
                </c:pt>
                <c:pt idx="10">
                  <c:v>10.931000000000001</c:v>
                </c:pt>
                <c:pt idx="11">
                  <c:v>10.18</c:v>
                </c:pt>
                <c:pt idx="12">
                  <c:v>11.537000000000001</c:v>
                </c:pt>
                <c:pt idx="13">
                  <c:v>12.584</c:v>
                </c:pt>
                <c:pt idx="14">
                  <c:v>11.008000000000001</c:v>
                </c:pt>
                <c:pt idx="15">
                  <c:v>8.4580000000000002</c:v>
                </c:pt>
                <c:pt idx="16">
                  <c:v>8.9870000000000001</c:v>
                </c:pt>
                <c:pt idx="17">
                  <c:v>11.455000000000071</c:v>
                </c:pt>
                <c:pt idx="18">
                  <c:v>5.5289999999999955</c:v>
                </c:pt>
                <c:pt idx="19">
                  <c:v>4.452</c:v>
                </c:pt>
                <c:pt idx="20">
                  <c:v>8.4910000000000014</c:v>
                </c:pt>
                <c:pt idx="21">
                  <c:v>9.593</c:v>
                </c:pt>
                <c:pt idx="22">
                  <c:v>11.162000000000004</c:v>
                </c:pt>
                <c:pt idx="23">
                  <c:v>8.3990000000000027</c:v>
                </c:pt>
                <c:pt idx="24">
                  <c:v>9.3750000000000266</c:v>
                </c:pt>
                <c:pt idx="25">
                  <c:v>6.593</c:v>
                </c:pt>
                <c:pt idx="26">
                  <c:v>5.806</c:v>
                </c:pt>
                <c:pt idx="27">
                  <c:v>9.0630000000000006</c:v>
                </c:pt>
                <c:pt idx="28">
                  <c:v>6.8159999999999945</c:v>
                </c:pt>
                <c:pt idx="29">
                  <c:v>6.2050000000000001</c:v>
                </c:pt>
              </c:numCache>
            </c:numRef>
          </c:val>
          <c:extLst xmlns:c16r2="http://schemas.microsoft.com/office/drawing/2015/06/chart">
            <c:ext xmlns:c16="http://schemas.microsoft.com/office/drawing/2014/chart" uri="{C3380CC4-5D6E-409C-BE32-E72D297353CC}">
              <c16:uniqueId val="{00000000-8CF0-4095-9929-B59E141CBF13}"/>
            </c:ext>
          </c:extLst>
        </c:ser>
        <c:ser>
          <c:idx val="3"/>
          <c:order val="1"/>
          <c:tx>
            <c:strRef>
              <c:f>'Graf-skladba investic'!$D$93</c:f>
              <c:strCache>
                <c:ptCount val="1"/>
                <c:pt idx="0">
                  <c:v>Dopravní prostředky a zařízení</c:v>
                </c:pt>
              </c:strCache>
            </c:strRef>
          </c:tx>
          <c:spPr>
            <a:solidFill>
              <a:srgbClr val="7DBB2D"/>
            </a:solidFill>
            <a:ln w="19050">
              <a:noFill/>
              <a:prstDash val="solid"/>
            </a:ln>
          </c:spPr>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investic'!$D$94:$D$123</c:f>
              <c:numCache>
                <c:formatCode>#,##0.0</c:formatCode>
                <c:ptCount val="30"/>
                <c:pt idx="0">
                  <c:v>6.0219999999999985</c:v>
                </c:pt>
                <c:pt idx="1">
                  <c:v>4.8649999999999745</c:v>
                </c:pt>
                <c:pt idx="2">
                  <c:v>5.4459999999999997</c:v>
                </c:pt>
                <c:pt idx="3">
                  <c:v>1.7949999999999922</c:v>
                </c:pt>
                <c:pt idx="4">
                  <c:v>2.6219999999999999</c:v>
                </c:pt>
                <c:pt idx="5">
                  <c:v>3.0019999999999998</c:v>
                </c:pt>
                <c:pt idx="6">
                  <c:v>2.0630000000000002</c:v>
                </c:pt>
                <c:pt idx="7">
                  <c:v>5.84</c:v>
                </c:pt>
                <c:pt idx="8">
                  <c:v>2.4089999999999998</c:v>
                </c:pt>
                <c:pt idx="9">
                  <c:v>4.9770000000000003</c:v>
                </c:pt>
                <c:pt idx="10">
                  <c:v>0.46600000000000008</c:v>
                </c:pt>
                <c:pt idx="11">
                  <c:v>0.52</c:v>
                </c:pt>
                <c:pt idx="12">
                  <c:v>0.28500000000000031</c:v>
                </c:pt>
                <c:pt idx="13">
                  <c:v>0.17900000000000021</c:v>
                </c:pt>
                <c:pt idx="14">
                  <c:v>0.32400000000000218</c:v>
                </c:pt>
                <c:pt idx="15">
                  <c:v>0.13200000000000001</c:v>
                </c:pt>
                <c:pt idx="16">
                  <c:v>0.30200000000000032</c:v>
                </c:pt>
                <c:pt idx="17">
                  <c:v>0.33600000000000252</c:v>
                </c:pt>
                <c:pt idx="18">
                  <c:v>0.36600000000000038</c:v>
                </c:pt>
                <c:pt idx="19">
                  <c:v>0.29100000000000031</c:v>
                </c:pt>
                <c:pt idx="20">
                  <c:v>1.6400000000000001</c:v>
                </c:pt>
                <c:pt idx="21">
                  <c:v>1.9470000000000001</c:v>
                </c:pt>
                <c:pt idx="22">
                  <c:v>1.2229999999999905</c:v>
                </c:pt>
                <c:pt idx="23">
                  <c:v>2.0499999999999998</c:v>
                </c:pt>
                <c:pt idx="24">
                  <c:v>2.4249999999999998</c:v>
                </c:pt>
                <c:pt idx="25">
                  <c:v>0.79700000000000004</c:v>
                </c:pt>
                <c:pt idx="26">
                  <c:v>0.95100000000000062</c:v>
                </c:pt>
                <c:pt idx="27">
                  <c:v>1.2949999999999922</c:v>
                </c:pt>
                <c:pt idx="28">
                  <c:v>0.92900000000000005</c:v>
                </c:pt>
                <c:pt idx="29">
                  <c:v>1.0529999999999922</c:v>
                </c:pt>
              </c:numCache>
            </c:numRef>
          </c:val>
          <c:extLst xmlns:c16r2="http://schemas.microsoft.com/office/drawing/2015/06/chart">
            <c:ext xmlns:c16="http://schemas.microsoft.com/office/drawing/2014/chart" uri="{C3380CC4-5D6E-409C-BE32-E72D297353CC}">
              <c16:uniqueId val="{00000001-8CF0-4095-9929-B59E141CBF13}"/>
            </c:ext>
          </c:extLst>
        </c:ser>
        <c:ser>
          <c:idx val="1"/>
          <c:order val="2"/>
          <c:tx>
            <c:strRef>
              <c:f>'Graf-skladba investic'!$E$93</c:f>
              <c:strCache>
                <c:ptCount val="1"/>
                <c:pt idx="0">
                  <c:v>Prostředky ICT</c:v>
                </c:pt>
              </c:strCache>
            </c:strRef>
          </c:tx>
          <c:spPr>
            <a:solidFill>
              <a:srgbClr val="BFE3F7"/>
            </a:solidFill>
            <a:ln w="19050">
              <a:noFill/>
            </a:ln>
          </c:spPr>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investic'!$E$94:$E$123</c:f>
              <c:numCache>
                <c:formatCode>#,##0.0</c:formatCode>
                <c:ptCount val="30"/>
                <c:pt idx="0">
                  <c:v>5.3479999999999945</c:v>
                </c:pt>
                <c:pt idx="1">
                  <c:v>5.1959999999999855</c:v>
                </c:pt>
                <c:pt idx="2">
                  <c:v>4.6819999999999995</c:v>
                </c:pt>
                <c:pt idx="3">
                  <c:v>5.1310000000000002</c:v>
                </c:pt>
                <c:pt idx="4">
                  <c:v>4.6349999999999945</c:v>
                </c:pt>
                <c:pt idx="5">
                  <c:v>5.609</c:v>
                </c:pt>
                <c:pt idx="6">
                  <c:v>4.8369999999999997</c:v>
                </c:pt>
                <c:pt idx="7">
                  <c:v>6.7889999999999997</c:v>
                </c:pt>
                <c:pt idx="8">
                  <c:v>3.0089999999999999</c:v>
                </c:pt>
                <c:pt idx="9">
                  <c:v>3.12</c:v>
                </c:pt>
                <c:pt idx="10">
                  <c:v>3.2389999999999999</c:v>
                </c:pt>
                <c:pt idx="11">
                  <c:v>3.22</c:v>
                </c:pt>
                <c:pt idx="12">
                  <c:v>3.0309999999999997</c:v>
                </c:pt>
                <c:pt idx="13">
                  <c:v>4.7880000000000003</c:v>
                </c:pt>
                <c:pt idx="14">
                  <c:v>5.3209999999999855</c:v>
                </c:pt>
                <c:pt idx="15">
                  <c:v>6.3449999999999855</c:v>
                </c:pt>
                <c:pt idx="16">
                  <c:v>3.8679999999999999</c:v>
                </c:pt>
                <c:pt idx="17">
                  <c:v>4.3849999999999945</c:v>
                </c:pt>
                <c:pt idx="18">
                  <c:v>1.3460000000000001</c:v>
                </c:pt>
                <c:pt idx="19">
                  <c:v>1.73</c:v>
                </c:pt>
                <c:pt idx="20">
                  <c:v>1.044</c:v>
                </c:pt>
                <c:pt idx="21">
                  <c:v>2.74</c:v>
                </c:pt>
                <c:pt idx="22">
                  <c:v>1.8480000000000001</c:v>
                </c:pt>
                <c:pt idx="23">
                  <c:v>0.87100000000000388</c:v>
                </c:pt>
                <c:pt idx="24">
                  <c:v>1.3240000000000001</c:v>
                </c:pt>
                <c:pt idx="25">
                  <c:v>1.8069999999999922</c:v>
                </c:pt>
                <c:pt idx="26">
                  <c:v>2.9859999999999998</c:v>
                </c:pt>
                <c:pt idx="27">
                  <c:v>5.2830000000000004</c:v>
                </c:pt>
                <c:pt idx="28">
                  <c:v>2.573</c:v>
                </c:pt>
                <c:pt idx="29">
                  <c:v>2.5939999999999999</c:v>
                </c:pt>
              </c:numCache>
            </c:numRef>
          </c:val>
          <c:extLst xmlns:c16r2="http://schemas.microsoft.com/office/drawing/2015/06/chart">
            <c:ext xmlns:c16="http://schemas.microsoft.com/office/drawing/2014/chart" uri="{C3380CC4-5D6E-409C-BE32-E72D297353CC}">
              <c16:uniqueId val="{00000002-8CF0-4095-9929-B59E141CBF13}"/>
            </c:ext>
          </c:extLst>
        </c:ser>
        <c:ser>
          <c:idx val="7"/>
          <c:order val="3"/>
          <c:tx>
            <c:strRef>
              <c:f>'Graf-skladba investic'!$F$93</c:f>
              <c:strCache>
                <c:ptCount val="1"/>
                <c:pt idx="0">
                  <c:v>Ost. stroje a zařízení, zbraň. systémy</c:v>
                </c:pt>
              </c:strCache>
            </c:strRef>
          </c:tx>
          <c:spPr>
            <a:solidFill>
              <a:srgbClr val="48AEE7"/>
            </a:solidFill>
            <a:ln w="19050">
              <a:noFill/>
            </a:ln>
          </c:spPr>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investic'!$F$94:$F$123</c:f>
              <c:numCache>
                <c:formatCode>#,##0.0</c:formatCode>
                <c:ptCount val="30"/>
                <c:pt idx="0">
                  <c:v>4.7430000000000003</c:v>
                </c:pt>
                <c:pt idx="1">
                  <c:v>6.6790000000000003</c:v>
                </c:pt>
                <c:pt idx="2">
                  <c:v>7.0060000000000002</c:v>
                </c:pt>
                <c:pt idx="3">
                  <c:v>6.468</c:v>
                </c:pt>
                <c:pt idx="4">
                  <c:v>8.9150000000000027</c:v>
                </c:pt>
                <c:pt idx="5">
                  <c:v>6.5590000000000002</c:v>
                </c:pt>
                <c:pt idx="6">
                  <c:v>7.3569999999999975</c:v>
                </c:pt>
                <c:pt idx="7">
                  <c:v>18.472999999999889</c:v>
                </c:pt>
                <c:pt idx="8">
                  <c:v>7.1569999999999965</c:v>
                </c:pt>
                <c:pt idx="9">
                  <c:v>8.68</c:v>
                </c:pt>
                <c:pt idx="10">
                  <c:v>5.2279999999999855</c:v>
                </c:pt>
                <c:pt idx="11">
                  <c:v>4.4710000000000134</c:v>
                </c:pt>
                <c:pt idx="12">
                  <c:v>3.1779999999999999</c:v>
                </c:pt>
                <c:pt idx="13">
                  <c:v>2.7530000000000001</c:v>
                </c:pt>
                <c:pt idx="14">
                  <c:v>2.9249999999999998</c:v>
                </c:pt>
                <c:pt idx="15">
                  <c:v>3.605</c:v>
                </c:pt>
                <c:pt idx="16">
                  <c:v>6.0780000000000003</c:v>
                </c:pt>
                <c:pt idx="17">
                  <c:v>7.03</c:v>
                </c:pt>
                <c:pt idx="18">
                  <c:v>3.4939999999999998</c:v>
                </c:pt>
                <c:pt idx="19">
                  <c:v>4.2359999999999998</c:v>
                </c:pt>
                <c:pt idx="20">
                  <c:v>8.3020000000000067</c:v>
                </c:pt>
                <c:pt idx="21">
                  <c:v>11.074</c:v>
                </c:pt>
                <c:pt idx="22">
                  <c:v>10.706</c:v>
                </c:pt>
                <c:pt idx="23">
                  <c:v>11.545</c:v>
                </c:pt>
                <c:pt idx="24">
                  <c:v>7.1159999999999846</c:v>
                </c:pt>
                <c:pt idx="25">
                  <c:v>7.2960000000000003</c:v>
                </c:pt>
                <c:pt idx="26">
                  <c:v>7.4619999999999997</c:v>
                </c:pt>
                <c:pt idx="27">
                  <c:v>8.6469999999999985</c:v>
                </c:pt>
                <c:pt idx="28">
                  <c:v>8.793000000000001</c:v>
                </c:pt>
                <c:pt idx="29">
                  <c:v>9.2740000000000009</c:v>
                </c:pt>
              </c:numCache>
            </c:numRef>
          </c:val>
          <c:extLst xmlns:c16r2="http://schemas.microsoft.com/office/drawing/2015/06/chart">
            <c:ext xmlns:c16="http://schemas.microsoft.com/office/drawing/2014/chart" uri="{C3380CC4-5D6E-409C-BE32-E72D297353CC}">
              <c16:uniqueId val="{00000003-8CF0-4095-9929-B59E141CBF13}"/>
            </c:ext>
          </c:extLst>
        </c:ser>
        <c:ser>
          <c:idx val="2"/>
          <c:order val="4"/>
          <c:tx>
            <c:strRef>
              <c:f>'Graf-skladba investic'!$G$93</c:f>
              <c:strCache>
                <c:ptCount val="1"/>
                <c:pt idx="0">
                  <c:v>Výzkum a vývoj</c:v>
                </c:pt>
              </c:strCache>
            </c:strRef>
          </c:tx>
          <c:spPr>
            <a:solidFill>
              <a:srgbClr val="FDDEB3"/>
            </a:solidFill>
            <a:ln w="19050">
              <a:noFill/>
              <a:prstDash val="sysDash"/>
            </a:ln>
          </c:spPr>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investic'!$G$94:$G$123</c:f>
              <c:numCache>
                <c:formatCode>#,##0.0</c:formatCode>
                <c:ptCount val="30"/>
                <c:pt idx="0">
                  <c:v>0.27900000000000008</c:v>
                </c:pt>
                <c:pt idx="1">
                  <c:v>0.27900000000000008</c:v>
                </c:pt>
                <c:pt idx="2">
                  <c:v>0.32900000000000235</c:v>
                </c:pt>
                <c:pt idx="3">
                  <c:v>0.32600000000000218</c:v>
                </c:pt>
                <c:pt idx="4">
                  <c:v>0.41600000000000031</c:v>
                </c:pt>
                <c:pt idx="5">
                  <c:v>0.36900000000000038</c:v>
                </c:pt>
                <c:pt idx="6">
                  <c:v>0.40600000000000008</c:v>
                </c:pt>
                <c:pt idx="7">
                  <c:v>1.897</c:v>
                </c:pt>
                <c:pt idx="8">
                  <c:v>0.49100000000000038</c:v>
                </c:pt>
                <c:pt idx="9">
                  <c:v>0.43900000000000194</c:v>
                </c:pt>
                <c:pt idx="10">
                  <c:v>8.3720000000000248</c:v>
                </c:pt>
                <c:pt idx="11">
                  <c:v>9.1449999999999996</c:v>
                </c:pt>
                <c:pt idx="12">
                  <c:v>9.5479999999999983</c:v>
                </c:pt>
                <c:pt idx="13">
                  <c:v>11.146000000000001</c:v>
                </c:pt>
                <c:pt idx="14">
                  <c:v>12.309000000000006</c:v>
                </c:pt>
                <c:pt idx="15">
                  <c:v>14.365000000000077</c:v>
                </c:pt>
                <c:pt idx="16">
                  <c:v>15.729999999999999</c:v>
                </c:pt>
                <c:pt idx="17">
                  <c:v>14.598000000000001</c:v>
                </c:pt>
                <c:pt idx="18">
                  <c:v>15.187000000000001</c:v>
                </c:pt>
                <c:pt idx="19">
                  <c:v>15.220999999999998</c:v>
                </c:pt>
                <c:pt idx="20">
                  <c:v>0.73900000000000265</c:v>
                </c:pt>
                <c:pt idx="21">
                  <c:v>1.038</c:v>
                </c:pt>
                <c:pt idx="22">
                  <c:v>0.84400000000000064</c:v>
                </c:pt>
                <c:pt idx="23">
                  <c:v>0.93500000000000005</c:v>
                </c:pt>
                <c:pt idx="24">
                  <c:v>0.83900000000000063</c:v>
                </c:pt>
                <c:pt idx="25">
                  <c:v>1.2909999999999919</c:v>
                </c:pt>
                <c:pt idx="26">
                  <c:v>1.462</c:v>
                </c:pt>
                <c:pt idx="27">
                  <c:v>1.768</c:v>
                </c:pt>
                <c:pt idx="28">
                  <c:v>1.49</c:v>
                </c:pt>
                <c:pt idx="29">
                  <c:v>1.575</c:v>
                </c:pt>
              </c:numCache>
            </c:numRef>
          </c:val>
          <c:extLst xmlns:c16r2="http://schemas.microsoft.com/office/drawing/2015/06/chart">
            <c:ext xmlns:c16="http://schemas.microsoft.com/office/drawing/2014/chart" uri="{C3380CC4-5D6E-409C-BE32-E72D297353CC}">
              <c16:uniqueId val="{00000004-8CF0-4095-9929-B59E141CBF13}"/>
            </c:ext>
          </c:extLst>
        </c:ser>
        <c:ser>
          <c:idx val="4"/>
          <c:order val="5"/>
          <c:tx>
            <c:strRef>
              <c:f>'Graf-skladba investic'!$H$93</c:f>
              <c:strCache>
                <c:ptCount val="1"/>
                <c:pt idx="0">
                  <c:v>Počítačové vybavení (SW) a databáze</c:v>
                </c:pt>
              </c:strCache>
            </c:strRef>
          </c:tx>
          <c:spPr>
            <a:solidFill>
              <a:srgbClr val="E8AFB2"/>
            </a:solidFill>
            <a:ln w="19050">
              <a:noFill/>
              <a:prstDash val="sysDash"/>
            </a:ln>
          </c:spPr>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investic'!$H$94:$H$123</c:f>
              <c:numCache>
                <c:formatCode>#,##0.0</c:formatCode>
                <c:ptCount val="30"/>
                <c:pt idx="0">
                  <c:v>4.2160000000000002</c:v>
                </c:pt>
                <c:pt idx="1">
                  <c:v>7.9740000000000002</c:v>
                </c:pt>
                <c:pt idx="2">
                  <c:v>5.0780000000000003</c:v>
                </c:pt>
                <c:pt idx="3">
                  <c:v>5.5960000000000001</c:v>
                </c:pt>
                <c:pt idx="4">
                  <c:v>7.391</c:v>
                </c:pt>
                <c:pt idx="5">
                  <c:v>5.298</c:v>
                </c:pt>
                <c:pt idx="6">
                  <c:v>5.0649999999999755</c:v>
                </c:pt>
                <c:pt idx="7">
                  <c:v>5.6949999999999745</c:v>
                </c:pt>
                <c:pt idx="8">
                  <c:v>4.2160000000000002</c:v>
                </c:pt>
                <c:pt idx="9">
                  <c:v>4.633</c:v>
                </c:pt>
                <c:pt idx="10">
                  <c:v>1.069</c:v>
                </c:pt>
                <c:pt idx="11">
                  <c:v>1.05</c:v>
                </c:pt>
                <c:pt idx="12">
                  <c:v>0.85900000000000065</c:v>
                </c:pt>
                <c:pt idx="13">
                  <c:v>0.92900000000000005</c:v>
                </c:pt>
                <c:pt idx="14">
                  <c:v>1.2609999999999912</c:v>
                </c:pt>
                <c:pt idx="15">
                  <c:v>1.278</c:v>
                </c:pt>
                <c:pt idx="16">
                  <c:v>1.1200000000000001</c:v>
                </c:pt>
                <c:pt idx="17">
                  <c:v>1.083</c:v>
                </c:pt>
                <c:pt idx="18">
                  <c:v>0.95100000000000062</c:v>
                </c:pt>
                <c:pt idx="19">
                  <c:v>1.117</c:v>
                </c:pt>
                <c:pt idx="20">
                  <c:v>0.78800000000000003</c:v>
                </c:pt>
                <c:pt idx="21">
                  <c:v>0.80100000000000005</c:v>
                </c:pt>
                <c:pt idx="22">
                  <c:v>0.86200000000000065</c:v>
                </c:pt>
                <c:pt idx="23">
                  <c:v>0.76600000000000434</c:v>
                </c:pt>
                <c:pt idx="24">
                  <c:v>0.79900000000000004</c:v>
                </c:pt>
                <c:pt idx="25">
                  <c:v>0.67300000000000504</c:v>
                </c:pt>
                <c:pt idx="26">
                  <c:v>0.78200000000000003</c:v>
                </c:pt>
                <c:pt idx="27">
                  <c:v>0.99099999999999999</c:v>
                </c:pt>
                <c:pt idx="28">
                  <c:v>1.002</c:v>
                </c:pt>
                <c:pt idx="29">
                  <c:v>1.0269999999999913</c:v>
                </c:pt>
              </c:numCache>
            </c:numRef>
          </c:val>
          <c:extLst xmlns:c16r2="http://schemas.microsoft.com/office/drawing/2015/06/chart">
            <c:ext xmlns:c16="http://schemas.microsoft.com/office/drawing/2014/chart" uri="{C3380CC4-5D6E-409C-BE32-E72D297353CC}">
              <c16:uniqueId val="{00000005-8CF0-4095-9929-B59E141CBF13}"/>
            </c:ext>
          </c:extLst>
        </c:ser>
        <c:gapWidth val="30"/>
        <c:overlap val="100"/>
        <c:axId val="185907456"/>
        <c:axId val="188416000"/>
      </c:barChart>
      <c:lineChart>
        <c:grouping val="standard"/>
        <c:ser>
          <c:idx val="5"/>
          <c:order val="6"/>
          <c:tx>
            <c:strRef>
              <c:f>'Graf-skladba investic'!$I$93</c:f>
              <c:strCache>
                <c:ptCount val="1"/>
                <c:pt idx="0">
                  <c:v>THFK  celkem (stálé ceny, r.2010=100)</c:v>
                </c:pt>
              </c:strCache>
            </c:strRef>
          </c:tx>
          <c:spPr>
            <a:ln w="15875">
              <a:solidFill>
                <a:srgbClr val="808080"/>
              </a:solidFill>
              <a:prstDash val="sysDot"/>
            </a:ln>
          </c:spPr>
          <c:marker>
            <c:symbol val="circle"/>
            <c:size val="4"/>
            <c:spPr>
              <a:solidFill>
                <a:srgbClr val="808080"/>
              </a:solidFill>
              <a:ln>
                <a:noFill/>
              </a:ln>
            </c:spPr>
          </c:marker>
          <c:dPt>
            <c:idx val="10"/>
            <c:spPr>
              <a:ln w="15875">
                <a:noFill/>
                <a:prstDash val="sysDot"/>
              </a:ln>
            </c:spPr>
            <c:extLst xmlns:c16r2="http://schemas.microsoft.com/office/drawing/2015/06/chart">
              <c:ext xmlns:c16="http://schemas.microsoft.com/office/drawing/2014/chart" uri="{C3380CC4-5D6E-409C-BE32-E72D297353CC}">
                <c16:uniqueId val="{00000006-8CF0-4095-9929-B59E141CBF13}"/>
              </c:ext>
            </c:extLst>
          </c:dPt>
          <c:dPt>
            <c:idx val="20"/>
            <c:spPr>
              <a:ln w="15875">
                <a:noFill/>
                <a:prstDash val="sysDot"/>
              </a:ln>
            </c:spPr>
            <c:extLst xmlns:c16r2="http://schemas.microsoft.com/office/drawing/2015/06/chart">
              <c:ext xmlns:c16="http://schemas.microsoft.com/office/drawing/2014/chart" uri="{C3380CC4-5D6E-409C-BE32-E72D297353CC}">
                <c16:uniqueId val="{00000007-8CF0-4095-9929-B59E141CBF13}"/>
              </c:ext>
            </c:extLst>
          </c:dPt>
          <c:cat>
            <c:multiLvlStrRef>
              <c:f>'Graf-skladba investic'!$A$94:$B$123</c:f>
              <c:multiLvlStrCache>
                <c:ptCount val="30"/>
                <c:lvl>
                  <c:pt idx="0">
                    <c:v>2008</c:v>
                  </c:pt>
                  <c:pt idx="1">
                    <c:v>2009</c:v>
                  </c:pt>
                  <c:pt idx="2">
                    <c:v>2010</c:v>
                  </c:pt>
                  <c:pt idx="3">
                    <c:v>2011</c:v>
                  </c:pt>
                  <c:pt idx="4">
                    <c:v>2012</c:v>
                  </c:pt>
                  <c:pt idx="5">
                    <c:v>2013</c:v>
                  </c:pt>
                  <c:pt idx="6">
                    <c:v>2014</c:v>
                  </c:pt>
                  <c:pt idx="7">
                    <c:v>2015</c:v>
                  </c:pt>
                  <c:pt idx="8">
                    <c:v>2016</c:v>
                  </c:pt>
                  <c:pt idx="9">
                    <c:v>2017</c:v>
                  </c:pt>
                  <c:pt idx="10">
                    <c:v>2008</c:v>
                  </c:pt>
                  <c:pt idx="11">
                    <c:v>2009</c:v>
                  </c:pt>
                  <c:pt idx="12">
                    <c:v>2010</c:v>
                  </c:pt>
                  <c:pt idx="13">
                    <c:v>2011</c:v>
                  </c:pt>
                  <c:pt idx="14">
                    <c:v>2012</c:v>
                  </c:pt>
                  <c:pt idx="15">
                    <c:v>2013</c:v>
                  </c:pt>
                  <c:pt idx="16">
                    <c:v>2014</c:v>
                  </c:pt>
                  <c:pt idx="17">
                    <c:v>2015</c:v>
                  </c:pt>
                  <c:pt idx="18">
                    <c:v>2016</c:v>
                  </c:pt>
                  <c:pt idx="19">
                    <c:v>2017</c:v>
                  </c:pt>
                  <c:pt idx="20">
                    <c:v>2008</c:v>
                  </c:pt>
                  <c:pt idx="21">
                    <c:v>2009</c:v>
                  </c:pt>
                  <c:pt idx="22">
                    <c:v>2010</c:v>
                  </c:pt>
                  <c:pt idx="23">
                    <c:v>2011</c:v>
                  </c:pt>
                  <c:pt idx="24">
                    <c:v>2012</c:v>
                  </c:pt>
                  <c:pt idx="25">
                    <c:v>2013</c:v>
                  </c:pt>
                  <c:pt idx="26">
                    <c:v>2014</c:v>
                  </c:pt>
                  <c:pt idx="27">
                    <c:v>2015</c:v>
                  </c:pt>
                  <c:pt idx="28">
                    <c:v>2016</c:v>
                  </c:pt>
                  <c:pt idx="29">
                    <c:v>2017</c:v>
                  </c:pt>
                </c:lvl>
                <c:lvl>
                  <c:pt idx="0">
                    <c:v>Veř. správa a obrana (sekce O)</c:v>
                  </c:pt>
                  <c:pt idx="10">
                    <c:v>Vzdělávání (P)</c:v>
                  </c:pt>
                  <c:pt idx="20">
                    <c:v>Zdravotnictví (Q)</c:v>
                  </c:pt>
                </c:lvl>
              </c:multiLvlStrCache>
            </c:multiLvlStrRef>
          </c:cat>
          <c:val>
            <c:numRef>
              <c:f>'Graf-skladba investic'!$I$94:$I$123</c:f>
              <c:numCache>
                <c:formatCode>#,##0.0</c:formatCode>
                <c:ptCount val="30"/>
                <c:pt idx="0">
                  <c:v>87.2</c:v>
                </c:pt>
                <c:pt idx="1">
                  <c:v>108.3</c:v>
                </c:pt>
                <c:pt idx="2">
                  <c:v>100</c:v>
                </c:pt>
                <c:pt idx="3">
                  <c:v>89.2</c:v>
                </c:pt>
                <c:pt idx="4">
                  <c:v>92.3</c:v>
                </c:pt>
                <c:pt idx="5">
                  <c:v>81.599999999999994</c:v>
                </c:pt>
                <c:pt idx="6">
                  <c:v>103.3</c:v>
                </c:pt>
                <c:pt idx="7">
                  <c:v>133.4</c:v>
                </c:pt>
                <c:pt idx="8">
                  <c:v>68.400000000000006</c:v>
                </c:pt>
                <c:pt idx="9">
                  <c:v>94.7</c:v>
                </c:pt>
                <c:pt idx="10">
                  <c:v>104.1</c:v>
                </c:pt>
                <c:pt idx="11">
                  <c:v>100</c:v>
                </c:pt>
                <c:pt idx="12">
                  <c:v>100</c:v>
                </c:pt>
                <c:pt idx="13">
                  <c:v>115.7</c:v>
                </c:pt>
                <c:pt idx="14">
                  <c:v>117.1</c:v>
                </c:pt>
                <c:pt idx="15">
                  <c:v>119</c:v>
                </c:pt>
                <c:pt idx="16">
                  <c:v>124.1</c:v>
                </c:pt>
                <c:pt idx="17">
                  <c:v>130.69999999999999</c:v>
                </c:pt>
                <c:pt idx="18">
                  <c:v>88.9</c:v>
                </c:pt>
                <c:pt idx="19">
                  <c:v>87.8</c:v>
                </c:pt>
                <c:pt idx="20">
                  <c:v>83</c:v>
                </c:pt>
                <c:pt idx="21">
                  <c:v>103.3</c:v>
                </c:pt>
                <c:pt idx="22">
                  <c:v>100</c:v>
                </c:pt>
                <c:pt idx="23">
                  <c:v>94.7</c:v>
                </c:pt>
                <c:pt idx="24">
                  <c:v>83</c:v>
                </c:pt>
                <c:pt idx="25">
                  <c:v>71.7</c:v>
                </c:pt>
                <c:pt idx="26">
                  <c:v>74.8</c:v>
                </c:pt>
                <c:pt idx="27">
                  <c:v>100.7</c:v>
                </c:pt>
                <c:pt idx="28">
                  <c:v>80.7</c:v>
                </c:pt>
                <c:pt idx="29">
                  <c:v>82.3</c:v>
                </c:pt>
              </c:numCache>
            </c:numRef>
          </c:val>
          <c:extLst xmlns:c16r2="http://schemas.microsoft.com/office/drawing/2015/06/chart">
            <c:ext xmlns:c16="http://schemas.microsoft.com/office/drawing/2014/chart" uri="{C3380CC4-5D6E-409C-BE32-E72D297353CC}">
              <c16:uniqueId val="{00000008-8CF0-4095-9929-B59E141CBF13}"/>
            </c:ext>
          </c:extLst>
        </c:ser>
        <c:marker val="1"/>
        <c:axId val="185907456"/>
        <c:axId val="188416000"/>
      </c:lineChart>
      <c:catAx>
        <c:axId val="185907456"/>
        <c:scaling>
          <c:orientation val="minMax"/>
        </c:scaling>
        <c:axPos val="b"/>
        <c:numFmt formatCode="General" sourceLinked="1"/>
        <c:majorTickMark val="none"/>
        <c:tickLblPos val="low"/>
        <c:spPr>
          <a:ln w="9525">
            <a:solidFill>
              <a:schemeClr val="tx1"/>
            </a:solidFill>
            <a:prstDash val="solid"/>
          </a:ln>
        </c:spPr>
        <c:txPr>
          <a:bodyPr rot="-5400000" vert="horz"/>
          <a:lstStyle/>
          <a:p>
            <a:pPr>
              <a:defRPr/>
            </a:pPr>
            <a:endParaRPr lang="cs-CZ"/>
          </a:p>
        </c:txPr>
        <c:crossAx val="188416000"/>
        <c:crossesAt val="100"/>
        <c:lblAlgn val="ctr"/>
        <c:lblOffset val="0"/>
        <c:tickLblSkip val="1"/>
        <c:tickMarkSkip val="4"/>
      </c:catAx>
      <c:valAx>
        <c:axId val="188416000"/>
        <c:scaling>
          <c:orientation val="minMax"/>
          <c:max val="140"/>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85907456"/>
        <c:crosses val="autoZero"/>
        <c:crossBetween val="between"/>
        <c:majorUnit val="10"/>
      </c:valAx>
      <c:spPr>
        <a:noFill/>
        <a:ln w="9525">
          <a:solidFill>
            <a:schemeClr val="tx1"/>
          </a:solidFill>
        </a:ln>
      </c:spPr>
    </c:plotArea>
    <c:legend>
      <c:legendPos val="b"/>
      <c:layout>
        <c:manualLayout>
          <c:xMode val="edge"/>
          <c:yMode val="edge"/>
          <c:x val="5.0003603025859503E-2"/>
          <c:y val="0.85426770235280869"/>
          <c:w val="0.93337642751244954"/>
          <c:h val="0.13858381177530121"/>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4.8297619918429124E-2"/>
          <c:y val="1.643251153889452E-2"/>
          <c:w val="0.94357472332509373"/>
          <c:h val="0.69722053360351999"/>
        </c:manualLayout>
      </c:layout>
      <c:barChart>
        <c:barDir val="col"/>
        <c:grouping val="stacked"/>
        <c:ser>
          <c:idx val="1"/>
          <c:order val="2"/>
          <c:tx>
            <c:strRef>
              <c:f>'Graf-srovnání s EU'!$E$50</c:f>
              <c:strCache>
                <c:ptCount val="1"/>
                <c:pt idx="0">
                  <c:v>O</c:v>
                </c:pt>
              </c:strCache>
            </c:strRef>
          </c:tx>
          <c:spPr>
            <a:solidFill>
              <a:srgbClr val="7DBB2D"/>
            </a:solidFill>
            <a:ln w="19050">
              <a:noFill/>
            </a:ln>
          </c:spP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EU'!$E$51:$E$85</c:f>
              <c:numCache>
                <c:formatCode>0.0</c:formatCode>
                <c:ptCount val="35"/>
                <c:pt idx="0">
                  <c:v>5.4203313561055255</c:v>
                </c:pt>
                <c:pt idx="1">
                  <c:v>5.2521739130434781</c:v>
                </c:pt>
                <c:pt idx="2">
                  <c:v>8.8737448798347955</c:v>
                </c:pt>
                <c:pt idx="3">
                  <c:v>9.22264442583886</c:v>
                </c:pt>
                <c:pt idx="4">
                  <c:v>6.4997018485390576</c:v>
                </c:pt>
                <c:pt idx="5">
                  <c:v>7.9561042524005465</c:v>
                </c:pt>
                <c:pt idx="6">
                  <c:v>5.2554744525547443</c:v>
                </c:pt>
                <c:pt idx="7">
                  <c:v>4.2678750363667248</c:v>
                </c:pt>
                <c:pt idx="8">
                  <c:v>5.8687382556487355</c:v>
                </c:pt>
                <c:pt idx="9">
                  <c:v>5.5317900706446377</c:v>
                </c:pt>
                <c:pt idx="10">
                  <c:v>6.1636338257873495</c:v>
                </c:pt>
                <c:pt idx="11">
                  <c:v>6.0773811856876732</c:v>
                </c:pt>
                <c:pt idx="12">
                  <c:v>9.9299010035105919</c:v>
                </c:pt>
                <c:pt idx="13">
                  <c:v>6.7712502000960484</c:v>
                </c:pt>
                <c:pt idx="14">
                  <c:v>9.0947164238322991</c:v>
                </c:pt>
                <c:pt idx="15">
                  <c:v>7.6577098496897618</c:v>
                </c:pt>
                <c:pt idx="16">
                  <c:v>6.0036105156267627</c:v>
                </c:pt>
                <c:pt idx="17">
                  <c:v>6.5039176082891945</c:v>
                </c:pt>
                <c:pt idx="18">
                  <c:v>8.9461493920092767</c:v>
                </c:pt>
                <c:pt idx="19">
                  <c:v>6.2049108592390434</c:v>
                </c:pt>
                <c:pt idx="20">
                  <c:v>6.7581114148200294</c:v>
                </c:pt>
                <c:pt idx="21">
                  <c:v>7.0093276749747124</c:v>
                </c:pt>
                <c:pt idx="22">
                  <c:v>5.6854029251505587</c:v>
                </c:pt>
                <c:pt idx="23">
                  <c:v>5.1607727092754265</c:v>
                </c:pt>
                <c:pt idx="24">
                  <c:v>5.0114069667142287</c:v>
                </c:pt>
                <c:pt idx="25">
                  <c:v>5.7244078035066375</c:v>
                </c:pt>
                <c:pt idx="26">
                  <c:v>6.0450142203357542</c:v>
                </c:pt>
                <c:pt idx="27">
                  <c:v>5.0846253994555575</c:v>
                </c:pt>
                <c:pt idx="28">
                  <c:v>6.3291104342774656</c:v>
                </c:pt>
                <c:pt idx="29">
                  <c:v>6.274703148584158</c:v>
                </c:pt>
                <c:pt idx="31">
                  <c:v>7.2542618788538284</c:v>
                </c:pt>
                <c:pt idx="32">
                  <c:v>6.3063063063063067</c:v>
                </c:pt>
                <c:pt idx="33">
                  <c:v>3.9475406930252324</c:v>
                </c:pt>
                <c:pt idx="34">
                  <c:v>4.7530040053404505</c:v>
                </c:pt>
              </c:numCache>
            </c:numRef>
          </c:val>
          <c:extLst xmlns:c16r2="http://schemas.microsoft.com/office/drawing/2015/06/chart">
            <c:ext xmlns:c16="http://schemas.microsoft.com/office/drawing/2014/chart" uri="{C3380CC4-5D6E-409C-BE32-E72D297353CC}">
              <c16:uniqueId val="{00000000-DF4E-4169-B3DB-93FC97421751}"/>
            </c:ext>
          </c:extLst>
        </c:ser>
        <c:ser>
          <c:idx val="7"/>
          <c:order val="3"/>
          <c:tx>
            <c:strRef>
              <c:f>'Graf-srovnání s EU'!$F$50</c:f>
              <c:strCache>
                <c:ptCount val="1"/>
                <c:pt idx="0">
                  <c:v>P</c:v>
                </c:pt>
              </c:strCache>
            </c:strRef>
          </c:tx>
          <c:spPr>
            <a:solidFill>
              <a:srgbClr val="F8A124"/>
            </a:solidFill>
            <a:ln w="19050">
              <a:noFill/>
            </a:ln>
          </c:spP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EU'!$F$51:$F$85</c:f>
              <c:numCache>
                <c:formatCode>0.0</c:formatCode>
                <c:ptCount val="35"/>
                <c:pt idx="0">
                  <c:v>10.32931069748415</c:v>
                </c:pt>
                <c:pt idx="1">
                  <c:v>8</c:v>
                </c:pt>
                <c:pt idx="2">
                  <c:v>7.2135426106499425</c:v>
                </c:pt>
                <c:pt idx="3">
                  <c:v>8.3703655997080748</c:v>
                </c:pt>
                <c:pt idx="4">
                  <c:v>6.3168356191611945</c:v>
                </c:pt>
                <c:pt idx="5">
                  <c:v>8.7644522829708009</c:v>
                </c:pt>
                <c:pt idx="6">
                  <c:v>5.8394160583941614</c:v>
                </c:pt>
                <c:pt idx="7">
                  <c:v>8.4083442315445147</c:v>
                </c:pt>
                <c:pt idx="8">
                  <c:v>5.5685411797057345</c:v>
                </c:pt>
                <c:pt idx="9">
                  <c:v>7.0312156249236484</c:v>
                </c:pt>
                <c:pt idx="10">
                  <c:v>10.059432416746994</c:v>
                </c:pt>
                <c:pt idx="11">
                  <c:v>7.0482773567461274</c:v>
                </c:pt>
                <c:pt idx="12">
                  <c:v>6.2256036302475479</c:v>
                </c:pt>
                <c:pt idx="13">
                  <c:v>9.172402753321661</c:v>
                </c:pt>
                <c:pt idx="14">
                  <c:v>7.2272307575501475</c:v>
                </c:pt>
                <c:pt idx="15">
                  <c:v>6.579099824093908</c:v>
                </c:pt>
                <c:pt idx="16">
                  <c:v>9.0759336567753728</c:v>
                </c:pt>
                <c:pt idx="17">
                  <c:v>7.4087506800317824</c:v>
                </c:pt>
                <c:pt idx="18">
                  <c:v>7.2643048902458265</c:v>
                </c:pt>
                <c:pt idx="19">
                  <c:v>6.5425082410316273</c:v>
                </c:pt>
                <c:pt idx="20">
                  <c:v>7.4405225176984775</c:v>
                </c:pt>
                <c:pt idx="21">
                  <c:v>7.4052691669718831</c:v>
                </c:pt>
                <c:pt idx="22">
                  <c:v>4.5358952299015387</c:v>
                </c:pt>
                <c:pt idx="23">
                  <c:v>7.3446975222456077</c:v>
                </c:pt>
                <c:pt idx="24">
                  <c:v>6.3076898272428945</c:v>
                </c:pt>
                <c:pt idx="25">
                  <c:v>5.7836749425374689</c:v>
                </c:pt>
                <c:pt idx="26">
                  <c:v>5.0194176158921424</c:v>
                </c:pt>
                <c:pt idx="27">
                  <c:v>4.0632027458870894</c:v>
                </c:pt>
                <c:pt idx="28">
                  <c:v>6.7496657772007413</c:v>
                </c:pt>
                <c:pt idx="29">
                  <c:v>6.8229976865567137</c:v>
                </c:pt>
                <c:pt idx="31">
                  <c:v>7.3993471164309028</c:v>
                </c:pt>
                <c:pt idx="32">
                  <c:v>10.33386327503975</c:v>
                </c:pt>
                <c:pt idx="33">
                  <c:v>6.5666789536338488</c:v>
                </c:pt>
                <c:pt idx="34">
                  <c:v>3.2309746328437914</c:v>
                </c:pt>
              </c:numCache>
            </c:numRef>
          </c:val>
          <c:extLst xmlns:c16r2="http://schemas.microsoft.com/office/drawing/2015/06/chart">
            <c:ext xmlns:c16="http://schemas.microsoft.com/office/drawing/2014/chart" uri="{C3380CC4-5D6E-409C-BE32-E72D297353CC}">
              <c16:uniqueId val="{00000001-DF4E-4169-B3DB-93FC97421751}"/>
            </c:ext>
          </c:extLst>
        </c:ser>
        <c:ser>
          <c:idx val="2"/>
          <c:order val="4"/>
          <c:tx>
            <c:strRef>
              <c:f>'Graf-srovnání s EU'!$G$50</c:f>
              <c:strCache>
                <c:ptCount val="1"/>
                <c:pt idx="0">
                  <c:v>Q86</c:v>
                </c:pt>
              </c:strCache>
            </c:strRef>
          </c:tx>
          <c:spPr>
            <a:solidFill>
              <a:srgbClr val="48AEE7"/>
            </a:solidFill>
            <a:ln w="19050">
              <a:noFill/>
              <a:prstDash val="sysDash"/>
            </a:ln>
          </c:spP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EU'!$G$51:$G$85</c:f>
              <c:numCache>
                <c:formatCode>0.0</c:formatCode>
                <c:ptCount val="35"/>
                <c:pt idx="0">
                  <c:v>6.9952955614645127</c:v>
                </c:pt>
                <c:pt idx="1">
                  <c:v>7.1304347826086953</c:v>
                </c:pt>
                <c:pt idx="2">
                  <c:v>6.9887990720266924</c:v>
                </c:pt>
                <c:pt idx="3">
                  <c:v>6.7602670616775073</c:v>
                </c:pt>
                <c:pt idx="4">
                  <c:v>7.4219837010534704</c:v>
                </c:pt>
                <c:pt idx="5">
                  <c:v>4.3258867332941406</c:v>
                </c:pt>
                <c:pt idx="6">
                  <c:v>6.2886019090398824</c:v>
                </c:pt>
                <c:pt idx="7">
                  <c:v>7.1030174885162856</c:v>
                </c:pt>
                <c:pt idx="8">
                  <c:v>7.4201384114762359</c:v>
                </c:pt>
                <c:pt idx="9">
                  <c:v>6.942726539392309</c:v>
                </c:pt>
                <c:pt idx="10">
                  <c:v>5.3702220818243083</c:v>
                </c:pt>
                <c:pt idx="11">
                  <c:v>6.3545165923872631</c:v>
                </c:pt>
                <c:pt idx="12">
                  <c:v>4.1325672487554455</c:v>
                </c:pt>
                <c:pt idx="13">
                  <c:v>4.9463742596446334</c:v>
                </c:pt>
                <c:pt idx="14">
                  <c:v>4.6940629875362045</c:v>
                </c:pt>
                <c:pt idx="15">
                  <c:v>4.7452521145602171</c:v>
                </c:pt>
                <c:pt idx="16">
                  <c:v>4.2310730001128789</c:v>
                </c:pt>
                <c:pt idx="17">
                  <c:v>4.9131122630831854</c:v>
                </c:pt>
                <c:pt idx="18">
                  <c:v>3.6084644943938367</c:v>
                </c:pt>
                <c:pt idx="19">
                  <c:v>4.7306639486852013</c:v>
                </c:pt>
                <c:pt idx="20">
                  <c:v>4.5265772973780685</c:v>
                </c:pt>
                <c:pt idx="21">
                  <c:v>4.378621744469136</c:v>
                </c:pt>
                <c:pt idx="22">
                  <c:v>4.2562852499760755</c:v>
                </c:pt>
                <c:pt idx="23">
                  <c:v>4.4907995915560504</c:v>
                </c:pt>
                <c:pt idx="24">
                  <c:v>5.5789337912242933</c:v>
                </c:pt>
                <c:pt idx="25">
                  <c:v>4.8485078737913865</c:v>
                </c:pt>
                <c:pt idx="26">
                  <c:v>3.6559978055928601</c:v>
                </c:pt>
                <c:pt idx="27">
                  <c:v>3.5625517812758902</c:v>
                </c:pt>
                <c:pt idx="28">
                  <c:v>6.0889180184373375</c:v>
                </c:pt>
                <c:pt idx="29">
                  <c:v>6.5375480337881111</c:v>
                </c:pt>
                <c:pt idx="31">
                  <c:v>6.9640914036996824</c:v>
                </c:pt>
                <c:pt idx="32">
                  <c:v>5.8293587705352365</c:v>
                </c:pt>
                <c:pt idx="33">
                  <c:v>7.3316931682406432</c:v>
                </c:pt>
                <c:pt idx="34">
                  <c:v>3.7116154873164207</c:v>
                </c:pt>
              </c:numCache>
            </c:numRef>
          </c:val>
          <c:extLst xmlns:c16r2="http://schemas.microsoft.com/office/drawing/2015/06/chart">
            <c:ext xmlns:c16="http://schemas.microsoft.com/office/drawing/2014/chart" uri="{C3380CC4-5D6E-409C-BE32-E72D297353CC}">
              <c16:uniqueId val="{00000002-DF4E-4169-B3DB-93FC97421751}"/>
            </c:ext>
          </c:extLst>
        </c:ser>
        <c:ser>
          <c:idx val="5"/>
          <c:order val="5"/>
          <c:tx>
            <c:strRef>
              <c:f>'Graf-srovnání s EU'!$H$50</c:f>
              <c:strCache>
                <c:ptCount val="1"/>
                <c:pt idx="0">
                  <c:v>Q87-89</c:v>
                </c:pt>
              </c:strCache>
            </c:strRef>
          </c:tx>
          <c:spPr>
            <a:solidFill>
              <a:srgbClr val="0071BC"/>
            </a:solidFill>
            <a:ln w="19050">
              <a:noFill/>
              <a:prstDash val="sysDash"/>
            </a:ln>
          </c:spP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EU'!$H$51:$H$85</c:f>
              <c:numCache>
                <c:formatCode>0.0</c:formatCode>
                <c:ptCount val="35"/>
                <c:pt idx="0">
                  <c:v>10.083861730415219</c:v>
                </c:pt>
                <c:pt idx="1">
                  <c:v>10.504347826086956</c:v>
                </c:pt>
                <c:pt idx="2">
                  <c:v>7.1482944865335112</c:v>
                </c:pt>
                <c:pt idx="3">
                  <c:v>6.2321547412034946</c:v>
                </c:pt>
                <c:pt idx="4">
                  <c:v>8.240906380441265</c:v>
                </c:pt>
                <c:pt idx="5">
                  <c:v>3.6939055457574166</c:v>
                </c:pt>
                <c:pt idx="6">
                  <c:v>9.1297024143739467</c:v>
                </c:pt>
                <c:pt idx="7">
                  <c:v>5.1315050815766181</c:v>
                </c:pt>
                <c:pt idx="8">
                  <c:v>5.7427013153673414</c:v>
                </c:pt>
                <c:pt idx="9">
                  <c:v>5.0380111955804434</c:v>
                </c:pt>
                <c:pt idx="10">
                  <c:v>1.3994901594904534</c:v>
                </c:pt>
                <c:pt idx="11">
                  <c:v>3.9679703405168802</c:v>
                </c:pt>
                <c:pt idx="12">
                  <c:v>2.4928602873945978</c:v>
                </c:pt>
                <c:pt idx="13">
                  <c:v>1.3126300624299658</c:v>
                </c:pt>
                <c:pt idx="14">
                  <c:v>0.705848352816417</c:v>
                </c:pt>
                <c:pt idx="15">
                  <c:v>2.4058059555283977</c:v>
                </c:pt>
                <c:pt idx="16">
                  <c:v>1.2095227349655873</c:v>
                </c:pt>
                <c:pt idx="17">
                  <c:v>1.8040382943865341</c:v>
                </c:pt>
                <c:pt idx="18">
                  <c:v>1.0712217718587147</c:v>
                </c:pt>
                <c:pt idx="19">
                  <c:v>3.3770489688227747</c:v>
                </c:pt>
                <c:pt idx="20">
                  <c:v>1.4569726101602039</c:v>
                </c:pt>
                <c:pt idx="21">
                  <c:v>1.4157385665970139</c:v>
                </c:pt>
                <c:pt idx="22">
                  <c:v>6.0892840072650785</c:v>
                </c:pt>
                <c:pt idx="23">
                  <c:v>1.9390668305999539</c:v>
                </c:pt>
                <c:pt idx="24">
                  <c:v>2.0484171322160152</c:v>
                </c:pt>
                <c:pt idx="25">
                  <c:v>1.4275402237714416</c:v>
                </c:pt>
                <c:pt idx="26">
                  <c:v>0.98921564381307114</c:v>
                </c:pt>
                <c:pt idx="27">
                  <c:v>0.86519114688128795</c:v>
                </c:pt>
                <c:pt idx="28">
                  <c:v>4.4612018322323514</c:v>
                </c:pt>
                <c:pt idx="29">
                  <c:v>5.2072886193697725</c:v>
                </c:pt>
                <c:pt idx="31">
                  <c:v>13.674283641639461</c:v>
                </c:pt>
                <c:pt idx="32">
                  <c:v>5.299417064122947</c:v>
                </c:pt>
                <c:pt idx="33">
                  <c:v>6.0000690447026548</c:v>
                </c:pt>
                <c:pt idx="34">
                  <c:v>3.1241655540721012</c:v>
                </c:pt>
              </c:numCache>
            </c:numRef>
          </c:val>
          <c:extLst xmlns:c16r2="http://schemas.microsoft.com/office/drawing/2015/06/chart">
            <c:ext xmlns:c16="http://schemas.microsoft.com/office/drawing/2014/chart" uri="{C3380CC4-5D6E-409C-BE32-E72D297353CC}">
              <c16:uniqueId val="{00000003-DF4E-4169-B3DB-93FC97421751}"/>
            </c:ext>
          </c:extLst>
        </c:ser>
        <c:ser>
          <c:idx val="4"/>
          <c:order val="6"/>
          <c:tx>
            <c:strRef>
              <c:f>'Graf-srovnání s EU'!$I$50</c:f>
              <c:strCache>
                <c:ptCount val="1"/>
                <c:pt idx="0">
                  <c:v>R90-R92</c:v>
                </c:pt>
              </c:strCache>
            </c:strRef>
          </c:tx>
          <c:spPr>
            <a:solidFill>
              <a:srgbClr val="BCA6E8"/>
            </a:solidFill>
            <a:ln>
              <a:noFill/>
            </a:ln>
          </c:spP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EU'!$I$51:$I$85</c:f>
              <c:numCache>
                <c:formatCode>0.0</c:formatCode>
                <c:ptCount val="35"/>
                <c:pt idx="0">
                  <c:v>1.0840662712211087</c:v>
                </c:pt>
                <c:pt idx="1">
                  <c:v>1.0086956521739054</c:v>
                </c:pt>
                <c:pt idx="2">
                  <c:v>1.0983434226266067</c:v>
                </c:pt>
                <c:pt idx="3">
                  <c:v>0.50664433996693936</c:v>
                </c:pt>
                <c:pt idx="4">
                  <c:v>1.0494931425163978</c:v>
                </c:pt>
                <c:pt idx="5">
                  <c:v>2.8610621203213777</c:v>
                </c:pt>
                <c:pt idx="6">
                  <c:v>1.0780460415496911</c:v>
                </c:pt>
                <c:pt idx="7">
                  <c:v>1.322946699788403</c:v>
                </c:pt>
                <c:pt idx="8">
                  <c:v>0.93954810027957691</c:v>
                </c:pt>
                <c:pt idx="9">
                  <c:v>0.87560194578210171</c:v>
                </c:pt>
                <c:pt idx="10">
                  <c:v>1.542745057706012</c:v>
                </c:pt>
                <c:pt idx="11">
                  <c:v>0.87705747677665269</c:v>
                </c:pt>
                <c:pt idx="12">
                  <c:v>1.2532029935996558</c:v>
                </c:pt>
                <c:pt idx="13">
                  <c:v>1.6647991035697141</c:v>
                </c:pt>
                <c:pt idx="14">
                  <c:v>0.7335238781003327</c:v>
                </c:pt>
                <c:pt idx="15">
                  <c:v>0.9005972381684697</c:v>
                </c:pt>
                <c:pt idx="16">
                  <c:v>1.4780548347060889</c:v>
                </c:pt>
                <c:pt idx="17">
                  <c:v>1.0699166453016775</c:v>
                </c:pt>
                <c:pt idx="18">
                  <c:v>0.71327051639732664</c:v>
                </c:pt>
                <c:pt idx="19">
                  <c:v>0.45156337691995274</c:v>
                </c:pt>
                <c:pt idx="20">
                  <c:v>0.94640955873654331</c:v>
                </c:pt>
                <c:pt idx="21">
                  <c:v>0.89959285668124322</c:v>
                </c:pt>
                <c:pt idx="22">
                  <c:v>0.53293184208011068</c:v>
                </c:pt>
                <c:pt idx="23">
                  <c:v>1.376414445579011</c:v>
                </c:pt>
                <c:pt idx="24">
                  <c:v>0.7376236426515852</c:v>
                </c:pt>
                <c:pt idx="25">
                  <c:v>0.89660543662025771</c:v>
                </c:pt>
                <c:pt idx="26">
                  <c:v>0.92655954494925086</c:v>
                </c:pt>
                <c:pt idx="27">
                  <c:v>0.48526452834654987</c:v>
                </c:pt>
                <c:pt idx="28">
                  <c:v>0.97181457726173581</c:v>
                </c:pt>
                <c:pt idx="29">
                  <c:v>0.97982642675673892</c:v>
                </c:pt>
                <c:pt idx="31">
                  <c:v>1.1969532100108813</c:v>
                </c:pt>
                <c:pt idx="32">
                  <c:v>1.2188659247482858</c:v>
                </c:pt>
                <c:pt idx="33">
                  <c:v>1.1158580432299818</c:v>
                </c:pt>
                <c:pt idx="34">
                  <c:v>0.45393858477970789</c:v>
                </c:pt>
              </c:numCache>
            </c:numRef>
          </c:val>
          <c:extLst xmlns:c16r2="http://schemas.microsoft.com/office/drawing/2015/06/chart">
            <c:ext xmlns:c16="http://schemas.microsoft.com/office/drawing/2014/chart" uri="{C3380CC4-5D6E-409C-BE32-E72D297353CC}">
              <c16:uniqueId val="{00000004-DF4E-4169-B3DB-93FC97421751}"/>
            </c:ext>
          </c:extLst>
        </c:ser>
        <c:gapWidth val="30"/>
        <c:overlap val="100"/>
        <c:axId val="188451456"/>
        <c:axId val="188556032"/>
      </c:barChart>
      <c:lineChart>
        <c:grouping val="standard"/>
        <c:ser>
          <c:idx val="0"/>
          <c:order val="0"/>
          <c:tx>
            <c:strRef>
              <c:f>'Graf-srovnání s EU'!$C$50</c:f>
              <c:strCache>
                <c:ptCount val="1"/>
                <c:pt idx="0">
                  <c:v>rok 2006</c:v>
                </c:pt>
              </c:strCache>
            </c:strRef>
          </c:tx>
          <c:spPr>
            <a:ln>
              <a:noFill/>
            </a:ln>
          </c:spPr>
          <c:marker>
            <c:symbol val="dash"/>
            <c:size val="7"/>
            <c:spPr>
              <a:solidFill>
                <a:schemeClr val="tx1">
                  <a:lumMod val="95000"/>
                  <a:lumOff val="5000"/>
                </a:schemeClr>
              </a:solidFill>
              <a:ln w="6350">
                <a:noFill/>
              </a:ln>
            </c:spPr>
          </c:marke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EU'!$C$51:$C$85</c:f>
              <c:numCache>
                <c:formatCode>0.0</c:formatCode>
                <c:ptCount val="35"/>
                <c:pt idx="0">
                  <c:v>21.338791561471886</c:v>
                </c:pt>
                <c:pt idx="1">
                  <c:v>22.854798992618235</c:v>
                </c:pt>
                <c:pt idx="2">
                  <c:v>22.096855830993384</c:v>
                </c:pt>
                <c:pt idx="3">
                  <c:v>20.791102088985827</c:v>
                </c:pt>
                <c:pt idx="4">
                  <c:v>19.96278451570009</c:v>
                </c:pt>
                <c:pt idx="5">
                  <c:v>18.03656869446343</c:v>
                </c:pt>
                <c:pt idx="6">
                  <c:v>20.474392716081443</c:v>
                </c:pt>
                <c:pt idx="7">
                  <c:v>19.597334538438073</c:v>
                </c:pt>
                <c:pt idx="8">
                  <c:v>17.666186906805262</c:v>
                </c:pt>
                <c:pt idx="9">
                  <c:v>16.275721243564675</c:v>
                </c:pt>
                <c:pt idx="10">
                  <c:v>15.232104979823974</c:v>
                </c:pt>
                <c:pt idx="11">
                  <c:v>17.557680402884557</c:v>
                </c:pt>
                <c:pt idx="12">
                  <c:v>18.755820088199229</c:v>
                </c:pt>
                <c:pt idx="13">
                  <c:v>13.997813104550398</c:v>
                </c:pt>
                <c:pt idx="14">
                  <c:v>20.866669325775813</c:v>
                </c:pt>
                <c:pt idx="15">
                  <c:v>17.186576483292821</c:v>
                </c:pt>
                <c:pt idx="16">
                  <c:v>16.995572004494086</c:v>
                </c:pt>
                <c:pt idx="17">
                  <c:v>15.020987992575547</c:v>
                </c:pt>
                <c:pt idx="18">
                  <c:v>21.13462352628823</c:v>
                </c:pt>
                <c:pt idx="19">
                  <c:v>22.057621079347026</c:v>
                </c:pt>
                <c:pt idx="20">
                  <c:v>15.754879072381662</c:v>
                </c:pt>
                <c:pt idx="21">
                  <c:v>14.438925510161818</c:v>
                </c:pt>
                <c:pt idx="22">
                  <c:v>14.728945347392248</c:v>
                </c:pt>
                <c:pt idx="23">
                  <c:v>17.523535498851633</c:v>
                </c:pt>
                <c:pt idx="24">
                  <c:v>17.497691710573669</c:v>
                </c:pt>
                <c:pt idx="25">
                  <c:v>15.456251607976252</c:v>
                </c:pt>
                <c:pt idx="26">
                  <c:v>14.409847613442874</c:v>
                </c:pt>
                <c:pt idx="27">
                  <c:v>12.117433921405254</c:v>
                </c:pt>
                <c:pt idx="28">
                  <c:v>19.008421783304076</c:v>
                </c:pt>
                <c:pt idx="29">
                  <c:v>19.243230834569633</c:v>
                </c:pt>
                <c:pt idx="31">
                  <c:v>18.436041378368071</c:v>
                </c:pt>
                <c:pt idx="32">
                  <c:v>20.250374992066316</c:v>
                </c:pt>
                <c:pt idx="33">
                  <c:v>17.326237860685289</c:v>
                </c:pt>
              </c:numCache>
            </c:numRef>
          </c:val>
          <c:extLst xmlns:c16r2="http://schemas.microsoft.com/office/drawing/2015/06/chart">
            <c:ext xmlns:c16="http://schemas.microsoft.com/office/drawing/2014/chart" uri="{C3380CC4-5D6E-409C-BE32-E72D297353CC}">
              <c16:uniqueId val="{00000005-DF4E-4169-B3DB-93FC97421751}"/>
            </c:ext>
          </c:extLst>
        </c:ser>
        <c:ser>
          <c:idx val="3"/>
          <c:order val="1"/>
          <c:tx>
            <c:strRef>
              <c:f>'Graf-srovnání s EU'!$D$50</c:f>
              <c:strCache>
                <c:ptCount val="1"/>
                <c:pt idx="0">
                  <c:v>rok 2016</c:v>
                </c:pt>
              </c:strCache>
            </c:strRef>
          </c:tx>
          <c:spPr>
            <a:ln w="19050">
              <a:noFill/>
              <a:prstDash val="solid"/>
            </a:ln>
          </c:spPr>
          <c:marker>
            <c:symbol val="circle"/>
            <c:size val="5"/>
            <c:spPr>
              <a:solidFill>
                <a:sysClr val="window" lastClr="FFFFFF"/>
              </a:solidFill>
              <a:ln>
                <a:solidFill>
                  <a:schemeClr val="tx1">
                    <a:lumMod val="95000"/>
                    <a:lumOff val="5000"/>
                  </a:schemeClr>
                </a:solidFill>
              </a:ln>
            </c:spPr>
          </c:marker>
          <c:cat>
            <c:strRef>
              <c:f>'Graf-srovnání s EU'!$B$51:$B$85</c:f>
              <c:strCache>
                <c:ptCount val="35"/>
                <c:pt idx="0">
                  <c:v>Švédsko</c:v>
                </c:pt>
                <c:pt idx="1">
                  <c:v>Dánsko</c:v>
                </c:pt>
                <c:pt idx="2">
                  <c:v>Francie</c:v>
                </c:pt>
                <c:pt idx="3">
                  <c:v>Belgie</c:v>
                </c:pt>
                <c:pt idx="4">
                  <c:v>Finsko</c:v>
                </c:pt>
                <c:pt idx="5">
                  <c:v>Malta</c:v>
                </c:pt>
                <c:pt idx="6">
                  <c:v>Nizozemsko</c:v>
                </c:pt>
                <c:pt idx="7">
                  <c:v>Vel.Británie</c:v>
                </c:pt>
                <c:pt idx="8">
                  <c:v>Německo</c:v>
                </c:pt>
                <c:pt idx="9">
                  <c:v>Irsko</c:v>
                </c:pt>
                <c:pt idx="10">
                  <c:v>Litva</c:v>
                </c:pt>
                <c:pt idx="11">
                  <c:v>Rakousko</c:v>
                </c:pt>
                <c:pt idx="12">
                  <c:v>Maďarsko</c:v>
                </c:pt>
                <c:pt idx="13">
                  <c:v>Estonsko</c:v>
                </c:pt>
                <c:pt idx="14">
                  <c:v>Řecko</c:v>
                </c:pt>
                <c:pt idx="15">
                  <c:v>Španělsko</c:v>
                </c:pt>
                <c:pt idx="16">
                  <c:v>Lotyšsko</c:v>
                </c:pt>
                <c:pt idx="17">
                  <c:v>Chorvatsko</c:v>
                </c:pt>
                <c:pt idx="18">
                  <c:v>Kypr</c:v>
                </c:pt>
                <c:pt idx="19">
                  <c:v>Portugalsko</c:v>
                </c:pt>
                <c:pt idx="20">
                  <c:v>Polsko</c:v>
                </c:pt>
                <c:pt idx="21">
                  <c:v>Slovensko</c:v>
                </c:pt>
                <c:pt idx="22">
                  <c:v>Lucemburs.</c:v>
                </c:pt>
                <c:pt idx="23">
                  <c:v>Slovinsko</c:v>
                </c:pt>
                <c:pt idx="24">
                  <c:v>Itálie</c:v>
                </c:pt>
                <c:pt idx="25">
                  <c:v>Česko</c:v>
                </c:pt>
                <c:pt idx="26">
                  <c:v>Bulharsko</c:v>
                </c:pt>
                <c:pt idx="27">
                  <c:v>Rumunsko</c:v>
                </c:pt>
                <c:pt idx="28">
                  <c:v>EU28</c:v>
                </c:pt>
                <c:pt idx="29">
                  <c:v>EU15</c:v>
                </c:pt>
                <c:pt idx="31">
                  <c:v>Norsko</c:v>
                </c:pt>
                <c:pt idx="32">
                  <c:v>Island</c:v>
                </c:pt>
                <c:pt idx="33">
                  <c:v>Švýcarsko</c:v>
                </c:pt>
                <c:pt idx="34">
                  <c:v>Lichtenšt.</c:v>
                </c:pt>
              </c:strCache>
            </c:strRef>
          </c:cat>
          <c:val>
            <c:numRef>
              <c:f>'Graf-srovnání s EU'!$D$51:$D$85</c:f>
              <c:numCache>
                <c:formatCode>0.0</c:formatCode>
                <c:ptCount val="35"/>
                <c:pt idx="0">
                  <c:v>22.233121373375084</c:v>
                </c:pt>
                <c:pt idx="1">
                  <c:v>23.425139312933098</c:v>
                </c:pt>
                <c:pt idx="2">
                  <c:v>23.410252742371426</c:v>
                </c:pt>
                <c:pt idx="3">
                  <c:v>22.70498332254693</c:v>
                </c:pt>
                <c:pt idx="4">
                  <c:v>21.95840591866142</c:v>
                </c:pt>
                <c:pt idx="5">
                  <c:v>17.201814462332131</c:v>
                </c:pt>
                <c:pt idx="6">
                  <c:v>22.295065860368414</c:v>
                </c:pt>
                <c:pt idx="7">
                  <c:v>19.272456001981599</c:v>
                </c:pt>
                <c:pt idx="8">
                  <c:v>19.032240067063523</c:v>
                </c:pt>
                <c:pt idx="9">
                  <c:v>12.040495257167526</c:v>
                </c:pt>
                <c:pt idx="10">
                  <c:v>15.58319488119945</c:v>
                </c:pt>
                <c:pt idx="11">
                  <c:v>18.500726900068951</c:v>
                </c:pt>
                <c:pt idx="12">
                  <c:v>18.900669423693433</c:v>
                </c:pt>
                <c:pt idx="13">
                  <c:v>17.419596977608027</c:v>
                </c:pt>
                <c:pt idx="14">
                  <c:v>22.246432561178519</c:v>
                </c:pt>
                <c:pt idx="15">
                  <c:v>19.674335976258035</c:v>
                </c:pt>
                <c:pt idx="16">
                  <c:v>17.653975983620231</c:v>
                </c:pt>
                <c:pt idx="17">
                  <c:v>16.152237244575609</c:v>
                </c:pt>
                <c:pt idx="18">
                  <c:v>21.119674790589631</c:v>
                </c:pt>
                <c:pt idx="19">
                  <c:v>20.033560649641828</c:v>
                </c:pt>
                <c:pt idx="20">
                  <c:v>15.129047435524924</c:v>
                </c:pt>
                <c:pt idx="21">
                  <c:v>16.746453876540535</c:v>
                </c:pt>
                <c:pt idx="22">
                  <c:v>15.974748978941516</c:v>
                </c:pt>
                <c:pt idx="23">
                  <c:v>17.879718362158844</c:v>
                </c:pt>
                <c:pt idx="24">
                  <c:v>17.444360440861029</c:v>
                </c:pt>
                <c:pt idx="25">
                  <c:v>15.508502891851206</c:v>
                </c:pt>
                <c:pt idx="26">
                  <c:v>14.383722719857175</c:v>
                </c:pt>
                <c:pt idx="27">
                  <c:v>14.032858650982821</c:v>
                </c:pt>
                <c:pt idx="28">
                  <c:v>19.643994878521589</c:v>
                </c:pt>
                <c:pt idx="29">
                  <c:v>19.981872263077889</c:v>
                </c:pt>
                <c:pt idx="31">
                  <c:v>23.353507432518615</c:v>
                </c:pt>
                <c:pt idx="32">
                  <c:v>19.337543601</c:v>
                </c:pt>
                <c:pt idx="33">
                  <c:v>19.336713087423092</c:v>
                </c:pt>
              </c:numCache>
            </c:numRef>
          </c:val>
          <c:extLst xmlns:c16r2="http://schemas.microsoft.com/office/drawing/2015/06/chart">
            <c:ext xmlns:c16="http://schemas.microsoft.com/office/drawing/2014/chart" uri="{C3380CC4-5D6E-409C-BE32-E72D297353CC}">
              <c16:uniqueId val="{00000006-DF4E-4169-B3DB-93FC97421751}"/>
            </c:ext>
          </c:extLst>
        </c:ser>
        <c:marker val="1"/>
        <c:axId val="188451456"/>
        <c:axId val="188556032"/>
      </c:lineChart>
      <c:catAx>
        <c:axId val="188451456"/>
        <c:scaling>
          <c:orientation val="minMax"/>
        </c:scaling>
        <c:axPos val="b"/>
        <c:numFmt formatCode="General" sourceLinked="1"/>
        <c:majorTickMark val="none"/>
        <c:tickLblPos val="low"/>
        <c:spPr>
          <a:ln w="9525">
            <a:solidFill>
              <a:schemeClr val="tx1"/>
            </a:solidFill>
            <a:prstDash val="solid"/>
          </a:ln>
        </c:spPr>
        <c:txPr>
          <a:bodyPr rot="-5400000" vert="horz"/>
          <a:lstStyle/>
          <a:p>
            <a:pPr>
              <a:defRPr/>
            </a:pPr>
            <a:endParaRPr lang="cs-CZ"/>
          </a:p>
        </c:txPr>
        <c:crossAx val="188556032"/>
        <c:crossesAt val="0"/>
        <c:lblAlgn val="ctr"/>
        <c:lblOffset val="0"/>
        <c:tickLblSkip val="1"/>
        <c:tickMarkSkip val="4"/>
      </c:catAx>
      <c:valAx>
        <c:axId val="188556032"/>
        <c:scaling>
          <c:orientation val="minMax"/>
          <c:max val="37"/>
          <c:min val="0"/>
        </c:scaling>
        <c:axPos val="l"/>
        <c:majorGridlines>
          <c:spPr>
            <a:ln w="6350">
              <a:solidFill>
                <a:schemeClr val="bg1">
                  <a:lumMod val="75000"/>
                </a:schemeClr>
              </a:solidFill>
            </a:ln>
          </c:spPr>
        </c:majorGridlines>
        <c:numFmt formatCode="0" sourceLinked="0"/>
        <c:tickLblPos val="nextTo"/>
        <c:spPr>
          <a:ln w="9525">
            <a:solidFill>
              <a:schemeClr val="tx1"/>
            </a:solidFill>
            <a:prstDash val="solid"/>
          </a:ln>
        </c:spPr>
        <c:txPr>
          <a:bodyPr rot="0" vert="horz"/>
          <a:lstStyle/>
          <a:p>
            <a:pPr>
              <a:defRPr/>
            </a:pPr>
            <a:endParaRPr lang="cs-CZ"/>
          </a:p>
        </c:txPr>
        <c:crossAx val="188451456"/>
        <c:crossesAt val="1"/>
        <c:crossBetween val="between"/>
        <c:majorUnit val="2"/>
      </c:valAx>
      <c:spPr>
        <a:noFill/>
        <a:ln w="9525">
          <a:solidFill>
            <a:schemeClr val="tx1"/>
          </a:solidFill>
        </a:ln>
      </c:spPr>
    </c:plotArea>
    <c:legend>
      <c:legendPos val="b"/>
      <c:layout>
        <c:manualLayout>
          <c:xMode val="edge"/>
          <c:yMode val="edge"/>
          <c:x val="5.2616893350219913E-2"/>
          <c:y val="0.95077226162332562"/>
          <c:w val="0.929321230982318"/>
          <c:h val="3.8764775413711601E-2"/>
        </c:manualLayout>
      </c:layout>
      <c:spPr>
        <a:noFill/>
        <a:ln w="6350">
          <a:no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3160670300827814E-2"/>
          <c:y val="2.1454144318916658E-2"/>
          <c:w val="0.89353506965475449"/>
          <c:h val="0.72089927645199237"/>
        </c:manualLayout>
      </c:layout>
      <c:barChart>
        <c:barDir val="col"/>
        <c:grouping val="clustered"/>
        <c:ser>
          <c:idx val="0"/>
          <c:order val="0"/>
          <c:tx>
            <c:strRef>
              <c:f>'Graf-zdravot účty-doplněný'!$C$23</c:f>
              <c:strCache>
                <c:ptCount val="1"/>
                <c:pt idx="0">
                  <c:v>Celk. výdaje na zdrav. péči (mld. korun)</c:v>
                </c:pt>
              </c:strCache>
            </c:strRef>
          </c:tx>
          <c:spPr>
            <a:solidFill>
              <a:srgbClr val="DFF1F5"/>
            </a:solidFill>
            <a:ln w="6350">
              <a:solidFill>
                <a:schemeClr val="bg1">
                  <a:lumMod val="50000"/>
                </a:schemeClr>
              </a:solidFill>
            </a:ln>
          </c:spPr>
          <c:dPt>
            <c:idx val="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0-A86A-4D79-87F0-95BE2F1A7AA3}"/>
              </c:ext>
            </c:extLst>
          </c:dPt>
          <c:dPt>
            <c:idx val="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1-A86A-4D79-87F0-95BE2F1A7AA3}"/>
              </c:ext>
            </c:extLst>
          </c:dPt>
          <c:dPt>
            <c:idx val="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2-A86A-4D79-87F0-95BE2F1A7AA3}"/>
              </c:ext>
            </c:extLst>
          </c:dPt>
          <c:dPt>
            <c:idx val="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3-A86A-4D79-87F0-95BE2F1A7AA3}"/>
              </c:ext>
            </c:extLst>
          </c:dPt>
          <c:dPt>
            <c:idx val="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4-A86A-4D79-87F0-95BE2F1A7AA3}"/>
              </c:ext>
            </c:extLst>
          </c:dPt>
          <c:dPt>
            <c:idx val="6"/>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5-A86A-4D79-87F0-95BE2F1A7AA3}"/>
              </c:ext>
            </c:extLst>
          </c:dPt>
          <c:dPt>
            <c:idx val="7"/>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6-A86A-4D79-87F0-95BE2F1A7AA3}"/>
              </c:ext>
            </c:extLst>
          </c:dPt>
          <c:dPt>
            <c:idx val="8"/>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7-A86A-4D79-87F0-95BE2F1A7AA3}"/>
              </c:ext>
            </c:extLst>
          </c:dPt>
          <c:dPt>
            <c:idx val="9"/>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8-A86A-4D79-87F0-95BE2F1A7AA3}"/>
              </c:ext>
            </c:extLst>
          </c:dPt>
          <c:dPt>
            <c:idx val="10"/>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9-A86A-4D79-87F0-95BE2F1A7AA3}"/>
              </c:ext>
            </c:extLst>
          </c:dPt>
          <c:dPt>
            <c:idx val="12"/>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A-A86A-4D79-87F0-95BE2F1A7AA3}"/>
              </c:ext>
            </c:extLst>
          </c:dPt>
          <c:dPt>
            <c:idx val="13"/>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B-A86A-4D79-87F0-95BE2F1A7AA3}"/>
              </c:ext>
            </c:extLst>
          </c:dPt>
          <c:dPt>
            <c:idx val="14"/>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C-A86A-4D79-87F0-95BE2F1A7AA3}"/>
              </c:ext>
            </c:extLst>
          </c:dPt>
          <c:dPt>
            <c:idx val="15"/>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D-A86A-4D79-87F0-95BE2F1A7AA3}"/>
              </c:ext>
            </c:extLst>
          </c:dPt>
          <c:dPt>
            <c:idx val="16"/>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E-A86A-4D79-87F0-95BE2F1A7AA3}"/>
              </c:ext>
            </c:extLst>
          </c:dPt>
          <c:dPt>
            <c:idx val="18"/>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0F-A86A-4D79-87F0-95BE2F1A7AA3}"/>
              </c:ext>
            </c:extLst>
          </c:dPt>
          <c:dPt>
            <c:idx val="19"/>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0-A86A-4D79-87F0-95BE2F1A7AA3}"/>
              </c:ext>
            </c:extLst>
          </c:dPt>
          <c:dPt>
            <c:idx val="20"/>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1-A86A-4D79-87F0-95BE2F1A7AA3}"/>
              </c:ext>
            </c:extLst>
          </c:dPt>
          <c:dPt>
            <c:idx val="21"/>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2-A86A-4D79-87F0-95BE2F1A7AA3}"/>
              </c:ext>
            </c:extLst>
          </c:dPt>
          <c:dPt>
            <c:idx val="22"/>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3-A86A-4D79-87F0-95BE2F1A7AA3}"/>
              </c:ext>
            </c:extLst>
          </c:dPt>
          <c:dPt>
            <c:idx val="24"/>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4-A86A-4D79-87F0-95BE2F1A7AA3}"/>
              </c:ext>
            </c:extLst>
          </c:dPt>
          <c:dPt>
            <c:idx val="25"/>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5-A86A-4D79-87F0-95BE2F1A7AA3}"/>
              </c:ext>
            </c:extLst>
          </c:dPt>
          <c:dPt>
            <c:idx val="26"/>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6-A86A-4D79-87F0-95BE2F1A7AA3}"/>
              </c:ext>
            </c:extLst>
          </c:dPt>
          <c:dPt>
            <c:idx val="27"/>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7-A86A-4D79-87F0-95BE2F1A7AA3}"/>
              </c:ext>
            </c:extLst>
          </c:dPt>
          <c:dPt>
            <c:idx val="28"/>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8-A86A-4D79-87F0-95BE2F1A7AA3}"/>
              </c:ext>
            </c:extLst>
          </c:dPt>
          <c:dPt>
            <c:idx val="3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9-A86A-4D79-87F0-95BE2F1A7AA3}"/>
              </c:ext>
            </c:extLst>
          </c:dPt>
          <c:dPt>
            <c:idx val="3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A-A86A-4D79-87F0-95BE2F1A7AA3}"/>
              </c:ext>
            </c:extLst>
          </c:dPt>
          <c:dPt>
            <c:idx val="3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B-A86A-4D79-87F0-95BE2F1A7AA3}"/>
              </c:ext>
            </c:extLst>
          </c:dPt>
          <c:dPt>
            <c:idx val="3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C-A86A-4D79-87F0-95BE2F1A7AA3}"/>
              </c:ext>
            </c:extLst>
          </c:dPt>
          <c:dPt>
            <c:idx val="3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D-A86A-4D79-87F0-95BE2F1A7AA3}"/>
              </c:ext>
            </c:extLst>
          </c:dPt>
          <c:dPt>
            <c:idx val="36"/>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E-A86A-4D79-87F0-95BE2F1A7AA3}"/>
              </c:ext>
            </c:extLst>
          </c:dPt>
          <c:dPt>
            <c:idx val="37"/>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1F-A86A-4D79-87F0-95BE2F1A7AA3}"/>
              </c:ext>
            </c:extLst>
          </c:dPt>
          <c:dPt>
            <c:idx val="38"/>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0-A86A-4D79-87F0-95BE2F1A7AA3}"/>
              </c:ext>
            </c:extLst>
          </c:dPt>
          <c:dPt>
            <c:idx val="39"/>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1-A86A-4D79-87F0-95BE2F1A7AA3}"/>
              </c:ext>
            </c:extLst>
          </c:dPt>
          <c:dPt>
            <c:idx val="40"/>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2-A86A-4D79-87F0-95BE2F1A7AA3}"/>
              </c:ext>
            </c:extLst>
          </c:dPt>
          <c:dPt>
            <c:idx val="42"/>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3-A86A-4D79-87F0-95BE2F1A7AA3}"/>
              </c:ext>
            </c:extLst>
          </c:dPt>
          <c:dPt>
            <c:idx val="43"/>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4-A86A-4D79-87F0-95BE2F1A7AA3}"/>
              </c:ext>
            </c:extLst>
          </c:dPt>
          <c:dPt>
            <c:idx val="44"/>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5-A86A-4D79-87F0-95BE2F1A7AA3}"/>
              </c:ext>
            </c:extLst>
          </c:dPt>
          <c:dPt>
            <c:idx val="45"/>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6-A86A-4D79-87F0-95BE2F1A7AA3}"/>
              </c:ext>
            </c:extLst>
          </c:dPt>
          <c:dPt>
            <c:idx val="46"/>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7-A86A-4D79-87F0-95BE2F1A7AA3}"/>
              </c:ext>
            </c:extLst>
          </c:dPt>
          <c:dPt>
            <c:idx val="48"/>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8-A86A-4D79-87F0-95BE2F1A7AA3}"/>
              </c:ext>
            </c:extLst>
          </c:dPt>
          <c:dPt>
            <c:idx val="49"/>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9-A86A-4D79-87F0-95BE2F1A7AA3}"/>
              </c:ext>
            </c:extLst>
          </c:dPt>
          <c:dPt>
            <c:idx val="50"/>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A-A86A-4D79-87F0-95BE2F1A7AA3}"/>
              </c:ext>
            </c:extLst>
          </c:dPt>
          <c:dPt>
            <c:idx val="51"/>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B-A86A-4D79-87F0-95BE2F1A7AA3}"/>
              </c:ext>
            </c:extLst>
          </c:dPt>
          <c:dPt>
            <c:idx val="52"/>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C-A86A-4D79-87F0-95BE2F1A7AA3}"/>
              </c:ext>
            </c:extLst>
          </c:dPt>
          <c:dPt>
            <c:idx val="54"/>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D-A86A-4D79-87F0-95BE2F1A7AA3}"/>
              </c:ext>
            </c:extLst>
          </c:dPt>
          <c:dPt>
            <c:idx val="55"/>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E-A86A-4D79-87F0-95BE2F1A7AA3}"/>
              </c:ext>
            </c:extLst>
          </c:dPt>
          <c:dPt>
            <c:idx val="56"/>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2F-A86A-4D79-87F0-95BE2F1A7AA3}"/>
              </c:ext>
            </c:extLst>
          </c:dPt>
          <c:dPt>
            <c:idx val="57"/>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0-A86A-4D79-87F0-95BE2F1A7AA3}"/>
              </c:ext>
            </c:extLst>
          </c:dPt>
          <c:dPt>
            <c:idx val="58"/>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1-A86A-4D79-87F0-95BE2F1A7AA3}"/>
              </c:ext>
            </c:extLst>
          </c:dPt>
          <c:dPt>
            <c:idx val="60"/>
            <c:spPr>
              <a:solidFill>
                <a:schemeClr val="bg1">
                  <a:lumMod val="85000"/>
                </a:schemeClr>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2-A86A-4D79-87F0-95BE2F1A7AA3}"/>
              </c:ext>
            </c:extLst>
          </c:dPt>
          <c:dPt>
            <c:idx val="61"/>
            <c:spPr>
              <a:solidFill>
                <a:srgbClr val="D9EEF3"/>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3-A86A-4D79-87F0-95BE2F1A7AA3}"/>
              </c:ext>
            </c:extLst>
          </c:dPt>
          <c:dPt>
            <c:idx val="62"/>
            <c:spPr>
              <a:solidFill>
                <a:srgbClr val="90CCDC"/>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4-A86A-4D79-87F0-95BE2F1A7AA3}"/>
              </c:ext>
            </c:extLst>
          </c:dPt>
          <c:dPt>
            <c:idx val="63"/>
            <c:spPr>
              <a:solidFill>
                <a:srgbClr val="3EA6C2"/>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5-A86A-4D79-87F0-95BE2F1A7AA3}"/>
              </c:ext>
            </c:extLst>
          </c:dPt>
          <c:dPt>
            <c:idx val="64"/>
            <c:spPr>
              <a:solidFill>
                <a:srgbClr val="0070C0"/>
              </a:solidFill>
              <a:ln w="6350">
                <a:solidFill>
                  <a:schemeClr val="bg1">
                    <a:lumMod val="50000"/>
                  </a:schemeClr>
                </a:solidFill>
              </a:ln>
            </c:spPr>
            <c:extLst xmlns:c16r2="http://schemas.microsoft.com/office/drawing/2015/06/chart">
              <c:ext xmlns:c16="http://schemas.microsoft.com/office/drawing/2014/chart" uri="{C3380CC4-5D6E-409C-BE32-E72D297353CC}">
                <c16:uniqueId val="{00000036-A86A-4D79-87F0-95BE2F1A7AA3}"/>
              </c:ext>
            </c:extLst>
          </c:dPt>
          <c:cat>
            <c:strRef>
              <c:f>'Graf-zdravot účty-doplněný'!$A$24:$B$88</c:f>
              <c:strCache>
                <c:ptCount val="63"/>
                <c:pt idx="2">
                  <c:v>Lůžková 
péče</c:v>
                </c:pt>
                <c:pt idx="8">
                  <c:v>Ambulantní 
péče</c:v>
                </c:pt>
                <c:pt idx="14">
                  <c:v>Stomatologická 
péče</c:v>
                </c:pt>
                <c:pt idx="20">
                  <c:v>Rehabilitační 
péče</c:v>
                </c:pt>
                <c:pt idx="26">
                  <c:v>Dlouhodobá 
péče</c:v>
                </c:pt>
                <c:pt idx="32">
                  <c:v>Doplňkové 
služby*</c:v>
                </c:pt>
                <c:pt idx="38">
                  <c:v>Léky na 
předpis</c:v>
                </c:pt>
                <c:pt idx="44">
                  <c:v>Ost. léčiva a
zdrav.výrobky</c:v>
                </c:pt>
                <c:pt idx="50">
                  <c:v>Preventivní 
péče</c:v>
                </c:pt>
                <c:pt idx="56">
                  <c:v>Správa systému 
zdravotní péče</c:v>
                </c:pt>
                <c:pt idx="62">
                  <c:v>Ostatní výdaje</c:v>
                </c:pt>
              </c:strCache>
            </c:strRef>
          </c:cat>
          <c:val>
            <c:numRef>
              <c:f>'Graf-zdravot účty-doplněný'!$C$24:$C$88</c:f>
              <c:numCache>
                <c:formatCode>#,##0.0</c:formatCode>
                <c:ptCount val="65"/>
                <c:pt idx="0">
                  <c:v>55.948</c:v>
                </c:pt>
                <c:pt idx="1">
                  <c:v>53.489000000000004</c:v>
                </c:pt>
                <c:pt idx="2">
                  <c:v>52.473000000000006</c:v>
                </c:pt>
                <c:pt idx="3">
                  <c:v>51.431000000000004</c:v>
                </c:pt>
                <c:pt idx="4">
                  <c:v>50.938000000000002</c:v>
                </c:pt>
                <c:pt idx="6">
                  <c:v>59.101000000000006</c:v>
                </c:pt>
                <c:pt idx="7">
                  <c:v>65.040000000000006</c:v>
                </c:pt>
                <c:pt idx="8">
                  <c:v>61.609000000000002</c:v>
                </c:pt>
                <c:pt idx="9">
                  <c:v>66.461000000000027</c:v>
                </c:pt>
                <c:pt idx="10">
                  <c:v>67.361000000000004</c:v>
                </c:pt>
                <c:pt idx="12">
                  <c:v>16.829000000000001</c:v>
                </c:pt>
                <c:pt idx="13">
                  <c:v>16.899999999999999</c:v>
                </c:pt>
                <c:pt idx="14">
                  <c:v>17.491</c:v>
                </c:pt>
                <c:pt idx="15">
                  <c:v>17.780999999999906</c:v>
                </c:pt>
                <c:pt idx="16">
                  <c:v>18.23</c:v>
                </c:pt>
                <c:pt idx="18">
                  <c:v>12.808</c:v>
                </c:pt>
                <c:pt idx="19">
                  <c:v>13.753</c:v>
                </c:pt>
                <c:pt idx="20">
                  <c:v>13.737999999999998</c:v>
                </c:pt>
                <c:pt idx="21">
                  <c:v>14.764000000000001</c:v>
                </c:pt>
                <c:pt idx="22">
                  <c:v>15.018000000000001</c:v>
                </c:pt>
                <c:pt idx="24">
                  <c:v>52.761000000000003</c:v>
                </c:pt>
                <c:pt idx="25">
                  <c:v>55.836999999999996</c:v>
                </c:pt>
                <c:pt idx="26">
                  <c:v>62.113</c:v>
                </c:pt>
                <c:pt idx="27">
                  <c:v>61.018000000000001</c:v>
                </c:pt>
                <c:pt idx="28">
                  <c:v>65.263999999999996</c:v>
                </c:pt>
                <c:pt idx="30">
                  <c:v>37.039000000000001</c:v>
                </c:pt>
                <c:pt idx="31">
                  <c:v>38.469000000000001</c:v>
                </c:pt>
                <c:pt idx="32">
                  <c:v>38.882999999999996</c:v>
                </c:pt>
                <c:pt idx="33">
                  <c:v>40.020000000000003</c:v>
                </c:pt>
                <c:pt idx="34">
                  <c:v>41.080999999999996</c:v>
                </c:pt>
                <c:pt idx="36">
                  <c:v>42.065000000000012</c:v>
                </c:pt>
                <c:pt idx="37">
                  <c:v>41.949000000000005</c:v>
                </c:pt>
                <c:pt idx="38">
                  <c:v>41.026000000000003</c:v>
                </c:pt>
                <c:pt idx="39">
                  <c:v>41.781000000000006</c:v>
                </c:pt>
                <c:pt idx="40">
                  <c:v>42.253</c:v>
                </c:pt>
                <c:pt idx="42">
                  <c:v>24.166</c:v>
                </c:pt>
                <c:pt idx="43">
                  <c:v>24.835000000000001</c:v>
                </c:pt>
                <c:pt idx="44">
                  <c:v>25.994999999999987</c:v>
                </c:pt>
                <c:pt idx="45">
                  <c:v>26.05</c:v>
                </c:pt>
                <c:pt idx="46">
                  <c:v>27.032</c:v>
                </c:pt>
                <c:pt idx="48">
                  <c:v>9.99</c:v>
                </c:pt>
                <c:pt idx="49">
                  <c:v>10.765000000000002</c:v>
                </c:pt>
                <c:pt idx="50">
                  <c:v>11.433</c:v>
                </c:pt>
                <c:pt idx="51">
                  <c:v>9.027000000000001</c:v>
                </c:pt>
                <c:pt idx="52">
                  <c:v>9.738999999999999</c:v>
                </c:pt>
                <c:pt idx="54">
                  <c:v>8.6489999999999991</c:v>
                </c:pt>
                <c:pt idx="55">
                  <c:v>9.0050000000000008</c:v>
                </c:pt>
                <c:pt idx="56">
                  <c:v>9.0400000000000009</c:v>
                </c:pt>
                <c:pt idx="57">
                  <c:v>8.5360000000000014</c:v>
                </c:pt>
                <c:pt idx="58">
                  <c:v>8.5830000000000002</c:v>
                </c:pt>
                <c:pt idx="60">
                  <c:v>14.730999999999998</c:v>
                </c:pt>
                <c:pt idx="61">
                  <c:v>14.678000000000001</c:v>
                </c:pt>
                <c:pt idx="62">
                  <c:v>14.932000000000002</c:v>
                </c:pt>
                <c:pt idx="63">
                  <c:v>15.172000000000002</c:v>
                </c:pt>
                <c:pt idx="64">
                  <c:v>16.146999999999988</c:v>
                </c:pt>
              </c:numCache>
            </c:numRef>
          </c:val>
          <c:extLst xmlns:c16r2="http://schemas.microsoft.com/office/drawing/2015/06/chart">
            <c:ext xmlns:c16="http://schemas.microsoft.com/office/drawing/2014/chart" uri="{C3380CC4-5D6E-409C-BE32-E72D297353CC}">
              <c16:uniqueId val="{00000037-A86A-4D79-87F0-95BE2F1A7AA3}"/>
            </c:ext>
          </c:extLst>
        </c:ser>
        <c:gapWidth val="0"/>
        <c:axId val="188913920"/>
        <c:axId val="188916096"/>
      </c:barChart>
      <c:lineChart>
        <c:grouping val="standard"/>
        <c:ser>
          <c:idx val="1"/>
          <c:order val="1"/>
          <c:tx>
            <c:strRef>
              <c:f>'Graf-zdravot účty-doplněný'!$D$23</c:f>
              <c:strCache>
                <c:ptCount val="1"/>
                <c:pt idx="0">
                  <c:v>Výdaje domácností na zdrav.péči (mld. korun, pravá osa)</c:v>
                </c:pt>
              </c:strCache>
            </c:strRef>
          </c:tx>
          <c:spPr>
            <a:ln w="6350">
              <a:noFill/>
            </a:ln>
          </c:spPr>
          <c:marker>
            <c:symbol val="diamond"/>
            <c:size val="5"/>
            <c:spPr>
              <a:solidFill>
                <a:srgbClr val="FFFF00"/>
              </a:solidFill>
              <a:ln w="6350">
                <a:solidFill>
                  <a:prstClr val="white">
                    <a:lumMod val="50000"/>
                  </a:prstClr>
                </a:solidFill>
              </a:ln>
            </c:spPr>
          </c:marker>
          <c:cat>
            <c:strRef>
              <c:f>'Graf-zdravot účty-doplněný'!$A$24:$B$88</c:f>
              <c:strCache>
                <c:ptCount val="63"/>
                <c:pt idx="2">
                  <c:v>Lůžková 
péče</c:v>
                </c:pt>
                <c:pt idx="8">
                  <c:v>Ambulantní 
péče</c:v>
                </c:pt>
                <c:pt idx="14">
                  <c:v>Stomatologická 
péče</c:v>
                </c:pt>
                <c:pt idx="20">
                  <c:v>Rehabilitační 
péče</c:v>
                </c:pt>
                <c:pt idx="26">
                  <c:v>Dlouhodobá 
péče</c:v>
                </c:pt>
                <c:pt idx="32">
                  <c:v>Doplňkové 
služby*</c:v>
                </c:pt>
                <c:pt idx="38">
                  <c:v>Léky na 
předpis</c:v>
                </c:pt>
                <c:pt idx="44">
                  <c:v>Ost. léčiva a
zdrav.výrobky</c:v>
                </c:pt>
                <c:pt idx="50">
                  <c:v>Preventivní 
péče</c:v>
                </c:pt>
                <c:pt idx="56">
                  <c:v>Správa systému 
zdravotní péče</c:v>
                </c:pt>
                <c:pt idx="62">
                  <c:v>Ostatní výdaje</c:v>
                </c:pt>
              </c:strCache>
            </c:strRef>
          </c:cat>
          <c:val>
            <c:numRef>
              <c:f>'Graf-zdravot účty-doplněný'!$D$24:$D$88</c:f>
              <c:numCache>
                <c:formatCode>#,##0.0</c:formatCode>
                <c:ptCount val="65"/>
                <c:pt idx="0">
                  <c:v>0.54</c:v>
                </c:pt>
                <c:pt idx="1">
                  <c:v>0.77500000000000302</c:v>
                </c:pt>
                <c:pt idx="2">
                  <c:v>0.83700000000000063</c:v>
                </c:pt>
                <c:pt idx="3">
                  <c:v>0.90300000000000002</c:v>
                </c:pt>
                <c:pt idx="4">
                  <c:v>0.90700000000000003</c:v>
                </c:pt>
                <c:pt idx="6">
                  <c:v>5.71</c:v>
                </c:pt>
                <c:pt idx="7">
                  <c:v>5.6969999999999965</c:v>
                </c:pt>
                <c:pt idx="8">
                  <c:v>6.1099999999999985</c:v>
                </c:pt>
                <c:pt idx="9">
                  <c:v>6.2290000000000001</c:v>
                </c:pt>
                <c:pt idx="10">
                  <c:v>6.41</c:v>
                </c:pt>
                <c:pt idx="12">
                  <c:v>7.1179999999999772</c:v>
                </c:pt>
                <c:pt idx="13">
                  <c:v>7.3619999999999965</c:v>
                </c:pt>
                <c:pt idx="14">
                  <c:v>8.4360000000000035</c:v>
                </c:pt>
                <c:pt idx="15">
                  <c:v>9.2360000000000024</c:v>
                </c:pt>
                <c:pt idx="16">
                  <c:v>9.6369999999999987</c:v>
                </c:pt>
                <c:pt idx="18">
                  <c:v>2.222</c:v>
                </c:pt>
                <c:pt idx="19">
                  <c:v>2.9830000000000001</c:v>
                </c:pt>
                <c:pt idx="20">
                  <c:v>3.24</c:v>
                </c:pt>
                <c:pt idx="21">
                  <c:v>3.5619999999999998</c:v>
                </c:pt>
                <c:pt idx="22">
                  <c:v>3.6869999999999998</c:v>
                </c:pt>
                <c:pt idx="36">
                  <c:v>8.9320000000000004</c:v>
                </c:pt>
                <c:pt idx="37">
                  <c:v>9.3030000000000008</c:v>
                </c:pt>
                <c:pt idx="38">
                  <c:v>9.4960000000000004</c:v>
                </c:pt>
                <c:pt idx="39">
                  <c:v>10.120999999999999</c:v>
                </c:pt>
                <c:pt idx="40">
                  <c:v>10.295</c:v>
                </c:pt>
                <c:pt idx="42">
                  <c:v>18.183</c:v>
                </c:pt>
                <c:pt idx="43">
                  <c:v>17.344999999999999</c:v>
                </c:pt>
                <c:pt idx="44">
                  <c:v>18.370999999999999</c:v>
                </c:pt>
                <c:pt idx="45">
                  <c:v>19.306999999999999</c:v>
                </c:pt>
                <c:pt idx="46">
                  <c:v>20.279</c:v>
                </c:pt>
              </c:numCache>
            </c:numRef>
          </c:val>
          <c:extLst xmlns:c16r2="http://schemas.microsoft.com/office/drawing/2015/06/chart">
            <c:ext xmlns:c16="http://schemas.microsoft.com/office/drawing/2014/chart" uri="{C3380CC4-5D6E-409C-BE32-E72D297353CC}">
              <c16:uniqueId val="{00000038-A86A-4D79-87F0-95BE2F1A7AA3}"/>
            </c:ext>
          </c:extLst>
        </c:ser>
        <c:marker val="1"/>
        <c:axId val="188919168"/>
        <c:axId val="188917632"/>
      </c:lineChart>
      <c:catAx>
        <c:axId val="188913920"/>
        <c:scaling>
          <c:orientation val="minMax"/>
        </c:scaling>
        <c:axPos val="b"/>
        <c:numFmt formatCode="General" sourceLinked="0"/>
        <c:majorTickMark val="none"/>
        <c:tickLblPos val="low"/>
        <c:txPr>
          <a:bodyPr rot="-5400000" vert="horz"/>
          <a:lstStyle/>
          <a:p>
            <a:pPr>
              <a:defRPr sz="800">
                <a:latin typeface="Arial" pitchFamily="34" charset="0"/>
                <a:cs typeface="Arial" pitchFamily="34" charset="0"/>
              </a:defRPr>
            </a:pPr>
            <a:endParaRPr lang="cs-CZ"/>
          </a:p>
        </c:txPr>
        <c:crossAx val="188916096"/>
        <c:crosses val="autoZero"/>
        <c:auto val="1"/>
        <c:lblAlgn val="ctr"/>
        <c:lblOffset val="0"/>
      </c:catAx>
      <c:valAx>
        <c:axId val="188916096"/>
        <c:scaling>
          <c:orientation val="minMax"/>
          <c:max val="70"/>
          <c:min val="0"/>
        </c:scaling>
        <c:axPos val="l"/>
        <c:majorGridlines/>
        <c:numFmt formatCode="0" sourceLinked="0"/>
        <c:tickLblPos val="nextTo"/>
        <c:txPr>
          <a:bodyPr/>
          <a:lstStyle/>
          <a:p>
            <a:pPr>
              <a:defRPr sz="800">
                <a:latin typeface="Arial" pitchFamily="34" charset="0"/>
                <a:cs typeface="Arial" pitchFamily="34" charset="0"/>
              </a:defRPr>
            </a:pPr>
            <a:endParaRPr lang="cs-CZ"/>
          </a:p>
        </c:txPr>
        <c:crossAx val="188913920"/>
        <c:crosses val="autoZero"/>
        <c:crossBetween val="between"/>
        <c:majorUnit val="5"/>
      </c:valAx>
      <c:valAx>
        <c:axId val="188917632"/>
        <c:scaling>
          <c:orientation val="minMax"/>
          <c:max val="28"/>
          <c:min val="0"/>
        </c:scaling>
        <c:axPos val="r"/>
        <c:numFmt formatCode="#,##0" sourceLinked="0"/>
        <c:tickLblPos val="nextTo"/>
        <c:txPr>
          <a:bodyPr/>
          <a:lstStyle/>
          <a:p>
            <a:pPr>
              <a:defRPr sz="800">
                <a:latin typeface="Arial" pitchFamily="34" charset="0"/>
                <a:cs typeface="Arial" pitchFamily="34" charset="0"/>
              </a:defRPr>
            </a:pPr>
            <a:endParaRPr lang="cs-CZ"/>
          </a:p>
        </c:txPr>
        <c:crossAx val="188919168"/>
        <c:crosses val="max"/>
        <c:crossBetween val="between"/>
        <c:majorUnit val="2"/>
      </c:valAx>
      <c:catAx>
        <c:axId val="188919168"/>
        <c:scaling>
          <c:orientation val="minMax"/>
        </c:scaling>
        <c:delete val="1"/>
        <c:axPos val="b"/>
        <c:numFmt formatCode="General" sourceLinked="1"/>
        <c:tickLblPos val="none"/>
        <c:crossAx val="188917632"/>
        <c:crosses val="autoZero"/>
        <c:auto val="1"/>
        <c:lblAlgn val="ctr"/>
        <c:lblOffset val="100"/>
      </c:catAx>
    </c:plotArea>
    <c:legend>
      <c:legendPos val="r"/>
      <c:layout>
        <c:manualLayout>
          <c:xMode val="edge"/>
          <c:yMode val="edge"/>
          <c:x val="1.1051731047812338E-2"/>
          <c:y val="0.95188385469699655"/>
          <c:w val="0.97664957068186609"/>
          <c:h val="4.3073292109752727E-2"/>
        </c:manualLayout>
      </c:layout>
      <c:spPr>
        <a:ln>
          <a:solidFill>
            <a:schemeClr val="tx1">
              <a:lumMod val="95000"/>
              <a:lumOff val="5000"/>
            </a:schemeClr>
          </a:solidFill>
        </a:ln>
      </c:spPr>
      <c:txPr>
        <a:bodyPr/>
        <a:lstStyle/>
        <a:p>
          <a:pPr>
            <a:defRPr sz="800">
              <a:latin typeface="Arial" pitchFamily="34" charset="0"/>
              <a:cs typeface="Arial" pitchFamily="34" charset="0"/>
            </a:defRPr>
          </a:pPr>
          <a:endParaRPr lang="cs-CZ"/>
        </a:p>
      </c:txPr>
    </c:legend>
    <c:plotVisOnly val="1"/>
    <c:dispBlanksAs val="gap"/>
  </c:chart>
  <c:spPr>
    <a:ln>
      <a:noFill/>
    </a:ln>
  </c:sp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5.392808013777859E-2"/>
          <c:y val="1.5820973818493969E-2"/>
          <c:w val="0.89299261054794354"/>
          <c:h val="0.72952686649990062"/>
        </c:manualLayout>
      </c:layout>
      <c:barChart>
        <c:barDir val="col"/>
        <c:grouping val="stacked"/>
        <c:ser>
          <c:idx val="7"/>
          <c:order val="1"/>
          <c:tx>
            <c:strRef>
              <c:f>'Graf-prac. neschopnost'!$C$4</c:f>
              <c:strCache>
                <c:ptCount val="1"/>
                <c:pt idx="0">
                  <c:v>Průměrné procento dočasné pracovní neschopnosti pro nemoc*</c:v>
                </c:pt>
              </c:strCache>
            </c:strRef>
          </c:tx>
          <c:spPr>
            <a:solidFill>
              <a:srgbClr val="BFE3F7"/>
            </a:solidFill>
            <a:ln>
              <a:noFill/>
            </a:ln>
          </c:spP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neschopnost'!$C$5:$C$17</c:f>
              <c:numCache>
                <c:formatCode>0.00</c:formatCode>
                <c:ptCount val="13"/>
                <c:pt idx="0">
                  <c:v>5.5206615715764356</c:v>
                </c:pt>
                <c:pt idx="1">
                  <c:v>5.1885174008291095</c:v>
                </c:pt>
                <c:pt idx="2">
                  <c:v>5.0503956950584197</c:v>
                </c:pt>
                <c:pt idx="3">
                  <c:v>4.6399999999999997</c:v>
                </c:pt>
                <c:pt idx="4">
                  <c:v>3.6869999999999998</c:v>
                </c:pt>
                <c:pt idx="5">
                  <c:v>3.2840000000000011</c:v>
                </c:pt>
                <c:pt idx="6">
                  <c:v>3.173</c:v>
                </c:pt>
                <c:pt idx="7">
                  <c:v>2.9129999999999967</c:v>
                </c:pt>
                <c:pt idx="8">
                  <c:v>3.0592512524333415</c:v>
                </c:pt>
                <c:pt idx="9">
                  <c:v>3.1359999999999997</c:v>
                </c:pt>
                <c:pt idx="10">
                  <c:v>3.4659999999999997</c:v>
                </c:pt>
                <c:pt idx="11">
                  <c:v>3.5917529473999998</c:v>
                </c:pt>
                <c:pt idx="12">
                  <c:v>3.6425184597999998</c:v>
                </c:pt>
              </c:numCache>
            </c:numRef>
          </c:val>
          <c:extLst xmlns:c16r2="http://schemas.microsoft.com/office/drawing/2015/06/chart">
            <c:ext xmlns:c16="http://schemas.microsoft.com/office/drawing/2014/chart" uri="{C3380CC4-5D6E-409C-BE32-E72D297353CC}">
              <c16:uniqueId val="{00000000-2D69-4680-9E45-04056E187479}"/>
            </c:ext>
          </c:extLst>
        </c:ser>
        <c:ser>
          <c:idx val="3"/>
          <c:order val="2"/>
          <c:tx>
            <c:strRef>
              <c:f>'Graf-prac. neschopnost'!$D$4</c:f>
              <c:strCache>
                <c:ptCount val="1"/>
                <c:pt idx="0">
                  <c:v>Průměrné procento dočasné pracovní neschopnosti pro pracovní úraz*</c:v>
                </c:pt>
              </c:strCache>
            </c:strRef>
          </c:tx>
          <c:spPr>
            <a:solidFill>
              <a:srgbClr val="48AEE7"/>
            </a:solidFill>
            <a:ln w="19050">
              <a:noFill/>
              <a:prstDash val="solid"/>
            </a:ln>
          </c:spP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neschopnost'!$D$5:$D$17</c:f>
              <c:numCache>
                <c:formatCode>0.00</c:formatCode>
                <c:ptCount val="13"/>
                <c:pt idx="0">
                  <c:v>0.22831404819302975</c:v>
                </c:pt>
                <c:pt idx="1">
                  <c:v>0.22945497072013171</c:v>
                </c:pt>
                <c:pt idx="2">
                  <c:v>0.21458691355667259</c:v>
                </c:pt>
                <c:pt idx="3">
                  <c:v>0.21200000000000024</c:v>
                </c:pt>
                <c:pt idx="4">
                  <c:v>0.17800000000000021</c:v>
                </c:pt>
                <c:pt idx="5">
                  <c:v>0.17100000000000001</c:v>
                </c:pt>
                <c:pt idx="6">
                  <c:v>0.16900000000000001</c:v>
                </c:pt>
                <c:pt idx="7">
                  <c:v>0.14800000000000021</c:v>
                </c:pt>
                <c:pt idx="8">
                  <c:v>0.14756962895831807</c:v>
                </c:pt>
                <c:pt idx="9">
                  <c:v>0.15000000000000024</c:v>
                </c:pt>
                <c:pt idx="10">
                  <c:v>0.15600000000000044</c:v>
                </c:pt>
                <c:pt idx="11">
                  <c:v>0.15391929920000108</c:v>
                </c:pt>
                <c:pt idx="12">
                  <c:v>0.15148471810000044</c:v>
                </c:pt>
              </c:numCache>
            </c:numRef>
          </c:val>
          <c:extLst xmlns:c16r2="http://schemas.microsoft.com/office/drawing/2015/06/chart">
            <c:ext xmlns:c16="http://schemas.microsoft.com/office/drawing/2014/chart" uri="{C3380CC4-5D6E-409C-BE32-E72D297353CC}">
              <c16:uniqueId val="{00000001-2D69-4680-9E45-04056E187479}"/>
            </c:ext>
          </c:extLst>
        </c:ser>
        <c:ser>
          <c:idx val="1"/>
          <c:order val="3"/>
          <c:tx>
            <c:strRef>
              <c:f>'Graf-prac. neschopnost'!$E$4</c:f>
              <c:strCache>
                <c:ptCount val="1"/>
                <c:pt idx="0">
                  <c:v>Průměrné  procento dočasné pracovní neschopnosti pro ostatní úraz*</c:v>
                </c:pt>
              </c:strCache>
            </c:strRef>
          </c:tx>
          <c:spPr>
            <a:solidFill>
              <a:srgbClr val="0071BC"/>
            </a:solidFill>
            <a:ln w="19050">
              <a:noFill/>
            </a:ln>
          </c:spP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neschopnost'!$E$5:$E$17</c:f>
              <c:numCache>
                <c:formatCode>0.00</c:formatCode>
                <c:ptCount val="13"/>
                <c:pt idx="0">
                  <c:v>0.37750330564369389</c:v>
                </c:pt>
                <c:pt idx="1">
                  <c:v>0.39578941986678473</c:v>
                </c:pt>
                <c:pt idx="2">
                  <c:v>0.35354629139771315</c:v>
                </c:pt>
                <c:pt idx="3">
                  <c:v>0.33200000000000152</c:v>
                </c:pt>
                <c:pt idx="4">
                  <c:v>0.31900000000000134</c:v>
                </c:pt>
                <c:pt idx="5">
                  <c:v>0.30800000000000038</c:v>
                </c:pt>
                <c:pt idx="6">
                  <c:v>0.29600000000000032</c:v>
                </c:pt>
                <c:pt idx="7">
                  <c:v>0.39000000000000135</c:v>
                </c:pt>
                <c:pt idx="8">
                  <c:v>0.40803711444141105</c:v>
                </c:pt>
                <c:pt idx="9">
                  <c:v>0.41100000000000031</c:v>
                </c:pt>
                <c:pt idx="10">
                  <c:v>0.44</c:v>
                </c:pt>
                <c:pt idx="11">
                  <c:v>0.45324351059999979</c:v>
                </c:pt>
                <c:pt idx="12">
                  <c:v>0.46806492070000116</c:v>
                </c:pt>
              </c:numCache>
            </c:numRef>
          </c:val>
          <c:extLst xmlns:c16r2="http://schemas.microsoft.com/office/drawing/2015/06/chart">
            <c:ext xmlns:c16="http://schemas.microsoft.com/office/drawing/2014/chart" uri="{C3380CC4-5D6E-409C-BE32-E72D297353CC}">
              <c16:uniqueId val="{00000002-2D69-4680-9E45-04056E187479}"/>
            </c:ext>
          </c:extLst>
        </c:ser>
        <c:gapWidth val="82"/>
        <c:overlap val="100"/>
        <c:axId val="190827904"/>
        <c:axId val="191001728"/>
      </c:barChart>
      <c:lineChart>
        <c:grouping val="standard"/>
        <c:ser>
          <c:idx val="0"/>
          <c:order val="0"/>
          <c:tx>
            <c:strRef>
              <c:f>'Graf-prac. neschopnost'!$B$4</c:f>
              <c:strCache>
                <c:ptCount val="1"/>
                <c:pt idx="0">
                  <c:v>Prům. doba trvání 1 případu dočasné prac. neschopnosti (kalendář. dny, pravá osa)</c:v>
                </c:pt>
              </c:strCache>
            </c:strRef>
          </c:tx>
          <c:spPr>
            <a:ln w="22225">
              <a:solidFill>
                <a:srgbClr val="BD1B21"/>
              </a:solidFill>
            </a:ln>
          </c:spPr>
          <c:marker>
            <c:symbol val="none"/>
          </c:marke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neschopnost'!$B$5:$B$17</c:f>
              <c:numCache>
                <c:formatCode>0.0</c:formatCode>
                <c:ptCount val="13"/>
                <c:pt idx="0">
                  <c:v>32.793486140049282</c:v>
                </c:pt>
                <c:pt idx="1">
                  <c:v>35.255918868743592</c:v>
                </c:pt>
                <c:pt idx="2">
                  <c:v>34.575233786419453</c:v>
                </c:pt>
                <c:pt idx="3">
                  <c:v>39.050000000000004</c:v>
                </c:pt>
                <c:pt idx="4">
                  <c:v>45.06</c:v>
                </c:pt>
                <c:pt idx="5">
                  <c:v>44.690000000000012</c:v>
                </c:pt>
                <c:pt idx="6">
                  <c:v>44.08</c:v>
                </c:pt>
                <c:pt idx="7">
                  <c:v>46.05</c:v>
                </c:pt>
                <c:pt idx="8">
                  <c:v>44.00127827968489</c:v>
                </c:pt>
                <c:pt idx="9">
                  <c:v>45.809999999999995</c:v>
                </c:pt>
                <c:pt idx="10">
                  <c:v>42.74</c:v>
                </c:pt>
                <c:pt idx="11">
                  <c:v>43.011019084699996</c:v>
                </c:pt>
                <c:pt idx="12">
                  <c:v>42.563352079900113</c:v>
                </c:pt>
              </c:numCache>
            </c:numRef>
          </c:val>
          <c:extLst xmlns:c16r2="http://schemas.microsoft.com/office/drawing/2015/06/chart">
            <c:ext xmlns:c16="http://schemas.microsoft.com/office/drawing/2014/chart" uri="{C3380CC4-5D6E-409C-BE32-E72D297353CC}">
              <c16:uniqueId val="{00000003-2D69-4680-9E45-04056E187479}"/>
            </c:ext>
          </c:extLst>
        </c:ser>
        <c:ser>
          <c:idx val="2"/>
          <c:order val="4"/>
          <c:tx>
            <c:strRef>
              <c:f>'Graf-prac. neschopnost'!$F$4</c:f>
              <c:strCache>
                <c:ptCount val="1"/>
                <c:pt idx="0">
                  <c:v>Vyplacené dávky nemocenského pojištění (v mld. korun, pravá osa)</c:v>
                </c:pt>
              </c:strCache>
            </c:strRef>
          </c:tx>
          <c:spPr>
            <a:ln w="22225">
              <a:solidFill>
                <a:srgbClr val="7DBB2D"/>
              </a:solidFill>
            </a:ln>
          </c:spPr>
          <c:marker>
            <c:symbol val="none"/>
          </c:marke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neschopnost'!$F$5:$F$17</c:f>
              <c:numCache>
                <c:formatCode>0.00</c:formatCode>
                <c:ptCount val="13"/>
                <c:pt idx="0">
                  <c:v>31.66</c:v>
                </c:pt>
                <c:pt idx="1">
                  <c:v>32.773000000000003</c:v>
                </c:pt>
                <c:pt idx="2">
                  <c:v>34.671000000000006</c:v>
                </c:pt>
                <c:pt idx="3">
                  <c:v>31.881999999999987</c:v>
                </c:pt>
                <c:pt idx="4">
                  <c:v>26.03</c:v>
                </c:pt>
                <c:pt idx="5">
                  <c:v>22.79</c:v>
                </c:pt>
                <c:pt idx="6">
                  <c:v>21.51</c:v>
                </c:pt>
                <c:pt idx="7">
                  <c:v>19.38</c:v>
                </c:pt>
                <c:pt idx="8">
                  <c:v>20.14</c:v>
                </c:pt>
                <c:pt idx="9">
                  <c:v>22.08</c:v>
                </c:pt>
                <c:pt idx="10">
                  <c:v>24.110000000000031</c:v>
                </c:pt>
                <c:pt idx="11">
                  <c:v>26.279999999999987</c:v>
                </c:pt>
                <c:pt idx="12">
                  <c:v>28.32</c:v>
                </c:pt>
              </c:numCache>
            </c:numRef>
          </c:val>
          <c:extLst xmlns:c16r2="http://schemas.microsoft.com/office/drawing/2015/06/chart">
            <c:ext xmlns:c16="http://schemas.microsoft.com/office/drawing/2014/chart" uri="{C3380CC4-5D6E-409C-BE32-E72D297353CC}">
              <c16:uniqueId val="{00000004-2D69-4680-9E45-04056E187479}"/>
            </c:ext>
          </c:extLst>
        </c:ser>
        <c:ser>
          <c:idx val="4"/>
          <c:order val="5"/>
          <c:tx>
            <c:strRef>
              <c:f>'Graf-prac. neschopnost'!$G$4</c:f>
              <c:strCache>
                <c:ptCount val="1"/>
                <c:pt idx="0">
                  <c:v>   z toho nemocenské dávky</c:v>
                </c:pt>
              </c:strCache>
            </c:strRef>
          </c:tx>
          <c:spPr>
            <a:ln w="19050">
              <a:solidFill>
                <a:srgbClr val="7DBB2D"/>
              </a:solidFill>
              <a:prstDash val="sysDash"/>
            </a:ln>
          </c:spPr>
          <c:marker>
            <c:symbol val="none"/>
          </c:marke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neschopnost'!$G$5:$G$17</c:f>
              <c:numCache>
                <c:formatCode>0.00</c:formatCode>
                <c:ptCount val="13"/>
                <c:pt idx="0">
                  <c:v>26.259999999999987</c:v>
                </c:pt>
                <c:pt idx="1">
                  <c:v>26.97</c:v>
                </c:pt>
                <c:pt idx="2">
                  <c:v>27.88</c:v>
                </c:pt>
                <c:pt idx="3">
                  <c:v>24.77</c:v>
                </c:pt>
                <c:pt idx="4">
                  <c:v>18.22</c:v>
                </c:pt>
                <c:pt idx="5">
                  <c:v>14.94</c:v>
                </c:pt>
                <c:pt idx="6">
                  <c:v>13.350000000000026</c:v>
                </c:pt>
                <c:pt idx="7">
                  <c:v>11.47</c:v>
                </c:pt>
                <c:pt idx="8">
                  <c:v>12.04</c:v>
                </c:pt>
                <c:pt idx="9">
                  <c:v>13.88</c:v>
                </c:pt>
                <c:pt idx="10">
                  <c:v>15.43</c:v>
                </c:pt>
                <c:pt idx="11">
                  <c:v>16.989999999999906</c:v>
                </c:pt>
                <c:pt idx="12">
                  <c:v>18.29</c:v>
                </c:pt>
              </c:numCache>
            </c:numRef>
          </c:val>
          <c:extLst xmlns:c16r2="http://schemas.microsoft.com/office/drawing/2015/06/chart">
            <c:ext xmlns:c16="http://schemas.microsoft.com/office/drawing/2014/chart" uri="{C3380CC4-5D6E-409C-BE32-E72D297353CC}">
              <c16:uniqueId val="{00000005-2D69-4680-9E45-04056E187479}"/>
            </c:ext>
          </c:extLst>
        </c:ser>
        <c:ser>
          <c:idx val="5"/>
          <c:order val="6"/>
          <c:tx>
            <c:strRef>
              <c:f>'Graf-prac. neschopnost'!$H$4</c:f>
              <c:strCache>
                <c:ptCount val="1"/>
                <c:pt idx="0">
                  <c:v>   z toho peněžitá pomoc v mateřství</c:v>
                </c:pt>
              </c:strCache>
            </c:strRef>
          </c:tx>
          <c:spPr>
            <a:ln w="19050">
              <a:solidFill>
                <a:srgbClr val="7DBB2D"/>
              </a:solidFill>
              <a:prstDash val="dash"/>
            </a:ln>
          </c:spPr>
          <c:marker>
            <c:symbol val="none"/>
          </c:marker>
          <c:cat>
            <c:numRef>
              <c:f>'Graf-prac. neschopnost'!$A$5:$A$17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'Graf-prac. neschopnost'!$H$5:$H$17</c:f>
              <c:numCache>
                <c:formatCode>0.00</c:formatCode>
                <c:ptCount val="13"/>
                <c:pt idx="0">
                  <c:v>4.57</c:v>
                </c:pt>
                <c:pt idx="1">
                  <c:v>4.9700000000000024</c:v>
                </c:pt>
                <c:pt idx="2">
                  <c:v>5.89</c:v>
                </c:pt>
                <c:pt idx="3">
                  <c:v>6.3</c:v>
                </c:pt>
                <c:pt idx="4">
                  <c:v>7.08</c:v>
                </c:pt>
                <c:pt idx="5">
                  <c:v>7.41</c:v>
                </c:pt>
                <c:pt idx="6">
                  <c:v>7.51</c:v>
                </c:pt>
                <c:pt idx="7">
                  <c:v>7.22</c:v>
                </c:pt>
                <c:pt idx="8">
                  <c:v>7.26</c:v>
                </c:pt>
                <c:pt idx="9">
                  <c:v>7.33</c:v>
                </c:pt>
                <c:pt idx="10">
                  <c:v>7.6099999999999985</c:v>
                </c:pt>
                <c:pt idx="11">
                  <c:v>8.11</c:v>
                </c:pt>
                <c:pt idx="12">
                  <c:v>8.620000000000001</c:v>
                </c:pt>
              </c:numCache>
            </c:numRef>
          </c:val>
          <c:extLst xmlns:c16r2="http://schemas.microsoft.com/office/drawing/2015/06/chart">
            <c:ext xmlns:c16="http://schemas.microsoft.com/office/drawing/2014/chart" uri="{C3380CC4-5D6E-409C-BE32-E72D297353CC}">
              <c16:uniqueId val="{00000006-2D69-4680-9E45-04056E187479}"/>
            </c:ext>
          </c:extLst>
        </c:ser>
        <c:marker val="1"/>
        <c:axId val="191009152"/>
        <c:axId val="191003264"/>
      </c:lineChart>
      <c:catAx>
        <c:axId val="190827904"/>
        <c:scaling>
          <c:orientation val="minMax"/>
        </c:scaling>
        <c:axPos val="b"/>
        <c:numFmt formatCode="General" sourceLinked="1"/>
        <c:tickLblPos val="low"/>
        <c:spPr>
          <a:ln w="9525">
            <a:solidFill>
              <a:schemeClr val="tx1"/>
            </a:solidFill>
            <a:prstDash val="solid"/>
          </a:ln>
        </c:spPr>
        <c:txPr>
          <a:bodyPr rot="0" vert="horz"/>
          <a:lstStyle/>
          <a:p>
            <a:pPr>
              <a:defRPr/>
            </a:pPr>
            <a:endParaRPr lang="cs-CZ"/>
          </a:p>
        </c:txPr>
        <c:crossAx val="191001728"/>
        <c:crossesAt val="0"/>
        <c:lblAlgn val="ctr"/>
        <c:lblOffset val="0"/>
        <c:tickLblSkip val="1"/>
        <c:tickMarkSkip val="4"/>
      </c:catAx>
      <c:valAx>
        <c:axId val="191001728"/>
        <c:scaling>
          <c:orientation val="minMax"/>
          <c:max val="6.5"/>
          <c:min val="0"/>
        </c:scaling>
        <c:axPos val="l"/>
        <c:majorGridlines>
          <c:spPr>
            <a:ln w="6350">
              <a:solidFill>
                <a:schemeClr val="bg1">
                  <a:lumMod val="75000"/>
                </a:schemeClr>
              </a:solidFill>
            </a:ln>
          </c:spPr>
        </c:majorGridlines>
        <c:numFmt formatCode="0.0" sourceLinked="0"/>
        <c:tickLblPos val="nextTo"/>
        <c:spPr>
          <a:ln w="9525">
            <a:solidFill>
              <a:schemeClr val="tx1"/>
            </a:solidFill>
            <a:prstDash val="solid"/>
          </a:ln>
        </c:spPr>
        <c:txPr>
          <a:bodyPr rot="0" vert="horz"/>
          <a:lstStyle/>
          <a:p>
            <a:pPr>
              <a:defRPr/>
            </a:pPr>
            <a:endParaRPr lang="cs-CZ"/>
          </a:p>
        </c:txPr>
        <c:crossAx val="190827904"/>
        <c:crosses val="autoZero"/>
        <c:crossBetween val="between"/>
        <c:majorUnit val="0.5"/>
      </c:valAx>
      <c:valAx>
        <c:axId val="191003264"/>
        <c:scaling>
          <c:orientation val="minMax"/>
          <c:max val="65"/>
          <c:min val="0"/>
        </c:scaling>
        <c:axPos val="r"/>
        <c:numFmt formatCode="0" sourceLinked="0"/>
        <c:tickLblPos val="nextTo"/>
        <c:crossAx val="191009152"/>
        <c:crosses val="max"/>
        <c:crossBetween val="between"/>
        <c:majorUnit val="5"/>
      </c:valAx>
      <c:catAx>
        <c:axId val="191009152"/>
        <c:scaling>
          <c:orientation val="minMax"/>
        </c:scaling>
        <c:delete val="1"/>
        <c:axPos val="b"/>
        <c:numFmt formatCode="General" sourceLinked="1"/>
        <c:tickLblPos val="none"/>
        <c:crossAx val="191003264"/>
        <c:crosses val="autoZero"/>
        <c:auto val="1"/>
        <c:lblAlgn val="ctr"/>
        <c:lblOffset val="100"/>
      </c:catAx>
      <c:spPr>
        <a:noFill/>
        <a:ln w="9525">
          <a:solidFill>
            <a:schemeClr val="tx1"/>
          </a:solidFill>
        </a:ln>
      </c:spPr>
    </c:plotArea>
    <c:legend>
      <c:legendPos val="b"/>
      <c:layout>
        <c:manualLayout>
          <c:xMode val="edge"/>
          <c:yMode val="edge"/>
          <c:x val="5.4019954707434974E-2"/>
          <c:y val="0.78905001120135476"/>
          <c:w val="0.8939125595271995"/>
          <c:h val="0.19575330331478735"/>
        </c:manualLayout>
      </c:layout>
      <c:spPr>
        <a:noFill/>
        <a:ln w="6350">
          <a:solidFill>
            <a:schemeClr val="tx1"/>
          </a:solidFill>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CE"/>
          <a:ea typeface="Arial CE"/>
          <a:cs typeface="Arial CE"/>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6.6871833839918973E-2"/>
          <c:y val="3.9316672295395698E-2"/>
          <c:w val="0.9222798463357037"/>
          <c:h val="0.73006726331194416"/>
        </c:manualLayout>
      </c:layout>
      <c:barChart>
        <c:barDir val="col"/>
        <c:grouping val="clustered"/>
        <c:ser>
          <c:idx val="0"/>
          <c:order val="0"/>
          <c:tx>
            <c:strRef>
              <c:f>Grafy!$A$11</c:f>
              <c:strCache>
                <c:ptCount val="1"/>
                <c:pt idx="0">
                  <c:v>Celkem</c:v>
                </c:pt>
              </c:strCache>
            </c:strRef>
          </c:tx>
          <c:spPr>
            <a:solidFill>
              <a:srgbClr val="808080"/>
            </a:solidFill>
          </c:spPr>
          <c:cat>
            <c:strRef>
              <c:f>Grafy!$B$10:$K$10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Grafy!$B$11:$K$11</c:f>
              <c:numCache>
                <c:formatCode>0.0</c:formatCode>
                <c:ptCount val="10"/>
                <c:pt idx="0">
                  <c:v>4.5</c:v>
                </c:pt>
                <c:pt idx="1">
                  <c:v>-3.0999999999999943</c:v>
                </c:pt>
                <c:pt idx="2">
                  <c:v>1.2000000000000028</c:v>
                </c:pt>
                <c:pt idx="3">
                  <c:v>5.5999999999999943</c:v>
                </c:pt>
                <c:pt idx="4">
                  <c:v>2.0999999999999943</c:v>
                </c:pt>
                <c:pt idx="5">
                  <c:v>0.7999999999999976</c:v>
                </c:pt>
                <c:pt idx="6">
                  <c:v>-0.7999999999999976</c:v>
                </c:pt>
                <c:pt idx="7">
                  <c:v>-3.2000000000000042</c:v>
                </c:pt>
                <c:pt idx="8">
                  <c:v>-3.2999999999999972</c:v>
                </c:pt>
                <c:pt idx="9">
                  <c:v>1.7999999999999834</c:v>
                </c:pt>
              </c:numCache>
            </c:numRef>
          </c:val>
          <c:extLst xmlns:c16r2="http://schemas.microsoft.com/office/drawing/2015/06/chart">
            <c:ext xmlns:c16="http://schemas.microsoft.com/office/drawing/2014/chart" uri="{C3380CC4-5D6E-409C-BE32-E72D297353CC}">
              <c16:uniqueId val="{00000000-28CE-4608-9290-217EE756ECA2}"/>
            </c:ext>
          </c:extLst>
        </c:ser>
        <c:gapWidth val="99"/>
        <c:axId val="118894592"/>
        <c:axId val="118896128"/>
      </c:barChart>
      <c:lineChart>
        <c:grouping val="standard"/>
        <c:ser>
          <c:idx val="1"/>
          <c:order val="1"/>
          <c:tx>
            <c:strRef>
              <c:f>Grafy!$A$12</c:f>
              <c:strCache>
                <c:ptCount val="1"/>
                <c:pt idx="0">
                  <c:v>Těžba a dobývání</c:v>
                </c:pt>
              </c:strCache>
            </c:strRef>
          </c:tx>
          <c:spPr>
            <a:ln>
              <a:solidFill>
                <a:srgbClr val="BD1B21"/>
              </a:solidFill>
            </a:ln>
          </c:spPr>
          <c:marker>
            <c:symbol val="none"/>
          </c:marker>
          <c:cat>
            <c:strRef>
              <c:f>Grafy!$B$10:$K$10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Grafy!$B$12:$K$12</c:f>
              <c:numCache>
                <c:formatCode>0.0</c:formatCode>
                <c:ptCount val="10"/>
                <c:pt idx="0">
                  <c:v>14.5</c:v>
                </c:pt>
                <c:pt idx="1">
                  <c:v>-3.9000000000000057</c:v>
                </c:pt>
                <c:pt idx="2">
                  <c:v>5.7000000000000028</c:v>
                </c:pt>
                <c:pt idx="3">
                  <c:v>6.9000000000000083</c:v>
                </c:pt>
                <c:pt idx="4">
                  <c:v>-1.9000000000000061</c:v>
                </c:pt>
                <c:pt idx="5">
                  <c:v>-1.2999999999999834</c:v>
                </c:pt>
                <c:pt idx="6">
                  <c:v>-3.2999999999999972</c:v>
                </c:pt>
                <c:pt idx="7">
                  <c:v>-0.59999999999999432</c:v>
                </c:pt>
                <c:pt idx="8">
                  <c:v>-6.0999999999999943</c:v>
                </c:pt>
                <c:pt idx="9">
                  <c:v>3.7999999999999972</c:v>
                </c:pt>
              </c:numCache>
            </c:numRef>
          </c:val>
          <c:extLst xmlns:c16r2="http://schemas.microsoft.com/office/drawing/2015/06/chart">
            <c:ext xmlns:c16="http://schemas.microsoft.com/office/drawing/2014/chart" uri="{C3380CC4-5D6E-409C-BE32-E72D297353CC}">
              <c16:uniqueId val="{00000001-28CE-4608-9290-217EE756ECA2}"/>
            </c:ext>
          </c:extLst>
        </c:ser>
        <c:ser>
          <c:idx val="2"/>
          <c:order val="2"/>
          <c:tx>
            <c:strRef>
              <c:f>Grafy!$A$13</c:f>
              <c:strCache>
                <c:ptCount val="1"/>
                <c:pt idx="0">
                  <c:v>Zpracovatelský průmysl</c:v>
                </c:pt>
              </c:strCache>
            </c:strRef>
          </c:tx>
          <c:spPr>
            <a:ln>
              <a:solidFill>
                <a:srgbClr val="7DBB2D"/>
              </a:solidFill>
            </a:ln>
          </c:spPr>
          <c:marker>
            <c:symbol val="none"/>
          </c:marker>
          <c:cat>
            <c:strRef>
              <c:f>Grafy!$B$10:$K$10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Grafy!$B$13:$K$13</c:f>
              <c:numCache>
                <c:formatCode>0.0</c:formatCode>
                <c:ptCount val="10"/>
                <c:pt idx="0">
                  <c:v>3.2000000000000042</c:v>
                </c:pt>
                <c:pt idx="1">
                  <c:v>-5.5999999999999943</c:v>
                </c:pt>
                <c:pt idx="2">
                  <c:v>1.5</c:v>
                </c:pt>
                <c:pt idx="3">
                  <c:v>5.7999999999999972</c:v>
                </c:pt>
                <c:pt idx="4">
                  <c:v>2.2999999999999972</c:v>
                </c:pt>
                <c:pt idx="5">
                  <c:v>0.20000000000000284</c:v>
                </c:pt>
                <c:pt idx="6">
                  <c:v>1</c:v>
                </c:pt>
                <c:pt idx="7">
                  <c:v>-3.9000000000000057</c:v>
                </c:pt>
                <c:pt idx="8">
                  <c:v>-3.0999999999999943</c:v>
                </c:pt>
                <c:pt idx="9">
                  <c:v>2.2999999999999972</c:v>
                </c:pt>
              </c:numCache>
            </c:numRef>
          </c:val>
          <c:extLst xmlns:c16r2="http://schemas.microsoft.com/office/drawing/2015/06/chart">
            <c:ext xmlns:c16="http://schemas.microsoft.com/office/drawing/2014/chart" uri="{C3380CC4-5D6E-409C-BE32-E72D297353CC}">
              <c16:uniqueId val="{00000002-28CE-4608-9290-217EE756ECA2}"/>
            </c:ext>
          </c:extLst>
        </c:ser>
        <c:ser>
          <c:idx val="3"/>
          <c:order val="3"/>
          <c:tx>
            <c:strRef>
              <c:f>Grafy!$A$14</c:f>
              <c:strCache>
                <c:ptCount val="1"/>
                <c:pt idx="0">
                  <c:v>Elektřina, plyn, pára a klimatizovaný vzduch</c:v>
                </c:pt>
              </c:strCache>
            </c:strRef>
          </c:tx>
          <c:spPr>
            <a:ln>
              <a:solidFill>
                <a:srgbClr val="F8A124"/>
              </a:solidFill>
            </a:ln>
          </c:spPr>
          <c:marker>
            <c:symbol val="none"/>
          </c:marker>
          <c:cat>
            <c:strRef>
              <c:f>Grafy!$B$10:$K$10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Grafy!$B$14:$K$14</c:f>
              <c:numCache>
                <c:formatCode>0.0</c:formatCode>
                <c:ptCount val="10"/>
                <c:pt idx="0">
                  <c:v>9.9000000000000057</c:v>
                </c:pt>
                <c:pt idx="1">
                  <c:v>10.900000000000006</c:v>
                </c:pt>
                <c:pt idx="2">
                  <c:v>-1.2999999999999834</c:v>
                </c:pt>
                <c:pt idx="3">
                  <c:v>4</c:v>
                </c:pt>
                <c:pt idx="4">
                  <c:v>1.7000000000000028</c:v>
                </c:pt>
                <c:pt idx="5">
                  <c:v>3.5999999999999943</c:v>
                </c:pt>
                <c:pt idx="6">
                  <c:v>-8.7000000000000011</c:v>
                </c:pt>
                <c:pt idx="7">
                  <c:v>-0.7999999999999976</c:v>
                </c:pt>
                <c:pt idx="8">
                  <c:v>-4.0999999999999943</c:v>
                </c:pt>
                <c:pt idx="9">
                  <c:v>-1.2000000000000028</c:v>
                </c:pt>
              </c:numCache>
            </c:numRef>
          </c:val>
          <c:extLst xmlns:c16r2="http://schemas.microsoft.com/office/drawing/2015/06/chart">
            <c:ext xmlns:c16="http://schemas.microsoft.com/office/drawing/2014/chart" uri="{C3380CC4-5D6E-409C-BE32-E72D297353CC}">
              <c16:uniqueId val="{00000003-28CE-4608-9290-217EE756ECA2}"/>
            </c:ext>
          </c:extLst>
        </c:ser>
        <c:ser>
          <c:idx val="4"/>
          <c:order val="4"/>
          <c:tx>
            <c:strRef>
              <c:f>Grafy!$A$15</c:f>
              <c:strCache>
                <c:ptCount val="1"/>
                <c:pt idx="0">
                  <c:v>Zásobování vodou, odpadní vody</c:v>
                </c:pt>
              </c:strCache>
            </c:strRef>
          </c:tx>
          <c:spPr>
            <a:ln>
              <a:solidFill>
                <a:srgbClr val="0071BC"/>
              </a:solidFill>
            </a:ln>
          </c:spPr>
          <c:marker>
            <c:symbol val="none"/>
          </c:marker>
          <c:cat>
            <c:strRef>
              <c:f>Grafy!$B$10:$K$10</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Grafy!$B$15:$K$15</c:f>
              <c:numCache>
                <c:formatCode>0.0</c:formatCode>
                <c:ptCount val="10"/>
                <c:pt idx="0">
                  <c:v>4.2000000000000028</c:v>
                </c:pt>
                <c:pt idx="1">
                  <c:v>6.9000000000000083</c:v>
                </c:pt>
                <c:pt idx="2">
                  <c:v>3.7999999999999972</c:v>
                </c:pt>
                <c:pt idx="3">
                  <c:v>6.2000000000000028</c:v>
                </c:pt>
                <c:pt idx="4">
                  <c:v>8.1000000000000014</c:v>
                </c:pt>
                <c:pt idx="5">
                  <c:v>5.7000000000000028</c:v>
                </c:pt>
                <c:pt idx="6">
                  <c:v>3.4000000000000057</c:v>
                </c:pt>
                <c:pt idx="7">
                  <c:v>3.4000000000000057</c:v>
                </c:pt>
                <c:pt idx="8">
                  <c:v>1.2999999999999834</c:v>
                </c:pt>
                <c:pt idx="9">
                  <c:v>1.2999999999999834</c:v>
                </c:pt>
              </c:numCache>
            </c:numRef>
          </c:val>
          <c:extLst xmlns:c16r2="http://schemas.microsoft.com/office/drawing/2015/06/chart">
            <c:ext xmlns:c16="http://schemas.microsoft.com/office/drawing/2014/chart" uri="{C3380CC4-5D6E-409C-BE32-E72D297353CC}">
              <c16:uniqueId val="{00000004-28CE-4608-9290-217EE756ECA2}"/>
            </c:ext>
          </c:extLst>
        </c:ser>
        <c:marker val="1"/>
        <c:axId val="118894592"/>
        <c:axId val="118896128"/>
      </c:lineChart>
      <c:catAx>
        <c:axId val="118894592"/>
        <c:scaling>
          <c:orientation val="minMax"/>
        </c:scaling>
        <c:axPos val="b"/>
        <c:numFmt formatCode="General" sourceLinked="0"/>
        <c:tickLblPos val="low"/>
        <c:crossAx val="118896128"/>
        <c:crosses val="autoZero"/>
        <c:auto val="1"/>
        <c:lblAlgn val="ctr"/>
        <c:lblOffset val="100"/>
      </c:catAx>
      <c:valAx>
        <c:axId val="118896128"/>
        <c:scaling>
          <c:orientation val="minMax"/>
          <c:max val="15"/>
        </c:scaling>
        <c:axPos val="l"/>
        <c:majorGridlines/>
        <c:numFmt formatCode="0" sourceLinked="0"/>
        <c:tickLblPos val="nextTo"/>
        <c:crossAx val="118894592"/>
        <c:crosses val="autoZero"/>
        <c:crossBetween val="between"/>
      </c:valAx>
      <c:spPr>
        <a:ln>
          <a:solidFill>
            <a:sysClr val="windowText" lastClr="000000"/>
          </a:solidFill>
        </a:ln>
      </c:spPr>
    </c:plotArea>
    <c:legend>
      <c:legendPos val="r"/>
      <c:layout>
        <c:manualLayout>
          <c:xMode val="edge"/>
          <c:yMode val="edge"/>
          <c:x val="6.704217325227961E-2"/>
          <c:y val="0.82444134864348373"/>
          <c:w val="0.91687373353596768"/>
          <c:h val="0.15532196330068668"/>
        </c:manualLayout>
      </c:layout>
      <c:spPr>
        <a:ln>
          <a:solidFill>
            <a:schemeClr val="tx1"/>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7.1656746031746113E-2"/>
          <c:y val="3.9316672295395698E-2"/>
          <c:w val="0.9085062056737585"/>
          <c:h val="0.73398489309186365"/>
        </c:manualLayout>
      </c:layout>
      <c:barChart>
        <c:barDir val="col"/>
        <c:grouping val="stacked"/>
        <c:ser>
          <c:idx val="14"/>
          <c:order val="1"/>
          <c:tx>
            <c:strRef>
              <c:f>'Vystup-4'!$P$17</c:f>
              <c:strCache>
                <c:ptCount val="1"/>
                <c:pt idx="0">
                  <c:v>Ostatní</c:v>
                </c:pt>
              </c:strCache>
            </c:strRef>
          </c:tx>
          <c:spPr>
            <a:solidFill>
              <a:srgbClr val="808080"/>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'Vystup-4'!$P$18:$P$27</c:f>
              <c:numCache>
                <c:formatCode>General</c:formatCode>
                <c:ptCount val="10"/>
                <c:pt idx="0">
                  <c:v>1.6460000000000021</c:v>
                </c:pt>
                <c:pt idx="1">
                  <c:v>-2.1359999999999997</c:v>
                </c:pt>
                <c:pt idx="2">
                  <c:v>9.4720000000000066</c:v>
                </c:pt>
                <c:pt idx="3">
                  <c:v>8.0500000000000025</c:v>
                </c:pt>
                <c:pt idx="4">
                  <c:v>-4.5489999999999995</c:v>
                </c:pt>
                <c:pt idx="5">
                  <c:v>2.5559999999999987</c:v>
                </c:pt>
                <c:pt idx="6">
                  <c:v>-10.41</c:v>
                </c:pt>
                <c:pt idx="7">
                  <c:v>7.4380000000000024</c:v>
                </c:pt>
                <c:pt idx="8">
                  <c:v>2.9809999999999999</c:v>
                </c:pt>
                <c:pt idx="9">
                  <c:v>6.785000000000001</c:v>
                </c:pt>
              </c:numCache>
            </c:numRef>
          </c:val>
          <c:extLst xmlns:c16r2="http://schemas.microsoft.com/office/drawing/2015/06/chart">
            <c:ext xmlns:c16="http://schemas.microsoft.com/office/drawing/2014/chart" uri="{C3380CC4-5D6E-409C-BE32-E72D297353CC}">
              <c16:uniqueId val="{00000000-BDCF-4C27-B532-9B334DBF9434}"/>
            </c:ext>
          </c:extLst>
        </c:ser>
        <c:ser>
          <c:idx val="8"/>
          <c:order val="2"/>
          <c:tx>
            <c:strRef>
              <c:f>'Vystup-4'!$J$17</c:f>
              <c:strCache>
                <c:ptCount val="1"/>
                <c:pt idx="0">
                  <c:v>Využívání duševního vlastnictví</c:v>
                </c:pt>
              </c:strCache>
            </c:strRef>
          </c:tx>
          <c:spPr>
            <a:solidFill>
              <a:srgbClr val="E8AFB2"/>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'Vystup-4'!$J$18:$J$27</c:f>
              <c:numCache>
                <c:formatCode>General</c:formatCode>
                <c:ptCount val="10"/>
                <c:pt idx="0">
                  <c:v>-12.259</c:v>
                </c:pt>
                <c:pt idx="1">
                  <c:v>-12.518000000000001</c:v>
                </c:pt>
                <c:pt idx="2">
                  <c:v>-13.31</c:v>
                </c:pt>
                <c:pt idx="3">
                  <c:v>-15.837</c:v>
                </c:pt>
                <c:pt idx="4">
                  <c:v>-13.493</c:v>
                </c:pt>
                <c:pt idx="5">
                  <c:v>-15.122</c:v>
                </c:pt>
                <c:pt idx="6">
                  <c:v>-17.57</c:v>
                </c:pt>
                <c:pt idx="7">
                  <c:v>-18.759</c:v>
                </c:pt>
                <c:pt idx="8">
                  <c:v>-18.280999999999889</c:v>
                </c:pt>
                <c:pt idx="9">
                  <c:v>-18.937000000000001</c:v>
                </c:pt>
              </c:numCache>
            </c:numRef>
          </c:val>
          <c:extLst xmlns:c16r2="http://schemas.microsoft.com/office/drawing/2015/06/chart">
            <c:ext xmlns:c16="http://schemas.microsoft.com/office/drawing/2014/chart" uri="{C3380CC4-5D6E-409C-BE32-E72D297353CC}">
              <c16:uniqueId val="{00000001-BDCF-4C27-B532-9B334DBF9434}"/>
            </c:ext>
          </c:extLst>
        </c:ser>
        <c:ser>
          <c:idx val="6"/>
          <c:order val="3"/>
          <c:tx>
            <c:strRef>
              <c:f>'Vystup-4'!$H$17</c:f>
              <c:strCache>
                <c:ptCount val="1"/>
                <c:pt idx="0">
                  <c:v>Pojišť. služby a penzijní fin.</c:v>
                </c:pt>
              </c:strCache>
            </c:strRef>
          </c:tx>
          <c:spPr>
            <a:solidFill>
              <a:srgbClr val="48AEE7"/>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'Vystup-4'!$H$18:$H$27</c:f>
              <c:numCache>
                <c:formatCode>General</c:formatCode>
                <c:ptCount val="10"/>
                <c:pt idx="0">
                  <c:v>-8.0450000000000017</c:v>
                </c:pt>
                <c:pt idx="1">
                  <c:v>-8.9130000000000003</c:v>
                </c:pt>
                <c:pt idx="2">
                  <c:v>-7.8959999999999955</c:v>
                </c:pt>
                <c:pt idx="3">
                  <c:v>-9.8320000000000007</c:v>
                </c:pt>
                <c:pt idx="4">
                  <c:v>-9.3710000000000004</c:v>
                </c:pt>
                <c:pt idx="5">
                  <c:v>-11.069000000000004</c:v>
                </c:pt>
                <c:pt idx="6">
                  <c:v>-13.104000000000001</c:v>
                </c:pt>
                <c:pt idx="7">
                  <c:v>-11.477</c:v>
                </c:pt>
                <c:pt idx="8">
                  <c:v>-10.787000000000001</c:v>
                </c:pt>
                <c:pt idx="9">
                  <c:v>-11.221</c:v>
                </c:pt>
              </c:numCache>
            </c:numRef>
          </c:val>
          <c:extLst xmlns:c16r2="http://schemas.microsoft.com/office/drawing/2015/06/chart">
            <c:ext xmlns:c16="http://schemas.microsoft.com/office/drawing/2014/chart" uri="{C3380CC4-5D6E-409C-BE32-E72D297353CC}">
              <c16:uniqueId val="{00000002-BDCF-4C27-B532-9B334DBF9434}"/>
            </c:ext>
          </c:extLst>
        </c:ser>
        <c:ser>
          <c:idx val="3"/>
          <c:order val="4"/>
          <c:tx>
            <c:strRef>
              <c:f>'Vystup-4'!$E$17</c:f>
              <c:strCache>
                <c:ptCount val="1"/>
                <c:pt idx="0">
                  <c:v>Doprava</c:v>
                </c:pt>
              </c:strCache>
            </c:strRef>
          </c:tx>
          <c:spPr>
            <a:solidFill>
              <a:srgbClr val="A6CDE8"/>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'Vystup-4'!$E$18:$E$27</c:f>
              <c:numCache>
                <c:formatCode>General</c:formatCode>
                <c:ptCount val="10"/>
                <c:pt idx="0">
                  <c:v>24.431999999999999</c:v>
                </c:pt>
                <c:pt idx="1">
                  <c:v>26.261999999999986</c:v>
                </c:pt>
                <c:pt idx="2">
                  <c:v>19.267999999999986</c:v>
                </c:pt>
                <c:pt idx="3">
                  <c:v>22.196999999999999</c:v>
                </c:pt>
                <c:pt idx="4">
                  <c:v>19.864000000000001</c:v>
                </c:pt>
                <c:pt idx="5">
                  <c:v>9.5210000000000008</c:v>
                </c:pt>
                <c:pt idx="6">
                  <c:v>13.495000000000006</c:v>
                </c:pt>
                <c:pt idx="7">
                  <c:v>13.747</c:v>
                </c:pt>
                <c:pt idx="8">
                  <c:v>29.864999999999988</c:v>
                </c:pt>
                <c:pt idx="9">
                  <c:v>31.204999999999988</c:v>
                </c:pt>
              </c:numCache>
            </c:numRef>
          </c:val>
          <c:extLst xmlns:c16r2="http://schemas.microsoft.com/office/drawing/2015/06/chart">
            <c:ext xmlns:c16="http://schemas.microsoft.com/office/drawing/2014/chart" uri="{C3380CC4-5D6E-409C-BE32-E72D297353CC}">
              <c16:uniqueId val="{00000003-BDCF-4C27-B532-9B334DBF9434}"/>
            </c:ext>
          </c:extLst>
        </c:ser>
        <c:ser>
          <c:idx val="4"/>
          <c:order val="5"/>
          <c:tx>
            <c:strRef>
              <c:f>'Vystup-4'!$F$17</c:f>
              <c:strCache>
                <c:ptCount val="1"/>
                <c:pt idx="0">
                  <c:v>Cestovní ruch</c:v>
                </c:pt>
              </c:strCache>
            </c:strRef>
          </c:tx>
          <c:spPr>
            <a:solidFill>
              <a:srgbClr val="0071BC"/>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'Vystup-4'!$F$18:$F$27</c:f>
              <c:numCache>
                <c:formatCode>General</c:formatCode>
                <c:ptCount val="10"/>
                <c:pt idx="0">
                  <c:v>56.623000000000012</c:v>
                </c:pt>
                <c:pt idx="1">
                  <c:v>56.501000000000005</c:v>
                </c:pt>
                <c:pt idx="2">
                  <c:v>55.764000000000003</c:v>
                </c:pt>
                <c:pt idx="3">
                  <c:v>58.937000000000005</c:v>
                </c:pt>
                <c:pt idx="4">
                  <c:v>58.377000000000002</c:v>
                </c:pt>
                <c:pt idx="5">
                  <c:v>47.072000000000003</c:v>
                </c:pt>
                <c:pt idx="6">
                  <c:v>35.061</c:v>
                </c:pt>
                <c:pt idx="7">
                  <c:v>31.613000000000035</c:v>
                </c:pt>
                <c:pt idx="8">
                  <c:v>33.963000000000001</c:v>
                </c:pt>
                <c:pt idx="9">
                  <c:v>35.15</c:v>
                </c:pt>
              </c:numCache>
            </c:numRef>
          </c:val>
          <c:extLst xmlns:c16r2="http://schemas.microsoft.com/office/drawing/2015/06/chart">
            <c:ext xmlns:c16="http://schemas.microsoft.com/office/drawing/2014/chart" uri="{C3380CC4-5D6E-409C-BE32-E72D297353CC}">
              <c16:uniqueId val="{00000004-BDCF-4C27-B532-9B334DBF9434}"/>
            </c:ext>
          </c:extLst>
        </c:ser>
        <c:ser>
          <c:idx val="9"/>
          <c:order val="6"/>
          <c:tx>
            <c:strRef>
              <c:f>'Vystup-4'!$K$17</c:f>
              <c:strCache>
                <c:ptCount val="1"/>
                <c:pt idx="0">
                  <c:v>Telekom. služby, informační služby</c:v>
                </c:pt>
              </c:strCache>
            </c:strRef>
          </c:tx>
          <c:spPr>
            <a:solidFill>
              <a:srgbClr val="7DBB2D"/>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'Vystup-4'!$K$18:$K$27</c:f>
              <c:numCache>
                <c:formatCode>General</c:formatCode>
                <c:ptCount val="10"/>
                <c:pt idx="0">
                  <c:v>7.9880000000000004</c:v>
                </c:pt>
                <c:pt idx="1">
                  <c:v>4.6189999999999856</c:v>
                </c:pt>
                <c:pt idx="2">
                  <c:v>-0.84300000000000064</c:v>
                </c:pt>
                <c:pt idx="3">
                  <c:v>6.8760000000000003</c:v>
                </c:pt>
                <c:pt idx="4">
                  <c:v>12.22</c:v>
                </c:pt>
                <c:pt idx="5">
                  <c:v>12.796000000000001</c:v>
                </c:pt>
                <c:pt idx="6">
                  <c:v>19.100000000000001</c:v>
                </c:pt>
                <c:pt idx="7">
                  <c:v>24.332999999999988</c:v>
                </c:pt>
                <c:pt idx="8">
                  <c:v>32.887999999999998</c:v>
                </c:pt>
                <c:pt idx="9">
                  <c:v>37.854999999999997</c:v>
                </c:pt>
              </c:numCache>
            </c:numRef>
          </c:val>
          <c:extLst xmlns:c16r2="http://schemas.microsoft.com/office/drawing/2015/06/chart">
            <c:ext xmlns:c16="http://schemas.microsoft.com/office/drawing/2014/chart" uri="{C3380CC4-5D6E-409C-BE32-E72D297353CC}">
              <c16:uniqueId val="{00000005-BDCF-4C27-B532-9B334DBF9434}"/>
            </c:ext>
          </c:extLst>
        </c:ser>
        <c:ser>
          <c:idx val="1"/>
          <c:order val="7"/>
          <c:tx>
            <c:strRef>
              <c:f>'Vystup-4'!$C$17</c:f>
              <c:strCache>
                <c:ptCount val="1"/>
                <c:pt idx="0">
                  <c:v>Výr. služby u cizích fyz. vstupů</c:v>
                </c:pt>
              </c:strCache>
            </c:strRef>
          </c:tx>
          <c:spPr>
            <a:solidFill>
              <a:srgbClr val="BD1B21"/>
            </a:solidFill>
          </c:spP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'Vystup-4'!$C$18:$C$27</c:f>
              <c:numCache>
                <c:formatCode>General</c:formatCode>
                <c:ptCount val="10"/>
                <c:pt idx="0">
                  <c:v>18.888999999999989</c:v>
                </c:pt>
                <c:pt idx="1">
                  <c:v>18.100000000000001</c:v>
                </c:pt>
                <c:pt idx="2">
                  <c:v>16.021999999999988</c:v>
                </c:pt>
                <c:pt idx="3">
                  <c:v>10.89</c:v>
                </c:pt>
                <c:pt idx="4">
                  <c:v>14.579000000000002</c:v>
                </c:pt>
                <c:pt idx="5">
                  <c:v>24.602</c:v>
                </c:pt>
                <c:pt idx="6">
                  <c:v>29.079000000000001</c:v>
                </c:pt>
                <c:pt idx="7">
                  <c:v>31.145</c:v>
                </c:pt>
                <c:pt idx="8">
                  <c:v>36.980000000000004</c:v>
                </c:pt>
                <c:pt idx="9">
                  <c:v>41.157000000000004</c:v>
                </c:pt>
              </c:numCache>
            </c:numRef>
          </c:val>
          <c:extLst xmlns:c16r2="http://schemas.microsoft.com/office/drawing/2015/06/chart">
            <c:ext xmlns:c16="http://schemas.microsoft.com/office/drawing/2014/chart" uri="{C3380CC4-5D6E-409C-BE32-E72D297353CC}">
              <c16:uniqueId val="{00000006-BDCF-4C27-B532-9B334DBF9434}"/>
            </c:ext>
          </c:extLst>
        </c:ser>
        <c:overlap val="100"/>
        <c:axId val="118941568"/>
        <c:axId val="118943104"/>
      </c:barChart>
      <c:lineChart>
        <c:grouping val="standard"/>
        <c:ser>
          <c:idx val="0"/>
          <c:order val="0"/>
          <c:tx>
            <c:strRef>
              <c:f>'Vystup-4'!$B$17</c:f>
              <c:strCache>
                <c:ptCount val="1"/>
                <c:pt idx="0">
                  <c:v>Služby</c:v>
                </c:pt>
              </c:strCache>
            </c:strRef>
          </c:tx>
          <c:spPr>
            <a:ln>
              <a:solidFill>
                <a:schemeClr val="tx1"/>
              </a:solidFill>
            </a:ln>
          </c:spPr>
          <c:marker>
            <c:symbol val="none"/>
          </c:marker>
          <c:cat>
            <c:numRef>
              <c:f>'Vystup-4'!$A$18:$A$27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'Vystup-4'!$B$18:$B$27</c:f>
              <c:numCache>
                <c:formatCode>General</c:formatCode>
                <c:ptCount val="10"/>
                <c:pt idx="0">
                  <c:v>89.274000000000001</c:v>
                </c:pt>
                <c:pt idx="1">
                  <c:v>81.917000000000485</c:v>
                </c:pt>
                <c:pt idx="2">
                  <c:v>78.475999999999999</c:v>
                </c:pt>
                <c:pt idx="3">
                  <c:v>81.281999999999996</c:v>
                </c:pt>
                <c:pt idx="4">
                  <c:v>77.625999999999948</c:v>
                </c:pt>
                <c:pt idx="5">
                  <c:v>70.35899999999998</c:v>
                </c:pt>
                <c:pt idx="6">
                  <c:v>55.651000000000003</c:v>
                </c:pt>
                <c:pt idx="7">
                  <c:v>78.037999999999997</c:v>
                </c:pt>
                <c:pt idx="8">
                  <c:v>107.60899999999998</c:v>
                </c:pt>
                <c:pt idx="9">
                  <c:v>121.99400000000045</c:v>
                </c:pt>
              </c:numCache>
            </c:numRef>
          </c:val>
          <c:extLst xmlns:c16r2="http://schemas.microsoft.com/office/drawing/2015/06/chart">
            <c:ext xmlns:c16="http://schemas.microsoft.com/office/drawing/2014/chart" uri="{C3380CC4-5D6E-409C-BE32-E72D297353CC}">
              <c16:uniqueId val="{00000007-BDCF-4C27-B532-9B334DBF9434}"/>
            </c:ext>
          </c:extLst>
        </c:ser>
        <c:marker val="1"/>
        <c:axId val="118941568"/>
        <c:axId val="118943104"/>
      </c:lineChart>
      <c:catAx>
        <c:axId val="118941568"/>
        <c:scaling>
          <c:orientation val="minMax"/>
        </c:scaling>
        <c:axPos val="b"/>
        <c:numFmt formatCode="0" sourceLinked="1"/>
        <c:tickLblPos val="low"/>
        <c:crossAx val="118943104"/>
        <c:crosses val="autoZero"/>
        <c:auto val="1"/>
        <c:lblAlgn val="ctr"/>
        <c:lblOffset val="100"/>
      </c:catAx>
      <c:valAx>
        <c:axId val="118943104"/>
        <c:scaling>
          <c:orientation val="minMax"/>
          <c:min val="-50"/>
        </c:scaling>
        <c:axPos val="l"/>
        <c:majorGridlines/>
        <c:numFmt formatCode="General" sourceLinked="1"/>
        <c:tickLblPos val="nextTo"/>
        <c:crossAx val="118941568"/>
        <c:crosses val="autoZero"/>
        <c:crossBetween val="between"/>
        <c:majorUnit val="25"/>
      </c:valAx>
      <c:spPr>
        <a:ln>
          <a:solidFill>
            <a:prstClr val="black"/>
          </a:solidFill>
        </a:ln>
      </c:spPr>
    </c:plotArea>
    <c:legend>
      <c:legendPos val="r"/>
      <c:layout>
        <c:manualLayout>
          <c:xMode val="edge"/>
          <c:yMode val="edge"/>
          <c:x val="7.1411685241472525E-2"/>
          <c:y val="0.85346537008951162"/>
          <c:w val="0.90714285714285714"/>
          <c:h val="0.13673179290451118"/>
        </c:manualLayout>
      </c:layout>
      <c:spPr>
        <a:ln>
          <a:solidFill>
            <a:prstClr val="black"/>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9.0729905437353223E-2"/>
          <c:y val="3.9316672295395698E-2"/>
          <c:w val="0.88742253461668352"/>
          <c:h val="0.75032196330069123"/>
        </c:manualLayout>
      </c:layout>
      <c:barChart>
        <c:barDir val="col"/>
        <c:grouping val="stacked"/>
        <c:ser>
          <c:idx val="1"/>
          <c:order val="1"/>
          <c:tx>
            <c:strRef>
              <c:f>Vystup!$C$17</c:f>
              <c:strCache>
                <c:ptCount val="1"/>
                <c:pt idx="0">
                  <c:v>Přímé investice</c:v>
                </c:pt>
              </c:strCache>
            </c:strRef>
          </c:tx>
          <c:spPr>
            <a:solidFill>
              <a:srgbClr val="0071BC"/>
            </a:solidFill>
          </c:spPr>
          <c:cat>
            <c:numRef>
              <c:f>Vystup!$A$18:$A$27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Vystup!$C$18:$C$27</c:f>
              <c:numCache>
                <c:formatCode>General</c:formatCode>
                <c:ptCount val="10"/>
                <c:pt idx="0">
                  <c:v>-1947.0266000000001</c:v>
                </c:pt>
                <c:pt idx="1">
                  <c:v>-2039.2679000000001</c:v>
                </c:pt>
                <c:pt idx="2">
                  <c:v>-2129.7679999999987</c:v>
                </c:pt>
                <c:pt idx="3">
                  <c:v>-2140.6570999999999</c:v>
                </c:pt>
                <c:pt idx="4">
                  <c:v>-2269.9308999999998</c:v>
                </c:pt>
                <c:pt idx="5">
                  <c:v>-2257.134</c:v>
                </c:pt>
                <c:pt idx="6">
                  <c:v>-2358.2125000000001</c:v>
                </c:pt>
                <c:pt idx="7">
                  <c:v>-2433.6567999999997</c:v>
                </c:pt>
                <c:pt idx="8">
                  <c:v>-2626.1597000000002</c:v>
                </c:pt>
                <c:pt idx="9">
                  <c:v>-2793.4432999999999</c:v>
                </c:pt>
              </c:numCache>
            </c:numRef>
          </c:val>
          <c:extLst xmlns:c16r2="http://schemas.microsoft.com/office/drawing/2015/06/chart">
            <c:ext xmlns:c16="http://schemas.microsoft.com/office/drawing/2014/chart" uri="{C3380CC4-5D6E-409C-BE32-E72D297353CC}">
              <c16:uniqueId val="{00000000-D737-41A9-8F10-A8BBC1DABA79}"/>
            </c:ext>
          </c:extLst>
        </c:ser>
        <c:ser>
          <c:idx val="2"/>
          <c:order val="2"/>
          <c:tx>
            <c:strRef>
              <c:f>Vystup!$D$17</c:f>
              <c:strCache>
                <c:ptCount val="1"/>
                <c:pt idx="0">
                  <c:v>Portfoliové investice</c:v>
                </c:pt>
              </c:strCache>
            </c:strRef>
          </c:tx>
          <c:spPr>
            <a:solidFill>
              <a:srgbClr val="7DBB2D"/>
            </a:solidFill>
          </c:spPr>
          <c:cat>
            <c:numRef>
              <c:f>Vystup!$A$18:$A$27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Vystup!$D$18:$D$27</c:f>
              <c:numCache>
                <c:formatCode>General</c:formatCode>
                <c:ptCount val="10"/>
                <c:pt idx="0">
                  <c:v>-2.9579</c:v>
                </c:pt>
                <c:pt idx="1">
                  <c:v>-197.04559999999998</c:v>
                </c:pt>
                <c:pt idx="2">
                  <c:v>-327.43229999999869</c:v>
                </c:pt>
                <c:pt idx="3">
                  <c:v>-348.83019999999863</c:v>
                </c:pt>
                <c:pt idx="4">
                  <c:v>-376.53790000000004</c:v>
                </c:pt>
                <c:pt idx="5">
                  <c:v>-455.77549999999923</c:v>
                </c:pt>
                <c:pt idx="6">
                  <c:v>-363.09540000000004</c:v>
                </c:pt>
                <c:pt idx="7">
                  <c:v>-522.53880000000004</c:v>
                </c:pt>
                <c:pt idx="8">
                  <c:v>-596.57619999999997</c:v>
                </c:pt>
                <c:pt idx="9">
                  <c:v>-738.21530000000052</c:v>
                </c:pt>
              </c:numCache>
            </c:numRef>
          </c:val>
          <c:extLst xmlns:c16r2="http://schemas.microsoft.com/office/drawing/2015/06/chart">
            <c:ext xmlns:c16="http://schemas.microsoft.com/office/drawing/2014/chart" uri="{C3380CC4-5D6E-409C-BE32-E72D297353CC}">
              <c16:uniqueId val="{00000001-D737-41A9-8F10-A8BBC1DABA79}"/>
            </c:ext>
          </c:extLst>
        </c:ser>
        <c:ser>
          <c:idx val="4"/>
          <c:order val="3"/>
          <c:tx>
            <c:strRef>
              <c:f>Vystup!$F$17</c:f>
              <c:strCache>
                <c:ptCount val="1"/>
                <c:pt idx="0">
                  <c:v>Ostatní investice</c:v>
                </c:pt>
              </c:strCache>
            </c:strRef>
          </c:tx>
          <c:spPr>
            <a:solidFill>
              <a:srgbClr val="48AEE7"/>
            </a:solidFill>
          </c:spPr>
          <c:cat>
            <c:numRef>
              <c:f>Vystup!$A$18:$A$27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Vystup!$F$18:$F$27</c:f>
              <c:numCache>
                <c:formatCode>General</c:formatCode>
                <c:ptCount val="10"/>
                <c:pt idx="0">
                  <c:v>-278.83540000000005</c:v>
                </c:pt>
                <c:pt idx="1">
                  <c:v>-236.33280000000047</c:v>
                </c:pt>
                <c:pt idx="2">
                  <c:v>-148.55450000000002</c:v>
                </c:pt>
                <c:pt idx="3">
                  <c:v>-125.2923</c:v>
                </c:pt>
                <c:pt idx="4">
                  <c:v>-60.911199999999994</c:v>
                </c:pt>
                <c:pt idx="5">
                  <c:v>-71.047900000000027</c:v>
                </c:pt>
                <c:pt idx="6">
                  <c:v>-104.30529999999999</c:v>
                </c:pt>
                <c:pt idx="7">
                  <c:v>-152.94949999999997</c:v>
                </c:pt>
                <c:pt idx="8">
                  <c:v>-251.15210000000027</c:v>
                </c:pt>
                <c:pt idx="9">
                  <c:v>-953.47550000000001</c:v>
                </c:pt>
              </c:numCache>
            </c:numRef>
          </c:val>
          <c:extLst xmlns:c16r2="http://schemas.microsoft.com/office/drawing/2015/06/chart">
            <c:ext xmlns:c16="http://schemas.microsoft.com/office/drawing/2014/chart" uri="{C3380CC4-5D6E-409C-BE32-E72D297353CC}">
              <c16:uniqueId val="{00000002-D737-41A9-8F10-A8BBC1DABA79}"/>
            </c:ext>
          </c:extLst>
        </c:ser>
        <c:ser>
          <c:idx val="5"/>
          <c:order val="4"/>
          <c:tx>
            <c:strRef>
              <c:f>Vystup!$G$17</c:f>
              <c:strCache>
                <c:ptCount val="1"/>
                <c:pt idx="0">
                  <c:v>Rezervní aktiva</c:v>
                </c:pt>
              </c:strCache>
            </c:strRef>
          </c:tx>
          <c:spPr>
            <a:solidFill>
              <a:srgbClr val="A6CDE8"/>
            </a:solidFill>
          </c:spPr>
          <c:cat>
            <c:numRef>
              <c:f>Vystup!$A$18:$A$27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Vystup!$G$18:$G$27</c:f>
              <c:numCache>
                <c:formatCode>General</c:formatCode>
                <c:ptCount val="10"/>
                <c:pt idx="0">
                  <c:v>716.04430000000002</c:v>
                </c:pt>
                <c:pt idx="1">
                  <c:v>764.31209999999749</c:v>
                </c:pt>
                <c:pt idx="2">
                  <c:v>796.77880000000539</c:v>
                </c:pt>
                <c:pt idx="3">
                  <c:v>803.39340000000004</c:v>
                </c:pt>
                <c:pt idx="4">
                  <c:v>855.25099999999998</c:v>
                </c:pt>
                <c:pt idx="5">
                  <c:v>1118.3795</c:v>
                </c:pt>
                <c:pt idx="6">
                  <c:v>1244.2878000000001</c:v>
                </c:pt>
                <c:pt idx="7">
                  <c:v>1600.9264000000001</c:v>
                </c:pt>
                <c:pt idx="8">
                  <c:v>2197.9307999999996</c:v>
                </c:pt>
                <c:pt idx="9">
                  <c:v>3150.5097000000001</c:v>
                </c:pt>
              </c:numCache>
            </c:numRef>
          </c:val>
          <c:extLst xmlns:c16r2="http://schemas.microsoft.com/office/drawing/2015/06/chart">
            <c:ext xmlns:c16="http://schemas.microsoft.com/office/drawing/2014/chart" uri="{C3380CC4-5D6E-409C-BE32-E72D297353CC}">
              <c16:uniqueId val="{00000003-D737-41A9-8F10-A8BBC1DABA79}"/>
            </c:ext>
          </c:extLst>
        </c:ser>
        <c:overlap val="100"/>
        <c:axId val="118993280"/>
        <c:axId val="118994816"/>
      </c:barChart>
      <c:lineChart>
        <c:grouping val="standard"/>
        <c:ser>
          <c:idx val="0"/>
          <c:order val="0"/>
          <c:tx>
            <c:strRef>
              <c:f>Vystup!$B$17</c:f>
              <c:strCache>
                <c:ptCount val="1"/>
                <c:pt idx="0">
                  <c:v>Investiční pozice</c:v>
                </c:pt>
              </c:strCache>
            </c:strRef>
          </c:tx>
          <c:spPr>
            <a:ln>
              <a:solidFill>
                <a:sysClr val="windowText" lastClr="000000"/>
              </a:solidFill>
            </a:ln>
          </c:spPr>
          <c:marker>
            <c:symbol val="none"/>
          </c:marker>
          <c:cat>
            <c:numRef>
              <c:f>Vystup!$A$18:$A$27</c:f>
              <c:numCache>
                <c:formatCode>0</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Vystup!$B$18:$B$27</c:f>
              <c:numCache>
                <c:formatCode>General</c:formatCode>
                <c:ptCount val="10"/>
                <c:pt idx="0">
                  <c:v>-1533.8529999999998</c:v>
                </c:pt>
                <c:pt idx="1">
                  <c:v>-1725.5246999999999</c:v>
                </c:pt>
                <c:pt idx="2">
                  <c:v>-1822.7683</c:v>
                </c:pt>
                <c:pt idx="3">
                  <c:v>-1822.751</c:v>
                </c:pt>
                <c:pt idx="4">
                  <c:v>-1864.0926000000002</c:v>
                </c:pt>
                <c:pt idx="5">
                  <c:v>-1695.1492999999998</c:v>
                </c:pt>
                <c:pt idx="6">
                  <c:v>-1577.0788</c:v>
                </c:pt>
                <c:pt idx="7">
                  <c:v>-1512.9359000000011</c:v>
                </c:pt>
                <c:pt idx="8">
                  <c:v>-1283.0966000000001</c:v>
                </c:pt>
                <c:pt idx="9">
                  <c:v>-1337.0089</c:v>
                </c:pt>
              </c:numCache>
            </c:numRef>
          </c:val>
          <c:extLst xmlns:c16r2="http://schemas.microsoft.com/office/drawing/2015/06/chart">
            <c:ext xmlns:c16="http://schemas.microsoft.com/office/drawing/2014/chart" uri="{C3380CC4-5D6E-409C-BE32-E72D297353CC}">
              <c16:uniqueId val="{00000004-D737-41A9-8F10-A8BBC1DABA79}"/>
            </c:ext>
          </c:extLst>
        </c:ser>
        <c:marker val="1"/>
        <c:axId val="118993280"/>
        <c:axId val="118994816"/>
      </c:lineChart>
      <c:catAx>
        <c:axId val="118993280"/>
        <c:scaling>
          <c:orientation val="minMax"/>
        </c:scaling>
        <c:axPos val="b"/>
        <c:numFmt formatCode="0" sourceLinked="1"/>
        <c:tickLblPos val="low"/>
        <c:crossAx val="118994816"/>
        <c:crosses val="autoZero"/>
        <c:auto val="1"/>
        <c:lblAlgn val="ctr"/>
        <c:lblOffset val="100"/>
      </c:catAx>
      <c:valAx>
        <c:axId val="118994816"/>
        <c:scaling>
          <c:orientation val="minMax"/>
        </c:scaling>
        <c:axPos val="l"/>
        <c:majorGridlines/>
        <c:numFmt formatCode="General" sourceLinked="1"/>
        <c:tickLblPos val="nextTo"/>
        <c:crossAx val="118993280"/>
        <c:crosses val="autoZero"/>
        <c:crossBetween val="between"/>
      </c:valAx>
    </c:plotArea>
    <c:legend>
      <c:legendPos val="r"/>
      <c:layout>
        <c:manualLayout>
          <c:xMode val="edge"/>
          <c:yMode val="edge"/>
          <c:x val="9.0846631205673781E-2"/>
          <c:y val="0.87337695598333898"/>
          <c:w val="0.88234654677473756"/>
          <c:h val="0.11463863559608246"/>
        </c:manualLayout>
      </c:layout>
      <c:spPr>
        <a:ln>
          <a:solidFill>
            <a:schemeClr val="tx1"/>
          </a:solidFill>
        </a:ln>
      </c:spPr>
    </c:legend>
    <c:plotVisOnly val="1"/>
    <c:dispBlanksAs val="gap"/>
  </c:chart>
  <c:spPr>
    <a:ln>
      <a:noFill/>
    </a:ln>
  </c:spPr>
  <c:txPr>
    <a:bodyPr/>
    <a:lstStyle/>
    <a:p>
      <a:pPr>
        <a:defRPr sz="800" baseline="0">
          <a:latin typeface="Arial" pitchFamily="34" charset="0"/>
        </a:defRPr>
      </a:pPr>
      <a:endParaRPr lang="cs-CZ"/>
    </a:p>
  </c:txPr>
  <c:externalData r:id="rId1"/>
</c:chartSpace>
</file>

<file path=word/drawings/drawing1.xml><?xml version="1.0" encoding="utf-8"?>
<c:userShapes xmlns:c="http://schemas.openxmlformats.org/drawingml/2006/chart">
  <cdr:relSizeAnchor xmlns:cdr="http://schemas.openxmlformats.org/drawingml/2006/chartDrawing">
    <cdr:from>
      <cdr:x>2.11807E-7</cdr:x>
      <cdr:y>0.93133</cdr:y>
    </cdr:from>
    <cdr:to>
      <cdr:x>0.9791</cdr:x>
      <cdr:y>0.99581</cdr:y>
    </cdr:to>
    <cdr:sp macro="" textlink="">
      <cdr:nvSpPr>
        <cdr:cNvPr id="2" name="TextovéPole 1"/>
        <cdr:cNvSpPr txBox="1"/>
      </cdr:nvSpPr>
      <cdr:spPr>
        <a:xfrm xmlns:a="http://schemas.openxmlformats.org/drawingml/2006/main">
          <a:off x="1" y="3439602"/>
          <a:ext cx="4622609" cy="238138"/>
        </a:xfrm>
        <a:prstGeom xmlns:a="http://schemas.openxmlformats.org/drawingml/2006/main" prst="rect">
          <a:avLst/>
        </a:prstGeom>
        <a:ln xmlns:a="http://schemas.openxmlformats.org/drawingml/2006/main" w="6350">
          <a:solidFill>
            <a:schemeClr val="tx1">
              <a:lumMod val="95000"/>
              <a:lumOff val="5000"/>
            </a:schemeClr>
          </a:solidFill>
        </a:ln>
      </cdr:spPr>
      <cdr:txBody>
        <a:bodyPr xmlns:a="http://schemas.openxmlformats.org/drawingml/2006/main" vertOverflow="clip" wrap="square" lIns="0" tIns="0" rIns="0" bIns="0" rtlCol="0"/>
        <a:lstStyle xmlns:a="http://schemas.openxmlformats.org/drawingml/2006/main"/>
        <a:p xmlns:a="http://schemas.openxmlformats.org/drawingml/2006/main">
          <a:r>
            <a:rPr lang="cs-CZ" sz="750">
              <a:latin typeface="Arial" pitchFamily="34" charset="0"/>
              <a:cs typeface="Arial" pitchFamily="34" charset="0"/>
            </a:rPr>
            <a:t> M</a:t>
          </a:r>
          <a:r>
            <a:rPr lang="cs-CZ" sz="750" baseline="0">
              <a:latin typeface="Arial" pitchFamily="34" charset="0"/>
              <a:cs typeface="Arial" pitchFamily="34" charset="0"/>
            </a:rPr>
            <a:t>zda VŠ/ZŠ (pravá osa)     Půrměrná hr.měs.mzda dle nejvyššího dokonč.vzdělání (v tis.korun) v roce 2017    </a:t>
          </a:r>
          <a:endParaRPr lang="cs-CZ" sz="750">
            <a:latin typeface="Arial" pitchFamily="34" charset="0"/>
            <a:cs typeface="Arial" pitchFamily="34" charset="0"/>
          </a:endParaRPr>
        </a:p>
      </cdr:txBody>
    </cdr:sp>
  </cdr:relSizeAnchor>
  <cdr:relSizeAnchor xmlns:cdr="http://schemas.openxmlformats.org/drawingml/2006/chartDrawing">
    <cdr:from>
      <cdr:x>0.06884</cdr:x>
      <cdr:y>0.43007</cdr:y>
    </cdr:from>
    <cdr:to>
      <cdr:x>0.06938</cdr:x>
      <cdr:y>0.52557</cdr:y>
    </cdr:to>
    <cdr:sp macro="" textlink="">
      <cdr:nvSpPr>
        <cdr:cNvPr id="4" name="Přímá spojovací čára 3"/>
        <cdr:cNvSpPr/>
      </cdr:nvSpPr>
      <cdr:spPr>
        <a:xfrm xmlns:a="http://schemas.openxmlformats.org/drawingml/2006/main" flipH="1" flipV="1">
          <a:off x="324365" y="1588357"/>
          <a:ext cx="2574" cy="35268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0.11309</cdr:x>
      <cdr:y>0.16659</cdr:y>
    </cdr:from>
    <cdr:to>
      <cdr:x>0.11418</cdr:x>
      <cdr:y>0.45099</cdr:y>
    </cdr:to>
    <cdr:sp macro="" textlink="">
      <cdr:nvSpPr>
        <cdr:cNvPr id="6" name="Přímá spojovací čára 5"/>
        <cdr:cNvSpPr/>
      </cdr:nvSpPr>
      <cdr:spPr>
        <a:xfrm xmlns:a="http://schemas.openxmlformats.org/drawingml/2006/main" flipV="1">
          <a:off x="532883" y="615264"/>
          <a:ext cx="5150" cy="1050324"/>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0.15724</cdr:x>
      <cdr:y>0.23561</cdr:y>
    </cdr:from>
    <cdr:to>
      <cdr:x>0.15779</cdr:x>
      <cdr:y>0.4963</cdr:y>
    </cdr:to>
    <cdr:sp macro="" textlink="">
      <cdr:nvSpPr>
        <cdr:cNvPr id="7" name="Přímá spojovací čára 6"/>
        <cdr:cNvSpPr/>
      </cdr:nvSpPr>
      <cdr:spPr>
        <a:xfrm xmlns:a="http://schemas.openxmlformats.org/drawingml/2006/main" flipV="1">
          <a:off x="740485" y="870172"/>
          <a:ext cx="2590" cy="96278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0.20236</cdr:x>
      <cdr:y>0.13927</cdr:y>
    </cdr:from>
    <cdr:to>
      <cdr:x>0.20286</cdr:x>
      <cdr:y>0.54547</cdr:y>
    </cdr:to>
    <cdr:sp macro="" textlink="">
      <cdr:nvSpPr>
        <cdr:cNvPr id="9" name="Přímá spojovací čára 8"/>
        <cdr:cNvSpPr/>
      </cdr:nvSpPr>
      <cdr:spPr>
        <a:xfrm xmlns:a="http://schemas.openxmlformats.org/drawingml/2006/main" flipH="1" flipV="1">
          <a:off x="952967" y="514354"/>
          <a:ext cx="2354" cy="1500184"/>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0.24756</cdr:x>
      <cdr:y>0.29977</cdr:y>
    </cdr:from>
    <cdr:to>
      <cdr:x>0.24807</cdr:x>
      <cdr:y>0.53318</cdr:y>
    </cdr:to>
    <cdr:sp macro="" textlink="">
      <cdr:nvSpPr>
        <cdr:cNvPr id="11" name="Přímá spojovací čára 10"/>
        <cdr:cNvSpPr/>
      </cdr:nvSpPr>
      <cdr:spPr>
        <a:xfrm xmlns:a="http://schemas.openxmlformats.org/drawingml/2006/main" flipV="1">
          <a:off x="1166082" y="1107105"/>
          <a:ext cx="2403" cy="862034"/>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0.29253</cdr:x>
      <cdr:y>0.34753</cdr:y>
    </cdr:from>
    <cdr:to>
      <cdr:x>0.29253</cdr:x>
      <cdr:y>0.54354</cdr:y>
    </cdr:to>
    <cdr:sp macro="" textlink="">
      <cdr:nvSpPr>
        <cdr:cNvPr id="13" name="Přímá spojovací čára 12"/>
        <cdr:cNvSpPr/>
      </cdr:nvSpPr>
      <cdr:spPr>
        <a:xfrm xmlns:a="http://schemas.openxmlformats.org/drawingml/2006/main" flipH="1" flipV="1">
          <a:off x="1377902" y="1283503"/>
          <a:ext cx="0" cy="723907"/>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0.33855</cdr:x>
      <cdr:y>0.27145</cdr:y>
    </cdr:from>
    <cdr:to>
      <cdr:x>0.34007</cdr:x>
      <cdr:y>0.53838</cdr:y>
    </cdr:to>
    <cdr:sp macro="" textlink="">
      <cdr:nvSpPr>
        <cdr:cNvPr id="15" name="Přímá spojovací čára 14"/>
        <cdr:cNvSpPr/>
      </cdr:nvSpPr>
      <cdr:spPr>
        <a:xfrm xmlns:a="http://schemas.openxmlformats.org/drawingml/2006/main" flipV="1">
          <a:off x="1595438" y="1002506"/>
          <a:ext cx="7143" cy="985838"/>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0.38248</cdr:x>
      <cdr:y>0.2661</cdr:y>
    </cdr:from>
    <cdr:to>
      <cdr:x>0.38349</cdr:x>
      <cdr:y>0.51692</cdr:y>
    </cdr:to>
    <cdr:sp macro="" textlink="">
      <cdr:nvSpPr>
        <cdr:cNvPr id="17" name="Přímá spojovací čára 16"/>
        <cdr:cNvSpPr/>
      </cdr:nvSpPr>
      <cdr:spPr>
        <a:xfrm xmlns:a="http://schemas.openxmlformats.org/drawingml/2006/main">
          <a:off x="1801587" y="982759"/>
          <a:ext cx="4757" cy="92633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0.43002</cdr:x>
      <cdr:y>0.45198</cdr:y>
    </cdr:from>
    <cdr:to>
      <cdr:x>0.43103</cdr:x>
      <cdr:y>0.58609</cdr:y>
    </cdr:to>
    <cdr:sp macro="" textlink="">
      <cdr:nvSpPr>
        <cdr:cNvPr id="19" name="Přímá spojovací čára 18"/>
        <cdr:cNvSpPr/>
      </cdr:nvSpPr>
      <cdr:spPr>
        <a:xfrm xmlns:a="http://schemas.openxmlformats.org/drawingml/2006/main">
          <a:off x="2026444" y="1669256"/>
          <a:ext cx="4762" cy="49530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0.47293</cdr:x>
      <cdr:y>0.14401</cdr:y>
    </cdr:from>
    <cdr:to>
      <cdr:x>0.47394</cdr:x>
      <cdr:y>0.46188</cdr:y>
    </cdr:to>
    <cdr:sp macro="" textlink="">
      <cdr:nvSpPr>
        <cdr:cNvPr id="21" name="Přímá spojovací čára 20"/>
        <cdr:cNvSpPr/>
      </cdr:nvSpPr>
      <cdr:spPr>
        <a:xfrm xmlns:a="http://schemas.openxmlformats.org/drawingml/2006/main" flipV="1">
          <a:off x="2227628" y="531876"/>
          <a:ext cx="4757" cy="1173962"/>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0.47275</cdr:x>
      <cdr:y>0.47348</cdr:y>
    </cdr:from>
    <cdr:to>
      <cdr:x>0.47326</cdr:x>
      <cdr:y>0.50894</cdr:y>
    </cdr:to>
    <cdr:sp macro="" textlink="">
      <cdr:nvSpPr>
        <cdr:cNvPr id="23" name="Přímá spojovací čára 22"/>
        <cdr:cNvSpPr/>
      </cdr:nvSpPr>
      <cdr:spPr>
        <a:xfrm xmlns:a="http://schemas.openxmlformats.org/drawingml/2006/main" flipH="1">
          <a:off x="2226754" y="1748679"/>
          <a:ext cx="2402" cy="130962"/>
        </a:xfrm>
        <a:prstGeom xmlns:a="http://schemas.openxmlformats.org/drawingml/2006/main" prst="line">
          <a:avLst/>
        </a:prstGeom>
        <a:ln xmlns:a="http://schemas.openxmlformats.org/drawingml/2006/main">
          <a:solidFill>
            <a:schemeClr val="bg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0.51841</cdr:x>
      <cdr:y>0.04729</cdr:y>
    </cdr:from>
    <cdr:to>
      <cdr:x>0.51841</cdr:x>
      <cdr:y>0.48509</cdr:y>
    </cdr:to>
    <cdr:sp macro="" textlink="">
      <cdr:nvSpPr>
        <cdr:cNvPr id="25" name="Přímá spojovací čára 24"/>
        <cdr:cNvSpPr/>
      </cdr:nvSpPr>
      <cdr:spPr>
        <a:xfrm xmlns:a="http://schemas.openxmlformats.org/drawingml/2006/main" flipV="1">
          <a:off x="2441849" y="174668"/>
          <a:ext cx="0" cy="161689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0.51653</cdr:x>
      <cdr:y>0.49711</cdr:y>
    </cdr:from>
    <cdr:to>
      <cdr:x>0.51704</cdr:x>
      <cdr:y>0.52161</cdr:y>
    </cdr:to>
    <cdr:sp macro="" textlink="">
      <cdr:nvSpPr>
        <cdr:cNvPr id="27" name="Přímá spojovací čára 26"/>
        <cdr:cNvSpPr/>
      </cdr:nvSpPr>
      <cdr:spPr>
        <a:xfrm xmlns:a="http://schemas.openxmlformats.org/drawingml/2006/main" flipH="1">
          <a:off x="2432988" y="1835934"/>
          <a:ext cx="2402" cy="90484"/>
        </a:xfrm>
        <a:prstGeom xmlns:a="http://schemas.openxmlformats.org/drawingml/2006/main" prst="line">
          <a:avLst/>
        </a:prstGeom>
        <a:ln xmlns:a="http://schemas.openxmlformats.org/drawingml/2006/main">
          <a:solidFill>
            <a:schemeClr val="bg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0.56287</cdr:x>
      <cdr:y>0.45672</cdr:y>
    </cdr:from>
    <cdr:to>
      <cdr:x>0.56287</cdr:x>
      <cdr:y>0.5818</cdr:y>
    </cdr:to>
    <cdr:sp macro="" textlink="">
      <cdr:nvSpPr>
        <cdr:cNvPr id="29" name="Přímá spojovací čára 28"/>
        <cdr:cNvSpPr/>
      </cdr:nvSpPr>
      <cdr:spPr>
        <a:xfrm xmlns:a="http://schemas.openxmlformats.org/drawingml/2006/main" flipV="1">
          <a:off x="2651266" y="1686781"/>
          <a:ext cx="0" cy="461947"/>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0.60799</cdr:x>
      <cdr:y>0.31298</cdr:y>
    </cdr:from>
    <cdr:to>
      <cdr:x>0.60803</cdr:x>
      <cdr:y>0.4984</cdr:y>
    </cdr:to>
    <cdr:sp macro="" textlink="">
      <cdr:nvSpPr>
        <cdr:cNvPr id="31" name="Přímá spojovací čára 30"/>
        <cdr:cNvSpPr/>
      </cdr:nvSpPr>
      <cdr:spPr>
        <a:xfrm xmlns:a="http://schemas.openxmlformats.org/drawingml/2006/main" flipH="1">
          <a:off x="2863785" y="1155915"/>
          <a:ext cx="171" cy="68478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0.60817</cdr:x>
      <cdr:y>0.5113</cdr:y>
    </cdr:from>
    <cdr:to>
      <cdr:x>0.60817</cdr:x>
      <cdr:y>0.54031</cdr:y>
    </cdr:to>
    <cdr:sp macro="" textlink="">
      <cdr:nvSpPr>
        <cdr:cNvPr id="33" name="Přímá spojovací čára 32"/>
        <cdr:cNvSpPr/>
      </cdr:nvSpPr>
      <cdr:spPr>
        <a:xfrm xmlns:a="http://schemas.openxmlformats.org/drawingml/2006/main">
          <a:off x="2864613" y="1888341"/>
          <a:ext cx="0" cy="107140"/>
        </a:xfrm>
        <a:prstGeom xmlns:a="http://schemas.openxmlformats.org/drawingml/2006/main" prst="line">
          <a:avLst/>
        </a:prstGeom>
        <a:ln xmlns:a="http://schemas.openxmlformats.org/drawingml/2006/main">
          <a:solidFill>
            <a:schemeClr val="bg1">
              <a:lumMod val="75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0.65178</cdr:x>
      <cdr:y>0.43802</cdr:y>
    </cdr:from>
    <cdr:to>
      <cdr:x>0.65228</cdr:x>
      <cdr:y>0.55924</cdr:y>
    </cdr:to>
    <cdr:sp macro="" textlink="">
      <cdr:nvSpPr>
        <cdr:cNvPr id="35" name="Přímá spojovací čára 34"/>
        <cdr:cNvSpPr/>
      </cdr:nvSpPr>
      <cdr:spPr>
        <a:xfrm xmlns:a="http://schemas.openxmlformats.org/drawingml/2006/main" flipV="1">
          <a:off x="3070023" y="1617718"/>
          <a:ext cx="2355" cy="447691"/>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0.69829</cdr:x>
      <cdr:y>0.33915</cdr:y>
    </cdr:from>
    <cdr:to>
      <cdr:x>0.6988</cdr:x>
      <cdr:y>0.58093</cdr:y>
    </cdr:to>
    <cdr:sp macro="" textlink="">
      <cdr:nvSpPr>
        <cdr:cNvPr id="37" name="Přímá spojovací čára 36"/>
        <cdr:cNvSpPr/>
      </cdr:nvSpPr>
      <cdr:spPr>
        <a:xfrm xmlns:a="http://schemas.openxmlformats.org/drawingml/2006/main">
          <a:off x="3289126" y="1252554"/>
          <a:ext cx="2402" cy="89294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0.74172</cdr:x>
      <cdr:y>0.4027</cdr:y>
    </cdr:from>
    <cdr:to>
      <cdr:x>0.74223</cdr:x>
      <cdr:y>0.57743</cdr:y>
    </cdr:to>
    <cdr:sp macro="" textlink="">
      <cdr:nvSpPr>
        <cdr:cNvPr id="39" name="Přímá spojovací čára 38"/>
        <cdr:cNvSpPr/>
      </cdr:nvSpPr>
      <cdr:spPr>
        <a:xfrm xmlns:a="http://schemas.openxmlformats.org/drawingml/2006/main" flipH="1">
          <a:off x="3493660" y="1487268"/>
          <a:ext cx="2402" cy="645315"/>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0.7872</cdr:x>
      <cdr:y>0.26458</cdr:y>
    </cdr:from>
    <cdr:to>
      <cdr:x>0.7872</cdr:x>
      <cdr:y>0.5457</cdr:y>
    </cdr:to>
    <cdr:sp macro="" textlink="">
      <cdr:nvSpPr>
        <cdr:cNvPr id="41" name="Přímá spojovací čára 40"/>
        <cdr:cNvSpPr/>
      </cdr:nvSpPr>
      <cdr:spPr>
        <a:xfrm xmlns:a="http://schemas.openxmlformats.org/drawingml/2006/main">
          <a:off x="3707882" y="977167"/>
          <a:ext cx="0" cy="1038236"/>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0.83235</cdr:x>
      <cdr:y>0.4272</cdr:y>
    </cdr:from>
    <cdr:to>
      <cdr:x>0.83336</cdr:x>
      <cdr:y>0.55164</cdr:y>
    </cdr:to>
    <cdr:sp macro="" textlink="">
      <cdr:nvSpPr>
        <cdr:cNvPr id="43" name="Přímá spojovací čára 42"/>
        <cdr:cNvSpPr/>
      </cdr:nvSpPr>
      <cdr:spPr>
        <a:xfrm xmlns:a="http://schemas.openxmlformats.org/drawingml/2006/main">
          <a:off x="3920575" y="1577752"/>
          <a:ext cx="4757" cy="459583"/>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0.87696</cdr:x>
      <cdr:y>0.44314</cdr:y>
    </cdr:from>
    <cdr:to>
      <cdr:x>0.87696</cdr:x>
      <cdr:y>0.56564</cdr:y>
    </cdr:to>
    <cdr:sp macro="" textlink="">
      <cdr:nvSpPr>
        <cdr:cNvPr id="45" name="Přímá spojovací čára 44"/>
        <cdr:cNvSpPr/>
      </cdr:nvSpPr>
      <cdr:spPr>
        <a:xfrm xmlns:a="http://schemas.openxmlformats.org/drawingml/2006/main">
          <a:off x="4130693" y="1636616"/>
          <a:ext cx="0" cy="452419"/>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0.92193</cdr:x>
      <cdr:y>0.30326</cdr:y>
    </cdr:from>
    <cdr:to>
      <cdr:x>0.92244</cdr:x>
      <cdr:y>0.53022</cdr:y>
    </cdr:to>
    <cdr:sp macro="" textlink="">
      <cdr:nvSpPr>
        <cdr:cNvPr id="47" name="Přímá spojovací čára 46"/>
        <cdr:cNvSpPr/>
      </cdr:nvSpPr>
      <cdr:spPr>
        <a:xfrm xmlns:a="http://schemas.openxmlformats.org/drawingml/2006/main">
          <a:off x="4342513" y="1120020"/>
          <a:ext cx="2402" cy="838212"/>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0.23185</cdr:x>
      <cdr:y>0.92949</cdr:y>
    </cdr:from>
    <cdr:to>
      <cdr:x>0.23185</cdr:x>
      <cdr:y>0.99345</cdr:y>
    </cdr:to>
    <cdr:sp macro="" textlink="">
      <cdr:nvSpPr>
        <cdr:cNvPr id="28" name="Přímá spojovací čára 27"/>
        <cdr:cNvSpPr/>
      </cdr:nvSpPr>
      <cdr:spPr>
        <a:xfrm xmlns:a="http://schemas.openxmlformats.org/drawingml/2006/main" flipV="1">
          <a:off x="1093470" y="3432810"/>
          <a:ext cx="0" cy="236220"/>
        </a:xfrm>
        <a:prstGeom xmlns:a="http://schemas.openxmlformats.org/drawingml/2006/main" prst="line">
          <a:avLst/>
        </a:prstGeom>
        <a:ln xmlns:a="http://schemas.openxmlformats.org/drawingml/2006/main" w="3175">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2.xml><?xml version="1.0" encoding="utf-8"?>
<c:userShapes xmlns:c="http://schemas.openxmlformats.org/drawingml/2006/chart">
  <cdr:relSizeAnchor xmlns:cdr="http://schemas.openxmlformats.org/drawingml/2006/chartDrawing">
    <cdr:from>
      <cdr:x>0.04877</cdr:x>
      <cdr:y>0.17959</cdr:y>
    </cdr:from>
    <cdr:to>
      <cdr:x>0.94351</cdr:x>
      <cdr:y>0.18101</cdr:y>
    </cdr:to>
    <cdr:sp macro="" textlink="">
      <cdr:nvSpPr>
        <cdr:cNvPr id="3" name="Přímá spojovací čára 2"/>
        <cdr:cNvSpPr/>
      </cdr:nvSpPr>
      <cdr:spPr>
        <a:xfrm xmlns:a="http://schemas.openxmlformats.org/drawingml/2006/main" flipH="1" flipV="1">
          <a:off x="231100" y="633577"/>
          <a:ext cx="4240238" cy="5014"/>
        </a:xfrm>
        <a:prstGeom xmlns:a="http://schemas.openxmlformats.org/drawingml/2006/main" prst="line">
          <a:avLst/>
        </a:prstGeom>
        <a:ln xmlns:a="http://schemas.openxmlformats.org/drawingml/2006/main" w="9525">
          <a:solidFill>
            <a:schemeClr val="tx1">
              <a:lumMod val="95000"/>
              <a:lumOff val="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0.58593</cdr:x>
      <cdr:y>0.03702</cdr:y>
    </cdr:from>
    <cdr:to>
      <cdr:x>0.62572</cdr:x>
      <cdr:y>0.06218</cdr:y>
    </cdr:to>
    <cdr:sp macro="" textlink="">
      <cdr:nvSpPr>
        <cdr:cNvPr id="4" name="Obdélník 3"/>
        <cdr:cNvSpPr/>
      </cdr:nvSpPr>
      <cdr:spPr>
        <a:xfrm xmlns:a="http://schemas.openxmlformats.org/drawingml/2006/main">
          <a:off x="2781135" y="130622"/>
          <a:ext cx="188866" cy="88764"/>
        </a:xfrm>
        <a:prstGeom xmlns:a="http://schemas.openxmlformats.org/drawingml/2006/main" prst="rect">
          <a:avLst/>
        </a:prstGeom>
        <a:solidFill xmlns:a="http://schemas.openxmlformats.org/drawingml/2006/main">
          <a:schemeClr val="bg1">
            <a:lumMod val="85000"/>
          </a:schemeClr>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0.64411</cdr:x>
      <cdr:y>0.03673</cdr:y>
    </cdr:from>
    <cdr:to>
      <cdr:x>0.6839</cdr:x>
      <cdr:y>0.06189</cdr:y>
    </cdr:to>
    <cdr:sp macro="" textlink="">
      <cdr:nvSpPr>
        <cdr:cNvPr id="5" name="Obdélník 4"/>
        <cdr:cNvSpPr/>
      </cdr:nvSpPr>
      <cdr:spPr>
        <a:xfrm xmlns:a="http://schemas.openxmlformats.org/drawingml/2006/main">
          <a:off x="3057293" y="129572"/>
          <a:ext cx="188865" cy="88764"/>
        </a:xfrm>
        <a:prstGeom xmlns:a="http://schemas.openxmlformats.org/drawingml/2006/main" prst="rect">
          <a:avLst/>
        </a:prstGeom>
        <a:solidFill xmlns:a="http://schemas.openxmlformats.org/drawingml/2006/main">
          <a:srgbClr val="D9EEF3"/>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0.70243</cdr:x>
      <cdr:y>0.03723</cdr:y>
    </cdr:from>
    <cdr:to>
      <cdr:x>0.74222</cdr:x>
      <cdr:y>0.06239</cdr:y>
    </cdr:to>
    <cdr:sp macro="" textlink="">
      <cdr:nvSpPr>
        <cdr:cNvPr id="6" name="Obdélník 5"/>
        <cdr:cNvSpPr/>
      </cdr:nvSpPr>
      <cdr:spPr>
        <a:xfrm xmlns:a="http://schemas.openxmlformats.org/drawingml/2006/main">
          <a:off x="3761577" y="131343"/>
          <a:ext cx="213080" cy="88765"/>
        </a:xfrm>
        <a:prstGeom xmlns:a="http://schemas.openxmlformats.org/drawingml/2006/main" prst="rect">
          <a:avLst/>
        </a:prstGeom>
        <a:solidFill xmlns:a="http://schemas.openxmlformats.org/drawingml/2006/main">
          <a:srgbClr val="90CCDC"/>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0.81802</cdr:x>
      <cdr:y>0.03678</cdr:y>
    </cdr:from>
    <cdr:to>
      <cdr:x>0.85781</cdr:x>
      <cdr:y>0.06194</cdr:y>
    </cdr:to>
    <cdr:sp macro="" textlink="">
      <cdr:nvSpPr>
        <cdr:cNvPr id="7" name="Obdélník 6"/>
        <cdr:cNvSpPr/>
      </cdr:nvSpPr>
      <cdr:spPr>
        <a:xfrm xmlns:a="http://schemas.openxmlformats.org/drawingml/2006/main">
          <a:off x="3882772" y="129755"/>
          <a:ext cx="188866" cy="88764"/>
        </a:xfrm>
        <a:prstGeom xmlns:a="http://schemas.openxmlformats.org/drawingml/2006/main" prst="rect">
          <a:avLst/>
        </a:prstGeom>
        <a:solidFill xmlns:a="http://schemas.openxmlformats.org/drawingml/2006/main">
          <a:srgbClr val="0070C0"/>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0.76083</cdr:x>
      <cdr:y>0.03658</cdr:y>
    </cdr:from>
    <cdr:to>
      <cdr:x>0.80062</cdr:x>
      <cdr:y>0.06174</cdr:y>
    </cdr:to>
    <cdr:sp macro="" textlink="">
      <cdr:nvSpPr>
        <cdr:cNvPr id="8" name="Obdélník 7"/>
        <cdr:cNvSpPr/>
      </cdr:nvSpPr>
      <cdr:spPr>
        <a:xfrm xmlns:a="http://schemas.openxmlformats.org/drawingml/2006/main">
          <a:off x="3611341" y="129069"/>
          <a:ext cx="188865" cy="88765"/>
        </a:xfrm>
        <a:prstGeom xmlns:a="http://schemas.openxmlformats.org/drawingml/2006/main" prst="rect">
          <a:avLst/>
        </a:prstGeom>
        <a:solidFill xmlns:a="http://schemas.openxmlformats.org/drawingml/2006/main">
          <a:srgbClr val="3EA6C2"/>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0.52619</cdr:x>
      <cdr:y>0.0724</cdr:y>
    </cdr:from>
    <cdr:to>
      <cdr:x>0.93609</cdr:x>
      <cdr:y>0.10186</cdr:y>
    </cdr:to>
    <cdr:sp macro="" textlink="">
      <cdr:nvSpPr>
        <cdr:cNvPr id="10" name="TextovéPole 9"/>
        <cdr:cNvSpPr txBox="1"/>
      </cdr:nvSpPr>
      <cdr:spPr>
        <a:xfrm xmlns:a="http://schemas.openxmlformats.org/drawingml/2006/main">
          <a:off x="2476650" y="265750"/>
          <a:ext cx="1929251" cy="10815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roky:</a:t>
          </a:r>
          <a:r>
            <a:rPr lang="cs-CZ" sz="800" baseline="0">
              <a:latin typeface="Arial" pitchFamily="34" charset="0"/>
              <a:cs typeface="Arial" pitchFamily="34" charset="0"/>
            </a:rPr>
            <a:t> 2013  2014  2015  2016  2017</a:t>
          </a:r>
          <a:endParaRPr lang="cs-CZ" sz="800">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0.08771</cdr:x>
      <cdr:y>0.02192</cdr:y>
    </cdr:from>
    <cdr:to>
      <cdr:x>0.08803</cdr:x>
      <cdr:y>0.70358</cdr:y>
    </cdr:to>
    <cdr:sp macro="" textlink="">
      <cdr:nvSpPr>
        <cdr:cNvPr id="2" name="Přímá spojovací čára 1"/>
        <cdr:cNvSpPr/>
      </cdr:nvSpPr>
      <cdr:spPr>
        <a:xfrm xmlns:a="http://schemas.openxmlformats.org/drawingml/2006/main" flipH="1">
          <a:off x="406854" y="81373"/>
          <a:ext cx="1498" cy="2529958"/>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0.84471</cdr:x>
      <cdr:y>0.37737</cdr:y>
    </cdr:from>
    <cdr:to>
      <cdr:x>0.8457</cdr:x>
      <cdr:y>0.52655</cdr:y>
    </cdr:to>
    <cdr:sp macro="" textlink="">
      <cdr:nvSpPr>
        <cdr:cNvPr id="3" name="Přímá spojovací čára 2"/>
        <cdr:cNvSpPr/>
      </cdr:nvSpPr>
      <cdr:spPr>
        <a:xfrm xmlns:a="http://schemas.openxmlformats.org/drawingml/2006/main">
          <a:off x="3918314" y="1400585"/>
          <a:ext cx="4626" cy="55368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0.90374</cdr:x>
      <cdr:y>0.35619</cdr:y>
    </cdr:from>
    <cdr:to>
      <cdr:x>0.90414</cdr:x>
      <cdr:y>0.55102</cdr:y>
    </cdr:to>
    <cdr:sp macro="" textlink="">
      <cdr:nvSpPr>
        <cdr:cNvPr id="4" name="Přímá spojovací čára 3"/>
        <cdr:cNvSpPr/>
      </cdr:nvSpPr>
      <cdr:spPr>
        <a:xfrm xmlns:a="http://schemas.openxmlformats.org/drawingml/2006/main">
          <a:off x="4192158" y="1322003"/>
          <a:ext cx="1834" cy="723100"/>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0.43762</cdr:x>
      <cdr:y>0.29652</cdr:y>
    </cdr:from>
    <cdr:to>
      <cdr:x>0.4381</cdr:x>
      <cdr:y>0.57737</cdr:y>
    </cdr:to>
    <cdr:sp macro="" textlink="">
      <cdr:nvSpPr>
        <cdr:cNvPr id="5" name="Přímá spojovací čára 4"/>
        <cdr:cNvSpPr/>
      </cdr:nvSpPr>
      <cdr:spPr>
        <a:xfrm xmlns:a="http://schemas.openxmlformats.org/drawingml/2006/main">
          <a:off x="2029983" y="1100547"/>
          <a:ext cx="2242" cy="104234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0.96099</cdr:x>
      <cdr:y>0.33759</cdr:y>
    </cdr:from>
    <cdr:to>
      <cdr:x>0.96175</cdr:x>
      <cdr:y>0.51297</cdr:y>
    </cdr:to>
    <cdr:sp macro="" textlink="">
      <cdr:nvSpPr>
        <cdr:cNvPr id="6" name="Přímá spojovací čára 5"/>
        <cdr:cNvSpPr/>
      </cdr:nvSpPr>
      <cdr:spPr>
        <a:xfrm xmlns:a="http://schemas.openxmlformats.org/drawingml/2006/main" flipH="1">
          <a:off x="4457699" y="1252947"/>
          <a:ext cx="3540" cy="65091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0.49512</cdr:x>
      <cdr:y>0.31321</cdr:y>
    </cdr:from>
    <cdr:to>
      <cdr:x>0.49641</cdr:x>
      <cdr:y>0.58928</cdr:y>
    </cdr:to>
    <cdr:sp macro="" textlink="">
      <cdr:nvSpPr>
        <cdr:cNvPr id="7" name="Přímá spojovací čára 6"/>
        <cdr:cNvSpPr/>
      </cdr:nvSpPr>
      <cdr:spPr>
        <a:xfrm xmlns:a="http://schemas.openxmlformats.org/drawingml/2006/main">
          <a:off x="2296683" y="1162461"/>
          <a:ext cx="5986" cy="1024644"/>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0.55312</cdr:x>
      <cdr:y>0.34208</cdr:y>
    </cdr:from>
    <cdr:to>
      <cdr:x>0.55565</cdr:x>
      <cdr:y>0.53646</cdr:y>
    </cdr:to>
    <cdr:sp macro="" textlink="">
      <cdr:nvSpPr>
        <cdr:cNvPr id="8" name="Přímá spojovací čára 7"/>
        <cdr:cNvSpPr/>
      </cdr:nvSpPr>
      <cdr:spPr>
        <a:xfrm xmlns:a="http://schemas.openxmlformats.org/drawingml/2006/main">
          <a:off x="2565764" y="1269616"/>
          <a:ext cx="11700" cy="72145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0.61267</cdr:x>
      <cdr:y>0.31706</cdr:y>
    </cdr:from>
    <cdr:to>
      <cdr:x>0.61283</cdr:x>
      <cdr:y>0.52347</cdr:y>
    </cdr:to>
    <cdr:sp macro="" textlink="">
      <cdr:nvSpPr>
        <cdr:cNvPr id="9" name="Přímá spojovací čára 8"/>
        <cdr:cNvSpPr/>
      </cdr:nvSpPr>
      <cdr:spPr>
        <a:xfrm xmlns:a="http://schemas.openxmlformats.org/drawingml/2006/main">
          <a:off x="2841988" y="1176746"/>
          <a:ext cx="747" cy="766103"/>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0.66965</cdr:x>
      <cdr:y>0.33823</cdr:y>
    </cdr:from>
    <cdr:to>
      <cdr:x>0.67084</cdr:x>
      <cdr:y>0.50947</cdr:y>
    </cdr:to>
    <cdr:sp macro="" textlink="">
      <cdr:nvSpPr>
        <cdr:cNvPr id="10" name="Přímá spojovací čára 9"/>
        <cdr:cNvSpPr/>
      </cdr:nvSpPr>
      <cdr:spPr>
        <a:xfrm xmlns:a="http://schemas.openxmlformats.org/drawingml/2006/main">
          <a:off x="3106308" y="1255328"/>
          <a:ext cx="5509" cy="63557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0.72895</cdr:x>
      <cdr:y>0.32604</cdr:y>
    </cdr:from>
    <cdr:to>
      <cdr:x>0.72972</cdr:x>
      <cdr:y>0.54165</cdr:y>
    </cdr:to>
    <cdr:sp macro="" textlink="">
      <cdr:nvSpPr>
        <cdr:cNvPr id="11" name="Přímá spojovací čára 10"/>
        <cdr:cNvSpPr/>
      </cdr:nvSpPr>
      <cdr:spPr>
        <a:xfrm xmlns:a="http://schemas.openxmlformats.org/drawingml/2006/main" flipH="1">
          <a:off x="3381374" y="1210085"/>
          <a:ext cx="3540" cy="800242"/>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0.37947</cdr:x>
      <cdr:y>0.3023</cdr:y>
    </cdr:from>
    <cdr:to>
      <cdr:x>0.37961</cdr:x>
      <cdr:y>0.59319</cdr:y>
    </cdr:to>
    <cdr:sp macro="" textlink="">
      <cdr:nvSpPr>
        <cdr:cNvPr id="12" name="Přímá spojovací čára 11"/>
        <cdr:cNvSpPr/>
      </cdr:nvSpPr>
      <cdr:spPr>
        <a:xfrm xmlns:a="http://schemas.openxmlformats.org/drawingml/2006/main" flipH="1">
          <a:off x="1760218" y="1121978"/>
          <a:ext cx="683" cy="1079650"/>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0.32058</cdr:x>
      <cdr:y>0.25418</cdr:y>
    </cdr:from>
    <cdr:to>
      <cdr:x>0.32125</cdr:x>
      <cdr:y>0.58502</cdr:y>
    </cdr:to>
    <cdr:sp macro="" textlink="">
      <cdr:nvSpPr>
        <cdr:cNvPr id="13" name="Přímá spojovací čára 12"/>
        <cdr:cNvSpPr/>
      </cdr:nvSpPr>
      <cdr:spPr>
        <a:xfrm xmlns:a="http://schemas.openxmlformats.org/drawingml/2006/main">
          <a:off x="1487058" y="943385"/>
          <a:ext cx="3128" cy="1227907"/>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0.26308</cdr:x>
      <cdr:y>0.24776</cdr:y>
    </cdr:from>
    <cdr:to>
      <cdr:x>0.26427</cdr:x>
      <cdr:y>0.64561</cdr:y>
    </cdr:to>
    <cdr:sp macro="" textlink="">
      <cdr:nvSpPr>
        <cdr:cNvPr id="14" name="Přímá spojovací čára 13"/>
        <cdr:cNvSpPr/>
      </cdr:nvSpPr>
      <cdr:spPr>
        <a:xfrm xmlns:a="http://schemas.openxmlformats.org/drawingml/2006/main">
          <a:off x="1220358" y="919572"/>
          <a:ext cx="5508" cy="147658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0.20456</cdr:x>
      <cdr:y>0.2067</cdr:y>
    </cdr:from>
    <cdr:to>
      <cdr:x>0.20626</cdr:x>
      <cdr:y>0.65261</cdr:y>
    </cdr:to>
    <cdr:sp macro="" textlink="">
      <cdr:nvSpPr>
        <cdr:cNvPr id="15" name="Přímá spojovací čára 14"/>
        <cdr:cNvSpPr/>
      </cdr:nvSpPr>
      <cdr:spPr>
        <a:xfrm xmlns:a="http://schemas.openxmlformats.org/drawingml/2006/main">
          <a:off x="948895" y="767172"/>
          <a:ext cx="7890" cy="1654976"/>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0.14604</cdr:x>
      <cdr:y>0.15024</cdr:y>
    </cdr:from>
    <cdr:to>
      <cdr:x>0.14655</cdr:x>
      <cdr:y>0.74307</cdr:y>
    </cdr:to>
    <cdr:sp macro="" textlink="">
      <cdr:nvSpPr>
        <cdr:cNvPr id="16" name="Přímá spojovací čára 15"/>
        <cdr:cNvSpPr/>
      </cdr:nvSpPr>
      <cdr:spPr>
        <a:xfrm xmlns:a="http://schemas.openxmlformats.org/drawingml/2006/main">
          <a:off x="677432" y="557622"/>
          <a:ext cx="2381" cy="2200276"/>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0.7867</cdr:x>
      <cdr:y>0.37737</cdr:y>
    </cdr:from>
    <cdr:to>
      <cdr:x>0.78737</cdr:x>
      <cdr:y>0.55587</cdr:y>
    </cdr:to>
    <cdr:sp macro="" textlink="">
      <cdr:nvSpPr>
        <cdr:cNvPr id="17" name="Přímá spojovací čára 16"/>
        <cdr:cNvSpPr/>
      </cdr:nvSpPr>
      <cdr:spPr>
        <a:xfrm xmlns:a="http://schemas.openxmlformats.org/drawingml/2006/main">
          <a:off x="3649233" y="1400585"/>
          <a:ext cx="3128" cy="662535"/>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lumMod val="75000"/>
            </a:sys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userShapes>
</file>

<file path=word/drawings/drawing4.xml><?xml version="1.0" encoding="utf-8"?>
<c:userShapes xmlns:c="http://schemas.openxmlformats.org/drawingml/2006/chart">
  <cdr:relSizeAnchor xmlns:cdr="http://schemas.openxmlformats.org/drawingml/2006/chartDrawing">
    <cdr:from>
      <cdr:x>0.1393</cdr:x>
      <cdr:y>0.95837</cdr:y>
    </cdr:from>
    <cdr:to>
      <cdr:x>0.86689</cdr:x>
      <cdr:y>0.99559</cdr:y>
    </cdr:to>
    <cdr:sp macro="" textlink="">
      <cdr:nvSpPr>
        <cdr:cNvPr id="3" name="TextovéPole 2"/>
        <cdr:cNvSpPr txBox="1"/>
      </cdr:nvSpPr>
      <cdr:spPr>
        <a:xfrm xmlns:a="http://schemas.openxmlformats.org/drawingml/2006/main">
          <a:off x="647839" y="3764115"/>
          <a:ext cx="3383863" cy="146207"/>
        </a:xfrm>
        <a:prstGeom xmlns:a="http://schemas.openxmlformats.org/drawingml/2006/main" prst="rect">
          <a:avLst/>
        </a:prstGeom>
        <a:ln xmlns:a="http://schemas.openxmlformats.org/drawingml/2006/main" w="3175">
          <a:solidFill>
            <a:srgbClr val="002060"/>
          </a:solidFill>
        </a:ln>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        rok 2013          rok 2014          rok 2015          rok 2016          rok 2017</a:t>
          </a:r>
        </a:p>
      </cdr:txBody>
    </cdr:sp>
  </cdr:relSizeAnchor>
  <cdr:relSizeAnchor xmlns:cdr="http://schemas.openxmlformats.org/drawingml/2006/chartDrawing">
    <cdr:from>
      <cdr:x>0.16472</cdr:x>
      <cdr:y>0.96825</cdr:y>
    </cdr:from>
    <cdr:to>
      <cdr:x>0.18404</cdr:x>
      <cdr:y>0.982</cdr:y>
    </cdr:to>
    <cdr:sp macro="" textlink="">
      <cdr:nvSpPr>
        <cdr:cNvPr id="4" name="Obdélník 3"/>
        <cdr:cNvSpPr/>
      </cdr:nvSpPr>
      <cdr:spPr>
        <a:xfrm xmlns:a="http://schemas.openxmlformats.org/drawingml/2006/main">
          <a:off x="767477" y="3802922"/>
          <a:ext cx="90000" cy="54000"/>
        </a:xfrm>
        <a:prstGeom xmlns:a="http://schemas.openxmlformats.org/drawingml/2006/main" prst="rect">
          <a:avLst/>
        </a:prstGeom>
        <a:solidFill xmlns:a="http://schemas.openxmlformats.org/drawingml/2006/main">
          <a:srgbClr val="A6A6A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0.31153</cdr:x>
      <cdr:y>0.96853</cdr:y>
    </cdr:from>
    <cdr:to>
      <cdr:x>0.33085</cdr:x>
      <cdr:y>0.98228</cdr:y>
    </cdr:to>
    <cdr:sp macro="" textlink="">
      <cdr:nvSpPr>
        <cdr:cNvPr id="5" name="Obdélník 4"/>
        <cdr:cNvSpPr/>
      </cdr:nvSpPr>
      <cdr:spPr>
        <a:xfrm xmlns:a="http://schemas.openxmlformats.org/drawingml/2006/main">
          <a:off x="1451488" y="3804025"/>
          <a:ext cx="90000" cy="54000"/>
        </a:xfrm>
        <a:prstGeom xmlns:a="http://schemas.openxmlformats.org/drawingml/2006/main" prst="rect">
          <a:avLst/>
        </a:prstGeom>
        <a:solidFill xmlns:a="http://schemas.openxmlformats.org/drawingml/2006/main">
          <a:srgbClr val="D2E7B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0.45152</cdr:x>
      <cdr:y>0.96771</cdr:y>
    </cdr:from>
    <cdr:to>
      <cdr:x>0.47084</cdr:x>
      <cdr:y>0.98146</cdr:y>
    </cdr:to>
    <cdr:sp macro="" textlink="">
      <cdr:nvSpPr>
        <cdr:cNvPr id="6" name="Obdélník 5"/>
        <cdr:cNvSpPr/>
      </cdr:nvSpPr>
      <cdr:spPr>
        <a:xfrm xmlns:a="http://schemas.openxmlformats.org/drawingml/2006/main">
          <a:off x="2103707" y="3800796"/>
          <a:ext cx="90000" cy="54000"/>
        </a:xfrm>
        <a:prstGeom xmlns:a="http://schemas.openxmlformats.org/drawingml/2006/main" prst="rect">
          <a:avLst/>
        </a:prstGeom>
        <a:solidFill xmlns:a="http://schemas.openxmlformats.org/drawingml/2006/main">
          <a:srgbClr val="BFE3F7"/>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0.60121</cdr:x>
      <cdr:y>0.96853</cdr:y>
    </cdr:from>
    <cdr:to>
      <cdr:x>0.62061</cdr:x>
      <cdr:y>0.98228</cdr:y>
    </cdr:to>
    <cdr:sp macro="" textlink="">
      <cdr:nvSpPr>
        <cdr:cNvPr id="7" name="Obdélník 6"/>
        <cdr:cNvSpPr/>
      </cdr:nvSpPr>
      <cdr:spPr>
        <a:xfrm xmlns:a="http://schemas.openxmlformats.org/drawingml/2006/main">
          <a:off x="2801132" y="3804025"/>
          <a:ext cx="90407" cy="54000"/>
        </a:xfrm>
        <a:prstGeom xmlns:a="http://schemas.openxmlformats.org/drawingml/2006/main" prst="rect">
          <a:avLst/>
        </a:prstGeom>
        <a:solidFill xmlns:a="http://schemas.openxmlformats.org/drawingml/2006/main">
          <a:srgbClr val="95C3E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0.74535</cdr:x>
      <cdr:y>0.96771</cdr:y>
    </cdr:from>
    <cdr:to>
      <cdr:x>0.76467</cdr:x>
      <cdr:y>0.98146</cdr:y>
    </cdr:to>
    <cdr:sp macro="" textlink="">
      <cdr:nvSpPr>
        <cdr:cNvPr id="8" name="Obdélník 7"/>
        <cdr:cNvSpPr/>
      </cdr:nvSpPr>
      <cdr:spPr>
        <a:xfrm xmlns:a="http://schemas.openxmlformats.org/drawingml/2006/main">
          <a:off x="3472725" y="3800797"/>
          <a:ext cx="90000" cy="54000"/>
        </a:xfrm>
        <a:prstGeom xmlns:a="http://schemas.openxmlformats.org/drawingml/2006/main" prst="rect">
          <a:avLst/>
        </a:prstGeom>
        <a:solidFill xmlns:a="http://schemas.openxmlformats.org/drawingml/2006/main">
          <a:srgbClr val="BCA6E8"/>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5.xml><?xml version="1.0" encoding="utf-8"?>
<c:userShapes xmlns:c="http://schemas.openxmlformats.org/drawingml/2006/chart">
  <cdr:relSizeAnchor xmlns:cdr="http://schemas.openxmlformats.org/drawingml/2006/chartDrawing">
    <cdr:from>
      <cdr:x>0.17124</cdr:x>
      <cdr:y>0.94548</cdr:y>
    </cdr:from>
    <cdr:to>
      <cdr:x>0.86959</cdr:x>
      <cdr:y>0.99241</cdr:y>
    </cdr:to>
    <cdr:sp macro="" textlink="">
      <cdr:nvSpPr>
        <cdr:cNvPr id="2" name="TextovéPole 1"/>
        <cdr:cNvSpPr txBox="1"/>
      </cdr:nvSpPr>
      <cdr:spPr>
        <a:xfrm xmlns:a="http://schemas.openxmlformats.org/drawingml/2006/main">
          <a:off x="816992" y="3335665"/>
          <a:ext cx="3331878" cy="16556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Podíl</a:t>
          </a:r>
          <a:r>
            <a:rPr lang="cs-CZ" sz="800" baseline="0">
              <a:latin typeface="Arial" pitchFamily="34" charset="0"/>
              <a:cs typeface="Arial" pitchFamily="34" charset="0"/>
            </a:rPr>
            <a:t> tvorby hrubého fixního kapitálů na HPH</a:t>
          </a:r>
          <a:r>
            <a:rPr lang="cs-CZ" sz="800">
              <a:latin typeface="Arial" pitchFamily="34" charset="0"/>
              <a:cs typeface="Arial" pitchFamily="34" charset="0"/>
            </a:rPr>
            <a:t>  v roce 2017 (v %)</a:t>
          </a:r>
        </a:p>
      </cdr:txBody>
    </cdr:sp>
  </cdr:relSizeAnchor>
  <cdr:relSizeAnchor xmlns:cdr="http://schemas.openxmlformats.org/drawingml/2006/chartDrawing">
    <cdr:from>
      <cdr:x>0</cdr:x>
      <cdr:y>0.02085</cdr:y>
    </cdr:from>
    <cdr:to>
      <cdr:x>0.05512</cdr:x>
      <cdr:y>0.91826</cdr:y>
    </cdr:to>
    <cdr:sp macro="" textlink="">
      <cdr:nvSpPr>
        <cdr:cNvPr id="3" name="TextovéPole 1"/>
        <cdr:cNvSpPr txBox="1"/>
      </cdr:nvSpPr>
      <cdr:spPr>
        <a:xfrm xmlns:a="http://schemas.openxmlformats.org/drawingml/2006/main">
          <a:off x="0" y="73556"/>
          <a:ext cx="262981" cy="3166066"/>
        </a:xfrm>
        <a:prstGeom xmlns:a="http://schemas.openxmlformats.org/drawingml/2006/main" prst="rect">
          <a:avLst/>
        </a:prstGeom>
      </cdr:spPr>
      <cdr:txBody>
        <a:bodyPr xmlns:a="http://schemas.openxmlformats.org/drawingml/2006/main" vert="vert270" wrap="square" lIns="0" tIns="0" rIns="0" bIns="0" rtlCol="0" anchor="ctr" anchorCtr="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cs-CZ" sz="800">
              <a:latin typeface="Arial" pitchFamily="34" charset="0"/>
              <a:cs typeface="Arial" pitchFamily="34" charset="0"/>
            </a:rPr>
            <a:t>Podíl</a:t>
          </a:r>
          <a:r>
            <a:rPr lang="cs-CZ" sz="800" baseline="0">
              <a:latin typeface="Arial" pitchFamily="34" charset="0"/>
              <a:cs typeface="Arial" pitchFamily="34" charset="0"/>
            </a:rPr>
            <a:t> hr. provoz. přebytku na HPH</a:t>
          </a:r>
          <a:r>
            <a:rPr lang="cs-CZ" sz="800">
              <a:latin typeface="Arial" pitchFamily="34" charset="0"/>
              <a:cs typeface="Arial" pitchFamily="34" charset="0"/>
            </a:rPr>
            <a:t> nefinančn. podniků v</a:t>
          </a:r>
          <a:r>
            <a:rPr lang="cs-CZ" sz="800" baseline="0">
              <a:latin typeface="Arial" pitchFamily="34" charset="0"/>
              <a:cs typeface="Arial" pitchFamily="34" charset="0"/>
            </a:rPr>
            <a:t> r. 2017</a:t>
          </a:r>
          <a:r>
            <a:rPr lang="cs-CZ" sz="800">
              <a:latin typeface="Arial" pitchFamily="34" charset="0"/>
              <a:cs typeface="Arial" pitchFamily="34" charset="0"/>
            </a:rPr>
            <a:t> (v %)</a:t>
          </a:r>
        </a:p>
      </cdr:txBody>
    </cdr:sp>
  </cdr:relSizeAnchor>
  <cdr:relSizeAnchor xmlns:cdr="http://schemas.openxmlformats.org/drawingml/2006/chartDrawing">
    <cdr:from>
      <cdr:x>0.65302</cdr:x>
      <cdr:y>0.85517</cdr:y>
    </cdr:from>
    <cdr:to>
      <cdr:x>0.69812</cdr:x>
      <cdr:y>0.87534</cdr:y>
    </cdr:to>
    <cdr:sp macro="" textlink="">
      <cdr:nvSpPr>
        <cdr:cNvPr id="4" name="Obdélník 3"/>
        <cdr:cNvSpPr/>
      </cdr:nvSpPr>
      <cdr:spPr>
        <a:xfrm xmlns:a="http://schemas.openxmlformats.org/drawingml/2006/main">
          <a:off x="3120864" y="3017026"/>
          <a:ext cx="215539" cy="71160"/>
        </a:xfrm>
        <a:prstGeom xmlns:a="http://schemas.openxmlformats.org/drawingml/2006/main" prst="rect">
          <a:avLst/>
        </a:prstGeom>
        <a:solidFill xmlns:a="http://schemas.openxmlformats.org/drawingml/2006/main">
          <a:srgbClr val="48AEE7"/>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cs-CZ"/>
        </a:p>
      </cdr:txBody>
    </cdr:sp>
  </cdr:relSizeAnchor>
  <cdr:relSizeAnchor xmlns:cdr="http://schemas.openxmlformats.org/drawingml/2006/chartDrawing">
    <cdr:from>
      <cdr:x>0.69896</cdr:x>
      <cdr:y>0.85479</cdr:y>
    </cdr:from>
    <cdr:to>
      <cdr:x>0.74406</cdr:x>
      <cdr:y>0.87496</cdr:y>
    </cdr:to>
    <cdr:sp macro="" textlink="">
      <cdr:nvSpPr>
        <cdr:cNvPr id="5" name="Obdélník 4"/>
        <cdr:cNvSpPr/>
      </cdr:nvSpPr>
      <cdr:spPr>
        <a:xfrm xmlns:a="http://schemas.openxmlformats.org/drawingml/2006/main">
          <a:off x="3340401" y="3015703"/>
          <a:ext cx="215538" cy="71160"/>
        </a:xfrm>
        <a:prstGeom xmlns:a="http://schemas.openxmlformats.org/drawingml/2006/main" prst="rect">
          <a:avLst/>
        </a:prstGeom>
        <a:solidFill xmlns:a="http://schemas.openxmlformats.org/drawingml/2006/main">
          <a:srgbClr val="BFE3F7"/>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0.57926</cdr:x>
      <cdr:y>0.68572</cdr:y>
    </cdr:from>
    <cdr:to>
      <cdr:x>0.97268</cdr:x>
      <cdr:y>0.81223</cdr:y>
    </cdr:to>
    <cdr:sp macro="" textlink="">
      <cdr:nvSpPr>
        <cdr:cNvPr id="6" name="TextovéPole 5"/>
        <cdr:cNvSpPr txBox="1"/>
      </cdr:nvSpPr>
      <cdr:spPr>
        <a:xfrm xmlns:a="http://schemas.openxmlformats.org/drawingml/2006/main">
          <a:off x="2726370" y="2419614"/>
          <a:ext cx="1851680" cy="446400"/>
        </a:xfrm>
        <a:prstGeom xmlns:a="http://schemas.openxmlformats.org/drawingml/2006/main" prst="rect">
          <a:avLst/>
        </a:prstGeom>
        <a:solidFill xmlns:a="http://schemas.openxmlformats.org/drawingml/2006/main">
          <a:schemeClr val="bg1"/>
        </a:solidFill>
        <a:ln xmlns:a="http://schemas.openxmlformats.org/drawingml/2006/main" w="6350">
          <a:solidFill>
            <a:schemeClr val="tx1">
              <a:lumMod val="65000"/>
              <a:lumOff val="35000"/>
            </a:schemeClr>
          </a:solidFill>
        </a:ln>
      </cdr:spPr>
      <cdr:txBody>
        <a:bodyPr xmlns:a="http://schemas.openxmlformats.org/drawingml/2006/main" vertOverflow="clip" wrap="square" lIns="36000" tIns="36000" rIns="36000" bIns="36000" rtlCol="0"/>
        <a:lstStyle xmlns:a="http://schemas.openxmlformats.org/drawingml/2006/main"/>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cs-CZ" sz="800" b="0">
              <a:latin typeface="Arial" pitchFamily="34" charset="0"/>
              <a:ea typeface="+mn-ea"/>
              <a:cs typeface="Arial" pitchFamily="34" charset="0"/>
            </a:rPr>
            <a:t>Podíl podniků pod zahraniční kontrolou na HPH vytvořené všemi nefinančními podniky v roce 2016</a:t>
          </a:r>
          <a:r>
            <a:rPr lang="cs-CZ" sz="800" b="0" baseline="0">
              <a:latin typeface="Arial" pitchFamily="34" charset="0"/>
              <a:ea typeface="+mn-ea"/>
              <a:cs typeface="Arial" pitchFamily="34" charset="0"/>
            </a:rPr>
            <a:t> </a:t>
          </a:r>
          <a:r>
            <a:rPr lang="cs-CZ" sz="800" b="0">
              <a:latin typeface="Arial" pitchFamily="34" charset="0"/>
              <a:ea typeface="+mn-ea"/>
              <a:cs typeface="Arial" pitchFamily="34" charset="0"/>
            </a:rPr>
            <a:t>(v %)</a:t>
          </a:r>
          <a:endParaRPr lang="cs-CZ" sz="800" b="0">
            <a:latin typeface="Arial" pitchFamily="34" charset="0"/>
            <a:cs typeface="Arial" pitchFamily="34" charset="0"/>
          </a:endParaRPr>
        </a:p>
      </cdr:txBody>
    </cdr:sp>
  </cdr:relSizeAnchor>
  <cdr:relSizeAnchor xmlns:cdr="http://schemas.openxmlformats.org/drawingml/2006/chartDrawing">
    <cdr:from>
      <cdr:x>0.63409</cdr:x>
      <cdr:y>0.81699</cdr:y>
    </cdr:from>
    <cdr:to>
      <cdr:x>0.96065</cdr:x>
      <cdr:y>0.86118</cdr:y>
    </cdr:to>
    <cdr:sp macro="" textlink="">
      <cdr:nvSpPr>
        <cdr:cNvPr id="7" name="TextovéPole 6"/>
        <cdr:cNvSpPr txBox="1"/>
      </cdr:nvSpPr>
      <cdr:spPr>
        <a:xfrm xmlns:a="http://schemas.openxmlformats.org/drawingml/2006/main">
          <a:off x="3031270" y="2882346"/>
          <a:ext cx="1561118" cy="155902"/>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ea typeface="+mn-ea"/>
              <a:cs typeface="Arial" pitchFamily="34" charset="0"/>
            </a:rPr>
            <a:t>30    40</a:t>
          </a:r>
          <a:r>
            <a:rPr lang="cs-CZ" sz="800" baseline="0">
              <a:latin typeface="Arial" pitchFamily="34" charset="0"/>
              <a:ea typeface="+mn-ea"/>
              <a:cs typeface="Arial" pitchFamily="34" charset="0"/>
            </a:rPr>
            <a:t>    </a:t>
          </a:r>
          <a:r>
            <a:rPr lang="cs-CZ" sz="800">
              <a:latin typeface="Arial" pitchFamily="34" charset="0"/>
              <a:ea typeface="+mn-ea"/>
              <a:cs typeface="Arial" pitchFamily="34" charset="0"/>
            </a:rPr>
            <a:t>50    60    70    80    90  </a:t>
          </a:r>
          <a:endParaRPr lang="cs-CZ" sz="800">
            <a:latin typeface="Arial" pitchFamily="34" charset="0"/>
            <a:cs typeface="Arial" pitchFamily="34" charset="0"/>
          </a:endParaRPr>
        </a:p>
      </cdr:txBody>
    </cdr:sp>
  </cdr:relSizeAnchor>
  <cdr:relSizeAnchor xmlns:cdr="http://schemas.openxmlformats.org/drawingml/2006/chartDrawing">
    <cdr:from>
      <cdr:x>0.74458</cdr:x>
      <cdr:y>0.85473</cdr:y>
    </cdr:from>
    <cdr:to>
      <cdr:x>0.78969</cdr:x>
      <cdr:y>0.87491</cdr:y>
    </cdr:to>
    <cdr:sp macro="" textlink="">
      <cdr:nvSpPr>
        <cdr:cNvPr id="8" name="Obdélník 7"/>
        <cdr:cNvSpPr/>
      </cdr:nvSpPr>
      <cdr:spPr>
        <a:xfrm xmlns:a="http://schemas.openxmlformats.org/drawingml/2006/main">
          <a:off x="3558457" y="3015492"/>
          <a:ext cx="215587" cy="71195"/>
        </a:xfrm>
        <a:prstGeom xmlns:a="http://schemas.openxmlformats.org/drawingml/2006/main" prst="rect">
          <a:avLst/>
        </a:prstGeom>
        <a:solidFill xmlns:a="http://schemas.openxmlformats.org/drawingml/2006/main">
          <a:srgbClr val="D2E7B6"/>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0.83445</cdr:x>
      <cdr:y>0.85529</cdr:y>
    </cdr:from>
    <cdr:to>
      <cdr:x>0.87955</cdr:x>
      <cdr:y>0.87547</cdr:y>
    </cdr:to>
    <cdr:sp macro="" textlink="">
      <cdr:nvSpPr>
        <cdr:cNvPr id="9" name="Obdélník 8"/>
        <cdr:cNvSpPr/>
      </cdr:nvSpPr>
      <cdr:spPr>
        <a:xfrm xmlns:a="http://schemas.openxmlformats.org/drawingml/2006/main">
          <a:off x="3987958" y="3017449"/>
          <a:ext cx="215539" cy="71195"/>
        </a:xfrm>
        <a:prstGeom xmlns:a="http://schemas.openxmlformats.org/drawingml/2006/main" prst="rect">
          <a:avLst/>
        </a:prstGeom>
        <a:solidFill xmlns:a="http://schemas.openxmlformats.org/drawingml/2006/main">
          <a:srgbClr val="FCCD8E"/>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0.78968</cdr:x>
      <cdr:y>0.85488</cdr:y>
    </cdr:from>
    <cdr:to>
      <cdr:x>0.83478</cdr:x>
      <cdr:y>0.87506</cdr:y>
    </cdr:to>
    <cdr:sp macro="" textlink="">
      <cdr:nvSpPr>
        <cdr:cNvPr id="10" name="Obdélník 9"/>
        <cdr:cNvSpPr/>
      </cdr:nvSpPr>
      <cdr:spPr>
        <a:xfrm xmlns:a="http://schemas.openxmlformats.org/drawingml/2006/main">
          <a:off x="3773995" y="3016021"/>
          <a:ext cx="215539" cy="71195"/>
        </a:xfrm>
        <a:prstGeom xmlns:a="http://schemas.openxmlformats.org/drawingml/2006/main" prst="rect">
          <a:avLst/>
        </a:prstGeom>
        <a:solidFill xmlns:a="http://schemas.openxmlformats.org/drawingml/2006/main">
          <a:srgbClr val="FFFF53"/>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0.92544</cdr:x>
      <cdr:y>0.85469</cdr:y>
    </cdr:from>
    <cdr:to>
      <cdr:x>0.97054</cdr:x>
      <cdr:y>0.87486</cdr:y>
    </cdr:to>
    <cdr:sp macro="" textlink="">
      <cdr:nvSpPr>
        <cdr:cNvPr id="11" name="Obdélník 10"/>
        <cdr:cNvSpPr/>
      </cdr:nvSpPr>
      <cdr:spPr>
        <a:xfrm xmlns:a="http://schemas.openxmlformats.org/drawingml/2006/main">
          <a:off x="4429214" y="3015345"/>
          <a:ext cx="215851" cy="71160"/>
        </a:xfrm>
        <a:prstGeom xmlns:a="http://schemas.openxmlformats.org/drawingml/2006/main" prst="rect">
          <a:avLst/>
        </a:prstGeom>
        <a:solidFill xmlns:a="http://schemas.openxmlformats.org/drawingml/2006/main">
          <a:srgbClr val="BD1B21"/>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0.8794</cdr:x>
      <cdr:y>0.85498</cdr:y>
    </cdr:from>
    <cdr:to>
      <cdr:x>0.9245</cdr:x>
      <cdr:y>0.87516</cdr:y>
    </cdr:to>
    <cdr:sp macro="" textlink="">
      <cdr:nvSpPr>
        <cdr:cNvPr id="12" name="Obdélník 11"/>
        <cdr:cNvSpPr/>
      </cdr:nvSpPr>
      <cdr:spPr>
        <a:xfrm xmlns:a="http://schemas.openxmlformats.org/drawingml/2006/main">
          <a:off x="4202747" y="3016367"/>
          <a:ext cx="215540" cy="71195"/>
        </a:xfrm>
        <a:prstGeom xmlns:a="http://schemas.openxmlformats.org/drawingml/2006/main" prst="rect">
          <a:avLst/>
        </a:prstGeom>
        <a:solidFill xmlns:a="http://schemas.openxmlformats.org/drawingml/2006/main">
          <a:srgbClr val="F8A124"/>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0.60731</cdr:x>
      <cdr:y>0.85475</cdr:y>
    </cdr:from>
    <cdr:to>
      <cdr:x>0.65241</cdr:x>
      <cdr:y>0.87492</cdr:y>
    </cdr:to>
    <cdr:sp macro="" textlink="">
      <cdr:nvSpPr>
        <cdr:cNvPr id="13" name="Obdélník 12"/>
        <cdr:cNvSpPr/>
      </cdr:nvSpPr>
      <cdr:spPr>
        <a:xfrm xmlns:a="http://schemas.openxmlformats.org/drawingml/2006/main">
          <a:off x="2902435" y="3015561"/>
          <a:ext cx="215539" cy="71160"/>
        </a:xfrm>
        <a:prstGeom xmlns:a="http://schemas.openxmlformats.org/drawingml/2006/main" prst="rect">
          <a:avLst/>
        </a:prstGeom>
        <a:solidFill xmlns:a="http://schemas.openxmlformats.org/drawingml/2006/main">
          <a:srgbClr val="0071BC"/>
        </a:solidFill>
        <a:ln xmlns:a="http://schemas.openxmlformats.org/drawingml/2006/main" w="6350" cap="flat" cmpd="sng" algn="ctr">
          <a:solidFill>
            <a:sysClr val="window" lastClr="FFFFFF">
              <a:lumMod val="50000"/>
            </a:sys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0.25195</cdr:x>
      <cdr:y>0.50325</cdr:y>
    </cdr:from>
    <cdr:to>
      <cdr:x>0.35465</cdr:x>
      <cdr:y>0.67788</cdr:y>
    </cdr:to>
    <cdr:sp macro="" textlink="">
      <cdr:nvSpPr>
        <cdr:cNvPr id="15" name="Přímá spojovací šipka 14"/>
        <cdr:cNvSpPr/>
      </cdr:nvSpPr>
      <cdr:spPr>
        <a:xfrm xmlns:a="http://schemas.openxmlformats.org/drawingml/2006/main" flipV="1">
          <a:off x="1204937" y="1775454"/>
          <a:ext cx="491163" cy="616095"/>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0.49893</cdr:x>
      <cdr:y>0.38028</cdr:y>
    </cdr:from>
    <cdr:to>
      <cdr:x>0.70885</cdr:x>
      <cdr:y>0.42594</cdr:y>
    </cdr:to>
    <cdr:sp macro="" textlink="">
      <cdr:nvSpPr>
        <cdr:cNvPr id="19" name="Přímá spojovací šipka 18"/>
        <cdr:cNvSpPr/>
      </cdr:nvSpPr>
      <cdr:spPr>
        <a:xfrm xmlns:a="http://schemas.openxmlformats.org/drawingml/2006/main" flipH="1" flipV="1">
          <a:off x="2388878" y="1341643"/>
          <a:ext cx="1005081" cy="161074"/>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0.31384</cdr:x>
      <cdr:y>0.28923</cdr:y>
    </cdr:from>
    <cdr:to>
      <cdr:x>0.37987</cdr:x>
      <cdr:y>0.31083</cdr:y>
    </cdr:to>
    <cdr:sp macro="" textlink="">
      <cdr:nvSpPr>
        <cdr:cNvPr id="32" name="Přímá spojovací šipka 31"/>
        <cdr:cNvSpPr/>
      </cdr:nvSpPr>
      <cdr:spPr>
        <a:xfrm xmlns:a="http://schemas.openxmlformats.org/drawingml/2006/main" flipH="1" flipV="1">
          <a:off x="1500303" y="1020402"/>
          <a:ext cx="315684" cy="76199"/>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0.29562</cdr:x>
      <cdr:y>0.3494</cdr:y>
    </cdr:from>
    <cdr:to>
      <cdr:x>0.37117</cdr:x>
      <cdr:y>0.37335</cdr:y>
    </cdr:to>
    <cdr:sp macro="" textlink="">
      <cdr:nvSpPr>
        <cdr:cNvPr id="34" name="Přímá spojovací šipka 33"/>
        <cdr:cNvSpPr/>
      </cdr:nvSpPr>
      <cdr:spPr>
        <a:xfrm xmlns:a="http://schemas.openxmlformats.org/drawingml/2006/main" flipH="1" flipV="1">
          <a:off x="1413218" y="1232674"/>
          <a:ext cx="361151" cy="84496"/>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0.28063</cdr:x>
      <cdr:y>0.38276</cdr:y>
    </cdr:from>
    <cdr:to>
      <cdr:x>0.31665</cdr:x>
      <cdr:y>0.39572</cdr:y>
    </cdr:to>
    <cdr:sp macro="" textlink="">
      <cdr:nvSpPr>
        <cdr:cNvPr id="35" name="Přímá spojovací šipka 34"/>
        <cdr:cNvSpPr/>
      </cdr:nvSpPr>
      <cdr:spPr>
        <a:xfrm xmlns:a="http://schemas.openxmlformats.org/drawingml/2006/main" flipH="1">
          <a:off x="1320800" y="1350602"/>
          <a:ext cx="169556" cy="45719"/>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0.45542</cdr:x>
      <cdr:y>0.50176</cdr:y>
    </cdr:from>
    <cdr:to>
      <cdr:x>0.5442</cdr:x>
      <cdr:y>0.57975</cdr:y>
    </cdr:to>
    <cdr:sp macro="" textlink="">
      <cdr:nvSpPr>
        <cdr:cNvPr id="36" name="Přímá spojovací šipka 35"/>
        <cdr:cNvSpPr/>
      </cdr:nvSpPr>
      <cdr:spPr>
        <a:xfrm xmlns:a="http://schemas.openxmlformats.org/drawingml/2006/main" flipH="1" flipV="1">
          <a:off x="2178034" y="1770208"/>
          <a:ext cx="424590" cy="275149"/>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0.34673</cdr:x>
      <cdr:y>0.4337</cdr:y>
    </cdr:from>
    <cdr:to>
      <cdr:x>0.3974</cdr:x>
      <cdr:y>0.43442</cdr:y>
    </cdr:to>
    <cdr:sp macro="" textlink="">
      <cdr:nvSpPr>
        <cdr:cNvPr id="39" name="Přímá spojovací čára 38"/>
        <cdr:cNvSpPr/>
      </cdr:nvSpPr>
      <cdr:spPr>
        <a:xfrm xmlns:a="http://schemas.openxmlformats.org/drawingml/2006/main">
          <a:off x="1631950" y="1530350"/>
          <a:ext cx="238467" cy="2534"/>
        </a:xfrm>
        <a:prstGeom xmlns:a="http://schemas.openxmlformats.org/drawingml/2006/main" prst="line">
          <a:avLst/>
        </a:prstGeom>
        <a:ln xmlns:a="http://schemas.openxmlformats.org/drawingml/2006/main" w="3175">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0.30043</cdr:x>
      <cdr:y>0.47345</cdr:y>
    </cdr:from>
    <cdr:to>
      <cdr:x>0.33061</cdr:x>
      <cdr:y>0.47531</cdr:y>
    </cdr:to>
    <cdr:sp macro="" textlink="">
      <cdr:nvSpPr>
        <cdr:cNvPr id="40" name="Přímá spojovací čára 39"/>
        <cdr:cNvSpPr/>
      </cdr:nvSpPr>
      <cdr:spPr>
        <a:xfrm xmlns:a="http://schemas.openxmlformats.org/drawingml/2006/main" flipV="1">
          <a:off x="1436185" y="1670336"/>
          <a:ext cx="144291" cy="6569"/>
        </a:xfrm>
        <a:prstGeom xmlns:a="http://schemas.openxmlformats.org/drawingml/2006/main" prst="line">
          <a:avLst/>
        </a:prstGeom>
        <a:ln xmlns:a="http://schemas.openxmlformats.org/drawingml/2006/main" w="3175">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0.29169</cdr:x>
      <cdr:y>0.51594</cdr:y>
    </cdr:from>
    <cdr:to>
      <cdr:x>0.32188</cdr:x>
      <cdr:y>0.5178</cdr:y>
    </cdr:to>
    <cdr:sp macro="" textlink="">
      <cdr:nvSpPr>
        <cdr:cNvPr id="42" name="Přímá spojovací čára 41"/>
        <cdr:cNvSpPr/>
      </cdr:nvSpPr>
      <cdr:spPr>
        <a:xfrm xmlns:a="http://schemas.openxmlformats.org/drawingml/2006/main" flipV="1">
          <a:off x="1394435" y="1820232"/>
          <a:ext cx="144292" cy="6569"/>
        </a:xfrm>
        <a:prstGeom xmlns:a="http://schemas.openxmlformats.org/drawingml/2006/main" prst="line">
          <a:avLst/>
        </a:prstGeom>
        <a:ln xmlns:a="http://schemas.openxmlformats.org/drawingml/2006/main" w="3175">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0.45457</cdr:x>
      <cdr:y>0.45329</cdr:y>
    </cdr:from>
    <cdr:to>
      <cdr:x>0.54514</cdr:x>
      <cdr:y>0.5041</cdr:y>
    </cdr:to>
    <cdr:sp macro="" textlink="">
      <cdr:nvSpPr>
        <cdr:cNvPr id="43" name="Přímá spojovací čára 42"/>
        <cdr:cNvSpPr/>
      </cdr:nvSpPr>
      <cdr:spPr>
        <a:xfrm xmlns:a="http://schemas.openxmlformats.org/drawingml/2006/main">
          <a:off x="2174001" y="1599205"/>
          <a:ext cx="433151" cy="179258"/>
        </a:xfrm>
        <a:prstGeom xmlns:a="http://schemas.openxmlformats.org/drawingml/2006/main" prst="line">
          <a:avLst/>
        </a:prstGeom>
        <a:ln xmlns:a="http://schemas.openxmlformats.org/drawingml/2006/main" w="3175">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0.34116</cdr:x>
      <cdr:y>0.49931</cdr:y>
    </cdr:from>
    <cdr:to>
      <cdr:x>0.37359</cdr:x>
      <cdr:y>0.59047</cdr:y>
    </cdr:to>
    <cdr:sp macro="" textlink="">
      <cdr:nvSpPr>
        <cdr:cNvPr id="44" name="Přímá spojovací šipka 43"/>
        <cdr:cNvSpPr/>
      </cdr:nvSpPr>
      <cdr:spPr>
        <a:xfrm xmlns:a="http://schemas.openxmlformats.org/drawingml/2006/main" flipV="1">
          <a:off x="1630927" y="1761565"/>
          <a:ext cx="155031" cy="321613"/>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0.39908</cdr:x>
      <cdr:y>0.47954</cdr:y>
    </cdr:from>
    <cdr:to>
      <cdr:x>0.40864</cdr:x>
      <cdr:y>0.66736</cdr:y>
    </cdr:to>
    <cdr:sp macro="" textlink="">
      <cdr:nvSpPr>
        <cdr:cNvPr id="45" name="Přímá spojovací šipka 44"/>
        <cdr:cNvSpPr/>
      </cdr:nvSpPr>
      <cdr:spPr>
        <a:xfrm xmlns:a="http://schemas.openxmlformats.org/drawingml/2006/main" flipH="1" flipV="1">
          <a:off x="1907798" y="1691833"/>
          <a:ext cx="45702" cy="662629"/>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0.4601</cdr:x>
      <cdr:y>0.48169</cdr:y>
    </cdr:from>
    <cdr:to>
      <cdr:x>0.56971</cdr:x>
      <cdr:y>0.55378</cdr:y>
    </cdr:to>
    <cdr:sp macro="" textlink="">
      <cdr:nvSpPr>
        <cdr:cNvPr id="47" name="Přímá spojovací čára 46"/>
        <cdr:cNvSpPr/>
      </cdr:nvSpPr>
      <cdr:spPr>
        <a:xfrm xmlns:a="http://schemas.openxmlformats.org/drawingml/2006/main">
          <a:off x="2200433" y="1699389"/>
          <a:ext cx="524212" cy="254362"/>
        </a:xfrm>
        <a:prstGeom xmlns:a="http://schemas.openxmlformats.org/drawingml/2006/main" prst="line">
          <a:avLst/>
        </a:prstGeom>
        <a:ln xmlns:a="http://schemas.openxmlformats.org/drawingml/2006/main" w="3175">
          <a:solidFill>
            <a:schemeClr val="tx1">
              <a:lumMod val="65000"/>
              <a:lumOff val="3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0.42138</cdr:x>
      <cdr:y>0.2421</cdr:y>
    </cdr:from>
    <cdr:to>
      <cdr:x>0.4396</cdr:x>
      <cdr:y>0.26524</cdr:y>
    </cdr:to>
    <cdr:sp macro="" textlink="">
      <cdr:nvSpPr>
        <cdr:cNvPr id="48" name="Přímá spojovací šipka 47"/>
        <cdr:cNvSpPr/>
      </cdr:nvSpPr>
      <cdr:spPr>
        <a:xfrm xmlns:a="http://schemas.openxmlformats.org/drawingml/2006/main" flipV="1">
          <a:off x="2017424" y="854142"/>
          <a:ext cx="87231" cy="81638"/>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0.41196</cdr:x>
      <cdr:y>0.55574</cdr:y>
    </cdr:from>
    <cdr:to>
      <cdr:x>0.61509</cdr:x>
      <cdr:y>0.60121</cdr:y>
    </cdr:to>
    <cdr:sp macro="" textlink="">
      <cdr:nvSpPr>
        <cdr:cNvPr id="31" name="Oblouk 30"/>
        <cdr:cNvSpPr/>
      </cdr:nvSpPr>
      <cdr:spPr>
        <a:xfrm xmlns:a="http://schemas.openxmlformats.org/drawingml/2006/main" rot="13221271">
          <a:off x="1972299" y="1960644"/>
          <a:ext cx="972552" cy="160421"/>
        </a:xfrm>
        <a:prstGeom xmlns:a="http://schemas.openxmlformats.org/drawingml/2006/main" prst="arc">
          <a:avLst>
            <a:gd name="adj1" fmla="val 11884047"/>
            <a:gd name="adj2" fmla="val 0"/>
          </a:avLst>
        </a:prstGeom>
        <a:ln xmlns:a="http://schemas.openxmlformats.org/drawingml/2006/main" w="3175">
          <a:solidFill>
            <a:schemeClr val="tx1">
              <a:lumMod val="85000"/>
              <a:lumOff val="1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0.49926</cdr:x>
      <cdr:y>0.31486</cdr:y>
    </cdr:from>
    <cdr:to>
      <cdr:x>0.54968</cdr:x>
      <cdr:y>0.33161</cdr:y>
    </cdr:to>
    <cdr:sp macro="" textlink="">
      <cdr:nvSpPr>
        <cdr:cNvPr id="33" name="Přímá spojovací šipka 32"/>
        <cdr:cNvSpPr/>
      </cdr:nvSpPr>
      <cdr:spPr>
        <a:xfrm xmlns:a="http://schemas.openxmlformats.org/drawingml/2006/main" flipH="1">
          <a:off x="2386996" y="1110813"/>
          <a:ext cx="241022" cy="59118"/>
        </a:xfrm>
        <a:prstGeom xmlns:a="http://schemas.openxmlformats.org/drawingml/2006/main" prst="straightConnector1">
          <a:avLst/>
        </a:prstGeom>
        <a:ln xmlns:a="http://schemas.openxmlformats.org/drawingml/2006/main" w="3175">
          <a:solidFill>
            <a:schemeClr val="tx1">
              <a:lumMod val="65000"/>
              <a:lumOff val="35000"/>
            </a:schemeClr>
          </a:solidFill>
          <a:tailEnd type="non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cs-CZ"/>
        </a:p>
      </cdr:txBody>
    </cdr:sp>
  </cdr:relSizeAnchor>
</c:userShapes>
</file>

<file path=word/drawings/drawing6.xml><?xml version="1.0" encoding="utf-8"?>
<c:userShapes xmlns:c="http://schemas.openxmlformats.org/drawingml/2006/chart">
  <cdr:relSizeAnchor xmlns:cdr="http://schemas.openxmlformats.org/drawingml/2006/chartDrawing">
    <cdr:from>
      <cdr:x>0.49336</cdr:x>
      <cdr:y>0.09507</cdr:y>
    </cdr:from>
    <cdr:to>
      <cdr:x>0.53498</cdr:x>
      <cdr:y>0.11183</cdr:y>
    </cdr:to>
    <cdr:sp macro="" textlink="">
      <cdr:nvSpPr>
        <cdr:cNvPr id="3" name="Kosoúhelník 2"/>
        <cdr:cNvSpPr/>
      </cdr:nvSpPr>
      <cdr:spPr>
        <a:xfrm xmlns:a="http://schemas.openxmlformats.org/drawingml/2006/main" rot="19295192">
          <a:off x="2324685" y="337813"/>
          <a:ext cx="196131" cy="59532"/>
        </a:xfrm>
        <a:prstGeom xmlns:a="http://schemas.openxmlformats.org/drawingml/2006/main" prst="parallelogram">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0.56507</cdr:x>
      <cdr:y>0.08548</cdr:y>
    </cdr:from>
    <cdr:to>
      <cdr:x>0.60259</cdr:x>
      <cdr:y>0.10092</cdr:y>
    </cdr:to>
    <cdr:sp macro="" textlink="">
      <cdr:nvSpPr>
        <cdr:cNvPr id="4" name="Kosoúhelník 3"/>
        <cdr:cNvSpPr/>
      </cdr:nvSpPr>
      <cdr:spPr>
        <a:xfrm xmlns:a="http://schemas.openxmlformats.org/drawingml/2006/main" rot="19295192">
          <a:off x="2667907" y="303711"/>
          <a:ext cx="177117" cy="54889"/>
        </a:xfrm>
        <a:prstGeom xmlns:a="http://schemas.openxmlformats.org/drawingml/2006/main" prst="parallelogram">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0.53431</cdr:x>
      <cdr:y>0.0909</cdr:y>
    </cdr:from>
    <cdr:to>
      <cdr:x>0.57217</cdr:x>
      <cdr:y>0.10596</cdr:y>
    </cdr:to>
    <cdr:sp macro="" textlink="">
      <cdr:nvSpPr>
        <cdr:cNvPr id="5" name="Kosoúhelník 4"/>
        <cdr:cNvSpPr/>
      </cdr:nvSpPr>
      <cdr:spPr>
        <a:xfrm xmlns:a="http://schemas.openxmlformats.org/drawingml/2006/main" rot="19295192">
          <a:off x="2522683" y="322994"/>
          <a:ext cx="178747" cy="53512"/>
        </a:xfrm>
        <a:prstGeom xmlns:a="http://schemas.openxmlformats.org/drawingml/2006/main" prst="parallelogram">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0.51126</cdr:x>
      <cdr:y>0.01988</cdr:y>
    </cdr:from>
    <cdr:to>
      <cdr:x>0.55041</cdr:x>
      <cdr:y>0.0538</cdr:y>
    </cdr:to>
    <cdr:sp macro="" textlink="">
      <cdr:nvSpPr>
        <cdr:cNvPr id="7" name="TextovéPole 6"/>
        <cdr:cNvSpPr txBox="1"/>
      </cdr:nvSpPr>
      <cdr:spPr>
        <a:xfrm xmlns:a="http://schemas.openxmlformats.org/drawingml/2006/main">
          <a:off x="2413828" y="70654"/>
          <a:ext cx="184841" cy="120525"/>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s-CZ" sz="800">
              <a:solidFill>
                <a:srgbClr val="48AEE7"/>
              </a:solidFill>
              <a:latin typeface="Arial" pitchFamily="34" charset="0"/>
              <a:cs typeface="Arial" pitchFamily="34" charset="0"/>
            </a:rPr>
            <a:t>254</a:t>
          </a:r>
        </a:p>
      </cdr:txBody>
    </cdr:sp>
  </cdr:relSizeAnchor>
  <cdr:relSizeAnchor xmlns:cdr="http://schemas.openxmlformats.org/drawingml/2006/chartDrawing">
    <cdr:from>
      <cdr:x>0.59373</cdr:x>
      <cdr:y>0.02164</cdr:y>
    </cdr:from>
    <cdr:to>
      <cdr:x>0.63289</cdr:x>
      <cdr:y>0.05555</cdr:y>
    </cdr:to>
    <cdr:sp macro="" textlink="">
      <cdr:nvSpPr>
        <cdr:cNvPr id="9" name="TextovéPole 1"/>
        <cdr:cNvSpPr txBox="1"/>
      </cdr:nvSpPr>
      <cdr:spPr>
        <a:xfrm xmlns:a="http://schemas.openxmlformats.org/drawingml/2006/main">
          <a:off x="2803220" y="76883"/>
          <a:ext cx="184889" cy="12048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cs-CZ" sz="800">
              <a:solidFill>
                <a:srgbClr val="7DBB2D"/>
              </a:solidFill>
              <a:latin typeface="Arial" pitchFamily="34" charset="0"/>
              <a:cs typeface="Arial" pitchFamily="34" charset="0"/>
            </a:rPr>
            <a:t>282</a:t>
          </a:r>
        </a:p>
      </cdr:txBody>
    </cdr:sp>
  </cdr:relSizeAnchor>
</c:userShapes>
</file>

<file path=word/drawings/drawing7.xml><?xml version="1.0" encoding="utf-8"?>
<c:userShapes xmlns:c="http://schemas.openxmlformats.org/drawingml/2006/chart">
  <cdr:relSizeAnchor xmlns:cdr="http://schemas.openxmlformats.org/drawingml/2006/chartDrawing">
    <cdr:from>
      <cdr:x>0.0542</cdr:x>
      <cdr:y>0.87948</cdr:y>
    </cdr:from>
    <cdr:to>
      <cdr:x>0.98372</cdr:x>
      <cdr:y>0.98925</cdr:y>
    </cdr:to>
    <cdr:sp macro="" textlink="">
      <cdr:nvSpPr>
        <cdr:cNvPr id="2" name="TextovéPole 1"/>
        <cdr:cNvSpPr txBox="1"/>
      </cdr:nvSpPr>
      <cdr:spPr>
        <a:xfrm xmlns:a="http://schemas.openxmlformats.org/drawingml/2006/main">
          <a:off x="251015" y="3124967"/>
          <a:ext cx="4304864" cy="390045"/>
        </a:xfrm>
        <a:prstGeom xmlns:a="http://schemas.openxmlformats.org/drawingml/2006/main" prst="rect">
          <a:avLst/>
        </a:prstGeom>
        <a:ln xmlns:a="http://schemas.openxmlformats.org/drawingml/2006/main" w="6350">
          <a:solidFill>
            <a:sysClr val="windowText" lastClr="000000"/>
          </a:solidFill>
        </a:ln>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        Podíl jednotlivých odvětví (NACE) veřejných služeb                HPH</a:t>
          </a:r>
          <a:r>
            <a:rPr lang="cs-CZ" sz="800" baseline="0">
              <a:latin typeface="Arial" pitchFamily="34" charset="0"/>
              <a:cs typeface="Arial" pitchFamily="34" charset="0"/>
            </a:rPr>
            <a:t> ve veřejných službách </a:t>
          </a:r>
        </a:p>
        <a:p xmlns:a="http://schemas.openxmlformats.org/drawingml/2006/main">
          <a:r>
            <a:rPr lang="cs-CZ" sz="800" baseline="0">
              <a:latin typeface="Arial" pitchFamily="34" charset="0"/>
              <a:cs typeface="Arial" pitchFamily="34" charset="0"/>
            </a:rPr>
            <a:t>       </a:t>
          </a:r>
          <a:r>
            <a:rPr lang="cs-CZ" sz="800">
              <a:latin typeface="Arial" pitchFamily="34" charset="0"/>
              <a:ea typeface="+mn-ea"/>
              <a:cs typeface="Arial" pitchFamily="34" charset="0"/>
            </a:rPr>
            <a:t>na zaměstnanosti v roce ekonomice</a:t>
          </a:r>
          <a:r>
            <a:rPr lang="cs-CZ" sz="800" baseline="0">
              <a:latin typeface="Arial" pitchFamily="34" charset="0"/>
              <a:cs typeface="Arial" pitchFamily="34" charset="0"/>
            </a:rPr>
            <a:t> (v %, rok 2016)              (% z HPH v celé ekonomice)</a:t>
          </a:r>
          <a:endParaRPr lang="cs-CZ" sz="800">
            <a:latin typeface="Arial" pitchFamily="34" charset="0"/>
            <a:cs typeface="Arial" pitchFamily="34" charset="0"/>
          </a:endParaRPr>
        </a:p>
      </cdr:txBody>
    </cdr:sp>
  </cdr:relSizeAnchor>
  <cdr:relSizeAnchor xmlns:cdr="http://schemas.openxmlformats.org/drawingml/2006/chartDrawing">
    <cdr:from>
      <cdr:x>0.66358</cdr:x>
      <cdr:y>0.87886</cdr:y>
    </cdr:from>
    <cdr:to>
      <cdr:x>0.66358</cdr:x>
      <cdr:y>0.98881</cdr:y>
    </cdr:to>
    <cdr:sp macro="" textlink="">
      <cdr:nvSpPr>
        <cdr:cNvPr id="6" name="Přímá spojovací čára 5"/>
        <cdr:cNvSpPr/>
      </cdr:nvSpPr>
      <cdr:spPr>
        <a:xfrm xmlns:a="http://schemas.openxmlformats.org/drawingml/2006/main" flipV="1">
          <a:off x="3069694" y="3122767"/>
          <a:ext cx="0" cy="390687"/>
        </a:xfrm>
        <a:prstGeom xmlns:a="http://schemas.openxmlformats.org/drawingml/2006/main" prst="line">
          <a:avLst/>
        </a:prstGeom>
        <a:ln xmlns:a="http://schemas.openxmlformats.org/drawingml/2006/main" w="63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drawings/drawing8.xml><?xml version="1.0" encoding="utf-8"?>
<c:userShapes xmlns:c="http://schemas.openxmlformats.org/drawingml/2006/chart">
  <cdr:relSizeAnchor xmlns:cdr="http://schemas.openxmlformats.org/drawingml/2006/chartDrawing">
    <cdr:from>
      <cdr:x>0.58593</cdr:x>
      <cdr:y>0.03702</cdr:y>
    </cdr:from>
    <cdr:to>
      <cdr:x>0.62572</cdr:x>
      <cdr:y>0.06218</cdr:y>
    </cdr:to>
    <cdr:sp macro="" textlink="">
      <cdr:nvSpPr>
        <cdr:cNvPr id="4" name="Obdélník 3"/>
        <cdr:cNvSpPr/>
      </cdr:nvSpPr>
      <cdr:spPr>
        <a:xfrm xmlns:a="http://schemas.openxmlformats.org/drawingml/2006/main">
          <a:off x="2781135" y="130622"/>
          <a:ext cx="188866" cy="88764"/>
        </a:xfrm>
        <a:prstGeom xmlns:a="http://schemas.openxmlformats.org/drawingml/2006/main" prst="rect">
          <a:avLst/>
        </a:prstGeom>
        <a:solidFill xmlns:a="http://schemas.openxmlformats.org/drawingml/2006/main">
          <a:schemeClr val="bg1">
            <a:lumMod val="85000"/>
          </a:schemeClr>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dr:relSizeAnchor xmlns:cdr="http://schemas.openxmlformats.org/drawingml/2006/chartDrawing">
    <cdr:from>
      <cdr:x>0.64411</cdr:x>
      <cdr:y>0.03673</cdr:y>
    </cdr:from>
    <cdr:to>
      <cdr:x>0.6839</cdr:x>
      <cdr:y>0.06189</cdr:y>
    </cdr:to>
    <cdr:sp macro="" textlink="">
      <cdr:nvSpPr>
        <cdr:cNvPr id="5" name="Obdélník 4"/>
        <cdr:cNvSpPr/>
      </cdr:nvSpPr>
      <cdr:spPr>
        <a:xfrm xmlns:a="http://schemas.openxmlformats.org/drawingml/2006/main">
          <a:off x="3057293" y="129572"/>
          <a:ext cx="188865" cy="88764"/>
        </a:xfrm>
        <a:prstGeom xmlns:a="http://schemas.openxmlformats.org/drawingml/2006/main" prst="rect">
          <a:avLst/>
        </a:prstGeom>
        <a:solidFill xmlns:a="http://schemas.openxmlformats.org/drawingml/2006/main">
          <a:srgbClr val="D9EEF3"/>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0.70243</cdr:x>
      <cdr:y>0.03723</cdr:y>
    </cdr:from>
    <cdr:to>
      <cdr:x>0.74222</cdr:x>
      <cdr:y>0.06239</cdr:y>
    </cdr:to>
    <cdr:sp macro="" textlink="">
      <cdr:nvSpPr>
        <cdr:cNvPr id="6" name="Obdélník 5"/>
        <cdr:cNvSpPr/>
      </cdr:nvSpPr>
      <cdr:spPr>
        <a:xfrm xmlns:a="http://schemas.openxmlformats.org/drawingml/2006/main">
          <a:off x="3761577" y="131343"/>
          <a:ext cx="213080" cy="88765"/>
        </a:xfrm>
        <a:prstGeom xmlns:a="http://schemas.openxmlformats.org/drawingml/2006/main" prst="rect">
          <a:avLst/>
        </a:prstGeom>
        <a:solidFill xmlns:a="http://schemas.openxmlformats.org/drawingml/2006/main">
          <a:srgbClr val="90CCDC"/>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0.81802</cdr:x>
      <cdr:y>0.03678</cdr:y>
    </cdr:from>
    <cdr:to>
      <cdr:x>0.85781</cdr:x>
      <cdr:y>0.06194</cdr:y>
    </cdr:to>
    <cdr:sp macro="" textlink="">
      <cdr:nvSpPr>
        <cdr:cNvPr id="7" name="Obdélník 6"/>
        <cdr:cNvSpPr/>
      </cdr:nvSpPr>
      <cdr:spPr>
        <a:xfrm xmlns:a="http://schemas.openxmlformats.org/drawingml/2006/main">
          <a:off x="3882772" y="129755"/>
          <a:ext cx="188866" cy="88764"/>
        </a:xfrm>
        <a:prstGeom xmlns:a="http://schemas.openxmlformats.org/drawingml/2006/main" prst="rect">
          <a:avLst/>
        </a:prstGeom>
        <a:solidFill xmlns:a="http://schemas.openxmlformats.org/drawingml/2006/main">
          <a:srgbClr val="0070C0"/>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0.76083</cdr:x>
      <cdr:y>0.03658</cdr:y>
    </cdr:from>
    <cdr:to>
      <cdr:x>0.80062</cdr:x>
      <cdr:y>0.06174</cdr:y>
    </cdr:to>
    <cdr:sp macro="" textlink="">
      <cdr:nvSpPr>
        <cdr:cNvPr id="8" name="Obdélník 7"/>
        <cdr:cNvSpPr/>
      </cdr:nvSpPr>
      <cdr:spPr>
        <a:xfrm xmlns:a="http://schemas.openxmlformats.org/drawingml/2006/main">
          <a:off x="3611341" y="129069"/>
          <a:ext cx="188865" cy="88765"/>
        </a:xfrm>
        <a:prstGeom xmlns:a="http://schemas.openxmlformats.org/drawingml/2006/main" prst="rect">
          <a:avLst/>
        </a:prstGeom>
        <a:solidFill xmlns:a="http://schemas.openxmlformats.org/drawingml/2006/main">
          <a:srgbClr val="3EA6C2"/>
        </a:solidFill>
        <a:ln xmlns:a="http://schemas.openxmlformats.org/drawingml/2006/main" w="6350">
          <a:solidFill>
            <a:schemeClr val="tx1">
              <a:lumMod val="95000"/>
              <a:lumOff val="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cs-CZ"/>
        </a:p>
      </cdr:txBody>
    </cdr:sp>
  </cdr:relSizeAnchor>
  <cdr:relSizeAnchor xmlns:cdr="http://schemas.openxmlformats.org/drawingml/2006/chartDrawing">
    <cdr:from>
      <cdr:x>0.52619</cdr:x>
      <cdr:y>0.0724</cdr:y>
    </cdr:from>
    <cdr:to>
      <cdr:x>0.93609</cdr:x>
      <cdr:y>0.10186</cdr:y>
    </cdr:to>
    <cdr:sp macro="" textlink="">
      <cdr:nvSpPr>
        <cdr:cNvPr id="10" name="TextovéPole 9"/>
        <cdr:cNvSpPr txBox="1"/>
      </cdr:nvSpPr>
      <cdr:spPr>
        <a:xfrm xmlns:a="http://schemas.openxmlformats.org/drawingml/2006/main">
          <a:off x="2476650" y="265750"/>
          <a:ext cx="1929251" cy="10815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cs-CZ" sz="800">
              <a:latin typeface="Arial" pitchFamily="34" charset="0"/>
              <a:cs typeface="Arial" pitchFamily="34" charset="0"/>
            </a:rPr>
            <a:t>roky:</a:t>
          </a:r>
          <a:r>
            <a:rPr lang="cs-CZ" sz="800" baseline="0">
              <a:latin typeface="Arial" pitchFamily="34" charset="0"/>
              <a:cs typeface="Arial" pitchFamily="34" charset="0"/>
            </a:rPr>
            <a:t> 2013  2014  2015  2016  2017</a:t>
          </a:r>
          <a:endParaRPr lang="cs-CZ"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2855-97DB-42D3-9AFE-F3B5566F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Anaýza ekonomického vývoje v roce 2017.dotx</Template>
  <TotalTime>1</TotalTime>
  <Pages>87</Pages>
  <Words>29594</Words>
  <Characters>174605</Characters>
  <Application>Microsoft Office Word</Application>
  <DocSecurity>0</DocSecurity>
  <Lines>1455</Lines>
  <Paragraphs>407</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Company>CSU</Company>
  <LinksUpToDate>false</LinksUpToDate>
  <CharactersWithSpaces>203792</CharactersWithSpaces>
  <SharedDoc>false</SharedDoc>
  <HLinks>
    <vt:vector size="18" baseType="variant">
      <vt:variant>
        <vt:i4>7602181</vt:i4>
      </vt:variant>
      <vt:variant>
        <vt:i4>11092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Karolína Súkupová</dc:creator>
  <cp:lastModifiedBy>kamenicky3604</cp:lastModifiedBy>
  <cp:revision>2</cp:revision>
  <cp:lastPrinted>2014-07-17T14:07:00Z</cp:lastPrinted>
  <dcterms:created xsi:type="dcterms:W3CDTF">2018-10-29T15:12:00Z</dcterms:created>
  <dcterms:modified xsi:type="dcterms:W3CDTF">2018-10-29T15:12:00Z</dcterms:modified>
</cp:coreProperties>
</file>