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2" w:rsidRPr="00360DE3" w:rsidRDefault="00E212C9" w:rsidP="00141782">
      <w:pPr>
        <w:pStyle w:val="Nadpis1"/>
        <w:rPr>
          <w:lang w:eastAsia="en-US"/>
        </w:rPr>
      </w:pPr>
      <w:bookmarkStart w:id="0" w:name="_Toc527639485"/>
      <w:r w:rsidRPr="00360DE3">
        <w:rPr>
          <w:lang w:eastAsia="en-US"/>
        </w:rPr>
        <w:t>13</w:t>
      </w:r>
      <w:r w:rsidR="00141782" w:rsidRPr="00360DE3">
        <w:rPr>
          <w:lang w:eastAsia="en-US"/>
        </w:rPr>
        <w:t>. Obchod, doprava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F160CE" w:rsidRPr="00360DE3" w:rsidTr="006D64C2">
        <w:trPr>
          <w:trHeight w:val="145"/>
        </w:trPr>
        <w:tc>
          <w:tcPr>
            <w:tcW w:w="1976" w:type="dxa"/>
          </w:tcPr>
          <w:p w:rsidR="00F160CE" w:rsidRPr="00360DE3" w:rsidRDefault="00C21405" w:rsidP="00DC37E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Obchod a doprava vytvářely v Č</w:t>
            </w:r>
            <w:r w:rsidR="00F160CE" w:rsidRPr="00360DE3">
              <w:rPr>
                <w:spacing w:val="0"/>
              </w:rPr>
              <w:t>esku více než čtvrtinu přidané hodnoty sektoru služeb.</w:t>
            </w:r>
          </w:p>
        </w:tc>
        <w:tc>
          <w:tcPr>
            <w:tcW w:w="277" w:type="dxa"/>
          </w:tcPr>
          <w:p w:rsidR="00F160CE" w:rsidRPr="00360DE3" w:rsidRDefault="00F160CE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F160CE" w:rsidRPr="00360DE3" w:rsidRDefault="00F160CE" w:rsidP="00DC37E3">
            <w:r w:rsidRPr="00360DE3">
              <w:t xml:space="preserve">Obchod i doprava </w:t>
            </w:r>
            <w:r w:rsidR="005C3752">
              <w:t>(včetně</w:t>
            </w:r>
            <w:r w:rsidRPr="00360DE3">
              <w:t xml:space="preserve"> skladování)</w:t>
            </w:r>
            <w:r w:rsidRPr="00360DE3">
              <w:rPr>
                <w:rStyle w:val="Znakapoznpodarou"/>
              </w:rPr>
              <w:footnoteReference w:id="1"/>
            </w:r>
            <w:r w:rsidR="005C3752">
              <w:t xml:space="preserve"> patří dlouhodobě nejenom v Česku</w:t>
            </w:r>
            <w:r w:rsidRPr="00360DE3">
              <w:t xml:space="preserve"> k nejvýznamnějším odvětvím služeb. Samotný obchod vytvářel loni v Česku 18,3 % hrubé přidané hodnoty (HPH) celého terciárního sektoru, doprava pak dosahovala zhruba polovičního podílu. Přestože meziroční růst HPH v obchodu a dopravě byl proti roku 2016 o polovinu vyšší a loni činil 3,1 %, již druhý rok v řadě za růstovým tempem v celé ekonomice zaostával. Za období od konce poslední recese (rok 2013) byl nicméně vývoj v obchodu a dopravě oproti národnímu hospodářství mírně příznivější a dařilo se mu také lépe než obchodu a dopravě v celé EU.</w:t>
            </w:r>
          </w:p>
        </w:tc>
      </w:tr>
      <w:tr w:rsidR="00F160CE" w:rsidRPr="00360DE3" w:rsidTr="006D64C2">
        <w:tc>
          <w:tcPr>
            <w:tcW w:w="1976" w:type="dxa"/>
            <w:vMerge w:val="restart"/>
          </w:tcPr>
          <w:p w:rsidR="00F160CE" w:rsidRPr="00360DE3" w:rsidRDefault="00F160CE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F160CE" w:rsidRPr="00360DE3" w:rsidRDefault="00F160CE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F160CE" w:rsidRPr="00360DE3" w:rsidRDefault="00F160CE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13.1  </w:t>
            </w:r>
            <w:r w:rsidRPr="00360DE3">
              <w:rPr>
                <w:b/>
                <w:bCs/>
              </w:rPr>
              <w:t xml:space="preserve">Zákl. </w:t>
            </w:r>
            <w:proofErr w:type="gramStart"/>
            <w:r w:rsidRPr="00360DE3">
              <w:rPr>
                <w:b/>
                <w:bCs/>
              </w:rPr>
              <w:t>ukazatele</w:t>
            </w:r>
            <w:proofErr w:type="gramEnd"/>
            <w:r w:rsidRPr="00360DE3">
              <w:rPr>
                <w:b/>
                <w:bCs/>
              </w:rPr>
              <w:t xml:space="preserve"> odvětví zahrnujících obchod, dopravu a skladování</w:t>
            </w:r>
          </w:p>
          <w:p w:rsidR="00F160CE" w:rsidRPr="00360DE3" w:rsidRDefault="00F160CE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716119" cy="3553200"/>
                  <wp:effectExtent l="0" t="0" r="8281" b="0"/>
                  <wp:docPr id="9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160CE" w:rsidRPr="00360DE3" w:rsidTr="006D64C2">
        <w:trPr>
          <w:trHeight w:val="284"/>
        </w:trPr>
        <w:tc>
          <w:tcPr>
            <w:tcW w:w="1976" w:type="dxa"/>
            <w:vMerge/>
          </w:tcPr>
          <w:p w:rsidR="00F160CE" w:rsidRPr="00360DE3" w:rsidRDefault="00F160CE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F160CE" w:rsidRPr="00360DE3" w:rsidRDefault="00F160CE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F160CE" w:rsidRPr="00360DE3" w:rsidRDefault="00F160CE" w:rsidP="00DC37E3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*Do reálného vyjádření převedeno deflátorem výdajů na konečnou spotřebu domácností.      Zdroj: ČSÚ (národní účty) 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Ziskovost podniků v obchodu a dopravě v posledních dvou letech stagnovala na úrovni blízké konjunktuře z minulé dekády.</w:t>
            </w:r>
          </w:p>
        </w:tc>
        <w:tc>
          <w:tcPr>
            <w:tcW w:w="277" w:type="dxa"/>
          </w:tcPr>
          <w:p w:rsidR="006D64C2" w:rsidRPr="00360DE3" w:rsidRDefault="006D64C2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F162B3">
            <w:r w:rsidRPr="00360DE3">
              <w:t>Míra zisku nefinančních podniků působících v obchodu a dopravě</w:t>
            </w:r>
            <w:r w:rsidRPr="00360DE3">
              <w:rPr>
                <w:rStyle w:val="Znakapoznpodarou"/>
              </w:rPr>
              <w:footnoteReference w:id="2"/>
            </w:r>
            <w:r w:rsidRPr="00360DE3">
              <w:t xml:space="preserve"> v posledních dvou letech stagnovala těsně pod 45 % a blížila se tak vysokým hodnotám z konjunktury minulé dekády</w:t>
            </w:r>
            <w:r w:rsidRPr="00360DE3">
              <w:rPr>
                <w:rStyle w:val="Znakapoznpodarou"/>
              </w:rPr>
              <w:footnoteReference w:id="3"/>
            </w:r>
            <w:r w:rsidRPr="00360DE3">
              <w:t xml:space="preserve">. Ziskovost podniků se v dílčích odvětvích výrazněji odlišovala. Nejlepší postavení drží v posledních třech letech obchod a opravy motorových vozidel, kde přesahoval podíl hrubého provozního přebytku na HPH vždy mírně úroveň 50 %. Naopak s výrazným odstupem figurovala vodní doprava (33 %) a navzdory oživění v posledních letech nadále i letecká doprava (36 %). Specifické postavení měly poštovní a kurýrní činnosti, jež loni dosáhly nejslabší ziskovosti za posledních jedenáct let (8 %). Toto odvětví se dlouhodobě vyznačuje nízkým zastoupením soukromých podniků a dominancí podniků veřejných. Zatímco ziskovost v tomto odvětví patří v rámci obchodu a dopravy k nejslabším dlouhodobě, odvětví vykazující nejvyšší ziskovost se v posledních dvou dekádách </w:t>
            </w:r>
            <w:r w:rsidRPr="00360DE3">
              <w:lastRenderedPageBreak/>
              <w:t>proměňovala</w:t>
            </w:r>
            <w:r w:rsidRPr="00360DE3">
              <w:rPr>
                <w:rStyle w:val="Znakapoznpodarou"/>
              </w:rPr>
              <w:footnoteReference w:id="4"/>
            </w:r>
            <w:r w:rsidRPr="00360DE3">
              <w:t>.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Strmý růst mzdových nákladů se při slabší dynamice zaměstnanosti projevil citelným posílením průměrných výdělků…</w:t>
            </w: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…jejich úroveň však ve srovnání s terciárním sektorem i celou ekonomikou </w:t>
            </w:r>
            <w:r w:rsidR="00D965EC">
              <w:rPr>
                <w:spacing w:val="0"/>
              </w:rPr>
              <w:t xml:space="preserve">je </w:t>
            </w:r>
            <w:r w:rsidRPr="00360DE3">
              <w:rPr>
                <w:spacing w:val="0"/>
              </w:rPr>
              <w:t>nadále nižší.</w:t>
            </w: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r w:rsidRPr="00360DE3">
              <w:t>Za skutečností, že zvyšování míry zisku podniků v obchodu a dopravě se po roce 2015 zastavil</w:t>
            </w:r>
            <w:r w:rsidR="00D965EC">
              <w:t>o</w:t>
            </w:r>
            <w:r w:rsidRPr="00360DE3">
              <w:t xml:space="preserve">, stály strmě rostoucí mzdové náklady. Počet zaměstnanců se však navyšoval jen mírně (loni o 1,2 %), neboť </w:t>
            </w:r>
            <w:r w:rsidR="00D965EC">
              <w:t>posílení odvětví velkoobchodu i</w:t>
            </w:r>
            <w:r w:rsidR="00D965EC" w:rsidRPr="00360DE3">
              <w:t> </w:t>
            </w:r>
            <w:r w:rsidRPr="00360DE3">
              <w:t>skladování bylo z větší části kompenzováno redukcí pracovních míst ve vodní dopravě a hlavně v maloobchodu. Růst objemu mzdových prostředků (v roce 2017 o 8,5 %) se tak logicky překlopil přímo do průměrných výdělků. Ty rostly v tomto odvětví v posledních třech letech vyšším tempem než v celé ekonomice, což souviselo především s jejich podprůměrnou úrovní. Mzdový růst byl vedle prohlubujícího se nedostatku pracovníků také stimulován navyšováním hranice minimální mzdy. Navzdory sílícím mzdovým nákladům narostl loni reálný objem vyplacených mezd a platů proti roku 2010 stále méně než reálná hodinová produktivita práce (+15,4 %).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/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13.2  Příspěvky</w:t>
            </w:r>
            <w:proofErr w:type="gramEnd"/>
            <w:r w:rsidRPr="00360DE3">
              <w:rPr>
                <w:b/>
              </w:rPr>
              <w:t xml:space="preserve"> odvětvových oddílů k meziroční změně HPH v uskupení obchod, doprava a skladování </w:t>
            </w:r>
            <w:r w:rsidRPr="00360DE3">
              <w:t>(reálně, v procentních bodech)</w:t>
            </w:r>
          </w:p>
          <w:p w:rsidR="006D64C2" w:rsidRPr="00360DE3" w:rsidRDefault="006D64C2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705350" cy="3606800"/>
                  <wp:effectExtent l="19050" t="0" r="0" b="0"/>
                  <wp:docPr id="5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360DE3">
              <w:rPr>
                <w:rFonts w:cs="Arial"/>
                <w:sz w:val="14"/>
                <w:szCs w:val="14"/>
              </w:rPr>
              <w:t>Zdroj: ČSÚ (národní účty)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Míra investic v obchodu a dopravě klesla na více než dvacetileté minimum. Ve srovnání s ostatními odvětvími služeb byla podprůměrná. </w:t>
            </w:r>
          </w:p>
        </w:tc>
        <w:tc>
          <w:tcPr>
            <w:tcW w:w="277" w:type="dxa"/>
          </w:tcPr>
          <w:p w:rsidR="006D64C2" w:rsidRPr="00360DE3" w:rsidRDefault="006D64C2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F162B3">
            <w:pPr>
              <w:rPr>
                <w:szCs w:val="20"/>
              </w:rPr>
            </w:pPr>
            <w:r w:rsidRPr="00360DE3">
              <w:rPr>
                <w:rFonts w:cs="Arial"/>
                <w:color w:val="0D0D0D" w:themeColor="text1" w:themeTint="F2"/>
                <w:szCs w:val="20"/>
              </w:rPr>
              <w:t>Po mírném oživení v letech 2015 a 2016 se míra investic v obchodu a dopravě opět snížila (na 22 %). Méně než loni vydaly subjekty v tomto odvětví na investice (ve vztahu k HPH) jen v první polovině 90. let. Z toho pohledu není překvapivé, že míra investic v roce 2017 byla nižší než v celém terciárním sektoru (28 %). Ve srovnání se státy EU ale zůstává tuzemská míra investic v obchodu a dopravě výrazně nadprůměrná</w:t>
            </w:r>
            <w:r w:rsidRPr="00360DE3">
              <w:rPr>
                <w:rStyle w:val="Znakapoznpodarou"/>
                <w:rFonts w:cs="Arial"/>
                <w:color w:val="0D0D0D" w:themeColor="text1" w:themeTint="F2"/>
                <w:szCs w:val="20"/>
              </w:rPr>
              <w:footnoteReference w:id="5"/>
            </w:r>
            <w:r w:rsidRPr="00360DE3">
              <w:rPr>
                <w:rFonts w:cs="Arial"/>
                <w:color w:val="0D0D0D" w:themeColor="text1" w:themeTint="F2"/>
                <w:szCs w:val="20"/>
              </w:rPr>
              <w:t xml:space="preserve">. Silnější sklon k investicím vykazuje z jednotlivých odvětví dlouhodobě jen skladování (loni 45 %), což souvisí jak s rozšiřováním logistických center těžících z příznivé geografické polohy ČR, tak i s rozvojem automatizace. Naopak v maloobchodu setrvávala míra investic navzdory pokračující modernizaci </w:t>
            </w:r>
            <w:r w:rsidRPr="00360DE3">
              <w:rPr>
                <w:rFonts w:cs="Arial"/>
                <w:color w:val="0D0D0D" w:themeColor="text1" w:themeTint="F2"/>
                <w:szCs w:val="20"/>
              </w:rPr>
              <w:lastRenderedPageBreak/>
              <w:t>prodejní sítě na nízké úrovni (14 % – vloni stejně jako za posledních pět let). V celém uskupení o</w:t>
            </w:r>
            <w:r w:rsidR="00D965EC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360DE3">
              <w:rPr>
                <w:rFonts w:cs="Arial"/>
                <w:color w:val="0D0D0D" w:themeColor="text1" w:themeTint="F2"/>
                <w:szCs w:val="20"/>
              </w:rPr>
              <w:t xml:space="preserve">chod a doprava převládaly ve skladbě investic ostatní budovy a stavby (zejména vlivem odvětví skladování) a také dopravní prostředky a zařízení – obě kategorie tvořily bezmála třetinu všech investic. Slabší zastoupení měly v porovnání s celou ekonomkou výdaje na ICT, ostatní stroje a zařízení a produkty duševního vlastnictví. 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K růstu obchodu a dopravy přispěl loni nejvíce maloobchod.</w:t>
            </w: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rPr>
                <w:color w:val="0D0D0D"/>
              </w:rPr>
            </w:pPr>
            <w:r w:rsidRPr="00360DE3">
              <w:rPr>
                <w:color w:val="0D0D0D"/>
              </w:rPr>
              <w:t xml:space="preserve">Zatímco v letech 2014 i 2015 přispěl k meziročnímu růstu HPH v odvětví obchodu a dopravy nejvíce velkoobchod a následující rok motoristický segment obchodu, loni tuto pozici převzal maloobchod. Zejména pozemní doprava a velkoobchod představují cyklická odvětví, jejichž HPH má silnější vazbu na celkový ekonomický vývoj. Podstatně méně je tento vliv patrný v maloobchodu (kde se projevuje zpoždění dopadu makroekonomického vývoje na trh práce a následně i do příjmů domácností) a zejména skladování. 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Příznivý vývoj na trhu práce společně s dalším posílením optimistických očekávání spotřebitelů vyústily v téměř 6 % růst maloobchodních tržeb. Šlo o desetileté maximum.</w:t>
            </w: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rPr>
                <w:color w:val="0D0D0D"/>
              </w:rPr>
            </w:pPr>
            <w:r w:rsidRPr="00360DE3">
              <w:rPr>
                <w:color w:val="0D0D0D"/>
              </w:rPr>
              <w:t>Tempo růstu HPH v maloobchodu loni výrazně zrychlilo na 4,7 % (z 2,7 % v roce 2016). Detailnější pohled na vývoj jeho jednotlivých segmentů umožňují podnikové statistiky prostřednictví pravidelných měsíčních šetření. Z nich vyplynulo, že maloobchodní tržby loni vzrostly o 5,9 %</w:t>
            </w:r>
            <w:r w:rsidRPr="00360DE3">
              <w:rPr>
                <w:rStyle w:val="Znakapoznpodarou"/>
                <w:color w:val="0D0D0D"/>
              </w:rPr>
              <w:footnoteReference w:id="6"/>
            </w:r>
            <w:r w:rsidRPr="00360DE3">
              <w:rPr>
                <w:color w:val="0D0D0D"/>
              </w:rPr>
              <w:t xml:space="preserve">, nejvyšším tempem za posledních deset let. Byly tradičně taženy prodejem </w:t>
            </w:r>
            <w:proofErr w:type="spellStart"/>
            <w:r w:rsidRPr="00360DE3">
              <w:rPr>
                <w:color w:val="0D0D0D"/>
              </w:rPr>
              <w:t>nepotravinářského</w:t>
            </w:r>
            <w:proofErr w:type="spellEnd"/>
            <w:r w:rsidRPr="00360DE3">
              <w:rPr>
                <w:color w:val="0D0D0D"/>
              </w:rPr>
              <w:t xml:space="preserve"> zboží, kde se tržby navýšily o</w:t>
            </w:r>
            <w:r w:rsidR="00274037" w:rsidRPr="00360DE3">
              <w:t> </w:t>
            </w:r>
            <w:r w:rsidRPr="00360DE3">
              <w:rPr>
                <w:color w:val="0D0D0D"/>
              </w:rPr>
              <w:t xml:space="preserve">8,8 % (po Rumunsku, Bulharsku a Maďarsku nejvyšším tempem v EU). Stabilní tempa (mezi 5 a 6 %) si v posledních třech </w:t>
            </w:r>
            <w:r w:rsidR="00D965EC">
              <w:rPr>
                <w:color w:val="0D0D0D"/>
              </w:rPr>
              <w:t xml:space="preserve">letech </w:t>
            </w:r>
            <w:r w:rsidRPr="00360DE3">
              <w:rPr>
                <w:color w:val="0D0D0D"/>
              </w:rPr>
              <w:t>drželi prodejci pohonných hmot (PHM). K vyšší poptávce po PHM mohl loni přispět i relativně příznivější cenový vývoj. Maloobchod s potr</w:t>
            </w:r>
            <w:r w:rsidR="00D965EC">
              <w:rPr>
                <w:color w:val="0D0D0D"/>
              </w:rPr>
              <w:t>avinami si udržoval slabší tempo (2,8 %). Již třetím rokem v řadě vykázal</w:t>
            </w:r>
            <w:r w:rsidRPr="00360DE3">
              <w:rPr>
                <w:color w:val="0D0D0D"/>
              </w:rPr>
              <w:t xml:space="preserve"> růst </w:t>
            </w:r>
            <w:r w:rsidR="00D965EC">
              <w:rPr>
                <w:color w:val="0D0D0D"/>
              </w:rPr>
              <w:t xml:space="preserve">tržeb </w:t>
            </w:r>
            <w:r w:rsidRPr="00360DE3">
              <w:rPr>
                <w:color w:val="0D0D0D"/>
              </w:rPr>
              <w:t>váhově relativně okrajový prodej potravin ve specializova</w:t>
            </w:r>
            <w:r w:rsidR="00D965EC">
              <w:rPr>
                <w:color w:val="0D0D0D"/>
              </w:rPr>
              <w:t xml:space="preserve">ných (menších) prodejnách (v letech 2016 i 2017 dokonce převýšil tempo celkových tržeb </w:t>
            </w:r>
            <w:r w:rsidR="00BB2F03">
              <w:rPr>
                <w:color w:val="0D0D0D"/>
              </w:rPr>
              <w:t xml:space="preserve">za potraviny </w:t>
            </w:r>
            <w:r w:rsidR="00BB2F03" w:rsidRPr="00BB2F03">
              <w:rPr>
                <w:color w:val="0D0D0D"/>
              </w:rPr>
              <w:t>v nespecializovaných prodejnách</w:t>
            </w:r>
            <w:r w:rsidR="00BB2F03">
              <w:rPr>
                <w:color w:val="0D0D0D"/>
              </w:rPr>
              <w:t>).</w:t>
            </w:r>
            <w:r w:rsidR="00D965EC">
              <w:rPr>
                <w:color w:val="0D0D0D"/>
              </w:rPr>
              <w:t xml:space="preserve"> To</w:t>
            </w:r>
            <w:r w:rsidRPr="00360DE3">
              <w:rPr>
                <w:color w:val="0D0D0D"/>
              </w:rPr>
              <w:t xml:space="preserve"> m</w:t>
            </w:r>
            <w:r w:rsidR="00D965EC">
              <w:rPr>
                <w:color w:val="0D0D0D"/>
              </w:rPr>
              <w:t xml:space="preserve">ůže </w:t>
            </w:r>
            <w:r w:rsidRPr="00360DE3">
              <w:rPr>
                <w:color w:val="0D0D0D"/>
              </w:rPr>
              <w:t>v souvislosti s dynamickým růstem disponibilních příjmů domácností signalizovat příklon ke kvalitnějším a cenově výše zařazeným produktům. Z ostatních specializovaných prodejen se loni dařilo hlavně počítačovým a komunikačním zařízením, výrobkům pro kulturu a rekreaci. Silně rostl také odbyt oděvů, obuvi a</w:t>
            </w:r>
            <w:r w:rsidR="009A7B2E" w:rsidRPr="00360DE3">
              <w:rPr>
                <w:color w:val="0D0D0D" w:themeColor="text1" w:themeTint="F2"/>
              </w:rPr>
              <w:t> </w:t>
            </w:r>
            <w:r w:rsidRPr="00360DE3">
              <w:rPr>
                <w:color w:val="0D0D0D"/>
              </w:rPr>
              <w:t xml:space="preserve">koženého zboží. Prudce rostl segment prodeje prostřednictvím internetu nebo zásilkové služby, kde se tržby za posledních pět let téměř ztrojnásobily. 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Podobně jako</w:t>
            </w:r>
            <w:r w:rsidR="00650330">
              <w:rPr>
                <w:spacing w:val="0"/>
              </w:rPr>
              <w:t xml:space="preserve"> v roce 2016 pokračoval růst přep</w:t>
            </w:r>
            <w:r w:rsidRPr="00360DE3">
              <w:rPr>
                <w:spacing w:val="0"/>
              </w:rPr>
              <w:t>ravních výkonů ve všech druzích veřejné osobní dopravy. Počet cestujících v železniční dopravě dosáhl desetiletého maxima.</w:t>
            </w:r>
          </w:p>
        </w:tc>
        <w:tc>
          <w:tcPr>
            <w:tcW w:w="277" w:type="dxa"/>
          </w:tcPr>
          <w:p w:rsidR="006D64C2" w:rsidRPr="00360DE3" w:rsidRDefault="006D64C2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650330">
            <w:pPr>
              <w:rPr>
                <w:color w:val="0D0D0D"/>
              </w:rPr>
            </w:pPr>
            <w:r w:rsidRPr="00360DE3">
              <w:rPr>
                <w:color w:val="0D0D0D"/>
              </w:rPr>
              <w:t>Přetrvávající svižný ekonomický růst podpořený rozvojem vnitřního i zahraničního obchodu spolu s vyšší mobilitou obyvatel (související s růstem jejich příjmů i</w:t>
            </w:r>
            <w:r w:rsidR="00274037" w:rsidRPr="00360DE3">
              <w:t> </w:t>
            </w:r>
            <w:r w:rsidRPr="00360DE3">
              <w:rPr>
                <w:color w:val="0D0D0D"/>
              </w:rPr>
              <w:t xml:space="preserve">rekordní zaměstnaností) se odrazily i v naturálních ukazatelích dopravy. Zatímco v nákladní dopravě se výrazné oživení (z pohledu fyzického objemu přepravené zboží) promítlo především v letech 2014 a 2015, ve veřejné osobní dopravě spíše v následujících dvou letech. V osobní železniční dopravě vzrostl loni počet cestujících meziročně o 2,2 % Mírný růst </w:t>
            </w:r>
            <w:proofErr w:type="gramStart"/>
            <w:r w:rsidRPr="00360DE3">
              <w:rPr>
                <w:color w:val="0D0D0D"/>
              </w:rPr>
              <w:t>je</w:t>
            </w:r>
            <w:proofErr w:type="gramEnd"/>
            <w:r w:rsidRPr="00360DE3">
              <w:rPr>
                <w:color w:val="0D0D0D"/>
              </w:rPr>
              <w:t xml:space="preserve"> zde po roce 2010 vykazován nepřetržitě.</w:t>
            </w:r>
            <w:r w:rsidR="00650330">
              <w:rPr>
                <w:color w:val="0D0D0D"/>
              </w:rPr>
              <w:t xml:space="preserve"> Loňský počet cestujících (183</w:t>
            </w:r>
            <w:r w:rsidRPr="00360DE3">
              <w:rPr>
                <w:color w:val="0D0D0D"/>
              </w:rPr>
              <w:t xml:space="preserve"> mil.) byl zároveň nejvyšší za posledních deset let. Počet </w:t>
            </w:r>
            <w:r w:rsidR="00650330">
              <w:rPr>
                <w:color w:val="0D0D0D"/>
              </w:rPr>
              <w:t>cestujících</w:t>
            </w:r>
            <w:r w:rsidRPr="00360DE3">
              <w:rPr>
                <w:color w:val="0D0D0D"/>
              </w:rPr>
              <w:t xml:space="preserve"> přepravených veřejnou autobusovou dopravou byl loni již druhým rokem v řadě meziročně nižší, přepravní výkony (zohledňující i ujetou v</w:t>
            </w:r>
            <w:r w:rsidR="00A4750C">
              <w:rPr>
                <w:color w:val="0D0D0D"/>
              </w:rPr>
              <w:t>zdálenost) však rostly (+9</w:t>
            </w:r>
            <w:r w:rsidRPr="00360DE3">
              <w:rPr>
                <w:color w:val="0D0D0D"/>
              </w:rPr>
              <w:t xml:space="preserve"> %). To platilo i o </w:t>
            </w:r>
            <w:r w:rsidR="00A4750C">
              <w:rPr>
                <w:color w:val="0D0D0D"/>
              </w:rPr>
              <w:t xml:space="preserve">přepravních </w:t>
            </w:r>
            <w:r w:rsidRPr="00360DE3">
              <w:rPr>
                <w:color w:val="0D0D0D"/>
              </w:rPr>
              <w:t>výkonech obchodní letecké dopravy (+11 %), jež posílily nejvíce po roce 2004. Výkony v této kategorii však plně neodráží vývoj letecké dopravy na území ČR, neboť zahrnuje pouze tuzemské přepravce</w:t>
            </w:r>
            <w:r w:rsidRPr="00360DE3">
              <w:rPr>
                <w:rStyle w:val="Znakapoznpodarou"/>
                <w:color w:val="0D0D0D"/>
              </w:rPr>
              <w:footnoteReference w:id="7"/>
            </w:r>
            <w:r w:rsidRPr="00360DE3">
              <w:rPr>
                <w:color w:val="0D0D0D"/>
              </w:rPr>
              <w:t>.</w:t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13.3  Přepravní</w:t>
            </w:r>
            <w:proofErr w:type="gramEnd"/>
            <w:r w:rsidRPr="00360DE3">
              <w:rPr>
                <w:b/>
              </w:rPr>
              <w:t xml:space="preserve"> výkony osobní dopravy </w:t>
            </w:r>
            <w:r w:rsidRPr="00360DE3">
              <w:t>(v mld. osobokilometrů, pravá osa)</w:t>
            </w:r>
            <w:r w:rsidRPr="00360DE3">
              <w:rPr>
                <w:b/>
              </w:rPr>
              <w:t xml:space="preserve"> a nákladní dopravy</w:t>
            </w:r>
            <w:r w:rsidRPr="00360DE3">
              <w:t xml:space="preserve"> (tunokilometry, rok 2010=100)</w:t>
            </w:r>
          </w:p>
          <w:p w:rsidR="006D64C2" w:rsidRPr="00360DE3" w:rsidRDefault="00E924B2" w:rsidP="00DC37E3">
            <w:pPr>
              <w:spacing w:after="0"/>
            </w:pPr>
            <w:r w:rsidRPr="00E924B2">
              <w:rPr>
                <w:noProof/>
              </w:rPr>
              <w:drawing>
                <wp:inline distT="0" distB="0" distL="0" distR="0">
                  <wp:extent cx="4646785" cy="3554193"/>
                  <wp:effectExtent l="19050" t="0" r="1415" b="0"/>
                  <wp:docPr id="4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sz w:val="14"/>
                <w:szCs w:val="14"/>
              </w:rPr>
              <w:t>*Zahrnuje tuzemské civilní letecké dopravce zajišťující vnitrostátní i mezinárodní komerční pravidelnou i nepravidelnou přepravu osob či nákladu.</w:t>
            </w:r>
          </w:p>
          <w:p w:rsidR="006D64C2" w:rsidRPr="00360DE3" w:rsidRDefault="006D64C2" w:rsidP="00DC37E3">
            <w:pPr>
              <w:pStyle w:val="Zhlav"/>
              <w:spacing w:line="240" w:lineRule="auto"/>
              <w:jc w:val="both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</w:rPr>
              <w:t>*</w:t>
            </w:r>
            <w:r w:rsidRPr="00360DE3">
              <w:rPr>
                <w:rFonts w:cs="Arial"/>
                <w:sz w:val="14"/>
                <w:szCs w:val="14"/>
                <w:lang w:eastAsia="cs-CZ"/>
              </w:rPr>
              <w:t>*Zahrnuje přepravu nákl</w:t>
            </w:r>
            <w:r w:rsidR="00D93CE2">
              <w:rPr>
                <w:rFonts w:cs="Arial"/>
                <w:sz w:val="14"/>
                <w:szCs w:val="14"/>
                <w:lang w:eastAsia="cs-CZ"/>
              </w:rPr>
              <w:t>adu vozidly registrovanými v ČR</w:t>
            </w:r>
            <w:r w:rsidRPr="00360DE3">
              <w:rPr>
                <w:rFonts w:cs="Arial"/>
                <w:sz w:val="14"/>
                <w:szCs w:val="14"/>
                <w:lang w:eastAsia="cs-CZ"/>
              </w:rPr>
              <w:t>.</w:t>
            </w:r>
          </w:p>
          <w:p w:rsidR="006D64C2" w:rsidRPr="00360DE3" w:rsidRDefault="006D64C2" w:rsidP="00DC37E3">
            <w:pPr>
              <w:spacing w:line="240" w:lineRule="auto"/>
            </w:pPr>
            <w:r w:rsidRPr="00360DE3">
              <w:rPr>
                <w:rFonts w:cs="Arial"/>
                <w:sz w:val="14"/>
                <w:szCs w:val="14"/>
              </w:rPr>
              <w:t>Zdroj: Ministerstvo dopravy ČR</w:t>
            </w:r>
          </w:p>
        </w:tc>
      </w:tr>
      <w:tr w:rsidR="00F160CE" w:rsidRPr="00360DE3" w:rsidTr="006D64C2">
        <w:trPr>
          <w:trHeight w:val="170"/>
        </w:trPr>
        <w:tc>
          <w:tcPr>
            <w:tcW w:w="1976" w:type="dxa"/>
          </w:tcPr>
          <w:p w:rsidR="00F160CE" w:rsidRPr="00360DE3" w:rsidRDefault="00F160CE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F160CE" w:rsidRPr="00360DE3" w:rsidRDefault="00F160CE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F160CE" w:rsidRPr="00A55161" w:rsidRDefault="00F160CE" w:rsidP="00DC37E3">
            <w:pPr>
              <w:spacing w:after="0"/>
              <w:rPr>
                <w:rFonts w:cs="Arial"/>
                <w:b/>
                <w:spacing w:val="-4"/>
                <w:szCs w:val="20"/>
              </w:rPr>
            </w:pPr>
            <w:r w:rsidRPr="00A55161">
              <w:rPr>
                <w:rFonts w:cs="Arial"/>
                <w:b/>
                <w:spacing w:val="-4"/>
                <w:szCs w:val="20"/>
              </w:rPr>
              <w:t>Graf 13.4  C</w:t>
            </w:r>
            <w:r w:rsidR="00A4750C" w:rsidRPr="00A55161">
              <w:rPr>
                <w:rFonts w:cs="Arial"/>
                <w:b/>
                <w:spacing w:val="-4"/>
                <w:szCs w:val="20"/>
              </w:rPr>
              <w:t>elkový počet přepravovaných cestujících</w:t>
            </w:r>
            <w:r w:rsidRPr="00A55161">
              <w:rPr>
                <w:rFonts w:cs="Arial"/>
                <w:b/>
                <w:spacing w:val="-4"/>
                <w:szCs w:val="20"/>
              </w:rPr>
              <w:t xml:space="preserve"> v obchodní letecké dopravě* </w:t>
            </w:r>
            <w:r w:rsidR="00A4750C" w:rsidRPr="00A55161">
              <w:rPr>
                <w:rFonts w:cs="Arial"/>
                <w:b/>
                <w:spacing w:val="-4"/>
                <w:szCs w:val="20"/>
              </w:rPr>
              <w:t xml:space="preserve">ve vybraných státech EU </w:t>
            </w:r>
            <w:r w:rsidRPr="00A55161">
              <w:rPr>
                <w:rFonts w:cs="Arial"/>
                <w:spacing w:val="-4"/>
                <w:szCs w:val="20"/>
              </w:rPr>
              <w:t>(</w:t>
            </w:r>
            <w:r w:rsidR="00A4750C" w:rsidRPr="00A55161">
              <w:rPr>
                <w:rFonts w:cs="Arial"/>
                <w:spacing w:val="-4"/>
                <w:szCs w:val="20"/>
              </w:rPr>
              <w:t xml:space="preserve">meziroční změna v %, </w:t>
            </w:r>
            <w:proofErr w:type="spellStart"/>
            <w:r w:rsidR="00A4750C" w:rsidRPr="00A55161">
              <w:rPr>
                <w:rFonts w:cs="Arial"/>
                <w:spacing w:val="-4"/>
                <w:szCs w:val="20"/>
              </w:rPr>
              <w:t>abs</w:t>
            </w:r>
            <w:proofErr w:type="spellEnd"/>
            <w:r w:rsidR="00A4750C" w:rsidRPr="00A55161">
              <w:rPr>
                <w:rFonts w:cs="Arial"/>
                <w:spacing w:val="-4"/>
                <w:szCs w:val="20"/>
              </w:rPr>
              <w:t xml:space="preserve">. </w:t>
            </w:r>
            <w:proofErr w:type="gramStart"/>
            <w:r w:rsidR="00A4750C" w:rsidRPr="00A55161">
              <w:rPr>
                <w:rFonts w:cs="Arial"/>
                <w:spacing w:val="-4"/>
                <w:szCs w:val="20"/>
              </w:rPr>
              <w:t>počet</w:t>
            </w:r>
            <w:proofErr w:type="gramEnd"/>
            <w:r w:rsidR="00A4750C" w:rsidRPr="00A55161">
              <w:rPr>
                <w:rFonts w:cs="Arial"/>
                <w:spacing w:val="-4"/>
                <w:szCs w:val="20"/>
              </w:rPr>
              <w:t xml:space="preserve"> v mil. –</w:t>
            </w:r>
            <w:r w:rsidR="00A55161">
              <w:rPr>
                <w:rFonts w:cs="Arial"/>
                <w:spacing w:val="-4"/>
                <w:szCs w:val="20"/>
              </w:rPr>
              <w:t xml:space="preserve"> </w:t>
            </w:r>
            <w:proofErr w:type="spellStart"/>
            <w:r w:rsidR="00A55161">
              <w:rPr>
                <w:rFonts w:cs="Arial"/>
                <w:spacing w:val="-4"/>
                <w:szCs w:val="20"/>
              </w:rPr>
              <w:t>pr.</w:t>
            </w:r>
            <w:r w:rsidR="00A4750C" w:rsidRPr="00A55161">
              <w:rPr>
                <w:rFonts w:cs="Arial"/>
                <w:spacing w:val="-4"/>
                <w:szCs w:val="20"/>
              </w:rPr>
              <w:t>osa</w:t>
            </w:r>
            <w:proofErr w:type="spellEnd"/>
            <w:r w:rsidR="00A4750C" w:rsidRPr="00A55161">
              <w:rPr>
                <w:rFonts w:cs="Arial"/>
                <w:spacing w:val="-4"/>
                <w:szCs w:val="20"/>
              </w:rPr>
              <w:t>)</w:t>
            </w:r>
          </w:p>
          <w:p w:rsidR="00F160CE" w:rsidRPr="00360DE3" w:rsidRDefault="00F160CE" w:rsidP="00DC37E3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26854" cy="3741747"/>
                  <wp:effectExtent l="19050" t="0" r="0" b="0"/>
                  <wp:docPr id="9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160CE" w:rsidRPr="00360DE3" w:rsidTr="006D64C2">
        <w:trPr>
          <w:trHeight w:val="170"/>
        </w:trPr>
        <w:tc>
          <w:tcPr>
            <w:tcW w:w="1976" w:type="dxa"/>
          </w:tcPr>
          <w:p w:rsidR="00F160CE" w:rsidRPr="00360DE3" w:rsidRDefault="00F160CE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F160CE" w:rsidRPr="00360DE3" w:rsidRDefault="00F160CE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F160CE" w:rsidRPr="00A55161" w:rsidRDefault="00F160CE" w:rsidP="00A4750C">
            <w:pPr>
              <w:spacing w:after="0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 w:rsidRPr="00A55161">
              <w:rPr>
                <w:rFonts w:cs="Arial"/>
                <w:spacing w:val="-2"/>
                <w:sz w:val="14"/>
                <w:szCs w:val="14"/>
              </w:rPr>
              <w:t>*</w:t>
            </w:r>
            <w:r w:rsidR="00A4750C" w:rsidRPr="00A5516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</w:t>
            </w:r>
            <w:r w:rsidR="00A55161" w:rsidRPr="00A5516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Zahrnuje všechny cestující, jejichž cesta začíná nebo končí na vykazujícím letišti s výjimkou cestujících v přímém tranzitu</w:t>
            </w:r>
            <w:r w:rsidR="00A5516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. </w:t>
            </w:r>
            <w:r w:rsidRPr="00360DE3">
              <w:rPr>
                <w:rFonts w:cs="Arial"/>
                <w:sz w:val="14"/>
                <w:szCs w:val="14"/>
              </w:rPr>
              <w:t xml:space="preserve">Poznámka: Počty přepravovaných osob uvedené na pravé ose jsou vyjádřeny v logaritmickém měřítku. </w:t>
            </w:r>
          </w:p>
          <w:p w:rsidR="00F160CE" w:rsidRPr="00360DE3" w:rsidRDefault="00F160CE" w:rsidP="00A55161">
            <w:pPr>
              <w:spacing w:after="100" w:line="240" w:lineRule="auto"/>
            </w:pPr>
            <w:r w:rsidRPr="00360DE3">
              <w:rPr>
                <w:rFonts w:cs="Arial"/>
                <w:sz w:val="14"/>
                <w:szCs w:val="14"/>
              </w:rPr>
              <w:t xml:space="preserve">Zdroj: </w:t>
            </w:r>
            <w:proofErr w:type="spellStart"/>
            <w:r w:rsidRPr="00360DE3"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</w:tc>
      </w:tr>
      <w:tr w:rsidR="006D64C2" w:rsidRPr="00360DE3" w:rsidTr="006D64C2">
        <w:trPr>
          <w:trHeight w:val="170"/>
        </w:trPr>
        <w:tc>
          <w:tcPr>
            <w:tcW w:w="1976" w:type="dxa"/>
          </w:tcPr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Hlubší pokles výkonů silniční nákladní dopravy v letech 2016 i 2017 kontrastoval s mírným posilováním železniční přepravy.</w:t>
            </w:r>
          </w:p>
        </w:tc>
        <w:tc>
          <w:tcPr>
            <w:tcW w:w="277" w:type="dxa"/>
          </w:tcPr>
          <w:p w:rsidR="006D64C2" w:rsidRPr="00360DE3" w:rsidRDefault="006D64C2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F162B3">
            <w:pPr>
              <w:spacing w:after="200"/>
              <w:rPr>
                <w:color w:val="0D0D0D"/>
              </w:rPr>
            </w:pPr>
            <w:r w:rsidRPr="00360DE3">
              <w:rPr>
                <w:color w:val="0D0D0D"/>
              </w:rPr>
              <w:t>V nákladní dopravě pokračoval pozitivní trend posilování přepravních výkonů na železnici (orientované hlavně na přepravu nerostných surovin, koksu či ropných produktů), které v období 2016-2017 zčásti kompenzovaly úbytek výkonů v objemově dominantní</w:t>
            </w:r>
            <w:r w:rsidRPr="00360DE3">
              <w:rPr>
                <w:rStyle w:val="Znakapoznpodarou"/>
                <w:color w:val="0D0D0D"/>
              </w:rPr>
              <w:footnoteReference w:id="8"/>
            </w:r>
            <w:r w:rsidRPr="00360DE3">
              <w:rPr>
                <w:color w:val="0D0D0D"/>
              </w:rPr>
              <w:t xml:space="preserve"> silniční dopravě. Její slabší </w:t>
            </w:r>
            <w:proofErr w:type="gramStart"/>
            <w:r w:rsidRPr="00360DE3">
              <w:rPr>
                <w:color w:val="0D0D0D"/>
              </w:rPr>
              <w:t>loňské</w:t>
            </w:r>
            <w:proofErr w:type="gramEnd"/>
            <w:r w:rsidRPr="00360DE3">
              <w:rPr>
                <w:color w:val="0D0D0D"/>
              </w:rPr>
              <w:t xml:space="preserve"> výkon (pokles o</w:t>
            </w:r>
            <w:r w:rsidR="00274037" w:rsidRPr="00360DE3">
              <w:t> </w:t>
            </w:r>
            <w:r w:rsidRPr="00360DE3">
              <w:rPr>
                <w:color w:val="0D0D0D"/>
              </w:rPr>
              <w:t>6</w:t>
            </w:r>
            <w:r w:rsidR="00274037" w:rsidRPr="00360DE3">
              <w:t> </w:t>
            </w:r>
            <w:r w:rsidRPr="00360DE3">
              <w:rPr>
                <w:color w:val="0D0D0D"/>
              </w:rPr>
              <w:t>mld. tunokilometrů, resp. o 12 %) byl loni způsoben poklesem přepravní vzdálenosti, neboť fyzický objem přepravného zboží (vozidly registrovanými na území ČR) meziročně vzrostl (+6,4 %). Váha vnitrostátní silniční nákladní dopravy na úkor dříve dominantní mezinárodní dopravy v ČR dlouhodobě roste. V r</w:t>
            </w:r>
            <w:r w:rsidR="00A4750C">
              <w:rPr>
                <w:color w:val="0D0D0D"/>
              </w:rPr>
              <w:t>oce 2017 byla již proporce</w:t>
            </w:r>
            <w:r w:rsidRPr="00360DE3">
              <w:rPr>
                <w:color w:val="0D0D0D"/>
              </w:rPr>
              <w:t xml:space="preserve"> hlavních složek silniční nákladní dopravy z pohledu přepravních výkonů (</w:t>
            </w:r>
            <w:proofErr w:type="spellStart"/>
            <w:r w:rsidRPr="00360DE3">
              <w:rPr>
                <w:color w:val="0D0D0D"/>
              </w:rPr>
              <w:t>tkm</w:t>
            </w:r>
            <w:proofErr w:type="spellEnd"/>
            <w:r w:rsidRPr="00360DE3">
              <w:rPr>
                <w:color w:val="0D0D0D"/>
              </w:rPr>
              <w:t>) prakticky vyrovnaná.</w:t>
            </w:r>
          </w:p>
        </w:tc>
      </w:tr>
    </w:tbl>
    <w:p w:rsidR="00F46502" w:rsidRPr="005C3752" w:rsidRDefault="00F46502" w:rsidP="005C3752">
      <w:pPr>
        <w:pStyle w:val="Nadpis1"/>
        <w:rPr>
          <w:sz w:val="2"/>
          <w:szCs w:val="2"/>
        </w:rPr>
      </w:pPr>
    </w:p>
    <w:sectPr w:rsidR="00F46502" w:rsidRPr="005C3752" w:rsidSect="005C375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7E" w:rsidRDefault="0035067E" w:rsidP="00E71A58">
      <w:r>
        <w:separator/>
      </w:r>
    </w:p>
  </w:endnote>
  <w:endnote w:type="continuationSeparator" w:id="0">
    <w:p w:rsidR="0035067E" w:rsidRDefault="0035067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2E0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4022E0" w:rsidRPr="00932443">
      <w:rPr>
        <w:szCs w:val="16"/>
      </w:rPr>
      <w:fldChar w:fldCharType="separate"/>
    </w:r>
    <w:r w:rsidR="005C3752">
      <w:rPr>
        <w:szCs w:val="16"/>
      </w:rPr>
      <w:t>66</w:t>
    </w:r>
    <w:r w:rsidR="004022E0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4022E0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4022E0" w:rsidRPr="00932443">
      <w:rPr>
        <w:rStyle w:val="ZpatChar"/>
        <w:szCs w:val="16"/>
      </w:rPr>
      <w:fldChar w:fldCharType="separate"/>
    </w:r>
    <w:r w:rsidR="005C3752">
      <w:rPr>
        <w:rStyle w:val="ZpatChar"/>
        <w:szCs w:val="16"/>
      </w:rPr>
      <w:t>67</w:t>
    </w:r>
    <w:r w:rsidR="004022E0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7E" w:rsidRDefault="0035067E" w:rsidP="00E71A58">
      <w:r>
        <w:separator/>
      </w:r>
    </w:p>
  </w:footnote>
  <w:footnote w:type="continuationSeparator" w:id="0">
    <w:p w:rsidR="0035067E" w:rsidRDefault="0035067E" w:rsidP="00E71A58">
      <w:r>
        <w:continuationSeparator/>
      </w:r>
    </w:p>
  </w:footnote>
  <w:footnote w:id="1">
    <w:p w:rsidR="00C805DC" w:rsidRPr="004B6C65" w:rsidRDefault="00C805DC" w:rsidP="00F160CE">
      <w:pPr>
        <w:pStyle w:val="Textpoznpodarou"/>
        <w:rPr>
          <w:sz w:val="16"/>
          <w:szCs w:val="16"/>
        </w:rPr>
      </w:pPr>
      <w:r w:rsidRPr="004B6C65">
        <w:rPr>
          <w:rStyle w:val="Znakapoznpodarou"/>
          <w:sz w:val="16"/>
          <w:szCs w:val="16"/>
        </w:rPr>
        <w:footnoteRef/>
      </w:r>
      <w:r w:rsidRPr="004B6C65">
        <w:rPr>
          <w:sz w:val="16"/>
          <w:szCs w:val="16"/>
        </w:rPr>
        <w:t xml:space="preserve"> </w:t>
      </w:r>
      <w:r w:rsidRPr="004B6C65">
        <w:rPr>
          <w:spacing w:val="-2"/>
          <w:sz w:val="16"/>
          <w:szCs w:val="16"/>
        </w:rPr>
        <w:t>Pokud není uvedeno jinak, vychází vše</w:t>
      </w:r>
      <w:r>
        <w:rPr>
          <w:spacing w:val="-2"/>
          <w:sz w:val="16"/>
          <w:szCs w:val="16"/>
        </w:rPr>
        <w:t>chny údaje v této kapitole</w:t>
      </w:r>
      <w:r w:rsidRPr="004B6C65">
        <w:rPr>
          <w:spacing w:val="-2"/>
          <w:sz w:val="16"/>
          <w:szCs w:val="16"/>
        </w:rPr>
        <w:t xml:space="preserve"> z dat národních účtů</w:t>
      </w:r>
      <w:r>
        <w:rPr>
          <w:spacing w:val="-2"/>
          <w:sz w:val="16"/>
          <w:szCs w:val="16"/>
        </w:rPr>
        <w:t>,</w:t>
      </w:r>
      <w:r w:rsidRPr="004B6C65">
        <w:rPr>
          <w:spacing w:val="-2"/>
          <w:sz w:val="16"/>
          <w:szCs w:val="16"/>
        </w:rPr>
        <w:t xml:space="preserve"> a </w:t>
      </w:r>
      <w:r>
        <w:rPr>
          <w:spacing w:val="-2"/>
          <w:sz w:val="16"/>
          <w:szCs w:val="16"/>
        </w:rPr>
        <w:t xml:space="preserve">kde je to relevantní, </w:t>
      </w:r>
      <w:r w:rsidRPr="004B6C65">
        <w:rPr>
          <w:spacing w:val="-2"/>
          <w:sz w:val="16"/>
          <w:szCs w:val="16"/>
        </w:rPr>
        <w:t>jsou očištěny o cenové vlivy.</w:t>
      </w:r>
    </w:p>
  </w:footnote>
  <w:footnote w:id="2">
    <w:p w:rsidR="00C805DC" w:rsidRPr="004B6C65" w:rsidRDefault="00C805DC" w:rsidP="00F160CE">
      <w:pPr>
        <w:pStyle w:val="Textpoznpodarou"/>
        <w:jc w:val="both"/>
        <w:rPr>
          <w:sz w:val="16"/>
          <w:szCs w:val="16"/>
        </w:rPr>
      </w:pPr>
      <w:r w:rsidRPr="004B6C65">
        <w:rPr>
          <w:rStyle w:val="Znakapoznpodarou"/>
          <w:sz w:val="16"/>
          <w:szCs w:val="16"/>
        </w:rPr>
        <w:footnoteRef/>
      </w:r>
      <w:r w:rsidRPr="004B6C65">
        <w:rPr>
          <w:sz w:val="16"/>
          <w:szCs w:val="16"/>
        </w:rPr>
        <w:t xml:space="preserve"> </w:t>
      </w:r>
      <w:r w:rsidRPr="004B6C65">
        <w:rPr>
          <w:spacing w:val="-4"/>
          <w:sz w:val="16"/>
          <w:szCs w:val="16"/>
        </w:rPr>
        <w:t>Nefinanční podniky vytvářely v roce 2017 téměř 81 % HPH odvětví obchodu a dopravy (vč. skladování). Zbylá část připadala na domácnosti (reprezentované drobnými podnikateli, 12,5 %) a vládní sektor (6,6 %). Podniky dominovaly ve většině odvětvových oddílů, především v letecké dopravě, velkoobchodu a poštovních a kurýrních činnostech. Výjimku tvořilo jen skladování a vedlejší činnosti v dopravě, kde byla jejich váha (48 %) srovnatelná se subjekty zařazenými do sektoru vládních institucí.</w:t>
      </w:r>
    </w:p>
  </w:footnote>
  <w:footnote w:id="3">
    <w:p w:rsidR="00C805DC" w:rsidRPr="004B6C65" w:rsidRDefault="00C805DC" w:rsidP="00F160CE">
      <w:pPr>
        <w:pStyle w:val="Textpoznpodarou"/>
        <w:rPr>
          <w:sz w:val="16"/>
          <w:szCs w:val="16"/>
        </w:rPr>
      </w:pPr>
      <w:r w:rsidRPr="004B6C65">
        <w:rPr>
          <w:rStyle w:val="Znakapoznpodarou"/>
          <w:sz w:val="16"/>
          <w:szCs w:val="16"/>
        </w:rPr>
        <w:footnoteRef/>
      </w:r>
      <w:r w:rsidRPr="004B6C65">
        <w:rPr>
          <w:sz w:val="16"/>
          <w:szCs w:val="16"/>
        </w:rPr>
        <w:t xml:space="preserve"> Ještě vyšších hodnot nabývala ziskovost v prvních letech na počátku tisíciletí. V roce 2002 se rovnala 52 %.</w:t>
      </w:r>
    </w:p>
  </w:footnote>
  <w:footnote w:id="4">
    <w:p w:rsidR="00C805DC" w:rsidRPr="00A6575B" w:rsidRDefault="00C805DC" w:rsidP="00F160CE">
      <w:pPr>
        <w:pStyle w:val="Textpoznpodarou"/>
        <w:rPr>
          <w:sz w:val="16"/>
          <w:szCs w:val="16"/>
        </w:rPr>
      </w:pPr>
      <w:r w:rsidRPr="00A6575B">
        <w:rPr>
          <w:rStyle w:val="Znakapoznpodarou"/>
          <w:sz w:val="16"/>
          <w:szCs w:val="16"/>
        </w:rPr>
        <w:footnoteRef/>
      </w:r>
      <w:r w:rsidRPr="00A6575B">
        <w:rPr>
          <w:sz w:val="16"/>
          <w:szCs w:val="16"/>
        </w:rPr>
        <w:t xml:space="preserve"> V letech 2000 a 2004 to byla letecká doprava, v následném konjunkturním období velkoobchod (bez motoristického segmentu) a </w:t>
      </w:r>
      <w:r>
        <w:rPr>
          <w:sz w:val="16"/>
          <w:szCs w:val="16"/>
        </w:rPr>
        <w:t>v letech 2009 až 2013 s</w:t>
      </w:r>
      <w:r w:rsidRPr="00A6575B">
        <w:rPr>
          <w:sz w:val="16"/>
          <w:szCs w:val="16"/>
        </w:rPr>
        <w:t>kladování a vedlejší činnosti v</w:t>
      </w:r>
      <w:r>
        <w:rPr>
          <w:sz w:val="16"/>
          <w:szCs w:val="16"/>
        </w:rPr>
        <w:t> </w:t>
      </w:r>
      <w:r w:rsidRPr="00A6575B">
        <w:rPr>
          <w:sz w:val="16"/>
          <w:szCs w:val="16"/>
        </w:rPr>
        <w:t>dopravě</w:t>
      </w:r>
      <w:r>
        <w:rPr>
          <w:sz w:val="16"/>
          <w:szCs w:val="16"/>
        </w:rPr>
        <w:t>.</w:t>
      </w:r>
    </w:p>
  </w:footnote>
  <w:footnote w:id="5">
    <w:p w:rsidR="00C805DC" w:rsidRPr="005A24FC" w:rsidRDefault="00C805DC" w:rsidP="00F160CE">
      <w:pPr>
        <w:pStyle w:val="Textpoznpodarou"/>
        <w:rPr>
          <w:sz w:val="16"/>
          <w:szCs w:val="16"/>
        </w:rPr>
      </w:pPr>
      <w:r w:rsidRPr="005A24FC">
        <w:rPr>
          <w:rStyle w:val="Znakapoznpodarou"/>
          <w:sz w:val="16"/>
          <w:szCs w:val="16"/>
        </w:rPr>
        <w:footnoteRef/>
      </w:r>
      <w:r w:rsidRPr="005A24FC">
        <w:rPr>
          <w:sz w:val="16"/>
          <w:szCs w:val="16"/>
        </w:rPr>
        <w:t xml:space="preserve"> Z 26 hodnocených zemí docílily v období 2014 až 2016 v tomto odvětví vyšší míry investic jen Irsko (40 %) a Maďarsko (26 %).</w:t>
      </w:r>
      <w:r>
        <w:rPr>
          <w:sz w:val="16"/>
          <w:szCs w:val="16"/>
        </w:rPr>
        <w:t xml:space="preserve"> Údaje za Polsko a Kypr nebyly dostupné.</w:t>
      </w:r>
    </w:p>
  </w:footnote>
  <w:footnote w:id="6">
    <w:p w:rsidR="00C805DC" w:rsidRPr="00917A44" w:rsidRDefault="00C805DC" w:rsidP="00F160CE">
      <w:pPr>
        <w:pStyle w:val="Textpoznpodarou"/>
        <w:jc w:val="both"/>
        <w:rPr>
          <w:sz w:val="16"/>
          <w:szCs w:val="16"/>
        </w:rPr>
      </w:pPr>
      <w:r w:rsidRPr="00917A44">
        <w:rPr>
          <w:rStyle w:val="Znakapoznpodarou"/>
          <w:sz w:val="16"/>
          <w:szCs w:val="16"/>
        </w:rPr>
        <w:footnoteRef/>
      </w:r>
      <w:r w:rsidRPr="00917A44">
        <w:rPr>
          <w:sz w:val="16"/>
          <w:szCs w:val="16"/>
        </w:rPr>
        <w:t xml:space="preserve"> Údaje se vztahují k odvětví CZ NACE 47 (nezahrnují motoristický segment). Jsou uvedeny ve stálých cenách a očištěny o vliv nestejného počtu pracovních dní.</w:t>
      </w:r>
    </w:p>
  </w:footnote>
  <w:footnote w:id="7">
    <w:p w:rsidR="00C805DC" w:rsidRPr="006155DC" w:rsidRDefault="00C805DC" w:rsidP="00F160CE">
      <w:pPr>
        <w:pStyle w:val="Textpoznpodarou"/>
        <w:jc w:val="both"/>
        <w:rPr>
          <w:spacing w:val="-4"/>
          <w:sz w:val="16"/>
          <w:szCs w:val="16"/>
        </w:rPr>
      </w:pPr>
      <w:r w:rsidRPr="006155DC">
        <w:rPr>
          <w:rStyle w:val="Znakapoznpodarou"/>
          <w:spacing w:val="-4"/>
          <w:sz w:val="16"/>
          <w:szCs w:val="16"/>
        </w:rPr>
        <w:footnoteRef/>
      </w:r>
      <w:r w:rsidRPr="006155DC">
        <w:rPr>
          <w:spacing w:val="-4"/>
          <w:sz w:val="16"/>
          <w:szCs w:val="16"/>
        </w:rPr>
        <w:t xml:space="preserve"> Je to dobře patrné ve srovnání s výkony letišť na území ČR. Zatímco počet přepravených osob tuzemskými obchodními leteckými dopravci dosáhl loni 6,7 mil. (při me</w:t>
      </w:r>
      <w:r>
        <w:rPr>
          <w:spacing w:val="-4"/>
          <w:sz w:val="16"/>
          <w:szCs w:val="16"/>
        </w:rPr>
        <w:t>ziročním růstu 10,9 %), počet cestujících</w:t>
      </w:r>
      <w:r w:rsidRPr="006155DC">
        <w:rPr>
          <w:spacing w:val="-4"/>
          <w:sz w:val="16"/>
          <w:szCs w:val="16"/>
        </w:rPr>
        <w:t xml:space="preserve"> na letištích v ČR činil ve stejném roce 16,3 mil. osob (+18,2 %).</w:t>
      </w:r>
    </w:p>
  </w:footnote>
  <w:footnote w:id="8">
    <w:p w:rsidR="00C805DC" w:rsidRPr="00DD013C" w:rsidRDefault="00C805DC" w:rsidP="00F160CE">
      <w:pPr>
        <w:pStyle w:val="Textpoznpodarou"/>
        <w:rPr>
          <w:sz w:val="16"/>
          <w:szCs w:val="16"/>
        </w:rPr>
      </w:pPr>
      <w:r w:rsidRPr="006155DC">
        <w:rPr>
          <w:rStyle w:val="Znakapoznpodarou"/>
          <w:spacing w:val="-4"/>
          <w:sz w:val="16"/>
          <w:szCs w:val="16"/>
        </w:rPr>
        <w:footnoteRef/>
      </w:r>
      <w:r w:rsidRPr="006155DC">
        <w:rPr>
          <w:spacing w:val="-4"/>
          <w:sz w:val="16"/>
          <w:szCs w:val="16"/>
        </w:rPr>
        <w:t xml:space="preserve"> Podíl silniční dopravy na celkových přepravních výkonech (v </w:t>
      </w:r>
      <w:proofErr w:type="spellStart"/>
      <w:r w:rsidRPr="006155DC">
        <w:rPr>
          <w:spacing w:val="-4"/>
          <w:sz w:val="16"/>
          <w:szCs w:val="16"/>
        </w:rPr>
        <w:t>tkm</w:t>
      </w:r>
      <w:proofErr w:type="spellEnd"/>
      <w:r w:rsidRPr="006155DC">
        <w:rPr>
          <w:spacing w:val="-4"/>
          <w:sz w:val="16"/>
          <w:szCs w:val="16"/>
        </w:rPr>
        <w:t xml:space="preserve">) ve vnitrozemské nákladní dopravě loni klesl na 73 %. Šlo o nejnižší hodnotu po roce 2001. Přitom ještě v roce 2015 dosahoval téměř 79 % a mírně převyšoval úroveň v EU (o 3 p </w:t>
      </w:r>
      <w:proofErr w:type="spellStart"/>
      <w:r w:rsidRPr="006155DC">
        <w:rPr>
          <w:spacing w:val="-4"/>
          <w:sz w:val="16"/>
          <w:szCs w:val="16"/>
        </w:rPr>
        <w:t>b</w:t>
      </w:r>
      <w:proofErr w:type="spellEnd"/>
      <w:r w:rsidRPr="006155DC">
        <w:rPr>
          <w:spacing w:val="-4"/>
          <w:sz w:val="16"/>
          <w:szCs w:val="16"/>
        </w:rPr>
        <w:t>.).</w:t>
      </w:r>
      <w:r w:rsidRPr="00DD013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5067E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22E0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C3752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4-Obchod,%20doprava\Obchod-doprava-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4-Obchod,%20doprava\Obchod-doprava-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4-Obchod,%20doprava\Obchod-doprava-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4-Obchod,%20doprava\Obchod-doprava-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2841E-2"/>
          <c:w val="0.88956025070613831"/>
          <c:h val="0.76155690645052365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účty-souhrnné'!$A$29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účty-souhrnné'!$G$29:$S$29</c:f>
              <c:numCache>
                <c:formatCode>#,##0.0</c:formatCode>
                <c:ptCount val="13"/>
                <c:pt idx="0">
                  <c:v>90.753541805867115</c:v>
                </c:pt>
                <c:pt idx="1">
                  <c:v>97.73374311986835</c:v>
                </c:pt>
                <c:pt idx="2">
                  <c:v>104.45467462007498</c:v>
                </c:pt>
                <c:pt idx="3">
                  <c:v>103.51617211324738</c:v>
                </c:pt>
                <c:pt idx="4">
                  <c:v>94.975605216021208</c:v>
                </c:pt>
                <c:pt idx="5">
                  <c:v>100</c:v>
                </c:pt>
                <c:pt idx="6">
                  <c:v>100.1705621023801</c:v>
                </c:pt>
                <c:pt idx="7">
                  <c:v>100.76937240423958</c:v>
                </c:pt>
                <c:pt idx="8">
                  <c:v>100.3034865108234</c:v>
                </c:pt>
                <c:pt idx="9">
                  <c:v>104.52935312764878</c:v>
                </c:pt>
                <c:pt idx="10">
                  <c:v>112.40158480240787</c:v>
                </c:pt>
                <c:pt idx="11">
                  <c:v>114.65816409365409</c:v>
                </c:pt>
                <c:pt idx="12">
                  <c:v>118.22482529062867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3B-4D88-AC20-A856B28AC81C}"/>
            </c:ext>
          </c:extLst>
        </c:ser>
        <c:gapWidth val="30"/>
        <c:axId val="140497664"/>
        <c:axId val="140499200"/>
      </c:barChart>
      <c:lineChart>
        <c:grouping val="standard"/>
        <c:ser>
          <c:idx val="3"/>
          <c:order val="1"/>
          <c:tx>
            <c:strRef>
              <c:f>'Graf-Národní účty-souhrnné'!$A$30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účty-souhrnné'!$G$30:$S$30</c:f>
              <c:numCache>
                <c:formatCode>0.0</c:formatCode>
                <c:ptCount val="13"/>
                <c:pt idx="0">
                  <c:v>87.882160788926384</c:v>
                </c:pt>
                <c:pt idx="1">
                  <c:v>92.379052906782817</c:v>
                </c:pt>
                <c:pt idx="2">
                  <c:v>97.457151080600397</c:v>
                </c:pt>
                <c:pt idx="3">
                  <c:v>101.46045060117434</c:v>
                </c:pt>
                <c:pt idx="4">
                  <c:v>97.918049526455789</c:v>
                </c:pt>
                <c:pt idx="5">
                  <c:v>100</c:v>
                </c:pt>
                <c:pt idx="6">
                  <c:v>99.977725459124898</c:v>
                </c:pt>
                <c:pt idx="7">
                  <c:v>98.500217737990283</c:v>
                </c:pt>
                <c:pt idx="8">
                  <c:v>97.283535391180749</c:v>
                </c:pt>
                <c:pt idx="9">
                  <c:v>99.637708476749708</c:v>
                </c:pt>
                <c:pt idx="10">
                  <c:v>104.2529933906271</c:v>
                </c:pt>
                <c:pt idx="11">
                  <c:v>108.89504626016242</c:v>
                </c:pt>
                <c:pt idx="12">
                  <c:v>115.44091320204436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3B-4D88-AC20-A856B28AC81C}"/>
            </c:ext>
          </c:extLst>
        </c:ser>
        <c:ser>
          <c:idx val="1"/>
          <c:order val="2"/>
          <c:tx>
            <c:strRef>
              <c:f>'Graf-Národní účty-souhrnné'!$A$31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účty-souhrnné'!$G$31:$S$31</c:f>
              <c:numCache>
                <c:formatCode>0.0</c:formatCode>
                <c:ptCount val="13"/>
                <c:pt idx="0">
                  <c:v>94.529723191902903</c:v>
                </c:pt>
                <c:pt idx="1">
                  <c:v>101.21324197358031</c:v>
                </c:pt>
                <c:pt idx="2">
                  <c:v>107.88967348803909</c:v>
                </c:pt>
                <c:pt idx="3">
                  <c:v>102.68539010753842</c:v>
                </c:pt>
                <c:pt idx="4">
                  <c:v>95.562264213538157</c:v>
                </c:pt>
                <c:pt idx="5">
                  <c:v>100</c:v>
                </c:pt>
                <c:pt idx="6">
                  <c:v>99.84573828792854</c:v>
                </c:pt>
                <c:pt idx="7">
                  <c:v>102.67332323803215</c:v>
                </c:pt>
                <c:pt idx="8">
                  <c:v>102.06222907688736</c:v>
                </c:pt>
                <c:pt idx="9">
                  <c:v>105.09352608379167</c:v>
                </c:pt>
                <c:pt idx="10">
                  <c:v>113.61466907385872</c:v>
                </c:pt>
                <c:pt idx="11">
                  <c:v>113.50922346330898</c:v>
                </c:pt>
                <c:pt idx="12">
                  <c:v>115.40938797736978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3B-4D88-AC20-A856B28AC81C}"/>
            </c:ext>
          </c:extLst>
        </c:ser>
        <c:ser>
          <c:idx val="7"/>
          <c:order val="3"/>
          <c:tx>
            <c:strRef>
              <c:f>'Graf-Národní účty-souhrnné'!$A$32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účty-souhrnné'!$G$32:$S$32</c:f>
              <c:numCache>
                <c:formatCode>0.0</c:formatCode>
                <c:ptCount val="13"/>
                <c:pt idx="0">
                  <c:v>94.917765465851161</c:v>
                </c:pt>
                <c:pt idx="1">
                  <c:v>95.533931725255854</c:v>
                </c:pt>
                <c:pt idx="2">
                  <c:v>96.812232356712258</c:v>
                </c:pt>
                <c:pt idx="3">
                  <c:v>100.75271574770764</c:v>
                </c:pt>
                <c:pt idx="4">
                  <c:v>99.435027701836304</c:v>
                </c:pt>
                <c:pt idx="5">
                  <c:v>100</c:v>
                </c:pt>
                <c:pt idx="6">
                  <c:v>99.675707062152583</c:v>
                </c:pt>
                <c:pt idx="7">
                  <c:v>98.985507947644678</c:v>
                </c:pt>
                <c:pt idx="8">
                  <c:v>99.389349914112216</c:v>
                </c:pt>
                <c:pt idx="9">
                  <c:v>100.01829047008444</c:v>
                </c:pt>
                <c:pt idx="10">
                  <c:v>100.4885200687107</c:v>
                </c:pt>
                <c:pt idx="11">
                  <c:v>100.14283986161178</c:v>
                </c:pt>
                <c:pt idx="12">
                  <c:v>100.60590811216092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C3B-4D88-AC20-A856B28AC81C}"/>
            </c:ext>
          </c:extLst>
        </c:ser>
        <c:marker val="1"/>
        <c:axId val="140497664"/>
        <c:axId val="140499200"/>
      </c:lineChart>
      <c:lineChart>
        <c:grouping val="standard"/>
        <c:ser>
          <c:idx val="2"/>
          <c:order val="4"/>
          <c:tx>
            <c:strRef>
              <c:f>'Graf-Národní účty-souhrnné'!$A$33</c:f>
              <c:strCache>
                <c:ptCount val="1"/>
                <c:pt idx="0">
                  <c:v>Míra investic (v %)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účty-souhrnné'!$G$33:$S$33</c:f>
              <c:numCache>
                <c:formatCode>0.0</c:formatCode>
                <c:ptCount val="13"/>
                <c:pt idx="0">
                  <c:v>35.329620822708172</c:v>
                </c:pt>
                <c:pt idx="1">
                  <c:v>33.622363710812628</c:v>
                </c:pt>
                <c:pt idx="2">
                  <c:v>33.591417864267996</c:v>
                </c:pt>
                <c:pt idx="3">
                  <c:v>35.277746049263747</c:v>
                </c:pt>
                <c:pt idx="4">
                  <c:v>33.619448627501605</c:v>
                </c:pt>
                <c:pt idx="5">
                  <c:v>30.074255764636668</c:v>
                </c:pt>
                <c:pt idx="6">
                  <c:v>28.774048374205176</c:v>
                </c:pt>
                <c:pt idx="7">
                  <c:v>24.094345175530787</c:v>
                </c:pt>
                <c:pt idx="8">
                  <c:v>23.167971971726342</c:v>
                </c:pt>
                <c:pt idx="9">
                  <c:v>22.711216891879889</c:v>
                </c:pt>
                <c:pt idx="10">
                  <c:v>24.063680012186442</c:v>
                </c:pt>
                <c:pt idx="11">
                  <c:v>25.366503901163696</c:v>
                </c:pt>
                <c:pt idx="12">
                  <c:v>22.164625208210357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3B-4D88-AC20-A856B28AC81C}"/>
            </c:ext>
          </c:extLst>
        </c:ser>
        <c:ser>
          <c:idx val="5"/>
          <c:order val="5"/>
          <c:tx>
            <c:strRef>
              <c:f>'Graf-Národní účty-souhrnné'!$A$34</c:f>
              <c:strCache>
                <c:ptCount val="1"/>
                <c:pt idx="0">
                  <c:v>Míra zisku nefinančních podniků (v %)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účty-souhrnné'!$G$34:$S$34</c:f>
              <c:numCache>
                <c:formatCode>0.0</c:formatCode>
                <c:ptCount val="13"/>
                <c:pt idx="0">
                  <c:v>44.670435355602194</c:v>
                </c:pt>
                <c:pt idx="1">
                  <c:v>46.255272493979419</c:v>
                </c:pt>
                <c:pt idx="2">
                  <c:v>46.80944781359684</c:v>
                </c:pt>
                <c:pt idx="3">
                  <c:v>42.576898701528393</c:v>
                </c:pt>
                <c:pt idx="4">
                  <c:v>38.282318078464122</c:v>
                </c:pt>
                <c:pt idx="5">
                  <c:v>38.688685378009417</c:v>
                </c:pt>
                <c:pt idx="6">
                  <c:v>38.730074016449606</c:v>
                </c:pt>
                <c:pt idx="7">
                  <c:v>40.152312317623213</c:v>
                </c:pt>
                <c:pt idx="8">
                  <c:v>39.712827256531803</c:v>
                </c:pt>
                <c:pt idx="9">
                  <c:v>42.311896294026795</c:v>
                </c:pt>
                <c:pt idx="10">
                  <c:v>45.400863889279904</c:v>
                </c:pt>
                <c:pt idx="11">
                  <c:v>44.600043563030894</c:v>
                </c:pt>
                <c:pt idx="12">
                  <c:v>44.435202859115464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C3B-4D88-AC20-A856B28AC81C}"/>
            </c:ext>
          </c:extLst>
        </c:ser>
        <c:marker val="1"/>
        <c:axId val="140801536"/>
        <c:axId val="140800000"/>
      </c:lineChart>
      <c:catAx>
        <c:axId val="14049766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0499200"/>
        <c:crossesAt val="100"/>
        <c:lblAlgn val="ctr"/>
        <c:lblOffset val="0"/>
        <c:tickLblSkip val="1"/>
        <c:tickMarkSkip val="4"/>
      </c:catAx>
      <c:valAx>
        <c:axId val="140499200"/>
        <c:scaling>
          <c:orientation val="minMax"/>
          <c:max val="130"/>
          <c:min val="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0497664"/>
        <c:crosses val="autoZero"/>
        <c:crossBetween val="between"/>
        <c:majorUnit val="5"/>
      </c:valAx>
      <c:valAx>
        <c:axId val="140800000"/>
        <c:scaling>
          <c:orientation val="minMax"/>
          <c:max val="50"/>
          <c:min val="0"/>
        </c:scaling>
        <c:axPos val="r"/>
        <c:numFmt formatCode="0" sourceLinked="0"/>
        <c:tickLblPos val="nextTo"/>
        <c:crossAx val="140801536"/>
        <c:crosses val="max"/>
        <c:crossBetween val="between"/>
      </c:valAx>
      <c:catAx>
        <c:axId val="140801536"/>
        <c:scaling>
          <c:orientation val="minMax"/>
        </c:scaling>
        <c:delete val="1"/>
        <c:axPos val="b"/>
        <c:numFmt formatCode="General" sourceLinked="1"/>
        <c:tickLblPos val="none"/>
        <c:crossAx val="140800000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49028219005E-2"/>
          <c:y val="0.82924800180119362"/>
          <c:w val="0.88531755998340844"/>
          <c:h val="0.1671777552628617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834071173074864E-2"/>
          <c:y val="1.643251153889452E-2"/>
          <c:w val="0.93243256741239366"/>
          <c:h val="0.7687053923224213"/>
        </c:manualLayout>
      </c:layout>
      <c:barChart>
        <c:barDir val="col"/>
        <c:grouping val="stacked"/>
        <c:ser>
          <c:idx val="0"/>
          <c:order val="0"/>
          <c:tx>
            <c:strRef>
              <c:f>'[Obchod-doprava-grafy.xlsx]Graf-příspěvky k růstu'!$A$59</c:f>
              <c:strCache>
                <c:ptCount val="1"/>
                <c:pt idx="0">
                  <c:v>Obchod a opravy motor.voz.(NACE 45)</c:v>
                </c:pt>
              </c:strCache>
            </c:strRef>
          </c:tx>
          <c:spPr>
            <a:solidFill>
              <a:srgbClr val="0071BC"/>
            </a:solidFill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růstu'!$H$59:$T$59</c:f>
              <c:numCache>
                <c:formatCode>#,##0.0</c:formatCode>
                <c:ptCount val="13"/>
                <c:pt idx="0">
                  <c:v>0.48960304755808776</c:v>
                </c:pt>
                <c:pt idx="1">
                  <c:v>0.85560139981513572</c:v>
                </c:pt>
                <c:pt idx="2">
                  <c:v>1.3434857738712274</c:v>
                </c:pt>
                <c:pt idx="3">
                  <c:v>-0.76960158076420004</c:v>
                </c:pt>
                <c:pt idx="4">
                  <c:v>-0.55989794433162576</c:v>
                </c:pt>
                <c:pt idx="5">
                  <c:v>0.84512665861417935</c:v>
                </c:pt>
                <c:pt idx="6">
                  <c:v>-0.26289829007059901</c:v>
                </c:pt>
                <c:pt idx="7">
                  <c:v>0.94265712719583861</c:v>
                </c:pt>
                <c:pt idx="8">
                  <c:v>-0.51414780643636881</c:v>
                </c:pt>
                <c:pt idx="9">
                  <c:v>1.5866714163312761</c:v>
                </c:pt>
                <c:pt idx="10">
                  <c:v>0.86849260968514364</c:v>
                </c:pt>
                <c:pt idx="11">
                  <c:v>1.0817600337506215</c:v>
                </c:pt>
                <c:pt idx="12">
                  <c:v>-0.47955520206042834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AA-42ED-9EF7-AB4B06B62CAA}"/>
            </c:ext>
          </c:extLst>
        </c:ser>
        <c:ser>
          <c:idx val="3"/>
          <c:order val="1"/>
          <c:tx>
            <c:strRef>
              <c:f>'[Obchod-doprava-grafy.xlsx]Graf-příspěvky k růstu'!$A$60</c:f>
              <c:strCache>
                <c:ptCount val="1"/>
                <c:pt idx="0">
                  <c:v>Velkoobchod bez motor. voz. (46)</c:v>
                </c:pt>
              </c:strCache>
            </c:strRef>
          </c:tx>
          <c:spPr>
            <a:solidFill>
              <a:srgbClr val="48AEE7"/>
            </a:solidFill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růstu'!$H$60:$T$60</c:f>
              <c:numCache>
                <c:formatCode>#,##0.0</c:formatCode>
                <c:ptCount val="13"/>
                <c:pt idx="0">
                  <c:v>4.7864978579515842</c:v>
                </c:pt>
                <c:pt idx="1">
                  <c:v>2.8625765720666512</c:v>
                </c:pt>
                <c:pt idx="2">
                  <c:v>3.7188170737375676</c:v>
                </c:pt>
                <c:pt idx="3">
                  <c:v>-0.67966862745881573</c:v>
                </c:pt>
                <c:pt idx="4">
                  <c:v>-5.1257159141752719</c:v>
                </c:pt>
                <c:pt idx="5">
                  <c:v>3.6692978104292142</c:v>
                </c:pt>
                <c:pt idx="6">
                  <c:v>2.1744893028749392</c:v>
                </c:pt>
                <c:pt idx="7">
                  <c:v>0.93553805239668764</c:v>
                </c:pt>
                <c:pt idx="8">
                  <c:v>0.75477846819230088</c:v>
                </c:pt>
                <c:pt idx="9">
                  <c:v>2.3755644352274543</c:v>
                </c:pt>
                <c:pt idx="10">
                  <c:v>5.4224953098616471</c:v>
                </c:pt>
                <c:pt idx="11">
                  <c:v>-0.63389871776282003</c:v>
                </c:pt>
                <c:pt idx="12">
                  <c:v>0.40094001383098782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AA-42ED-9EF7-AB4B06B62CAA}"/>
            </c:ext>
          </c:extLst>
        </c:ser>
        <c:ser>
          <c:idx val="1"/>
          <c:order val="2"/>
          <c:tx>
            <c:strRef>
              <c:f>'[Obchod-doprava-grafy.xlsx]Graf-příspěvky k růstu'!$A$61</c:f>
              <c:strCache>
                <c:ptCount val="1"/>
                <c:pt idx="0">
                  <c:v>Maloobchod bez motor. voz. (47)</c:v>
                </c:pt>
              </c:strCache>
            </c:strRef>
          </c:tx>
          <c:spPr>
            <a:solidFill>
              <a:srgbClr val="C5E3FE"/>
            </a:solidFill>
            <a:ln w="6350">
              <a:solidFill>
                <a:schemeClr val="bg1">
                  <a:lumMod val="65000"/>
                </a:schemeClr>
              </a:solidFill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růstu'!$H$61:$T$61</c:f>
              <c:numCache>
                <c:formatCode>#,##0.0</c:formatCode>
                <c:ptCount val="13"/>
                <c:pt idx="0">
                  <c:v>4.1113841732586387</c:v>
                </c:pt>
                <c:pt idx="1">
                  <c:v>1.0123368310102983</c:v>
                </c:pt>
                <c:pt idx="2">
                  <c:v>1.1351551968347813</c:v>
                </c:pt>
                <c:pt idx="3">
                  <c:v>1.4974111525739875</c:v>
                </c:pt>
                <c:pt idx="4">
                  <c:v>1.0323616646485361</c:v>
                </c:pt>
                <c:pt idx="5">
                  <c:v>0.66060894811025062</c:v>
                </c:pt>
                <c:pt idx="6">
                  <c:v>0.66370493651519025</c:v>
                </c:pt>
                <c:pt idx="7">
                  <c:v>-0.10297577379830986</c:v>
                </c:pt>
                <c:pt idx="8">
                  <c:v>-0.26701000566224814</c:v>
                </c:pt>
                <c:pt idx="9">
                  <c:v>1.5396040811398728</c:v>
                </c:pt>
                <c:pt idx="10">
                  <c:v>0.41027647556560476</c:v>
                </c:pt>
                <c:pt idx="11">
                  <c:v>0.65295599202883692</c:v>
                </c:pt>
                <c:pt idx="12">
                  <c:v>1.1927171268928973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AA-42ED-9EF7-AB4B06B62CAA}"/>
            </c:ext>
          </c:extLst>
        </c:ser>
        <c:ser>
          <c:idx val="7"/>
          <c:order val="3"/>
          <c:tx>
            <c:strRef>
              <c:f>'[Obchod-doprava-grafy.xlsx]Graf-příspěvky k růstu'!$A$62</c:f>
              <c:strCache>
                <c:ptCount val="1"/>
                <c:pt idx="0">
                  <c:v>Pozemní doprava (49)</c:v>
                </c:pt>
              </c:strCache>
            </c:strRef>
          </c:tx>
          <c:spPr>
            <a:solidFill>
              <a:srgbClr val="FDDEB3"/>
            </a:solidFill>
            <a:ln w="6350">
              <a:solidFill>
                <a:schemeClr val="bg1">
                  <a:lumMod val="65000"/>
                </a:schemeClr>
              </a:solidFill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růstu'!$H$62:$T$62</c:f>
              <c:numCache>
                <c:formatCode>#,##0.0</c:formatCode>
                <c:ptCount val="13"/>
                <c:pt idx="0">
                  <c:v>-1.2630098416425031</c:v>
                </c:pt>
                <c:pt idx="1">
                  <c:v>2.174093243776845</c:v>
                </c:pt>
                <c:pt idx="2">
                  <c:v>-0.53421371878653257</c:v>
                </c:pt>
                <c:pt idx="3">
                  <c:v>-2.9013793517131643</c:v>
                </c:pt>
                <c:pt idx="4">
                  <c:v>-3.7708349401484802</c:v>
                </c:pt>
                <c:pt idx="5">
                  <c:v>0.39165268130881958</c:v>
                </c:pt>
                <c:pt idx="6">
                  <c:v>-1.4965237698977281</c:v>
                </c:pt>
                <c:pt idx="7">
                  <c:v>-1.8302268171973233</c:v>
                </c:pt>
                <c:pt idx="8">
                  <c:v>-0.45801435218430131</c:v>
                </c:pt>
                <c:pt idx="9">
                  <c:v>-0.96493683073946135</c:v>
                </c:pt>
                <c:pt idx="10">
                  <c:v>1.1769595786084621</c:v>
                </c:pt>
                <c:pt idx="11">
                  <c:v>0.47387590027589693</c:v>
                </c:pt>
                <c:pt idx="12">
                  <c:v>0.94009301264926104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8AA-42ED-9EF7-AB4B06B62CAA}"/>
            </c:ext>
          </c:extLst>
        </c:ser>
        <c:ser>
          <c:idx val="2"/>
          <c:order val="4"/>
          <c:tx>
            <c:strRef>
              <c:f>'[Obchod-doprava-grafy.xlsx]Graf-příspěvky k růstu'!$A$63</c:f>
              <c:strCache>
                <c:ptCount val="1"/>
                <c:pt idx="0">
                  <c:v>Vodní doprava (50)</c:v>
                </c:pt>
              </c:strCache>
            </c:strRef>
          </c:tx>
          <c:spPr>
            <a:solidFill>
              <a:srgbClr val="F8A124"/>
            </a:solidFill>
            <a:ln w="6350">
              <a:solidFill>
                <a:schemeClr val="bg1">
                  <a:lumMod val="65000"/>
                </a:schemeClr>
              </a:solidFill>
              <a:prstDash val="sysDash"/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růstu'!$H$63:$T$63</c:f>
              <c:numCache>
                <c:formatCode>#,##0.0</c:formatCode>
                <c:ptCount val="13"/>
                <c:pt idx="0">
                  <c:v>4.5827461570053817E-2</c:v>
                </c:pt>
                <c:pt idx="1">
                  <c:v>7.8510728009966867E-4</c:v>
                </c:pt>
                <c:pt idx="2">
                  <c:v>9.9194319524040543E-3</c:v>
                </c:pt>
                <c:pt idx="3">
                  <c:v>-7.8038186760420883E-3</c:v>
                </c:pt>
                <c:pt idx="4">
                  <c:v>-1.236328515097389E-2</c:v>
                </c:pt>
                <c:pt idx="5">
                  <c:v>-5.5931611416861534E-3</c:v>
                </c:pt>
                <c:pt idx="6">
                  <c:v>-2.4830215016240616E-2</c:v>
                </c:pt>
                <c:pt idx="7">
                  <c:v>6.3586961458615603E-3</c:v>
                </c:pt>
                <c:pt idx="8">
                  <c:v>-3.1849948303896147E-3</c:v>
                </c:pt>
                <c:pt idx="9">
                  <c:v>-1.2553194873297917E-3</c:v>
                </c:pt>
                <c:pt idx="10">
                  <c:v>-9.2485109481190552E-3</c:v>
                </c:pt>
                <c:pt idx="11">
                  <c:v>6.0118958585732791E-3</c:v>
                </c:pt>
                <c:pt idx="12">
                  <c:v>-3.313274308686972E-3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8AA-42ED-9EF7-AB4B06B62CAA}"/>
            </c:ext>
          </c:extLst>
        </c:ser>
        <c:ser>
          <c:idx val="5"/>
          <c:order val="5"/>
          <c:tx>
            <c:strRef>
              <c:f>'[Obchod-doprava-grafy.xlsx]Graf-příspěvky k růstu'!$A$64</c:f>
              <c:strCache>
                <c:ptCount val="1"/>
                <c:pt idx="0">
                  <c:v>Letecká doprava (51)</c:v>
                </c:pt>
              </c:strCache>
            </c:strRef>
          </c:tx>
          <c:spPr>
            <a:solidFill>
              <a:srgbClr val="BD1B21"/>
            </a:solidFill>
            <a:ln w="6350">
              <a:solidFill>
                <a:schemeClr val="bg1">
                  <a:lumMod val="65000"/>
                </a:schemeClr>
              </a:solidFill>
              <a:prstDash val="sysDash"/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růstu'!$H$64:$T$64</c:f>
              <c:numCache>
                <c:formatCode>#,##0.0</c:formatCode>
                <c:ptCount val="13"/>
                <c:pt idx="0">
                  <c:v>-1.0010124006625327E-2</c:v>
                </c:pt>
                <c:pt idx="1">
                  <c:v>0.19709791195878532</c:v>
                </c:pt>
                <c:pt idx="2">
                  <c:v>0.61330640021979965</c:v>
                </c:pt>
                <c:pt idx="3">
                  <c:v>0.34118552835057181</c:v>
                </c:pt>
                <c:pt idx="4">
                  <c:v>-0.77311799014025329</c:v>
                </c:pt>
                <c:pt idx="5">
                  <c:v>-0.41883798137243161</c:v>
                </c:pt>
                <c:pt idx="6">
                  <c:v>-0.32631600139586764</c:v>
                </c:pt>
                <c:pt idx="7">
                  <c:v>0.14621362933063123</c:v>
                </c:pt>
                <c:pt idx="8">
                  <c:v>-0.59210030065611319</c:v>
                </c:pt>
                <c:pt idx="9">
                  <c:v>-0.24256907232217509</c:v>
                </c:pt>
                <c:pt idx="10">
                  <c:v>-0.39864937245935789</c:v>
                </c:pt>
                <c:pt idx="11">
                  <c:v>-0.11713489851563012</c:v>
                </c:pt>
                <c:pt idx="12">
                  <c:v>0.12969372283251637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8AA-42ED-9EF7-AB4B06B62CAA}"/>
            </c:ext>
          </c:extLst>
        </c:ser>
        <c:ser>
          <c:idx val="4"/>
          <c:order val="6"/>
          <c:tx>
            <c:strRef>
              <c:f>'[Obchod-doprava-grafy.xlsx]Graf-příspěvky k růstu'!$A$65</c:f>
              <c:strCache>
                <c:ptCount val="1"/>
                <c:pt idx="0">
                  <c:v>Skladování (52)</c:v>
                </c:pt>
              </c:strCache>
            </c:strRef>
          </c:tx>
          <c:spPr>
            <a:solidFill>
              <a:srgbClr val="E8AFB2"/>
            </a:solidFill>
            <a:ln w="6350">
              <a:solidFill>
                <a:prstClr val="white">
                  <a:lumMod val="65000"/>
                </a:prstClr>
              </a:solidFill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růstu'!$H$65:$T$65</c:f>
              <c:numCache>
                <c:formatCode>#,##0.0</c:formatCode>
                <c:ptCount val="13"/>
                <c:pt idx="0">
                  <c:v>0.4451812448852317</c:v>
                </c:pt>
                <c:pt idx="1">
                  <c:v>0.53913929671131866</c:v>
                </c:pt>
                <c:pt idx="2">
                  <c:v>0.20662862745849939</c:v>
                </c:pt>
                <c:pt idx="3">
                  <c:v>1.5796630670116074</c:v>
                </c:pt>
                <c:pt idx="4">
                  <c:v>0.89240684994982611</c:v>
                </c:pt>
                <c:pt idx="5">
                  <c:v>0.18016846640906894</c:v>
                </c:pt>
                <c:pt idx="6">
                  <c:v>-0.52428663463345215</c:v>
                </c:pt>
                <c:pt idx="7">
                  <c:v>0.6317578451313417</c:v>
                </c:pt>
                <c:pt idx="8">
                  <c:v>0.7448740113316128</c:v>
                </c:pt>
                <c:pt idx="9">
                  <c:v>7.9664738673700081E-2</c:v>
                </c:pt>
                <c:pt idx="10">
                  <c:v>0.12540106251475183</c:v>
                </c:pt>
                <c:pt idx="11">
                  <c:v>0.61826342915633536</c:v>
                </c:pt>
                <c:pt idx="12">
                  <c:v>1.0218164477410958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8AA-42ED-9EF7-AB4B06B62CAA}"/>
            </c:ext>
          </c:extLst>
        </c:ser>
        <c:ser>
          <c:idx val="6"/>
          <c:order val="7"/>
          <c:tx>
            <c:strRef>
              <c:f>'[Obchod-doprava-grafy.xlsx]Graf-příspěvky k růstu'!$A$66</c:f>
              <c:strCache>
                <c:ptCount val="1"/>
                <c:pt idx="0">
                  <c:v>Poštovní a kurýrní čin. (53)</c:v>
                </c:pt>
              </c:strCache>
            </c:strRef>
          </c:tx>
          <c:spPr>
            <a:solidFill>
              <a:srgbClr val="7DBB2D"/>
            </a:solidFill>
            <a:ln w="6350">
              <a:solidFill>
                <a:prstClr val="white">
                  <a:lumMod val="65000"/>
                </a:prstClr>
              </a:solidFill>
            </a:ln>
          </c:spP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růstu'!$H$66:$T$66</c:f>
              <c:numCache>
                <c:formatCode>#,##0.0</c:formatCode>
                <c:ptCount val="13"/>
                <c:pt idx="0">
                  <c:v>0.14627211959831871</c:v>
                </c:pt>
                <c:pt idx="1">
                  <c:v>7.7548851626127083E-2</c:v>
                </c:pt>
                <c:pt idx="2">
                  <c:v>0.38292582773655626</c:v>
                </c:pt>
                <c:pt idx="3">
                  <c:v>2.347028912718158E-2</c:v>
                </c:pt>
                <c:pt idx="4">
                  <c:v>2.8753754785299741E-2</c:v>
                </c:pt>
                <c:pt idx="5">
                  <c:v>-2.1586908546660892E-2</c:v>
                </c:pt>
                <c:pt idx="6">
                  <c:v>-2.3823584677744172E-2</c:v>
                </c:pt>
                <c:pt idx="7">
                  <c:v>-0.13192365149239663</c:v>
                </c:pt>
                <c:pt idx="8">
                  <c:v>-0.14366932100600871</c:v>
                </c:pt>
                <c:pt idx="9">
                  <c:v>-0.18626420646755701</c:v>
                </c:pt>
                <c:pt idx="10">
                  <c:v>-5.5972334136194804E-2</c:v>
                </c:pt>
                <c:pt idx="11">
                  <c:v>-9.6508575437114025E-2</c:v>
                </c:pt>
                <c:pt idx="12">
                  <c:v>-0.10733439453303317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8AA-42ED-9EF7-AB4B06B62CAA}"/>
            </c:ext>
          </c:extLst>
        </c:ser>
        <c:gapWidth val="30"/>
        <c:overlap val="100"/>
        <c:axId val="140982912"/>
        <c:axId val="140997376"/>
      </c:barChart>
      <c:lineChart>
        <c:grouping val="standard"/>
        <c:ser>
          <c:idx val="8"/>
          <c:order val="8"/>
          <c:tx>
            <c:strRef>
              <c:f>'[Obchod-doprava-grafy.xlsx]Graf-příspěvky k růstu'!$A$67</c:f>
              <c:strCache>
                <c:ptCount val="1"/>
                <c:pt idx="0">
                  <c:v>Obchod, Doprava a skladování celkem (G+H)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'[Obchod-doprava-grafy.xlsx]Graf-příspěvky k růstu'!$H$58:$T$58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'[Obchod-doprava-grafy.xlsx]Graf-příspěvky k růstu'!$H$67:$T$67</c:f>
              <c:numCache>
                <c:formatCode>#,##0.0</c:formatCode>
                <c:ptCount val="13"/>
                <c:pt idx="0">
                  <c:v>8.7517459391727872</c:v>
                </c:pt>
                <c:pt idx="1">
                  <c:v>7.7191792142452611</c:v>
                </c:pt>
                <c:pt idx="2">
                  <c:v>6.8760246130242813</c:v>
                </c:pt>
                <c:pt idx="3">
                  <c:v>-0.9167233415488546</c:v>
                </c:pt>
                <c:pt idx="4">
                  <c:v>-8.2884078045629845</c:v>
                </c:pt>
                <c:pt idx="5">
                  <c:v>5.3008365138107365</c:v>
                </c:pt>
                <c:pt idx="6">
                  <c:v>0.17951574369849183</c:v>
                </c:pt>
                <c:pt idx="7">
                  <c:v>0.59739910771231941</c:v>
                </c:pt>
                <c:pt idx="8">
                  <c:v>-0.47847430125152396</c:v>
                </c:pt>
                <c:pt idx="9">
                  <c:v>4.1864792423557855</c:v>
                </c:pt>
                <c:pt idx="10">
                  <c:v>7.5397548186919359</c:v>
                </c:pt>
                <c:pt idx="11">
                  <c:v>1.9853250593546934</c:v>
                </c:pt>
                <c:pt idx="12">
                  <c:v>3.0950574530445767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8AA-42ED-9EF7-AB4B06B62CAA}"/>
            </c:ext>
          </c:extLst>
        </c:ser>
        <c:marker val="1"/>
        <c:axId val="140982912"/>
        <c:axId val="140997376"/>
      </c:lineChart>
      <c:catAx>
        <c:axId val="140982912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0997376"/>
        <c:crossesAt val="100"/>
        <c:lblAlgn val="ctr"/>
        <c:lblOffset val="0"/>
        <c:tickLblSkip val="1"/>
        <c:tickMarkSkip val="4"/>
      </c:catAx>
      <c:valAx>
        <c:axId val="140997376"/>
        <c:scaling>
          <c:orientation val="minMax"/>
          <c:max val="11"/>
          <c:min val="-1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0982912"/>
        <c:crosses val="autoZero"/>
        <c:crossBetween val="between"/>
        <c:majorUnit val="1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022920459736032E-2"/>
          <c:y val="0.82924800180119362"/>
          <c:w val="0.9374147124061426"/>
          <c:h val="0.16360351232691617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7.3562142311828851E-2"/>
          <c:y val="1.6427920487154187E-2"/>
          <c:w val="0.91112827457077883"/>
          <c:h val="0.79415439735546167"/>
        </c:manualLayout>
      </c:layout>
      <c:barChart>
        <c:barDir val="col"/>
        <c:grouping val="stacked"/>
        <c:ser>
          <c:idx val="4"/>
          <c:order val="4"/>
          <c:tx>
            <c:strRef>
              <c:f>'Graf-dopravní výkony'!$F$89</c:f>
              <c:strCache>
                <c:ptCount val="1"/>
                <c:pt idx="0">
                  <c:v>Osobní železnič. doprava (pravá osa)</c:v>
                </c:pt>
              </c:strCache>
            </c:strRef>
          </c:tx>
          <c:spPr>
            <a:solidFill>
              <a:srgbClr val="ECECEC"/>
            </a:solidFill>
            <a:ln>
              <a:solidFill>
                <a:srgbClr val="AEAEAE"/>
              </a:solidFill>
            </a:ln>
          </c:spP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výkony'!$F$95:$F$107</c:f>
              <c:numCache>
                <c:formatCode>#,##0.00</c:formatCode>
                <c:ptCount val="13"/>
                <c:pt idx="0">
                  <c:v>6.6667009999999873</c:v>
                </c:pt>
                <c:pt idx="1">
                  <c:v>6.9221209999999873</c:v>
                </c:pt>
                <c:pt idx="2">
                  <c:v>6.8982479999999997</c:v>
                </c:pt>
                <c:pt idx="3">
                  <c:v>6.8033739999999998</c:v>
                </c:pt>
                <c:pt idx="4">
                  <c:v>6.5028149999999849</c:v>
                </c:pt>
                <c:pt idx="5">
                  <c:v>6.5907189999999956</c:v>
                </c:pt>
                <c:pt idx="6">
                  <c:v>6.7139930000000003</c:v>
                </c:pt>
                <c:pt idx="7">
                  <c:v>7.264755999999986</c:v>
                </c:pt>
                <c:pt idx="8">
                  <c:v>7.6005969999999872</c:v>
                </c:pt>
                <c:pt idx="9">
                  <c:v>7.7965099999999996</c:v>
                </c:pt>
                <c:pt idx="10">
                  <c:v>8.298112591999999</c:v>
                </c:pt>
                <c:pt idx="11">
                  <c:v>8.8433732679999988</c:v>
                </c:pt>
                <c:pt idx="12">
                  <c:v>9.5146141800000006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86-470B-B3ED-93DDD423D69E}"/>
            </c:ext>
          </c:extLst>
        </c:ser>
        <c:ser>
          <c:idx val="5"/>
          <c:order val="5"/>
          <c:tx>
            <c:strRef>
              <c:f>'Graf-dopravní výkony'!$G$89</c:f>
              <c:strCache>
                <c:ptCount val="1"/>
                <c:pt idx="0">
                  <c:v>Veř. autobous. doprava (pravá osa)</c:v>
                </c:pt>
              </c:strCache>
            </c:strRef>
          </c:tx>
          <c:spPr>
            <a:solidFill>
              <a:srgbClr val="D3D3D3"/>
            </a:solidFill>
            <a:ln>
              <a:solidFill>
                <a:srgbClr val="AEAEAE"/>
              </a:solidFill>
            </a:ln>
          </c:spP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výkony'!$G$95:$G$107</c:f>
              <c:numCache>
                <c:formatCode>#,##0.00</c:formatCode>
                <c:ptCount val="13"/>
                <c:pt idx="0">
                  <c:v>8.607598890000002</c:v>
                </c:pt>
                <c:pt idx="1">
                  <c:v>9.5011483199999986</c:v>
                </c:pt>
                <c:pt idx="2">
                  <c:v>9.5187626200000004</c:v>
                </c:pt>
                <c:pt idx="3">
                  <c:v>9.2151800000000001</c:v>
                </c:pt>
                <c:pt idx="4">
                  <c:v>9.4935521100000066</c:v>
                </c:pt>
                <c:pt idx="5">
                  <c:v>10.335654910000031</c:v>
                </c:pt>
                <c:pt idx="6">
                  <c:v>9.2667312000000006</c:v>
                </c:pt>
                <c:pt idx="7">
                  <c:v>9.0154106600000024</c:v>
                </c:pt>
                <c:pt idx="8">
                  <c:v>9.0255682500000027</c:v>
                </c:pt>
                <c:pt idx="9">
                  <c:v>10.01019814</c:v>
                </c:pt>
                <c:pt idx="10">
                  <c:v>9.9957555300000269</c:v>
                </c:pt>
                <c:pt idx="11">
                  <c:v>10.25714305</c:v>
                </c:pt>
                <c:pt idx="12">
                  <c:v>11.121737489999999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86-470B-B3ED-93DDD423D69E}"/>
            </c:ext>
          </c:extLst>
        </c:ser>
        <c:ser>
          <c:idx val="6"/>
          <c:order val="6"/>
          <c:tx>
            <c:strRef>
              <c:f>'Graf-dopravní výkony'!$H$89</c:f>
              <c:strCache>
                <c:ptCount val="1"/>
                <c:pt idx="0">
                  <c:v>MHD (pravá osa)</c:v>
                </c:pt>
              </c:strCache>
            </c:strRef>
          </c:tx>
          <c:spPr>
            <a:solidFill>
              <a:srgbClr val="AEAEAE"/>
            </a:solidFill>
            <a:ln>
              <a:solidFill>
                <a:srgbClr val="AEAEAE"/>
              </a:solidFill>
            </a:ln>
          </c:spP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výkony'!$H$95:$H$107</c:f>
              <c:numCache>
                <c:formatCode>#,##0.00</c:formatCode>
                <c:ptCount val="13"/>
                <c:pt idx="0">
                  <c:v>14.934782470000002</c:v>
                </c:pt>
                <c:pt idx="1">
                  <c:v>14.312665550000027</c:v>
                </c:pt>
                <c:pt idx="2">
                  <c:v>14.352502880000046</c:v>
                </c:pt>
                <c:pt idx="3">
                  <c:v>15.880456730000034</c:v>
                </c:pt>
                <c:pt idx="4">
                  <c:v>15.555059620000025</c:v>
                </c:pt>
                <c:pt idx="5">
                  <c:v>15.617444410000004</c:v>
                </c:pt>
                <c:pt idx="6">
                  <c:v>15.281468970000001</c:v>
                </c:pt>
                <c:pt idx="7">
                  <c:v>15.813667970000004</c:v>
                </c:pt>
                <c:pt idx="8">
                  <c:v>16.276193500000002</c:v>
                </c:pt>
                <c:pt idx="9">
                  <c:v>16.27018</c:v>
                </c:pt>
                <c:pt idx="10">
                  <c:v>16.100467073000001</c:v>
                </c:pt>
                <c:pt idx="11">
                  <c:v>17.387054529000054</c:v>
                </c:pt>
                <c:pt idx="12">
                  <c:v>17.824203494000031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86-470B-B3ED-93DDD423D69E}"/>
            </c:ext>
          </c:extLst>
        </c:ser>
        <c:ser>
          <c:idx val="7"/>
          <c:order val="7"/>
          <c:tx>
            <c:strRef>
              <c:f>'Graf-dopravní výkony'!$I$89</c:f>
              <c:strCache>
                <c:ptCount val="1"/>
                <c:pt idx="0">
                  <c:v>Obch.letecká osob.přepr.(pravá osa)*</c:v>
                </c:pt>
              </c:strCache>
            </c:strRef>
          </c:tx>
          <c:spPr>
            <a:solidFill>
              <a:srgbClr val="7D7D7D"/>
            </a:solidFill>
            <a:ln>
              <a:solidFill>
                <a:srgbClr val="AEAEAE"/>
              </a:solidFill>
            </a:ln>
          </c:spP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výkony'!$I$95:$I$107</c:f>
              <c:numCache>
                <c:formatCode>#,##0.00</c:formatCode>
                <c:ptCount val="13"/>
                <c:pt idx="0">
                  <c:v>9.7357101900000007</c:v>
                </c:pt>
                <c:pt idx="1">
                  <c:v>10.233053079999999</c:v>
                </c:pt>
                <c:pt idx="2">
                  <c:v>10.4772915</c:v>
                </c:pt>
                <c:pt idx="3">
                  <c:v>10.748869599999999</c:v>
                </c:pt>
                <c:pt idx="4">
                  <c:v>11.330473000000001</c:v>
                </c:pt>
                <c:pt idx="5">
                  <c:v>10.902008500000004</c:v>
                </c:pt>
                <c:pt idx="6">
                  <c:v>11.585630000000029</c:v>
                </c:pt>
                <c:pt idx="7">
                  <c:v>10.611569999999999</c:v>
                </c:pt>
                <c:pt idx="8">
                  <c:v>9.603860000000001</c:v>
                </c:pt>
                <c:pt idx="9">
                  <c:v>9.7561400000000003</c:v>
                </c:pt>
                <c:pt idx="10">
                  <c:v>9.7009999999999987</c:v>
                </c:pt>
                <c:pt idx="11">
                  <c:v>10.202540000000004</c:v>
                </c:pt>
                <c:pt idx="12">
                  <c:v>11.32605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86-470B-B3ED-93DDD423D69E}"/>
            </c:ext>
          </c:extLst>
        </c:ser>
        <c:gapWidth val="80"/>
        <c:overlap val="100"/>
        <c:axId val="143190656"/>
        <c:axId val="143189120"/>
      </c:barChart>
      <c:lineChart>
        <c:grouping val="standard"/>
        <c:ser>
          <c:idx val="0"/>
          <c:order val="0"/>
          <c:tx>
            <c:strRef>
              <c:f>'Graf-dopravní výkony'!$B$89</c:f>
              <c:strCache>
                <c:ptCount val="1"/>
                <c:pt idx="0">
                  <c:v>Železniční nákladní dopr. (2010=100)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výkony'!$B$95:$B$107</c:f>
              <c:numCache>
                <c:formatCode>#,##0</c:formatCode>
                <c:ptCount val="13"/>
                <c:pt idx="0">
                  <c:v>107.95661000052138</c:v>
                </c:pt>
                <c:pt idx="1">
                  <c:v>114.58318960678011</c:v>
                </c:pt>
                <c:pt idx="2">
                  <c:v>118.39928391134555</c:v>
                </c:pt>
                <c:pt idx="3">
                  <c:v>112.10415528654947</c:v>
                </c:pt>
                <c:pt idx="4">
                  <c:v>92.891160014529689</c:v>
                </c:pt>
                <c:pt idx="5">
                  <c:v>100</c:v>
                </c:pt>
                <c:pt idx="6">
                  <c:v>103.96104328992978</c:v>
                </c:pt>
                <c:pt idx="7">
                  <c:v>103.60098013400054</c:v>
                </c:pt>
                <c:pt idx="8">
                  <c:v>101.41287498469542</c:v>
                </c:pt>
                <c:pt idx="9">
                  <c:v>105.84071791286235</c:v>
                </c:pt>
                <c:pt idx="10">
                  <c:v>110.82571404440907</c:v>
                </c:pt>
                <c:pt idx="11">
                  <c:v>113.42251019254248</c:v>
                </c:pt>
                <c:pt idx="12">
                  <c:v>114.23454437871733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86-470B-B3ED-93DDD423D69E}"/>
            </c:ext>
          </c:extLst>
        </c:ser>
        <c:ser>
          <c:idx val="1"/>
          <c:order val="1"/>
          <c:tx>
            <c:strRef>
              <c:f>'Graf-dopravní výkony'!$C$89</c:f>
              <c:strCache>
                <c:ptCount val="1"/>
                <c:pt idx="0">
                  <c:v>Silniční nákladní dopr. (2010=100)**</c:v>
                </c:pt>
              </c:strCache>
            </c:strRef>
          </c:tx>
          <c:spPr>
            <a:ln w="222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výkony'!$C$95:$C$107</c:f>
              <c:numCache>
                <c:formatCode>#,##0</c:formatCode>
                <c:ptCount val="13"/>
                <c:pt idx="0">
                  <c:v>83.822502976808565</c:v>
                </c:pt>
                <c:pt idx="1">
                  <c:v>97.176875051235143</c:v>
                </c:pt>
                <c:pt idx="2">
                  <c:v>92.879294430189049</c:v>
                </c:pt>
                <c:pt idx="3">
                  <c:v>98.157285646674111</c:v>
                </c:pt>
                <c:pt idx="4">
                  <c:v>86.731195628978099</c:v>
                </c:pt>
                <c:pt idx="5">
                  <c:v>100</c:v>
                </c:pt>
                <c:pt idx="6">
                  <c:v>105.78440178905225</c:v>
                </c:pt>
                <c:pt idx="7">
                  <c:v>98.833947235582926</c:v>
                </c:pt>
                <c:pt idx="8">
                  <c:v>105.90519098841754</c:v>
                </c:pt>
                <c:pt idx="9">
                  <c:v>104.36028071943174</c:v>
                </c:pt>
                <c:pt idx="10">
                  <c:v>113.27668796505917</c:v>
                </c:pt>
                <c:pt idx="11">
                  <c:v>97.072503667857717</c:v>
                </c:pt>
                <c:pt idx="12">
                  <c:v>85.417496548502896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86-470B-B3ED-93DDD423D69E}"/>
            </c:ext>
          </c:extLst>
        </c:ser>
        <c:ser>
          <c:idx val="2"/>
          <c:order val="2"/>
          <c:tx>
            <c:strRef>
              <c:f>'Graf-dopravní výkony'!$D$89</c:f>
              <c:strCache>
                <c:ptCount val="1"/>
                <c:pt idx="0">
                  <c:v>Vnitrozem.vodní nákl.dopr. (2010=100)</c:v>
                </c:pt>
              </c:strCache>
            </c:strRef>
          </c:tx>
          <c:spPr>
            <a:ln w="2222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výkony'!$D$95:$D$107</c:f>
              <c:numCache>
                <c:formatCode>#,##0</c:formatCode>
                <c:ptCount val="13"/>
                <c:pt idx="0">
                  <c:v>114.88172416482823</c:v>
                </c:pt>
                <c:pt idx="1">
                  <c:v>120.39262897165588</c:v>
                </c:pt>
                <c:pt idx="2">
                  <c:v>132.20078561115858</c:v>
                </c:pt>
                <c:pt idx="3">
                  <c:v>126.97318943707678</c:v>
                </c:pt>
                <c:pt idx="4">
                  <c:v>94.297181189484149</c:v>
                </c:pt>
                <c:pt idx="5">
                  <c:v>100</c:v>
                </c:pt>
                <c:pt idx="6">
                  <c:v>102.28722049947699</c:v>
                </c:pt>
                <c:pt idx="7">
                  <c:v>98.511194738259633</c:v>
                </c:pt>
                <c:pt idx="8">
                  <c:v>102.05924903343907</c:v>
                </c:pt>
                <c:pt idx="9">
                  <c:v>96.614866565313548</c:v>
                </c:pt>
                <c:pt idx="10">
                  <c:v>86.078396723333114</c:v>
                </c:pt>
                <c:pt idx="11">
                  <c:v>91.305455126119838</c:v>
                </c:pt>
                <c:pt idx="12">
                  <c:v>91.641671388477235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E86-470B-B3ED-93DDD423D69E}"/>
            </c:ext>
          </c:extLst>
        </c:ser>
        <c:ser>
          <c:idx val="3"/>
          <c:order val="3"/>
          <c:tx>
            <c:strRef>
              <c:f>'Graf-dopravní výkony'!$E$89</c:f>
              <c:strCache>
                <c:ptCount val="1"/>
                <c:pt idx="0">
                  <c:v>Letecká nákladní dopr. (2010=100)*</c:v>
                </c:pt>
              </c:strCache>
            </c:strRef>
          </c:tx>
          <c:spPr>
            <a:ln w="22225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'Graf-dopravní výkony'!$A$95:$A$107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'Graf-dopravní výkony'!$E$95:$E$107</c:f>
              <c:numCache>
                <c:formatCode>#,##0</c:formatCode>
                <c:ptCount val="13"/>
                <c:pt idx="0">
                  <c:v>200.22342374547563</c:v>
                </c:pt>
                <c:pt idx="1">
                  <c:v>212.06528441842801</c:v>
                </c:pt>
                <c:pt idx="2">
                  <c:v>182.13383082353994</c:v>
                </c:pt>
                <c:pt idx="3">
                  <c:v>165.71920103668612</c:v>
                </c:pt>
                <c:pt idx="4">
                  <c:v>128.32432190893292</c:v>
                </c:pt>
                <c:pt idx="5">
                  <c:v>100</c:v>
                </c:pt>
                <c:pt idx="6">
                  <c:v>98.153179319898058</c:v>
                </c:pt>
                <c:pt idx="7">
                  <c:v>74.060503150274812</c:v>
                </c:pt>
                <c:pt idx="8">
                  <c:v>108.69118369900372</c:v>
                </c:pt>
                <c:pt idx="9">
                  <c:v>156.56195540462039</c:v>
                </c:pt>
                <c:pt idx="10">
                  <c:v>138.88913713749571</c:v>
                </c:pt>
                <c:pt idx="11">
                  <c:v>138.2635506501623</c:v>
                </c:pt>
                <c:pt idx="12">
                  <c:v>142.93989901246707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E86-470B-B3ED-93DDD423D69E}"/>
            </c:ext>
          </c:extLst>
        </c:ser>
        <c:marker val="1"/>
        <c:axId val="141592448"/>
        <c:axId val="141593984"/>
      </c:lineChart>
      <c:catAx>
        <c:axId val="141592448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1593984"/>
        <c:crosses val="autoZero"/>
        <c:auto val="1"/>
        <c:lblAlgn val="ctr"/>
        <c:lblOffset val="0"/>
      </c:catAx>
      <c:valAx>
        <c:axId val="141593984"/>
        <c:scaling>
          <c:orientation val="minMax"/>
          <c:max val="220"/>
          <c:min val="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1592448"/>
        <c:crosses val="autoZero"/>
        <c:crossBetween val="between"/>
        <c:majorUnit val="20"/>
      </c:valAx>
      <c:valAx>
        <c:axId val="143189120"/>
        <c:scaling>
          <c:orientation val="minMax"/>
          <c:max val="55"/>
          <c:min val="0"/>
        </c:scaling>
        <c:axPos val="r"/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3190656"/>
        <c:crosses val="max"/>
        <c:crossBetween val="between"/>
      </c:valAx>
      <c:catAx>
        <c:axId val="143190656"/>
        <c:scaling>
          <c:orientation val="minMax"/>
        </c:scaling>
        <c:delete val="1"/>
        <c:axPos val="b"/>
        <c:numFmt formatCode="General" sourceLinked="1"/>
        <c:tickLblPos val="none"/>
        <c:crossAx val="14318912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4.9056426081549621E-2"/>
          <c:y val="0.8572699906842427"/>
          <c:w val="0.91126569290457793"/>
          <c:h val="0.13558352064730309"/>
        </c:manualLayout>
      </c:layout>
      <c:spPr>
        <a:ln>
          <a:solidFill>
            <a:sysClr val="windowText" lastClr="000000">
              <a:lumMod val="95000"/>
              <a:lumOff val="5000"/>
            </a:sys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2040029038385493E-2"/>
          <c:y val="1.9513175616352827E-2"/>
          <c:w val="0.87721032836745738"/>
          <c:h val="0.73334616138578512"/>
        </c:manualLayout>
      </c:layout>
      <c:barChart>
        <c:barDir val="col"/>
        <c:grouping val="clustered"/>
        <c:ser>
          <c:idx val="0"/>
          <c:order val="0"/>
          <c:tx>
            <c:strRef>
              <c:f>'Graf-letiště'!$U$12</c:f>
              <c:strCache>
                <c:ptCount val="1"/>
                <c:pt idx="0">
                  <c:v> Přepravované osoby  (y/y, %, rok 2016)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noFill/>
              <a:prstDash val="solid"/>
            </a:ln>
          </c:spPr>
          <c:cat>
            <c:strRef>
              <c:f>'Graf-letiště'!$T$13:$T$43</c:f>
              <c:strCache>
                <c:ptCount val="31"/>
                <c:pt idx="0">
                  <c:v>Island</c:v>
                </c:pt>
                <c:pt idx="1">
                  <c:v>Bulharsko</c:v>
                </c:pt>
                <c:pt idx="2">
                  <c:v>Rumunsko</c:v>
                </c:pt>
                <c:pt idx="3">
                  <c:v>Kypr</c:v>
                </c:pt>
                <c:pt idx="4">
                  <c:v>Maďarsko</c:v>
                </c:pt>
                <c:pt idx="5">
                  <c:v>Chorvatsko</c:v>
                </c:pt>
                <c:pt idx="6">
                  <c:v>Litva</c:v>
                </c:pt>
                <c:pt idx="7">
                  <c:v>Slovensko</c:v>
                </c:pt>
                <c:pt idx="8">
                  <c:v>Portugalsko</c:v>
                </c:pt>
                <c:pt idx="9">
                  <c:v>Lucemburs.</c:v>
                </c:pt>
                <c:pt idx="10">
                  <c:v>Polsko</c:v>
                </c:pt>
                <c:pt idx="11">
                  <c:v>Španělsko</c:v>
                </c:pt>
                <c:pt idx="12">
                  <c:v>Irsko</c:v>
                </c:pt>
                <c:pt idx="13">
                  <c:v>Malta</c:v>
                </c:pt>
                <c:pt idx="14">
                  <c:v>Nizozemsko</c:v>
                </c:pt>
                <c:pt idx="15">
                  <c:v>Dánsko</c:v>
                </c:pt>
                <c:pt idx="16">
                  <c:v>Česko</c:v>
                </c:pt>
                <c:pt idx="17">
                  <c:v>Řecko</c:v>
                </c:pt>
                <c:pt idx="18">
                  <c:v>Vel.Británie</c:v>
                </c:pt>
                <c:pt idx="19">
                  <c:v>Švédsko</c:v>
                </c:pt>
                <c:pt idx="20">
                  <c:v>Itálie</c:v>
                </c:pt>
                <c:pt idx="21">
                  <c:v>Lotyšsko</c:v>
                </c:pt>
                <c:pt idx="22">
                  <c:v>Německo</c:v>
                </c:pt>
                <c:pt idx="23">
                  <c:v>Francie</c:v>
                </c:pt>
                <c:pt idx="24">
                  <c:v>Finsko</c:v>
                </c:pt>
                <c:pt idx="25">
                  <c:v>Švýcarsko</c:v>
                </c:pt>
                <c:pt idx="26">
                  <c:v>Estonsko</c:v>
                </c:pt>
                <c:pt idx="27">
                  <c:v>Rakousko</c:v>
                </c:pt>
                <c:pt idx="28">
                  <c:v>Norsko</c:v>
                </c:pt>
                <c:pt idx="29">
                  <c:v>Slovinsko</c:v>
                </c:pt>
                <c:pt idx="30">
                  <c:v>Belgie</c:v>
                </c:pt>
              </c:strCache>
            </c:strRef>
          </c:cat>
          <c:val>
            <c:numRef>
              <c:f>'Graf-letiště'!$U$13:$U$43</c:f>
              <c:numCache>
                <c:formatCode>0.0</c:formatCode>
                <c:ptCount val="31"/>
                <c:pt idx="0">
                  <c:v>40.603137259432494</c:v>
                </c:pt>
                <c:pt idx="1">
                  <c:v>23.233534256166816</c:v>
                </c:pt>
                <c:pt idx="2">
                  <c:v>20.942457067808025</c:v>
                </c:pt>
                <c:pt idx="3">
                  <c:v>20.006845140036191</c:v>
                </c:pt>
                <c:pt idx="4">
                  <c:v>14.334205549437469</c:v>
                </c:pt>
                <c:pt idx="5">
                  <c:v>14.285257782691748</c:v>
                </c:pt>
                <c:pt idx="6">
                  <c:v>13.392474645697376</c:v>
                </c:pt>
                <c:pt idx="7">
                  <c:v>13.290623443654569</c:v>
                </c:pt>
                <c:pt idx="8">
                  <c:v>12.77629993174159</c:v>
                </c:pt>
                <c:pt idx="9">
                  <c:v>12.538545285737612</c:v>
                </c:pt>
                <c:pt idx="10">
                  <c:v>11.88320694473542</c:v>
                </c:pt>
                <c:pt idx="11">
                  <c:v>11.221476167450048</c:v>
                </c:pt>
                <c:pt idx="12">
                  <c:v>10.635526155250957</c:v>
                </c:pt>
                <c:pt idx="13">
                  <c:v>9.9769090412782226</c:v>
                </c:pt>
                <c:pt idx="14">
                  <c:v>9.372592664612295</c:v>
                </c:pt>
                <c:pt idx="15">
                  <c:v>9.2378219073413419</c:v>
                </c:pt>
                <c:pt idx="16">
                  <c:v>9.1392253348404839</c:v>
                </c:pt>
                <c:pt idx="17">
                  <c:v>8.1838799429936984</c:v>
                </c:pt>
                <c:pt idx="18">
                  <c:v>7.2357085977795403</c:v>
                </c:pt>
                <c:pt idx="19">
                  <c:v>6.075191085273703</c:v>
                </c:pt>
                <c:pt idx="20">
                  <c:v>5.8531378885683845</c:v>
                </c:pt>
                <c:pt idx="21">
                  <c:v>5.155177292174514</c:v>
                </c:pt>
                <c:pt idx="22">
                  <c:v>3.8767889644579157</c:v>
                </c:pt>
                <c:pt idx="23">
                  <c:v>3.6628506035494377</c:v>
                </c:pt>
                <c:pt idx="24">
                  <c:v>3.5348321088907397</c:v>
                </c:pt>
                <c:pt idx="25">
                  <c:v>3.0058301235393827</c:v>
                </c:pt>
                <c:pt idx="26">
                  <c:v>2.5364904223920774</c:v>
                </c:pt>
                <c:pt idx="27">
                  <c:v>2.3482688032487662</c:v>
                </c:pt>
                <c:pt idx="28">
                  <c:v>2.2357160504246592</c:v>
                </c:pt>
                <c:pt idx="29">
                  <c:v>-2.1234635303686673</c:v>
                </c:pt>
                <c:pt idx="30">
                  <c:v>-2.4226732941124283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3-41E0-AC64-93A10F145CE9}"/>
            </c:ext>
          </c:extLst>
        </c:ser>
        <c:ser>
          <c:idx val="3"/>
          <c:order val="1"/>
          <c:tx>
            <c:strRef>
              <c:f>'Graf-letiště'!$V$12</c:f>
              <c:strCache>
                <c:ptCount val="1"/>
                <c:pt idx="0">
                  <c:v> Přepravované osoby  (y/y, %, rok 2015)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noFill/>
              <a:prstDash val="solid"/>
            </a:ln>
          </c:spPr>
          <c:cat>
            <c:strRef>
              <c:f>'Graf-letiště'!$T$13:$T$43</c:f>
              <c:strCache>
                <c:ptCount val="31"/>
                <c:pt idx="0">
                  <c:v>Island</c:v>
                </c:pt>
                <c:pt idx="1">
                  <c:v>Bulharsko</c:v>
                </c:pt>
                <c:pt idx="2">
                  <c:v>Rumunsko</c:v>
                </c:pt>
                <c:pt idx="3">
                  <c:v>Kypr</c:v>
                </c:pt>
                <c:pt idx="4">
                  <c:v>Maďarsko</c:v>
                </c:pt>
                <c:pt idx="5">
                  <c:v>Chorvatsko</c:v>
                </c:pt>
                <c:pt idx="6">
                  <c:v>Litva</c:v>
                </c:pt>
                <c:pt idx="7">
                  <c:v>Slovensko</c:v>
                </c:pt>
                <c:pt idx="8">
                  <c:v>Portugalsko</c:v>
                </c:pt>
                <c:pt idx="9">
                  <c:v>Lucemburs.</c:v>
                </c:pt>
                <c:pt idx="10">
                  <c:v>Polsko</c:v>
                </c:pt>
                <c:pt idx="11">
                  <c:v>Španělsko</c:v>
                </c:pt>
                <c:pt idx="12">
                  <c:v>Irsko</c:v>
                </c:pt>
                <c:pt idx="13">
                  <c:v>Malta</c:v>
                </c:pt>
                <c:pt idx="14">
                  <c:v>Nizozemsko</c:v>
                </c:pt>
                <c:pt idx="15">
                  <c:v>Dánsko</c:v>
                </c:pt>
                <c:pt idx="16">
                  <c:v>Česko</c:v>
                </c:pt>
                <c:pt idx="17">
                  <c:v>Řecko</c:v>
                </c:pt>
                <c:pt idx="18">
                  <c:v>Vel.Británie</c:v>
                </c:pt>
                <c:pt idx="19">
                  <c:v>Švédsko</c:v>
                </c:pt>
                <c:pt idx="20">
                  <c:v>Itálie</c:v>
                </c:pt>
                <c:pt idx="21">
                  <c:v>Lotyšsko</c:v>
                </c:pt>
                <c:pt idx="22">
                  <c:v>Německo</c:v>
                </c:pt>
                <c:pt idx="23">
                  <c:v>Francie</c:v>
                </c:pt>
                <c:pt idx="24">
                  <c:v>Finsko</c:v>
                </c:pt>
                <c:pt idx="25">
                  <c:v>Švýcarsko</c:v>
                </c:pt>
                <c:pt idx="26">
                  <c:v>Estonsko</c:v>
                </c:pt>
                <c:pt idx="27">
                  <c:v>Rakousko</c:v>
                </c:pt>
                <c:pt idx="28">
                  <c:v>Norsko</c:v>
                </c:pt>
                <c:pt idx="29">
                  <c:v>Slovinsko</c:v>
                </c:pt>
                <c:pt idx="30">
                  <c:v>Belgie</c:v>
                </c:pt>
              </c:strCache>
            </c:strRef>
          </c:cat>
          <c:val>
            <c:numRef>
              <c:f>'Graf-letiště'!$V$13:$V$43</c:f>
              <c:numCache>
                <c:formatCode>0.0</c:formatCode>
                <c:ptCount val="31"/>
                <c:pt idx="0">
                  <c:v>25.785509394557717</c:v>
                </c:pt>
                <c:pt idx="1">
                  <c:v>1.2021681612364021</c:v>
                </c:pt>
                <c:pt idx="2">
                  <c:v>15.340142051051714</c:v>
                </c:pt>
                <c:pt idx="3">
                  <c:v>3.5783496480747914</c:v>
                </c:pt>
                <c:pt idx="4">
                  <c:v>12.959952502791896</c:v>
                </c:pt>
                <c:pt idx="5">
                  <c:v>7.0203146007691686</c:v>
                </c:pt>
                <c:pt idx="6">
                  <c:v>11.302437264850205</c:v>
                </c:pt>
                <c:pt idx="7">
                  <c:v>16.296752807711254</c:v>
                </c:pt>
                <c:pt idx="8">
                  <c:v>10.585011227321926</c:v>
                </c:pt>
                <c:pt idx="9">
                  <c:v>8.9489506515980999</c:v>
                </c:pt>
                <c:pt idx="10">
                  <c:v>12.417257085158013</c:v>
                </c:pt>
                <c:pt idx="11">
                  <c:v>5.6231476224198218</c:v>
                </c:pt>
                <c:pt idx="12">
                  <c:v>12.299534039714384</c:v>
                </c:pt>
                <c:pt idx="13">
                  <c:v>7.6811781357342035</c:v>
                </c:pt>
                <c:pt idx="14">
                  <c:v>5.9185229387020541</c:v>
                </c:pt>
                <c:pt idx="15">
                  <c:v>3.7437427587564418</c:v>
                </c:pt>
                <c:pt idx="16">
                  <c:v>4.9017982225475594</c:v>
                </c:pt>
                <c:pt idx="17">
                  <c:v>7.6143507233644669</c:v>
                </c:pt>
                <c:pt idx="18">
                  <c:v>5.5668836403089275</c:v>
                </c:pt>
                <c:pt idx="19">
                  <c:v>3.8003154057699637</c:v>
                </c:pt>
                <c:pt idx="20">
                  <c:v>5.3619254134262615</c:v>
                </c:pt>
                <c:pt idx="21">
                  <c:v>7.1543903502543165</c:v>
                </c:pt>
                <c:pt idx="22">
                  <c:v>4.0175945832963285</c:v>
                </c:pt>
                <c:pt idx="23">
                  <c:v>3.3135136961361269</c:v>
                </c:pt>
                <c:pt idx="24">
                  <c:v>1.7896356560016358</c:v>
                </c:pt>
                <c:pt idx="25">
                  <c:v>6.4245336386209564</c:v>
                </c:pt>
                <c:pt idx="26">
                  <c:v>6.9893841289708121</c:v>
                </c:pt>
                <c:pt idx="27">
                  <c:v>1.4228576142335783</c:v>
                </c:pt>
                <c:pt idx="28">
                  <c:v>-0.26736872843011383</c:v>
                </c:pt>
                <c:pt idx="29">
                  <c:v>9.8594016806311231</c:v>
                </c:pt>
                <c:pt idx="30">
                  <c:v>7.5831814077885555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93-41E0-AC64-93A10F145CE9}"/>
            </c:ext>
          </c:extLst>
        </c:ser>
        <c:axId val="143960704"/>
        <c:axId val="144024320"/>
      </c:barChart>
      <c:lineChart>
        <c:grouping val="standard"/>
        <c:ser>
          <c:idx val="1"/>
          <c:order val="2"/>
          <c:tx>
            <c:strRef>
              <c:f>'Graf-letiště'!$W$12</c:f>
              <c:strCache>
                <c:ptCount val="1"/>
                <c:pt idx="0">
                  <c:v> Přepravované os. v r. 2016 (v mil., pr.osa)*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48AEE7"/>
              </a:solidFill>
              <a:ln>
                <a:noFill/>
              </a:ln>
            </c:spPr>
          </c:marker>
          <c:cat>
            <c:strRef>
              <c:f>'Graf-letiště'!$T$13:$T$43</c:f>
              <c:strCache>
                <c:ptCount val="31"/>
                <c:pt idx="0">
                  <c:v>Island</c:v>
                </c:pt>
                <c:pt idx="1">
                  <c:v>Bulharsko</c:v>
                </c:pt>
                <c:pt idx="2">
                  <c:v>Rumunsko</c:v>
                </c:pt>
                <c:pt idx="3">
                  <c:v>Kypr</c:v>
                </c:pt>
                <c:pt idx="4">
                  <c:v>Maďarsko</c:v>
                </c:pt>
                <c:pt idx="5">
                  <c:v>Chorvatsko</c:v>
                </c:pt>
                <c:pt idx="6">
                  <c:v>Litva</c:v>
                </c:pt>
                <c:pt idx="7">
                  <c:v>Slovensko</c:v>
                </c:pt>
                <c:pt idx="8">
                  <c:v>Portugalsko</c:v>
                </c:pt>
                <c:pt idx="9">
                  <c:v>Lucemburs.</c:v>
                </c:pt>
                <c:pt idx="10">
                  <c:v>Polsko</c:v>
                </c:pt>
                <c:pt idx="11">
                  <c:v>Španělsko</c:v>
                </c:pt>
                <c:pt idx="12">
                  <c:v>Irsko</c:v>
                </c:pt>
                <c:pt idx="13">
                  <c:v>Malta</c:v>
                </c:pt>
                <c:pt idx="14">
                  <c:v>Nizozemsko</c:v>
                </c:pt>
                <c:pt idx="15">
                  <c:v>Dánsko</c:v>
                </c:pt>
                <c:pt idx="16">
                  <c:v>Česko</c:v>
                </c:pt>
                <c:pt idx="17">
                  <c:v>Řecko</c:v>
                </c:pt>
                <c:pt idx="18">
                  <c:v>Vel.Británie</c:v>
                </c:pt>
                <c:pt idx="19">
                  <c:v>Švédsko</c:v>
                </c:pt>
                <c:pt idx="20">
                  <c:v>Itálie</c:v>
                </c:pt>
                <c:pt idx="21">
                  <c:v>Lotyšsko</c:v>
                </c:pt>
                <c:pt idx="22">
                  <c:v>Německo</c:v>
                </c:pt>
                <c:pt idx="23">
                  <c:v>Francie</c:v>
                </c:pt>
                <c:pt idx="24">
                  <c:v>Finsko</c:v>
                </c:pt>
                <c:pt idx="25">
                  <c:v>Švýcarsko</c:v>
                </c:pt>
                <c:pt idx="26">
                  <c:v>Estonsko</c:v>
                </c:pt>
                <c:pt idx="27">
                  <c:v>Rakousko</c:v>
                </c:pt>
                <c:pt idx="28">
                  <c:v>Norsko</c:v>
                </c:pt>
                <c:pt idx="29">
                  <c:v>Slovinsko</c:v>
                </c:pt>
                <c:pt idx="30">
                  <c:v>Belgie</c:v>
                </c:pt>
              </c:strCache>
            </c:strRef>
          </c:cat>
          <c:val>
            <c:numRef>
              <c:f>'Graf-letiště'!$W$13:$W$43</c:f>
              <c:numCache>
                <c:formatCode>0_ ;\-0\ </c:formatCode>
                <c:ptCount val="31"/>
                <c:pt idx="0">
                  <c:v>6.8154390000000005</c:v>
                </c:pt>
                <c:pt idx="1">
                  <c:v>9.377319</c:v>
                </c:pt>
                <c:pt idx="2">
                  <c:v>15.215421000000001</c:v>
                </c:pt>
                <c:pt idx="3">
                  <c:v>9.1094640000000027</c:v>
                </c:pt>
                <c:pt idx="4">
                  <c:v>11.694505000000001</c:v>
                </c:pt>
                <c:pt idx="5">
                  <c:v>7.5104819999999846</c:v>
                </c:pt>
                <c:pt idx="6">
                  <c:v>4.7935410000000003</c:v>
                </c:pt>
                <c:pt idx="7">
                  <c:v>2.2019799999999998</c:v>
                </c:pt>
                <c:pt idx="8">
                  <c:v>40.604376000000009</c:v>
                </c:pt>
                <c:pt idx="9">
                  <c:v>2.9842419999999987</c:v>
                </c:pt>
                <c:pt idx="10">
                  <c:v>32.341648999999997</c:v>
                </c:pt>
                <c:pt idx="11">
                  <c:v>194.251092</c:v>
                </c:pt>
                <c:pt idx="12">
                  <c:v>32.689406999999996</c:v>
                </c:pt>
                <c:pt idx="13">
                  <c:v>5.0804460000000002</c:v>
                </c:pt>
                <c:pt idx="14">
                  <c:v>70.622838999999317</c:v>
                </c:pt>
                <c:pt idx="15">
                  <c:v>32.869476000000006</c:v>
                </c:pt>
                <c:pt idx="16">
                  <c:v>13.830127000000001</c:v>
                </c:pt>
                <c:pt idx="17">
                  <c:v>45.541520999999996</c:v>
                </c:pt>
                <c:pt idx="18">
                  <c:v>249.076212</c:v>
                </c:pt>
                <c:pt idx="19">
                  <c:v>36.076810000000002</c:v>
                </c:pt>
                <c:pt idx="20">
                  <c:v>135.12403499999999</c:v>
                </c:pt>
                <c:pt idx="21">
                  <c:v>5.4111339999999997</c:v>
                </c:pt>
                <c:pt idx="22">
                  <c:v>201.45493300000001</c:v>
                </c:pt>
                <c:pt idx="23">
                  <c:v>146.04014100000001</c:v>
                </c:pt>
                <c:pt idx="24">
                  <c:v>18.097107999999999</c:v>
                </c:pt>
                <c:pt idx="25">
                  <c:v>50.566486999999995</c:v>
                </c:pt>
                <c:pt idx="26">
                  <c:v>2.2157910000000012</c:v>
                </c:pt>
                <c:pt idx="27">
                  <c:v>27.382262999999881</c:v>
                </c:pt>
                <c:pt idx="28">
                  <c:v>38.339513000000011</c:v>
                </c:pt>
                <c:pt idx="29">
                  <c:v>1.4055099999999914</c:v>
                </c:pt>
                <c:pt idx="30">
                  <c:v>30.207134999999987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93-41E0-AC64-93A10F145CE9}"/>
            </c:ext>
          </c:extLst>
        </c:ser>
        <c:marker val="1"/>
        <c:axId val="144719872"/>
        <c:axId val="144025856"/>
      </c:lineChart>
      <c:catAx>
        <c:axId val="14396070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44024320"/>
        <c:crossesAt val="0"/>
        <c:lblAlgn val="ctr"/>
        <c:lblOffset val="0"/>
        <c:tickLblSkip val="1"/>
        <c:tickMarkSkip val="4"/>
      </c:catAx>
      <c:valAx>
        <c:axId val="144024320"/>
        <c:scaling>
          <c:orientation val="minMax"/>
          <c:max val="45"/>
          <c:min val="-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3960704"/>
        <c:crosses val="autoZero"/>
        <c:crossBetween val="between"/>
        <c:majorUnit val="5"/>
      </c:valAx>
      <c:valAx>
        <c:axId val="144025856"/>
        <c:scaling>
          <c:logBase val="10"/>
          <c:orientation val="minMax"/>
        </c:scaling>
        <c:axPos val="r"/>
        <c:numFmt formatCode="0_ ;\-0\ " sourceLinked="1"/>
        <c:tickLblPos val="nextTo"/>
        <c:crossAx val="144719872"/>
        <c:crosses val="max"/>
        <c:crossBetween val="between"/>
      </c:valAx>
      <c:catAx>
        <c:axId val="144719872"/>
        <c:scaling>
          <c:orientation val="minMax"/>
        </c:scaling>
        <c:delete val="1"/>
        <c:axPos val="b"/>
        <c:numFmt formatCode="General" sourceLinked="1"/>
        <c:tickLblPos val="none"/>
        <c:crossAx val="144025856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762185640071534E-2"/>
          <c:y val="0.91035357111322457"/>
          <c:w val="0.9085830450280995"/>
          <c:h val="7.2718397592990924E-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657C-9D21-4CCD-A489-07C4E291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5</Pages>
  <Words>1377</Words>
  <Characters>8130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9489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2</cp:revision>
  <cp:lastPrinted>2014-07-17T14:07:00Z</cp:lastPrinted>
  <dcterms:created xsi:type="dcterms:W3CDTF">2018-10-29T16:16:00Z</dcterms:created>
  <dcterms:modified xsi:type="dcterms:W3CDTF">2018-10-29T16:16:00Z</dcterms:modified>
</cp:coreProperties>
</file>