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7" w:rsidRPr="00360DE3" w:rsidRDefault="009540B7" w:rsidP="009540B7">
      <w:pPr>
        <w:spacing w:after="0"/>
        <w:rPr>
          <w:sz w:val="2"/>
          <w:szCs w:val="2"/>
        </w:rPr>
      </w:pPr>
    </w:p>
    <w:p w:rsidR="00C466D2" w:rsidRPr="00360DE3" w:rsidRDefault="00E212C9" w:rsidP="00141782">
      <w:pPr>
        <w:pStyle w:val="Nadpis1"/>
        <w:rPr>
          <w:lang w:eastAsia="en-US"/>
        </w:rPr>
      </w:pPr>
      <w:bookmarkStart w:id="0" w:name="_Toc527639487"/>
      <w:r w:rsidRPr="00360DE3">
        <w:rPr>
          <w:lang w:eastAsia="en-US"/>
        </w:rPr>
        <w:t>15</w:t>
      </w:r>
      <w:r w:rsidR="00141782" w:rsidRPr="00360DE3">
        <w:rPr>
          <w:lang w:eastAsia="en-US"/>
        </w:rPr>
        <w:t>. Informační a komunikační činnosti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9540B7" w:rsidRPr="00360DE3" w:rsidTr="007C13A4">
        <w:trPr>
          <w:trHeight w:val="145"/>
        </w:trPr>
        <w:tc>
          <w:tcPr>
            <w:tcW w:w="1976" w:type="dxa"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Hrubá přidaná hodnota rostla v informačních a komunikačních činnostech vyšším tempem než v celé ekonomice již pátým rokem v řadě.</w:t>
            </w:r>
          </w:p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  <w:p w:rsidR="00C21405" w:rsidRPr="00360DE3" w:rsidRDefault="00C21405" w:rsidP="00DC37E3">
            <w:pPr>
              <w:pStyle w:val="Marginlie"/>
              <w:rPr>
                <w:spacing w:val="0"/>
              </w:rPr>
            </w:pPr>
          </w:p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I přes sílící mzdové náklady zůstává míra zisku podniků v tomto odvětví výrazně nadprůměrná, a to i v evropském srovnání.</w:t>
            </w:r>
          </w:p>
        </w:tc>
        <w:tc>
          <w:tcPr>
            <w:tcW w:w="277" w:type="dxa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9540B7" w:rsidP="00C43F51">
            <w:pPr>
              <w:spacing w:after="200"/>
              <w:rPr>
                <w:szCs w:val="20"/>
              </w:rPr>
            </w:pPr>
            <w:r w:rsidRPr="00360DE3">
              <w:t>Informační a komunikační činnosti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 představují dynamický segment služeb. Na rozdíl od většiny ostatních odvětví nezaznamenaly v posledních dvou obdobích recese výraznější útlum. Hrubá přidaná hodnota (HPH) v tomto odvětví vloni zrychlila svůj meziroční růst na 5,7 %. Zároveň zaznamenala vyšší tempo než v celé ekonomice (i službách jako celku) již pátým</w:t>
            </w:r>
            <w:r w:rsidR="00274037">
              <w:t xml:space="preserve"> rokem v řadě. To se odrazilo i</w:t>
            </w:r>
            <w:r w:rsidR="00274037" w:rsidRPr="00360DE3">
              <w:t> </w:t>
            </w:r>
            <w:r w:rsidRPr="00360DE3">
              <w:t>v míře zisku nefinančních podniků v informačních a komunikačních činnostech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>. Ta loni činila 56</w:t>
            </w:r>
            <w:r w:rsidRPr="00360DE3">
              <w:rPr>
                <w:szCs w:val="20"/>
              </w:rPr>
              <w:t> </w:t>
            </w:r>
            <w:r w:rsidRPr="00360DE3">
              <w:t>% a patřila mezi odvětvími služeb k nejvyšším</w:t>
            </w:r>
            <w:r w:rsidRPr="00360DE3">
              <w:rPr>
                <w:rStyle w:val="Znakapoznpodarou"/>
              </w:rPr>
              <w:footnoteReference w:id="3"/>
            </w:r>
            <w:r w:rsidRPr="00360DE3">
              <w:t>. V posledníc</w:t>
            </w:r>
            <w:r w:rsidR="00775F45">
              <w:t>h deseti letech ale nelze přehlé</w:t>
            </w:r>
            <w:r w:rsidRPr="00360DE3">
              <w:t>dnout trend mírného snižování ziskovosti, její loňská hodnota tak byla zároveň minimem ve sledované řadě. V evropském srovnání však zůstává ziskovost odvětví výrazně nadprůměrná</w:t>
            </w:r>
            <w:r w:rsidR="007C13A4" w:rsidRPr="00360DE3">
              <w:t>.</w:t>
            </w:r>
            <w:r w:rsidRPr="00360DE3">
              <w:rPr>
                <w:szCs w:val="20"/>
              </w:rPr>
              <w:t xml:space="preserve"> Ovlivňují ji sílící mzdové náklady, které v tomto odvětví v letech v 2016 i 2017 rostly v Česku o více než 8 %. K jejich navyšování přispíval – více než v jiných odvětvích – dynamický růst zaměstnanosti. Oproti roku 2008 zde pracovalo o 13,6 % lidí více (po přepočtu na plné úvazky), zatímco ve službách jako celku o 4,7 % a v cel</w:t>
            </w:r>
            <w:r w:rsidR="00775F45">
              <w:rPr>
                <w:szCs w:val="20"/>
              </w:rPr>
              <w:t>é ekonomice dokonce pouze o</w:t>
            </w:r>
            <w:r w:rsidR="00775F45" w:rsidRPr="00360DE3">
              <w:rPr>
                <w:szCs w:val="20"/>
              </w:rPr>
              <w:t> </w:t>
            </w:r>
            <w:r w:rsidR="00775F45">
              <w:rPr>
                <w:szCs w:val="20"/>
              </w:rPr>
              <w:t>1,7</w:t>
            </w:r>
            <w:r w:rsidR="00775F45" w:rsidRPr="00360DE3">
              <w:rPr>
                <w:szCs w:val="20"/>
              </w:rPr>
              <w:t> </w:t>
            </w:r>
            <w:r w:rsidRPr="00360DE3">
              <w:rPr>
                <w:szCs w:val="20"/>
              </w:rPr>
              <w:t>%. Vyšší kvalifikační nároky míst</w:t>
            </w:r>
            <w:r w:rsidRPr="00360DE3">
              <w:rPr>
                <w:rStyle w:val="Znakapoznpodarou"/>
                <w:szCs w:val="20"/>
              </w:rPr>
              <w:footnoteReference w:id="4"/>
            </w:r>
            <w:r w:rsidRPr="00360DE3">
              <w:rPr>
                <w:szCs w:val="20"/>
              </w:rPr>
              <w:t xml:space="preserve"> společně s dlouhodobě neuspokojenou poptávkou po pracovnících (např. v oblasti programování) vedou k tomu, že průměrná mzda patří v tomto odvětví (spolu s finančnictvím) dlouhodobě k nejvyšším. Vloni přesahovala 51 tis. korun měsíčně. </w:t>
            </w:r>
          </w:p>
        </w:tc>
      </w:tr>
      <w:tr w:rsidR="009540B7" w:rsidRPr="00360DE3" w:rsidTr="007C13A4">
        <w:tc>
          <w:tcPr>
            <w:tcW w:w="1976" w:type="dxa"/>
            <w:vMerge w:val="restart"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9540B7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 xml:space="preserve">15.1  </w:t>
            </w:r>
            <w:r w:rsidRPr="00360DE3">
              <w:rPr>
                <w:b/>
                <w:bCs/>
              </w:rPr>
              <w:t>Základní</w:t>
            </w:r>
            <w:proofErr w:type="gramEnd"/>
            <w:r w:rsidRPr="00360DE3">
              <w:rPr>
                <w:b/>
                <w:bCs/>
              </w:rPr>
              <w:t xml:space="preserve"> ukazatele odvětví informační a komunikační činnosti </w:t>
            </w:r>
            <w:r w:rsidRPr="00360DE3">
              <w:rPr>
                <w:b/>
              </w:rPr>
              <w:t>v ČR</w:t>
            </w:r>
          </w:p>
          <w:p w:rsidR="009540B7" w:rsidRPr="00360DE3" w:rsidRDefault="009540B7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53890" cy="3610099"/>
                  <wp:effectExtent l="19050" t="0" r="0" b="0"/>
                  <wp:docPr id="9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540B7" w:rsidRPr="00360DE3" w:rsidTr="007C13A4">
        <w:trPr>
          <w:trHeight w:val="284"/>
        </w:trPr>
        <w:tc>
          <w:tcPr>
            <w:tcW w:w="1976" w:type="dxa"/>
            <w:vMerge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9540B7" w:rsidP="00DC37E3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 </w:t>
            </w:r>
          </w:p>
          <w:p w:rsidR="009540B7" w:rsidRPr="00360DE3" w:rsidRDefault="009540B7" w:rsidP="00C43F51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Zdroj: ČSÚ (národní účty) </w:t>
            </w:r>
          </w:p>
        </w:tc>
      </w:tr>
      <w:tr w:rsidR="009540B7" w:rsidRPr="00360DE3" w:rsidTr="007C13A4">
        <w:trPr>
          <w:trHeight w:val="170"/>
        </w:trPr>
        <w:tc>
          <w:tcPr>
            <w:tcW w:w="1976" w:type="dxa"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Hodinová produktivita práce v odvětví převyšovala úrovně celé ekonomiky téměř dvojnásobně.</w:t>
            </w:r>
          </w:p>
        </w:tc>
        <w:tc>
          <w:tcPr>
            <w:tcW w:w="277" w:type="dxa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7C13A4" w:rsidP="007C13A4">
            <w:pPr>
              <w:spacing w:after="220"/>
              <w:rPr>
                <w:szCs w:val="20"/>
              </w:rPr>
            </w:pPr>
            <w:r w:rsidRPr="00360DE3">
              <w:rPr>
                <w:szCs w:val="20"/>
              </w:rPr>
              <w:t>V rámci odvětví existovaly výrazné rozdíly, nejvyšší hrubou měsíční mzdu pobí</w:t>
            </w:r>
            <w:r w:rsidR="00775F45">
              <w:rPr>
                <w:szCs w:val="20"/>
              </w:rPr>
              <w:t xml:space="preserve">rali zaměstnanci v segmentech s </w:t>
            </w:r>
            <w:r w:rsidRPr="00360DE3">
              <w:rPr>
                <w:szCs w:val="20"/>
              </w:rPr>
              <w:t>vysokým podílem podniků pod zahraniční kontrolou</w:t>
            </w:r>
            <w:r w:rsidRPr="00360DE3">
              <w:rPr>
                <w:rStyle w:val="Znakapoznpodarou"/>
                <w:szCs w:val="20"/>
              </w:rPr>
              <w:footnoteReference w:id="5"/>
            </w:r>
            <w:r w:rsidRPr="00360DE3">
              <w:rPr>
                <w:szCs w:val="20"/>
              </w:rPr>
              <w:t xml:space="preserve">. </w:t>
            </w:r>
            <w:r w:rsidR="009540B7" w:rsidRPr="00360DE3">
              <w:rPr>
                <w:szCs w:val="20"/>
              </w:rPr>
              <w:t>Úroveň výdělků v informačních a komunikačních činnostech souvisí také s vysokou hodinovou produktivitou práce v tomto odvětví (ta byla vloni ve srovnání s národním hospodářstvím téměř dvojnásobná). Nadprůměrnou produktivitu si v rámci tohoto odvětví udržovaly všechny oddíly, vč. těch, kde nepřevládaly podniky pod zahraniční kontrolou. Silný růst reálné hodinové produktivity práce v celém odvětví se po roce 2015 zastavil. I tak loni převyšoval úroveň roku 2010 o 21 %, dvakrát více než v celé ekonomice.</w:t>
            </w:r>
          </w:p>
        </w:tc>
      </w:tr>
      <w:tr w:rsidR="009540B7" w:rsidRPr="00360DE3" w:rsidTr="007C13A4">
        <w:trPr>
          <w:trHeight w:val="136"/>
        </w:trPr>
        <w:tc>
          <w:tcPr>
            <w:tcW w:w="1976" w:type="dxa"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Na investice směřovalo v relaci k HPH nejvíce ve filmovém a hudebním průmyslu, nejméně ve vydavatelských činnostech. </w:t>
            </w:r>
          </w:p>
        </w:tc>
        <w:tc>
          <w:tcPr>
            <w:tcW w:w="277" w:type="dxa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C43F51" w:rsidRDefault="009540B7" w:rsidP="00DC37E3">
            <w:pPr>
              <w:spacing w:after="220"/>
              <w:rPr>
                <w:spacing w:val="-2"/>
                <w:szCs w:val="20"/>
              </w:rPr>
            </w:pPr>
            <w:r w:rsidRPr="00C43F51">
              <w:rPr>
                <w:spacing w:val="-2"/>
                <w:szCs w:val="20"/>
              </w:rPr>
              <w:t>Přestože se míra investic v informačních a komunikačních činnostech v letech 2016 i 2017 mírně snížila, stále svou úrovní (32 %) převyšovala jak celou ekonomiku, tak i drtivou většinu odvětví služeb</w:t>
            </w:r>
            <w:r w:rsidRPr="00C43F51">
              <w:rPr>
                <w:rStyle w:val="Znakapoznpodarou"/>
                <w:spacing w:val="-2"/>
                <w:szCs w:val="20"/>
              </w:rPr>
              <w:footnoteReference w:id="6"/>
            </w:r>
            <w:r w:rsidRPr="00C43F51">
              <w:rPr>
                <w:spacing w:val="-2"/>
                <w:szCs w:val="20"/>
              </w:rPr>
              <w:t>. In</w:t>
            </w:r>
            <w:r w:rsidR="00775F45" w:rsidRPr="00C43F51">
              <w:rPr>
                <w:spacing w:val="-2"/>
                <w:szCs w:val="20"/>
              </w:rPr>
              <w:t>vestiční aktivita byla vysoká i v  </w:t>
            </w:r>
            <w:r w:rsidRPr="00C43F51">
              <w:rPr>
                <w:spacing w:val="-2"/>
                <w:szCs w:val="20"/>
              </w:rPr>
              <w:t>evropském kontextu</w:t>
            </w:r>
            <w:r w:rsidRPr="00C43F51">
              <w:rPr>
                <w:rStyle w:val="Znakapoznpodarou"/>
                <w:spacing w:val="-2"/>
                <w:szCs w:val="20"/>
              </w:rPr>
              <w:footnoteReference w:id="7"/>
            </w:r>
            <w:r w:rsidRPr="00C43F51">
              <w:rPr>
                <w:spacing w:val="-2"/>
                <w:szCs w:val="20"/>
              </w:rPr>
              <w:t>. V rámci sledovaného odvětví věnoval na tvorbu fixního kapitálu v relaci k HPH nejvíce filmový a hudební průmysl (loni 55 %). Na opačné straně spektra pak tradičně figurovaly vydavatelské činnosti (16 %). Ve skladbě investic v odvětví informační a komunikační činnosti dominovaly produkty duševního vlastnictví (67 %), kde šlo hlavně o počítačové programové vybavení a databáze, ale také o originální umělecká díla (filmy, zvukové nahrávky) a z menší části i o výzkum a vývoj</w:t>
            </w:r>
            <w:r w:rsidRPr="00C43F51">
              <w:rPr>
                <w:rStyle w:val="Znakapoznpodarou"/>
                <w:spacing w:val="-2"/>
                <w:szCs w:val="20"/>
              </w:rPr>
              <w:footnoteReference w:id="8"/>
            </w:r>
            <w:r w:rsidRPr="00C43F51">
              <w:rPr>
                <w:spacing w:val="-2"/>
                <w:szCs w:val="20"/>
              </w:rPr>
              <w:t>. Odvětví informačních a komunikačních činností loni realizovalo čtvrtinu ze všech investic do duševního vlastnictví v celé ekonomice (200 mld. korun).</w:t>
            </w:r>
          </w:p>
        </w:tc>
      </w:tr>
      <w:tr w:rsidR="009540B7" w:rsidRPr="00360DE3" w:rsidTr="007C13A4">
        <w:tc>
          <w:tcPr>
            <w:tcW w:w="1976" w:type="dxa"/>
            <w:vMerge w:val="restart"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9540B7" w:rsidP="00DC37E3">
            <w:pPr>
              <w:spacing w:after="0"/>
              <w:jc w:val="left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15.2  Příspěvky</w:t>
            </w:r>
            <w:proofErr w:type="gramEnd"/>
            <w:r w:rsidRPr="00360DE3">
              <w:rPr>
                <w:b/>
              </w:rPr>
              <w:t xml:space="preserve"> odvětvových oddílů k meziroční změně HPH v uskupení </w:t>
            </w:r>
            <w:r w:rsidRPr="00360DE3">
              <w:rPr>
                <w:b/>
                <w:bCs/>
              </w:rPr>
              <w:t>informační a komunikační činnosti</w:t>
            </w:r>
            <w:r w:rsidRPr="00360DE3">
              <w:t xml:space="preserve"> </w:t>
            </w:r>
            <w:r w:rsidRPr="00360DE3">
              <w:rPr>
                <w:b/>
              </w:rPr>
              <w:t>v</w:t>
            </w:r>
            <w:r w:rsidR="00775F45">
              <w:rPr>
                <w:b/>
              </w:rPr>
              <w:t> </w:t>
            </w:r>
            <w:r w:rsidRPr="00360DE3">
              <w:rPr>
                <w:b/>
              </w:rPr>
              <w:t>ČR</w:t>
            </w:r>
            <w:r w:rsidR="00775F45">
              <w:rPr>
                <w:b/>
              </w:rPr>
              <w:t xml:space="preserve"> </w:t>
            </w:r>
            <w:r w:rsidRPr="00360DE3">
              <w:t>(reálně, v procentních bodech)</w:t>
            </w:r>
          </w:p>
          <w:p w:rsidR="009540B7" w:rsidRPr="00360DE3" w:rsidRDefault="009540B7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72940" cy="3521034"/>
                  <wp:effectExtent l="0" t="0" r="0" b="0"/>
                  <wp:docPr id="9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540B7" w:rsidRPr="00360DE3" w:rsidTr="007C13A4">
        <w:trPr>
          <w:trHeight w:val="284"/>
        </w:trPr>
        <w:tc>
          <w:tcPr>
            <w:tcW w:w="1976" w:type="dxa"/>
            <w:vMerge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9540B7" w:rsidP="00C43F51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Zdroj: ČSÚ (národní účty) </w:t>
            </w:r>
          </w:p>
        </w:tc>
      </w:tr>
      <w:tr w:rsidR="009540B7" w:rsidRPr="00360DE3" w:rsidTr="007C13A4">
        <w:trPr>
          <w:trHeight w:val="170"/>
        </w:trPr>
        <w:tc>
          <w:tcPr>
            <w:tcW w:w="1976" w:type="dxa"/>
          </w:tcPr>
          <w:p w:rsidR="009540B7" w:rsidRPr="00360DE3" w:rsidRDefault="009540B7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Na loňském růstu HPH v odvětví informačních a komunikačních činností se podílely všechny jeho segmenty vyjma filmového a hudebního průmyslu.</w:t>
            </w:r>
          </w:p>
        </w:tc>
        <w:tc>
          <w:tcPr>
            <w:tcW w:w="277" w:type="dxa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360DE3" w:rsidRDefault="009540B7" w:rsidP="00DC37E3">
            <w:pPr>
              <w:rPr>
                <w:szCs w:val="20"/>
              </w:rPr>
            </w:pPr>
            <w:r w:rsidRPr="00360DE3">
              <w:rPr>
                <w:szCs w:val="20"/>
              </w:rPr>
              <w:t xml:space="preserve">V odvětví informační a komunikační činnosti loni pracovalo 144 tis. lidí (po přepočtu na plné úvazky). </w:t>
            </w:r>
            <w:r w:rsidR="00775F45">
              <w:rPr>
                <w:szCs w:val="20"/>
              </w:rPr>
              <w:t>Největší váhu měl oddíl činností</w:t>
            </w:r>
            <w:r w:rsidRPr="00360DE3">
              <w:rPr>
                <w:szCs w:val="20"/>
              </w:rPr>
              <w:t xml:space="preserve"> v oblasti informačních technologií (56 %)</w:t>
            </w:r>
            <w:r w:rsidRPr="00360DE3">
              <w:rPr>
                <w:rStyle w:val="Znakapoznpodarou"/>
                <w:szCs w:val="20"/>
              </w:rPr>
              <w:footnoteReference w:id="9"/>
            </w:r>
            <w:r w:rsidRPr="00360DE3">
              <w:rPr>
                <w:szCs w:val="20"/>
              </w:rPr>
              <w:t>. Ten byl pro celé odvětví klíčový i z hlediska tvorby HPH (45 %). Čtvrtinou se dále podílely telekomunikační činnosti. Na loňském růstu HPH celého odvětví participovaly všechny jeho oddíly vyjma hudebního a filmového průmyslu, který nenavázal na příznivý vývoj z předchozích tří let</w:t>
            </w:r>
            <w:r w:rsidRPr="00360DE3">
              <w:rPr>
                <w:rStyle w:val="Znakapoznpodarou"/>
                <w:szCs w:val="20"/>
              </w:rPr>
              <w:footnoteReference w:id="10"/>
            </w:r>
            <w:r w:rsidRPr="00360DE3">
              <w:rPr>
                <w:szCs w:val="20"/>
              </w:rPr>
              <w:t>. Bezmála polovinu růstu HPH v odvětví zajistily činnosti v oblasti informačních technologií, třetinu pak vydavatelské činnosti, jež po slabším předchozím roku navázaly na silné oživení z let 2014 a 2015.</w:t>
            </w:r>
          </w:p>
        </w:tc>
      </w:tr>
      <w:tr w:rsidR="007C13A4" w:rsidRPr="00360DE3" w:rsidTr="007C13A4">
        <w:tc>
          <w:tcPr>
            <w:tcW w:w="1976" w:type="dxa"/>
            <w:vMerge w:val="restart"/>
          </w:tcPr>
          <w:p w:rsidR="007C13A4" w:rsidRPr="00360DE3" w:rsidRDefault="007C13A4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7C13A4" w:rsidRPr="00360DE3" w:rsidRDefault="007C13A4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C13A4" w:rsidRPr="00360DE3" w:rsidRDefault="007C13A4" w:rsidP="00DC37E3">
            <w:pPr>
              <w:spacing w:after="0"/>
              <w:jc w:val="left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15.3  Podíl</w:t>
            </w:r>
            <w:proofErr w:type="gramEnd"/>
            <w:r w:rsidRPr="00360DE3">
              <w:rPr>
                <w:b/>
              </w:rPr>
              <w:t xml:space="preserve"> odvětví informačních a komunikačních činností na zaměstnanosti a hrubé přidané hodnotě v ekonomice</w:t>
            </w:r>
            <w:r w:rsidRPr="00360DE3">
              <w:t xml:space="preserve"> (v %, </w:t>
            </w:r>
            <w:proofErr w:type="spellStart"/>
            <w:r w:rsidRPr="00360DE3">
              <w:t>vybr</w:t>
            </w:r>
            <w:proofErr w:type="spellEnd"/>
            <w:r w:rsidRPr="00360DE3">
              <w:t>. státy Evropy)</w:t>
            </w:r>
          </w:p>
          <w:p w:rsidR="007C13A4" w:rsidRPr="00360DE3" w:rsidRDefault="00775F45" w:rsidP="00DC37E3">
            <w:pPr>
              <w:spacing w:after="0"/>
              <w:rPr>
                <w:b/>
              </w:rPr>
            </w:pPr>
            <w:r w:rsidRPr="00775F45">
              <w:rPr>
                <w:b/>
                <w:noProof/>
              </w:rPr>
              <w:drawing>
                <wp:inline distT="0" distB="0" distL="0" distR="0">
                  <wp:extent cx="4655528" cy="3562350"/>
                  <wp:effectExtent l="19050" t="0" r="0" b="0"/>
                  <wp:docPr id="3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C13A4" w:rsidRPr="00360DE3" w:rsidTr="007C13A4">
        <w:trPr>
          <w:trHeight w:val="284"/>
        </w:trPr>
        <w:tc>
          <w:tcPr>
            <w:tcW w:w="1976" w:type="dxa"/>
            <w:vMerge/>
          </w:tcPr>
          <w:p w:rsidR="007C13A4" w:rsidRPr="00360DE3" w:rsidRDefault="007C13A4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7C13A4" w:rsidRPr="00360DE3" w:rsidRDefault="007C13A4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C13A4" w:rsidRPr="00360DE3" w:rsidRDefault="00775F45" w:rsidP="00DC37E3">
            <w:pPr>
              <w:pStyle w:val="Zhlav"/>
              <w:spacing w:before="40" w:after="200" w:line="240" w:lineRule="auto"/>
              <w:rPr>
                <w:rFonts w:cs="Arial"/>
                <w:sz w:val="14"/>
                <w:szCs w:val="14"/>
                <w:lang w:eastAsia="cs-CZ"/>
              </w:rPr>
            </w:pPr>
            <w:r>
              <w:rPr>
                <w:rFonts w:cs="Arial"/>
                <w:sz w:val="14"/>
                <w:szCs w:val="14"/>
                <w:lang w:eastAsia="cs-CZ"/>
              </w:rPr>
              <w:t>Pozn.:Aktuáln</w:t>
            </w:r>
            <w:r w:rsidR="007C13A4" w:rsidRPr="00360DE3">
              <w:rPr>
                <w:rFonts w:cs="Arial"/>
                <w:sz w:val="14"/>
                <w:szCs w:val="14"/>
                <w:lang w:eastAsia="cs-CZ"/>
              </w:rPr>
              <w:t xml:space="preserve">í údaje o hrubé přidané hodnotě za Island a Černou Horu, Bosnu a Hercegovinu a také Turecko se vztahují k roku 2016. Údaje o zaměstnanosti nebyly za šest balkánských států k dispozici.                      Zdroj: </w:t>
            </w:r>
            <w:proofErr w:type="spellStart"/>
            <w:r w:rsidR="007C13A4" w:rsidRPr="00360DE3">
              <w:rPr>
                <w:rFonts w:cs="Arial"/>
                <w:sz w:val="14"/>
                <w:szCs w:val="14"/>
                <w:lang w:eastAsia="cs-CZ"/>
              </w:rPr>
              <w:t>Eurostat</w:t>
            </w:r>
            <w:proofErr w:type="spellEnd"/>
          </w:p>
        </w:tc>
      </w:tr>
      <w:tr w:rsidR="00C43F51" w:rsidRPr="00360DE3" w:rsidTr="00467485">
        <w:trPr>
          <w:trHeight w:val="170"/>
        </w:trPr>
        <w:tc>
          <w:tcPr>
            <w:tcW w:w="1976" w:type="dxa"/>
          </w:tcPr>
          <w:p w:rsidR="00C43F51" w:rsidRPr="00360DE3" w:rsidRDefault="00C43F51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Nejsilnější váhu měly informační a komuni</w:t>
            </w:r>
            <w:r>
              <w:rPr>
                <w:spacing w:val="0"/>
              </w:rPr>
              <w:t xml:space="preserve">kační činnosti v irské ekonomice </w:t>
            </w:r>
            <w:r w:rsidRPr="00360DE3">
              <w:rPr>
                <w:spacing w:val="0"/>
              </w:rPr>
              <w:t>a s odstupem i ve většině severských států Evropy.</w:t>
            </w:r>
          </w:p>
          <w:p w:rsidR="00C43F51" w:rsidRDefault="00C43F51" w:rsidP="00467485">
            <w:pPr>
              <w:pStyle w:val="Marginlie"/>
              <w:rPr>
                <w:spacing w:val="0"/>
              </w:rPr>
            </w:pPr>
          </w:p>
          <w:p w:rsidR="00C43F51" w:rsidRDefault="00C43F51" w:rsidP="00467485">
            <w:pPr>
              <w:pStyle w:val="Marginlie"/>
              <w:rPr>
                <w:spacing w:val="0"/>
              </w:rPr>
            </w:pPr>
          </w:p>
          <w:p w:rsidR="00C43F51" w:rsidRDefault="00C43F51" w:rsidP="00467485">
            <w:pPr>
              <w:pStyle w:val="Marginlie"/>
              <w:rPr>
                <w:spacing w:val="0"/>
              </w:rPr>
            </w:pPr>
          </w:p>
          <w:p w:rsidR="00C43F51" w:rsidRPr="00360DE3" w:rsidRDefault="00C43F51" w:rsidP="00467485">
            <w:pPr>
              <w:pStyle w:val="Marginlie"/>
              <w:rPr>
                <w:spacing w:val="0"/>
              </w:rPr>
            </w:pPr>
          </w:p>
          <w:p w:rsidR="00C43F51" w:rsidRPr="00360DE3" w:rsidRDefault="00C43F51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Česko patřilo loni do desítky zemí EU s nejvyšším podílem tohoto odvětví na HPH celé ekonomiky. Z pohledu podílu na zaměstnanosti ale zaostávalo. </w:t>
            </w:r>
          </w:p>
          <w:p w:rsidR="00C43F51" w:rsidRPr="00360DE3" w:rsidRDefault="00C43F51" w:rsidP="00467485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C43F51" w:rsidRPr="00360DE3" w:rsidRDefault="00C43F51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43F51" w:rsidRPr="00360DE3" w:rsidRDefault="00C43F51" w:rsidP="00467485">
            <w:pPr>
              <w:rPr>
                <w:szCs w:val="20"/>
              </w:rPr>
            </w:pPr>
            <w:r w:rsidRPr="00360DE3">
              <w:rPr>
                <w:szCs w:val="20"/>
              </w:rPr>
              <w:t>Pozice odvětví informační a komunikační činnosti v tuzemské ekonomice dlouhodobě mírně posiluje. Zatímco v roku 2000 se na celkové tvorbě HPH podílelo 4,2 %, v roce 2017 přispělo již 5,3 %. Loňský výsledek zařadil Česko na konec první desítky zemí EU s nejvyšším podílem. Nejsilnější váhu dosahuje toto odvětví dlouhodobě v Irsku (loni vytvořilo desetinu HPH tamější ekonomiky), silné postavení má i ve většině severských států. Na informační a komunikační činnosti jsou více specializovány i některé malé ekonomiky (Lucembursko, Malta, Island). Téměř ve dvou třetinách unijních členů role tohoto odvětví (z pohledu HPH) mezi roky 2006 a 2017 posílila. Nejvíce to bylo patrné v </w:t>
            </w:r>
            <w:proofErr w:type="gramStart"/>
            <w:r w:rsidRPr="00360DE3">
              <w:rPr>
                <w:szCs w:val="20"/>
              </w:rPr>
              <w:t>Irsku (o 4 p .</w:t>
            </w:r>
            <w:proofErr w:type="spellStart"/>
            <w:r w:rsidRPr="00360DE3">
              <w:rPr>
                <w:szCs w:val="20"/>
              </w:rPr>
              <w:t>b</w:t>
            </w:r>
            <w:proofErr w:type="spellEnd"/>
            <w:r w:rsidRPr="00360DE3">
              <w:rPr>
                <w:szCs w:val="20"/>
              </w:rPr>
              <w:t>.), jenž</w:t>
            </w:r>
            <w:proofErr w:type="gramEnd"/>
            <w:r w:rsidRPr="00360DE3">
              <w:rPr>
                <w:szCs w:val="20"/>
              </w:rPr>
              <w:t xml:space="preserve"> díky svým silným transatlantickým obchodním vazbám i daňové politice aspiruje na pozici jednoho z klíčových technologických center Evropy. Ve všech hodnocených zemích disponovaly informační a komunikační silnějším postavením z pohledu HPH než v zaměstnanosti, což vypovídá o nadprůměrné produktivitě práce tohoto </w:t>
            </w:r>
            <w:r w:rsidRPr="00360DE3">
              <w:rPr>
                <w:szCs w:val="20"/>
              </w:rPr>
              <w:lastRenderedPageBreak/>
              <w:t>odvětví. Nejvyšší podíl nezaměstnanosti mělo toto odvětví i díky pokročilému stupni digitalizace ve veřejné sféře v Estonsku (4,8 %). Česko se s 2,8 % řadilo k podprůměrným, a to i v rámci novějších členských zemí EU. Nižšího podílu dosahovalo loni z našich sousedů jen Rakousko (2,6 %).</w:t>
            </w:r>
          </w:p>
        </w:tc>
      </w:tr>
    </w:tbl>
    <w:p w:rsidR="00C43F51" w:rsidRPr="00C43F51" w:rsidRDefault="00C43F51" w:rsidP="00C43F51">
      <w:pPr>
        <w:rPr>
          <w:sz w:val="2"/>
          <w:szCs w:val="2"/>
        </w:rPr>
      </w:pPr>
    </w:p>
    <w:sectPr w:rsidR="00C43F51" w:rsidRPr="00C43F51" w:rsidSect="0044238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57" w:rsidRDefault="00FD3657" w:rsidP="00E71A58">
      <w:r>
        <w:separator/>
      </w:r>
    </w:p>
  </w:endnote>
  <w:endnote w:type="continuationSeparator" w:id="0">
    <w:p w:rsidR="00FD3657" w:rsidRDefault="00FD365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45E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2A645E" w:rsidRPr="00932443">
      <w:rPr>
        <w:szCs w:val="16"/>
      </w:rPr>
      <w:fldChar w:fldCharType="separate"/>
    </w:r>
    <w:r w:rsidR="00C43F51">
      <w:rPr>
        <w:szCs w:val="16"/>
      </w:rPr>
      <w:t>76</w:t>
    </w:r>
    <w:r w:rsidR="002A645E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2A645E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2A645E" w:rsidRPr="00932443">
      <w:rPr>
        <w:rStyle w:val="ZpatChar"/>
        <w:szCs w:val="16"/>
      </w:rPr>
      <w:fldChar w:fldCharType="separate"/>
    </w:r>
    <w:r w:rsidR="00C43F51">
      <w:rPr>
        <w:rStyle w:val="ZpatChar"/>
        <w:szCs w:val="16"/>
      </w:rPr>
      <w:t>77</w:t>
    </w:r>
    <w:r w:rsidR="002A645E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57" w:rsidRDefault="00FD3657" w:rsidP="00E71A58">
      <w:r>
        <w:separator/>
      </w:r>
    </w:p>
  </w:footnote>
  <w:footnote w:type="continuationSeparator" w:id="0">
    <w:p w:rsidR="00FD3657" w:rsidRDefault="00FD3657" w:rsidP="00E71A58">
      <w:r>
        <w:continuationSeparator/>
      </w:r>
    </w:p>
  </w:footnote>
  <w:footnote w:id="1">
    <w:p w:rsidR="00C805DC" w:rsidRPr="00D0572A" w:rsidRDefault="00C805DC" w:rsidP="009540B7">
      <w:pPr>
        <w:pStyle w:val="Textpoznpodarou"/>
        <w:rPr>
          <w:spacing w:val="-2"/>
        </w:rPr>
      </w:pPr>
      <w:r w:rsidRPr="0068766C">
        <w:rPr>
          <w:rStyle w:val="Znakapoznpodarou"/>
          <w:spacing w:val="-2"/>
          <w:sz w:val="16"/>
          <w:szCs w:val="16"/>
        </w:rPr>
        <w:footnoteRef/>
      </w:r>
      <w:r w:rsidRPr="0068766C">
        <w:rPr>
          <w:spacing w:val="-2"/>
          <w:sz w:val="16"/>
          <w:szCs w:val="16"/>
        </w:rPr>
        <w:t xml:space="preserve"> </w:t>
      </w:r>
      <w:r w:rsidRPr="00775F45">
        <w:rPr>
          <w:spacing w:val="-3"/>
          <w:sz w:val="16"/>
          <w:szCs w:val="16"/>
        </w:rPr>
        <w:t>Pokud není uvedeno jinak, vychází všechny údaje v této kapitole z dat národních účtů, a kde je to relevantní, jsou očištěny o cenové vlivy.</w:t>
      </w:r>
    </w:p>
  </w:footnote>
  <w:footnote w:id="2">
    <w:p w:rsidR="00C805DC" w:rsidRPr="00D0572A" w:rsidRDefault="00C805DC" w:rsidP="009540B7">
      <w:pPr>
        <w:pStyle w:val="Textpoznpodarou"/>
        <w:jc w:val="both"/>
        <w:rPr>
          <w:sz w:val="16"/>
          <w:szCs w:val="16"/>
        </w:rPr>
      </w:pPr>
      <w:r w:rsidRPr="00D0572A">
        <w:rPr>
          <w:rStyle w:val="Znakapoznpodarou"/>
          <w:sz w:val="16"/>
          <w:szCs w:val="16"/>
        </w:rPr>
        <w:footnoteRef/>
      </w:r>
      <w:r w:rsidRPr="00D0572A">
        <w:rPr>
          <w:sz w:val="16"/>
          <w:szCs w:val="16"/>
        </w:rPr>
        <w:t xml:space="preserve"> Informační komunikační činnosti patří v sektoru služeb k odvětvím s nejvyšším zastoupením nefinančních podniků. Ty v roce 2017 vytvořily 92 % HPH v tomto odvětví. </w:t>
      </w:r>
      <w:r>
        <w:rPr>
          <w:sz w:val="16"/>
          <w:szCs w:val="16"/>
        </w:rPr>
        <w:t>Na úrovni</w:t>
      </w:r>
      <w:r w:rsidRPr="00D0572A">
        <w:rPr>
          <w:sz w:val="16"/>
          <w:szCs w:val="16"/>
        </w:rPr>
        <w:t xml:space="preserve"> jednotlivých odvětvových oddílů měly podniky nižší podíl jen v hudebním a filmovém průmyslu (80 %) a zejména </w:t>
      </w:r>
      <w:r>
        <w:rPr>
          <w:sz w:val="16"/>
          <w:szCs w:val="16"/>
        </w:rPr>
        <w:t xml:space="preserve">v </w:t>
      </w:r>
      <w:r w:rsidRPr="00D0572A">
        <w:rPr>
          <w:sz w:val="16"/>
          <w:szCs w:val="16"/>
        </w:rPr>
        <w:t xml:space="preserve">tvorbě programů a vysílání (68 %), kde bezmála třetinu HPH vytvářely subjekty zařazené do vládního sektoru. </w:t>
      </w:r>
      <w:r>
        <w:rPr>
          <w:sz w:val="16"/>
          <w:szCs w:val="16"/>
        </w:rPr>
        <w:t>V rámci podnikové sféry v odvětví i</w:t>
      </w:r>
      <w:r w:rsidRPr="00D0572A">
        <w:rPr>
          <w:sz w:val="16"/>
          <w:szCs w:val="16"/>
        </w:rPr>
        <w:t>nformační</w:t>
      </w:r>
      <w:r>
        <w:rPr>
          <w:sz w:val="16"/>
          <w:szCs w:val="16"/>
        </w:rPr>
        <w:t>ch</w:t>
      </w:r>
      <w:r w:rsidRPr="00D0572A">
        <w:rPr>
          <w:sz w:val="16"/>
          <w:szCs w:val="16"/>
        </w:rPr>
        <w:t xml:space="preserve"> komunikační</w:t>
      </w:r>
      <w:r>
        <w:rPr>
          <w:sz w:val="16"/>
          <w:szCs w:val="16"/>
        </w:rPr>
        <w:t>ch</w:t>
      </w:r>
      <w:r w:rsidRPr="00D0572A">
        <w:rPr>
          <w:sz w:val="16"/>
          <w:szCs w:val="16"/>
        </w:rPr>
        <w:t xml:space="preserve"> </w:t>
      </w:r>
      <w:r>
        <w:rPr>
          <w:sz w:val="16"/>
          <w:szCs w:val="16"/>
        </w:rPr>
        <w:t>činností mírně převažovaly národní soukromé podniky (loni vytvořily 49 % HPH) nad podniky pod zahraniční kontrolou (48 %).</w:t>
      </w:r>
    </w:p>
  </w:footnote>
  <w:footnote w:id="3">
    <w:p w:rsidR="00C805DC" w:rsidRPr="00D0572A" w:rsidRDefault="00C805DC" w:rsidP="009540B7">
      <w:pPr>
        <w:pStyle w:val="Textpoznpodarou"/>
        <w:jc w:val="both"/>
        <w:rPr>
          <w:sz w:val="16"/>
          <w:szCs w:val="16"/>
        </w:rPr>
      </w:pPr>
      <w:r w:rsidRPr="00D0572A">
        <w:rPr>
          <w:rStyle w:val="Znakapoznpodarou"/>
          <w:sz w:val="16"/>
          <w:szCs w:val="16"/>
        </w:rPr>
        <w:footnoteRef/>
      </w:r>
      <w:r w:rsidRPr="00D0572A">
        <w:rPr>
          <w:sz w:val="16"/>
          <w:szCs w:val="16"/>
        </w:rPr>
        <w:t xml:space="preserve"> Obdobnou či vyšší ziskovost vykázaly loni nefinanční podniky jen v činnostech v oblasti nemovitostí (80 %),</w:t>
      </w:r>
      <w:r>
        <w:rPr>
          <w:sz w:val="16"/>
          <w:szCs w:val="16"/>
        </w:rPr>
        <w:t xml:space="preserve"> v</w:t>
      </w:r>
      <w:r w:rsidRPr="00D0572A">
        <w:rPr>
          <w:sz w:val="16"/>
          <w:szCs w:val="16"/>
        </w:rPr>
        <w:t xml:space="preserve"> kulturních, zábavních a rekreačních činnostech (57 %) a dále také finanční podniky v peněžnictví a pojišťovnictví (61 %).</w:t>
      </w:r>
    </w:p>
  </w:footnote>
  <w:footnote w:id="4">
    <w:p w:rsidR="00C805DC" w:rsidRPr="003A56B4" w:rsidRDefault="00C805DC" w:rsidP="009540B7">
      <w:pPr>
        <w:pStyle w:val="Textpoznpodarou"/>
        <w:rPr>
          <w:sz w:val="16"/>
          <w:szCs w:val="16"/>
        </w:rPr>
      </w:pPr>
      <w:r w:rsidRPr="00D0572A">
        <w:rPr>
          <w:rStyle w:val="Znakapoznpodarou"/>
          <w:sz w:val="16"/>
          <w:szCs w:val="16"/>
        </w:rPr>
        <w:footnoteRef/>
      </w:r>
      <w:r w:rsidRPr="00D0572A">
        <w:rPr>
          <w:sz w:val="16"/>
          <w:szCs w:val="16"/>
        </w:rPr>
        <w:t xml:space="preserve"> Dle údajů MSPV tvořili loni v tomto odvětví lidé s vysokoškolským vzděláním 53 % všech zaměstnanců. Vyššího podílu dosáhli z 18 ostatních odvětvových sekcí již pouze ve vzdělávání (56 %).</w:t>
      </w:r>
    </w:p>
  </w:footnote>
  <w:footnote w:id="5">
    <w:p w:rsidR="00C805DC" w:rsidRPr="00201B01" w:rsidRDefault="00C805DC" w:rsidP="007C13A4">
      <w:pPr>
        <w:pStyle w:val="Textpoznpodarou"/>
        <w:jc w:val="both"/>
        <w:rPr>
          <w:spacing w:val="-2"/>
          <w:sz w:val="16"/>
          <w:szCs w:val="16"/>
        </w:rPr>
      </w:pPr>
      <w:r w:rsidRPr="00201B01">
        <w:rPr>
          <w:rStyle w:val="Znakapoznpodarou"/>
          <w:spacing w:val="-2"/>
          <w:sz w:val="16"/>
          <w:szCs w:val="16"/>
        </w:rPr>
        <w:footnoteRef/>
      </w:r>
      <w:r w:rsidRPr="00201B01">
        <w:rPr>
          <w:spacing w:val="-2"/>
          <w:sz w:val="16"/>
          <w:szCs w:val="16"/>
        </w:rPr>
        <w:t xml:space="preserve"> Šlo hlavně o telekomunikační činnosti (55 tis.) či oblast informačních technologií a činností</w:t>
      </w:r>
      <w:r>
        <w:rPr>
          <w:spacing w:val="-2"/>
          <w:sz w:val="16"/>
          <w:szCs w:val="16"/>
        </w:rPr>
        <w:t>, s menším odstupem také o tvorbu programů a</w:t>
      </w:r>
      <w:r w:rsidRPr="00201B01">
        <w:rPr>
          <w:spacing w:val="-2"/>
          <w:sz w:val="16"/>
          <w:szCs w:val="16"/>
        </w:rPr>
        <w:t> vysílání</w:t>
      </w:r>
      <w:r>
        <w:rPr>
          <w:spacing w:val="-2"/>
          <w:sz w:val="16"/>
          <w:szCs w:val="16"/>
        </w:rPr>
        <w:t>. Výrazně nižší úrovně dosahovala průměrná měsíční mzda ve vydavatelských činnostech</w:t>
      </w:r>
      <w:r w:rsidRPr="00201B01">
        <w:rPr>
          <w:spacing w:val="-2"/>
          <w:sz w:val="16"/>
          <w:szCs w:val="16"/>
        </w:rPr>
        <w:t xml:space="preserve"> (38 tis.) a hudební</w:t>
      </w:r>
      <w:r>
        <w:rPr>
          <w:spacing w:val="-2"/>
          <w:sz w:val="16"/>
          <w:szCs w:val="16"/>
        </w:rPr>
        <w:t>m a filmovém</w:t>
      </w:r>
      <w:r w:rsidRPr="00201B01">
        <w:rPr>
          <w:spacing w:val="-2"/>
          <w:sz w:val="16"/>
          <w:szCs w:val="16"/>
        </w:rPr>
        <w:t xml:space="preserve"> průmysl</w:t>
      </w:r>
      <w:r>
        <w:rPr>
          <w:spacing w:val="-2"/>
          <w:sz w:val="16"/>
          <w:szCs w:val="16"/>
        </w:rPr>
        <w:t>u</w:t>
      </w:r>
      <w:r w:rsidRPr="00201B01">
        <w:rPr>
          <w:spacing w:val="-2"/>
          <w:sz w:val="16"/>
          <w:szCs w:val="16"/>
        </w:rPr>
        <w:t xml:space="preserve"> (23 tis.) – tedy </w:t>
      </w:r>
      <w:r>
        <w:rPr>
          <w:spacing w:val="-2"/>
          <w:sz w:val="16"/>
          <w:szCs w:val="16"/>
        </w:rPr>
        <w:t xml:space="preserve">v </w:t>
      </w:r>
      <w:r w:rsidRPr="00201B01">
        <w:rPr>
          <w:spacing w:val="-2"/>
          <w:sz w:val="16"/>
          <w:szCs w:val="16"/>
        </w:rPr>
        <w:t>s</w:t>
      </w:r>
      <w:r>
        <w:rPr>
          <w:spacing w:val="-2"/>
          <w:sz w:val="16"/>
          <w:szCs w:val="16"/>
        </w:rPr>
        <w:t>egmentech</w:t>
      </w:r>
      <w:r w:rsidRPr="00201B01">
        <w:rPr>
          <w:spacing w:val="-2"/>
          <w:sz w:val="16"/>
          <w:szCs w:val="16"/>
        </w:rPr>
        <w:t xml:space="preserve">, jimž </w:t>
      </w:r>
      <w:r>
        <w:rPr>
          <w:spacing w:val="-2"/>
          <w:sz w:val="16"/>
          <w:szCs w:val="16"/>
        </w:rPr>
        <w:t xml:space="preserve">výrazně </w:t>
      </w:r>
      <w:r w:rsidRPr="00201B01">
        <w:rPr>
          <w:spacing w:val="-2"/>
          <w:sz w:val="16"/>
          <w:szCs w:val="16"/>
        </w:rPr>
        <w:t>dominovaly podniky s převahou tuzemského kapitálu.</w:t>
      </w:r>
    </w:p>
  </w:footnote>
  <w:footnote w:id="6">
    <w:p w:rsidR="00C805DC" w:rsidRPr="00C43F51" w:rsidRDefault="00C805DC" w:rsidP="009540B7">
      <w:pPr>
        <w:pStyle w:val="Textpoznpodarou"/>
        <w:rPr>
          <w:spacing w:val="-2"/>
          <w:sz w:val="16"/>
          <w:szCs w:val="16"/>
        </w:rPr>
      </w:pPr>
      <w:r w:rsidRPr="00C43F51">
        <w:rPr>
          <w:rStyle w:val="Znakapoznpodarou"/>
          <w:spacing w:val="-2"/>
          <w:sz w:val="16"/>
          <w:szCs w:val="16"/>
        </w:rPr>
        <w:footnoteRef/>
      </w:r>
      <w:r w:rsidR="00C43F51" w:rsidRPr="00C43F51">
        <w:rPr>
          <w:spacing w:val="-2"/>
          <w:sz w:val="16"/>
          <w:szCs w:val="16"/>
        </w:rPr>
        <w:t xml:space="preserve"> Vyšší byla loni z 12</w:t>
      </w:r>
      <w:r w:rsidRPr="00C43F51">
        <w:rPr>
          <w:spacing w:val="-2"/>
          <w:sz w:val="16"/>
          <w:szCs w:val="16"/>
        </w:rPr>
        <w:t xml:space="preserve"> zbývajících odvětvových sekcí služeb jen v činnostech v oblasti nemovitostí (67 %) a v dopravě a skladování (33 %).</w:t>
      </w:r>
    </w:p>
  </w:footnote>
  <w:footnote w:id="7">
    <w:p w:rsidR="00C805DC" w:rsidRPr="005F5E64" w:rsidRDefault="00C805DC" w:rsidP="009540B7">
      <w:pPr>
        <w:pStyle w:val="Textpoznpodarou"/>
        <w:rPr>
          <w:sz w:val="16"/>
          <w:szCs w:val="16"/>
        </w:rPr>
      </w:pPr>
      <w:r w:rsidRPr="005F5E64">
        <w:rPr>
          <w:rStyle w:val="Znakapoznpodarou"/>
          <w:sz w:val="16"/>
          <w:szCs w:val="16"/>
        </w:rPr>
        <w:footnoteRef/>
      </w:r>
      <w:r w:rsidRPr="005F5E64">
        <w:rPr>
          <w:sz w:val="16"/>
          <w:szCs w:val="16"/>
        </w:rPr>
        <w:t xml:space="preserve"> Míru investic vyšší než ČR vykázaly v roce 2016 jen čtyři státy EU (Švédsko, Irsko, Litva a Itálie). V celé </w:t>
      </w:r>
      <w:r>
        <w:rPr>
          <w:sz w:val="16"/>
          <w:szCs w:val="16"/>
        </w:rPr>
        <w:t>EU dosahovala tato míra 23</w:t>
      </w:r>
      <w:r w:rsidRPr="00194DD5">
        <w:rPr>
          <w:sz w:val="16"/>
          <w:szCs w:val="16"/>
        </w:rPr>
        <w:t> </w:t>
      </w:r>
      <w:r w:rsidRPr="005F5E64">
        <w:rPr>
          <w:sz w:val="16"/>
          <w:szCs w:val="16"/>
        </w:rPr>
        <w:t>%</w:t>
      </w:r>
      <w:r>
        <w:rPr>
          <w:sz w:val="16"/>
          <w:szCs w:val="16"/>
        </w:rPr>
        <w:t xml:space="preserve">, tj. o 10 p. </w:t>
      </w:r>
      <w:proofErr w:type="spellStart"/>
      <w:r w:rsidRPr="005F5E64">
        <w:rPr>
          <w:sz w:val="16"/>
          <w:szCs w:val="16"/>
        </w:rPr>
        <w:t>b</w:t>
      </w:r>
      <w:proofErr w:type="spellEnd"/>
      <w:r w:rsidRPr="005F5E64">
        <w:rPr>
          <w:sz w:val="16"/>
          <w:szCs w:val="16"/>
        </w:rPr>
        <w:t xml:space="preserve">. </w:t>
      </w:r>
      <w:proofErr w:type="gramStart"/>
      <w:r w:rsidRPr="005F5E64">
        <w:rPr>
          <w:sz w:val="16"/>
          <w:szCs w:val="16"/>
        </w:rPr>
        <w:t>méně</w:t>
      </w:r>
      <w:proofErr w:type="gramEnd"/>
      <w:r w:rsidRPr="005F5E64">
        <w:rPr>
          <w:sz w:val="16"/>
          <w:szCs w:val="16"/>
        </w:rPr>
        <w:t xml:space="preserve"> než </w:t>
      </w:r>
      <w:r>
        <w:rPr>
          <w:sz w:val="16"/>
          <w:szCs w:val="16"/>
        </w:rPr>
        <w:t xml:space="preserve">v </w:t>
      </w:r>
      <w:r w:rsidRPr="005F5E64">
        <w:rPr>
          <w:sz w:val="16"/>
          <w:szCs w:val="16"/>
        </w:rPr>
        <w:t>Česku.</w:t>
      </w:r>
    </w:p>
  </w:footnote>
  <w:footnote w:id="8">
    <w:p w:rsidR="00C805DC" w:rsidRPr="00905D95" w:rsidRDefault="00C805DC" w:rsidP="009540B7">
      <w:pPr>
        <w:pStyle w:val="Textpoznpodarou"/>
        <w:rPr>
          <w:sz w:val="16"/>
          <w:szCs w:val="16"/>
        </w:rPr>
      </w:pPr>
      <w:r w:rsidRPr="00905D95">
        <w:rPr>
          <w:rStyle w:val="Znakapoznpodarou"/>
          <w:sz w:val="16"/>
          <w:szCs w:val="16"/>
        </w:rPr>
        <w:footnoteRef/>
      </w:r>
      <w:r w:rsidRPr="00905D95">
        <w:rPr>
          <w:sz w:val="16"/>
          <w:szCs w:val="16"/>
        </w:rPr>
        <w:t xml:space="preserve"> </w:t>
      </w:r>
      <w:r>
        <w:rPr>
          <w:sz w:val="16"/>
          <w:szCs w:val="16"/>
        </w:rPr>
        <w:t>Subjekty</w:t>
      </w:r>
      <w:r w:rsidRPr="00905D95">
        <w:rPr>
          <w:sz w:val="16"/>
          <w:szCs w:val="16"/>
        </w:rPr>
        <w:t xml:space="preserve">, jež svou převažující činností spadají do odvětví informačních a komunikačních činností, </w:t>
      </w:r>
      <w:r>
        <w:rPr>
          <w:sz w:val="16"/>
          <w:szCs w:val="16"/>
        </w:rPr>
        <w:t>směřovaly</w:t>
      </w:r>
      <w:r w:rsidRPr="00905D95">
        <w:rPr>
          <w:sz w:val="16"/>
          <w:szCs w:val="16"/>
        </w:rPr>
        <w:t xml:space="preserve"> loni na výzkum a vývoj jen 4,3 % </w:t>
      </w:r>
      <w:r>
        <w:rPr>
          <w:sz w:val="16"/>
          <w:szCs w:val="16"/>
        </w:rPr>
        <w:t xml:space="preserve">ze </w:t>
      </w:r>
      <w:r w:rsidRPr="00905D95">
        <w:rPr>
          <w:sz w:val="16"/>
          <w:szCs w:val="16"/>
        </w:rPr>
        <w:t xml:space="preserve">všech </w:t>
      </w:r>
      <w:r>
        <w:rPr>
          <w:sz w:val="16"/>
          <w:szCs w:val="16"/>
        </w:rPr>
        <w:t xml:space="preserve">svých </w:t>
      </w:r>
      <w:r w:rsidRPr="00905D95">
        <w:rPr>
          <w:sz w:val="16"/>
          <w:szCs w:val="16"/>
        </w:rPr>
        <w:t>výdajů do fixního kapitálu.</w:t>
      </w:r>
      <w:r>
        <w:rPr>
          <w:sz w:val="16"/>
          <w:szCs w:val="16"/>
        </w:rPr>
        <w:t xml:space="preserve"> V celé ekonomice činil obdobný podíl 6,3 %.</w:t>
      </w:r>
    </w:p>
  </w:footnote>
  <w:footnote w:id="9">
    <w:p w:rsidR="00C805DC" w:rsidRPr="00A8352E" w:rsidRDefault="00C805DC" w:rsidP="009540B7">
      <w:pPr>
        <w:pStyle w:val="Textpoznpodarou"/>
        <w:rPr>
          <w:sz w:val="16"/>
          <w:szCs w:val="16"/>
        </w:rPr>
      </w:pPr>
      <w:r w:rsidRPr="00A8352E">
        <w:rPr>
          <w:rStyle w:val="Znakapoznpodarou"/>
          <w:sz w:val="16"/>
          <w:szCs w:val="16"/>
        </w:rPr>
        <w:footnoteRef/>
      </w:r>
      <w:r w:rsidRPr="00A8352E">
        <w:rPr>
          <w:sz w:val="16"/>
          <w:szCs w:val="16"/>
        </w:rPr>
        <w:t xml:space="preserve"> Zahrnuje především programování, správu počítačového vybavení a poradenství v oblasti informačních technologií.</w:t>
      </w:r>
    </w:p>
  </w:footnote>
  <w:footnote w:id="10">
    <w:p w:rsidR="00C805DC" w:rsidRPr="002A310F" w:rsidRDefault="00C805DC" w:rsidP="009540B7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A310F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A310F">
        <w:rPr>
          <w:rFonts w:cs="Arial"/>
          <w:color w:val="0D0D0D" w:themeColor="text1" w:themeTint="F2"/>
          <w:sz w:val="16"/>
          <w:szCs w:val="16"/>
        </w:rPr>
        <w:t xml:space="preserve"> Vývoj výkonů v tomto odvětvovém oddíle zřejmě podpořily i pobídky pro filmovou a televizní produkci (zavedené v ČR od roku 2010 po vzoru okolních evropských států). Pobídky se vztahují jak na české, tak i na zahraniční produkce natáčené v ČR a mají formu vratky ve výši až 20 % tzv. u</w:t>
      </w:r>
      <w:r>
        <w:rPr>
          <w:rFonts w:cs="Arial"/>
          <w:color w:val="0D0D0D" w:themeColor="text1" w:themeTint="F2"/>
          <w:sz w:val="16"/>
          <w:szCs w:val="16"/>
        </w:rPr>
        <w:t>znatelných nákladů směřovaných na</w:t>
      </w:r>
      <w:r w:rsidRPr="002A310F">
        <w:rPr>
          <w:rFonts w:cs="Arial"/>
          <w:color w:val="0D0D0D" w:themeColor="text1" w:themeTint="F2"/>
          <w:sz w:val="16"/>
          <w:szCs w:val="16"/>
        </w:rPr>
        <w:t xml:space="preserve"> audiovizuální produkci.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A645E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2387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00A7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3F51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3657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6-Informa&#269;n&#237;%20akomunika&#269;n&#237;%20&#269;in\Grafy-infor.%20a%20komunika&#269;n&#237;%20&#269;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6-Informa&#269;n&#237;%20akomunika&#269;n&#237;%20&#269;in\Grafy-infor.%20a%20komunika&#269;n&#237;%20&#269;i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6-Informa&#269;n&#237;%20akomunika&#269;n&#237;%20&#269;in\Grafy-infor.%20a%20komunika&#269;n&#237;%20&#269;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2876E-2"/>
          <c:w val="0.92433548575002489"/>
          <c:h val="0.76155690645052365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účty-souhrnné'!$A$29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účty-souhrnné'!$G$29:$S$29</c:f>
              <c:numCache>
                <c:formatCode>0.0</c:formatCode>
                <c:ptCount val="13"/>
                <c:pt idx="0">
                  <c:v>78.951977416494046</c:v>
                </c:pt>
                <c:pt idx="1">
                  <c:v>87.370751314922515</c:v>
                </c:pt>
                <c:pt idx="2">
                  <c:v>98.058210181070535</c:v>
                </c:pt>
                <c:pt idx="3">
                  <c:v>101.28691168391865</c:v>
                </c:pt>
                <c:pt idx="4">
                  <c:v>100.2996992129496</c:v>
                </c:pt>
                <c:pt idx="5">
                  <c:v>100</c:v>
                </c:pt>
                <c:pt idx="6">
                  <c:v>101.85585066167712</c:v>
                </c:pt>
                <c:pt idx="7">
                  <c:v>99.451729933478745</c:v>
                </c:pt>
                <c:pt idx="8">
                  <c:v>102.77017802459538</c:v>
                </c:pt>
                <c:pt idx="9">
                  <c:v>111.50279302261065</c:v>
                </c:pt>
                <c:pt idx="10">
                  <c:v>122.30828225030051</c:v>
                </c:pt>
                <c:pt idx="11">
                  <c:v>126.73523668622961</c:v>
                </c:pt>
                <c:pt idx="12">
                  <c:v>133.93563265905539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15-4557-A6F7-68197F74EFBA}"/>
            </c:ext>
          </c:extLst>
        </c:ser>
        <c:gapWidth val="30"/>
        <c:axId val="108610688"/>
        <c:axId val="108612608"/>
      </c:barChart>
      <c:lineChart>
        <c:grouping val="standard"/>
        <c:ser>
          <c:idx val="3"/>
          <c:order val="1"/>
          <c:tx>
            <c:strRef>
              <c:f>'Graf-Národní účty-souhrnné'!$A$30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účty-souhrnné'!$G$30:$S$30</c:f>
              <c:numCache>
                <c:formatCode>0.0</c:formatCode>
                <c:ptCount val="13"/>
                <c:pt idx="0">
                  <c:v>75.44833374383289</c:v>
                </c:pt>
                <c:pt idx="1">
                  <c:v>82.604096269533272</c:v>
                </c:pt>
                <c:pt idx="2">
                  <c:v>91.47825725349584</c:v>
                </c:pt>
                <c:pt idx="3">
                  <c:v>98.96293571620788</c:v>
                </c:pt>
                <c:pt idx="4">
                  <c:v>101.49828777051573</c:v>
                </c:pt>
                <c:pt idx="5">
                  <c:v>100</c:v>
                </c:pt>
                <c:pt idx="6">
                  <c:v>98.827215622748696</c:v>
                </c:pt>
                <c:pt idx="7">
                  <c:v>100.72305812406016</c:v>
                </c:pt>
                <c:pt idx="8">
                  <c:v>102.66100305117079</c:v>
                </c:pt>
                <c:pt idx="9">
                  <c:v>107.97530595598325</c:v>
                </c:pt>
                <c:pt idx="10">
                  <c:v>113.62504157118583</c:v>
                </c:pt>
                <c:pt idx="11">
                  <c:v>122.2532892246132</c:v>
                </c:pt>
                <c:pt idx="12">
                  <c:v>129.6120837086095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15-4557-A6F7-68197F74EFBA}"/>
            </c:ext>
          </c:extLst>
        </c:ser>
        <c:ser>
          <c:idx val="1"/>
          <c:order val="2"/>
          <c:tx>
            <c:strRef>
              <c:f>'Graf-Národní účty-souhrnné'!$A$31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účty-souhrnné'!$G$31:$S$31</c:f>
              <c:numCache>
                <c:formatCode>0.0</c:formatCode>
                <c:ptCount val="13"/>
                <c:pt idx="0">
                  <c:v>97.035228217348532</c:v>
                </c:pt>
                <c:pt idx="1">
                  <c:v>101.71280988718688</c:v>
                </c:pt>
                <c:pt idx="2">
                  <c:v>108.58363901924852</c:v>
                </c:pt>
                <c:pt idx="3">
                  <c:v>103.31910367730082</c:v>
                </c:pt>
                <c:pt idx="4">
                  <c:v>97.090102272864058</c:v>
                </c:pt>
                <c:pt idx="5">
                  <c:v>100</c:v>
                </c:pt>
                <c:pt idx="6">
                  <c:v>106.71121901940161</c:v>
                </c:pt>
                <c:pt idx="7">
                  <c:v>103.25616869993932</c:v>
                </c:pt>
                <c:pt idx="8">
                  <c:v>104.757161697217</c:v>
                </c:pt>
                <c:pt idx="9">
                  <c:v>109.83814959573451</c:v>
                </c:pt>
                <c:pt idx="10">
                  <c:v>121.79457439052098</c:v>
                </c:pt>
                <c:pt idx="11">
                  <c:v>117.93363862806349</c:v>
                </c:pt>
                <c:pt idx="12">
                  <c:v>121.35240176765173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15-4557-A6F7-68197F74EFBA}"/>
            </c:ext>
          </c:extLst>
        </c:ser>
        <c:ser>
          <c:idx val="7"/>
          <c:order val="3"/>
          <c:tx>
            <c:strRef>
              <c:f>'Graf-Národní účty-souhrnné'!$A$32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účty-souhrnné'!$G$32:$S$32</c:f>
              <c:numCache>
                <c:formatCode>0.0</c:formatCode>
                <c:ptCount val="13"/>
                <c:pt idx="0">
                  <c:v>81.218546132338858</c:v>
                </c:pt>
                <c:pt idx="1">
                  <c:v>85.745573159366273</c:v>
                </c:pt>
                <c:pt idx="2">
                  <c:v>90.806150978564759</c:v>
                </c:pt>
                <c:pt idx="3">
                  <c:v>98.607486797141959</c:v>
                </c:pt>
                <c:pt idx="4">
                  <c:v>102.77260018639328</c:v>
                </c:pt>
                <c:pt idx="5">
                  <c:v>100</c:v>
                </c:pt>
                <c:pt idx="6">
                  <c:v>95.939732836283483</c:v>
                </c:pt>
                <c:pt idx="7">
                  <c:v>97.323703013357758</c:v>
                </c:pt>
                <c:pt idx="8">
                  <c:v>98.779123951537827</c:v>
                </c:pt>
                <c:pt idx="9">
                  <c:v>102.03013358185792</c:v>
                </c:pt>
                <c:pt idx="10">
                  <c:v>104.20782851817334</c:v>
                </c:pt>
                <c:pt idx="11">
                  <c:v>109.54255980118049</c:v>
                </c:pt>
                <c:pt idx="12">
                  <c:v>111.98508853681224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15-4557-A6F7-68197F74EFBA}"/>
            </c:ext>
          </c:extLst>
        </c:ser>
        <c:marker val="1"/>
        <c:axId val="108610688"/>
        <c:axId val="108612608"/>
      </c:lineChart>
      <c:lineChart>
        <c:grouping val="standard"/>
        <c:ser>
          <c:idx val="2"/>
          <c:order val="4"/>
          <c:tx>
            <c:strRef>
              <c:f>'Graf-Národní účty-souhrnné'!$A$33</c:f>
              <c:strCache>
                <c:ptCount val="1"/>
                <c:pt idx="0">
                  <c:v>Míra investic (v %, pravá osa)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účty-souhrnné'!$G$33:$S$33</c:f>
              <c:numCache>
                <c:formatCode>0.0</c:formatCode>
                <c:ptCount val="13"/>
                <c:pt idx="0">
                  <c:v>31.26072671995281</c:v>
                </c:pt>
                <c:pt idx="1">
                  <c:v>31.962522441651522</c:v>
                </c:pt>
                <c:pt idx="2">
                  <c:v>31.264028058875109</c:v>
                </c:pt>
                <c:pt idx="3">
                  <c:v>26.395228628230615</c:v>
                </c:pt>
                <c:pt idx="4">
                  <c:v>29.966173115302563</c:v>
                </c:pt>
                <c:pt idx="5">
                  <c:v>29.259563450837906</c:v>
                </c:pt>
                <c:pt idx="6">
                  <c:v>27.782036540181082</c:v>
                </c:pt>
                <c:pt idx="7">
                  <c:v>27.754898223269848</c:v>
                </c:pt>
                <c:pt idx="8">
                  <c:v>31.297664410031818</c:v>
                </c:pt>
                <c:pt idx="9">
                  <c:v>31.690738298937841</c:v>
                </c:pt>
                <c:pt idx="10">
                  <c:v>34.736341057651977</c:v>
                </c:pt>
                <c:pt idx="11">
                  <c:v>32.99467957115715</c:v>
                </c:pt>
                <c:pt idx="12">
                  <c:v>31.615016630222602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15-4557-A6F7-68197F74EFBA}"/>
            </c:ext>
          </c:extLst>
        </c:ser>
        <c:ser>
          <c:idx val="5"/>
          <c:order val="5"/>
          <c:tx>
            <c:strRef>
              <c:f>'Graf-Národní účty-souhrnné'!$A$34</c:f>
              <c:strCache>
                <c:ptCount val="1"/>
                <c:pt idx="0">
                  <c:v>Míra zisku nefinančních podniků (v %, pravá osa)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účty-souhrnné'!$G$34:$S$34</c:f>
              <c:numCache>
                <c:formatCode>0.0</c:formatCode>
                <c:ptCount val="13"/>
                <c:pt idx="0">
                  <c:v>64.69023767733826</c:v>
                </c:pt>
                <c:pt idx="1">
                  <c:v>65.262737019015688</c:v>
                </c:pt>
                <c:pt idx="2">
                  <c:v>64.458994375891848</c:v>
                </c:pt>
                <c:pt idx="3">
                  <c:v>61.460200011561355</c:v>
                </c:pt>
                <c:pt idx="4">
                  <c:v>60.452884894172144</c:v>
                </c:pt>
                <c:pt idx="5">
                  <c:v>59.430130233726963</c:v>
                </c:pt>
                <c:pt idx="6">
                  <c:v>60.47726754685884</c:v>
                </c:pt>
                <c:pt idx="7">
                  <c:v>58.407835611308748</c:v>
                </c:pt>
                <c:pt idx="8">
                  <c:v>56.768426858996811</c:v>
                </c:pt>
                <c:pt idx="9">
                  <c:v>56.307244429514775</c:v>
                </c:pt>
                <c:pt idx="10">
                  <c:v>57.721558200170797</c:v>
                </c:pt>
                <c:pt idx="11">
                  <c:v>56.515606913926099</c:v>
                </c:pt>
                <c:pt idx="12">
                  <c:v>55.57079894076201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B15-4557-A6F7-68197F74EFBA}"/>
            </c:ext>
          </c:extLst>
        </c:ser>
        <c:marker val="1"/>
        <c:axId val="108938752"/>
        <c:axId val="108876928"/>
      </c:lineChart>
      <c:catAx>
        <c:axId val="108610688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8612608"/>
        <c:crossesAt val="100"/>
        <c:lblAlgn val="ctr"/>
        <c:lblOffset val="0"/>
        <c:tickLblSkip val="1"/>
        <c:tickMarkSkip val="4"/>
      </c:catAx>
      <c:valAx>
        <c:axId val="108612608"/>
        <c:scaling>
          <c:orientation val="minMax"/>
          <c:max val="141"/>
          <c:min val="7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8610688"/>
        <c:crosses val="autoZero"/>
        <c:crossBetween val="between"/>
        <c:majorUnit val="5"/>
      </c:valAx>
      <c:valAx>
        <c:axId val="108876928"/>
        <c:scaling>
          <c:orientation val="minMax"/>
          <c:max val="66"/>
          <c:min val="0"/>
        </c:scaling>
        <c:axPos val="r"/>
        <c:numFmt formatCode="0" sourceLinked="0"/>
        <c:tickLblPos val="nextTo"/>
        <c:crossAx val="108938752"/>
        <c:crosses val="max"/>
        <c:crossBetween val="between"/>
        <c:majorUnit val="5"/>
      </c:valAx>
      <c:catAx>
        <c:axId val="108938752"/>
        <c:scaling>
          <c:orientation val="minMax"/>
        </c:scaling>
        <c:delete val="1"/>
        <c:axPos val="b"/>
        <c:numFmt formatCode="General" sourceLinked="1"/>
        <c:tickLblPos val="none"/>
        <c:crossAx val="108876928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82924800180119362"/>
          <c:w val="0.88531755998340789"/>
          <c:h val="0.1671777552628617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40225924121491E-2"/>
          <c:y val="1.6434241361665363E-2"/>
          <c:w val="0.93179896008611662"/>
          <c:h val="0.74114409205517995"/>
        </c:manualLayout>
      </c:layout>
      <c:barChart>
        <c:barDir val="col"/>
        <c:grouping val="stacked"/>
        <c:ser>
          <c:idx val="0"/>
          <c:order val="0"/>
          <c:tx>
            <c:strRef>
              <c:f>'GRAF-příspěvky'!$A$3</c:f>
              <c:strCache>
                <c:ptCount val="1"/>
                <c:pt idx="0">
                  <c:v>Vydavatelské činnosti (NACE 58)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'GRAF-příspěvky'!$B$3:$N$3</c:f>
              <c:numCache>
                <c:formatCode>0.0</c:formatCode>
                <c:ptCount val="13"/>
                <c:pt idx="0">
                  <c:v>2.2158411524361687</c:v>
                </c:pt>
                <c:pt idx="1">
                  <c:v>0.88525474427499606</c:v>
                </c:pt>
                <c:pt idx="2">
                  <c:v>0.91793836026331532</c:v>
                </c:pt>
                <c:pt idx="3">
                  <c:v>1.2739606138981785</c:v>
                </c:pt>
                <c:pt idx="4">
                  <c:v>-0.36112286282306416</c:v>
                </c:pt>
                <c:pt idx="5">
                  <c:v>5.6214035774974656E-2</c:v>
                </c:pt>
                <c:pt idx="6">
                  <c:v>-0.66708312709748674</c:v>
                </c:pt>
                <c:pt idx="7">
                  <c:v>0.21422639580937924</c:v>
                </c:pt>
                <c:pt idx="8">
                  <c:v>-0.18907329750162588</c:v>
                </c:pt>
                <c:pt idx="9">
                  <c:v>2.0415733930284587</c:v>
                </c:pt>
                <c:pt idx="10">
                  <c:v>2.1743752108184382</c:v>
                </c:pt>
                <c:pt idx="11">
                  <c:v>-1.1348480349880175</c:v>
                </c:pt>
                <c:pt idx="12">
                  <c:v>1.872933543655144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AE-44B1-8102-7FE5B880C233}"/>
            </c:ext>
          </c:extLst>
        </c:ser>
        <c:ser>
          <c:idx val="1"/>
          <c:order val="1"/>
          <c:tx>
            <c:strRef>
              <c:f>'GRAF-příspěvky'!$A$4</c:f>
              <c:strCache>
                <c:ptCount val="1"/>
                <c:pt idx="0">
                  <c:v>Filmový a hudební průmysl (59)</c:v>
                </c:pt>
              </c:strCache>
            </c:strRef>
          </c:tx>
          <c:spPr>
            <a:solidFill>
              <a:srgbClr val="B8B8B8"/>
            </a:solidFill>
          </c:spP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'GRAF-příspěvky'!$B$4:$N$4</c:f>
              <c:numCache>
                <c:formatCode>0.0</c:formatCode>
                <c:ptCount val="13"/>
                <c:pt idx="0">
                  <c:v>-0.97386347119717065</c:v>
                </c:pt>
                <c:pt idx="1">
                  <c:v>1.074927671259746</c:v>
                </c:pt>
                <c:pt idx="2">
                  <c:v>-1.0405788699381673</c:v>
                </c:pt>
                <c:pt idx="3">
                  <c:v>-0.73293884731406123</c:v>
                </c:pt>
                <c:pt idx="4">
                  <c:v>-0.21487077534791255</c:v>
                </c:pt>
                <c:pt idx="5">
                  <c:v>0.21334282674176691</c:v>
                </c:pt>
                <c:pt idx="6">
                  <c:v>-0.22713066559333384</c:v>
                </c:pt>
                <c:pt idx="7">
                  <c:v>0.24857544397598091</c:v>
                </c:pt>
                <c:pt idx="8">
                  <c:v>-0.76139947702171362</c:v>
                </c:pt>
                <c:pt idx="9">
                  <c:v>0.37205205617557296</c:v>
                </c:pt>
                <c:pt idx="10">
                  <c:v>0.71217789498430994</c:v>
                </c:pt>
                <c:pt idx="11">
                  <c:v>0.47293283754424376</c:v>
                </c:pt>
                <c:pt idx="12">
                  <c:v>-0.22706200037430141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AE-44B1-8102-7FE5B880C233}"/>
            </c:ext>
          </c:extLst>
        </c:ser>
        <c:ser>
          <c:idx val="2"/>
          <c:order val="2"/>
          <c:tx>
            <c:strRef>
              <c:f>'GRAF-příspěvky'!$A$5</c:f>
              <c:strCache>
                <c:ptCount val="1"/>
                <c:pt idx="0">
                  <c:v>Tvorba programů a vysílání (60)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'GRAF-příspěvky'!$B$5:$N$5</c:f>
              <c:numCache>
                <c:formatCode>0.0</c:formatCode>
                <c:ptCount val="13"/>
                <c:pt idx="0">
                  <c:v>1.6478416046252484</c:v>
                </c:pt>
                <c:pt idx="1">
                  <c:v>6.6669935762270885E-2</c:v>
                </c:pt>
                <c:pt idx="2">
                  <c:v>1.9666292639138241</c:v>
                </c:pt>
                <c:pt idx="3">
                  <c:v>0.43449234281680682</c:v>
                </c:pt>
                <c:pt idx="4">
                  <c:v>-0.78658926441351873</c:v>
                </c:pt>
                <c:pt idx="5">
                  <c:v>-4.5149097685055456E-2</c:v>
                </c:pt>
                <c:pt idx="6">
                  <c:v>0.58145998661959963</c:v>
                </c:pt>
                <c:pt idx="7">
                  <c:v>-0.43344193177462853</c:v>
                </c:pt>
                <c:pt idx="8">
                  <c:v>-0.68531848518854577</c:v>
                </c:pt>
                <c:pt idx="9">
                  <c:v>0.24352035036559624</c:v>
                </c:pt>
                <c:pt idx="10">
                  <c:v>0.41967894268805217</c:v>
                </c:pt>
                <c:pt idx="11">
                  <c:v>-0.16334601083006994</c:v>
                </c:pt>
                <c:pt idx="12">
                  <c:v>6.5264372733024642E-2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AE-44B1-8102-7FE5B880C233}"/>
            </c:ext>
          </c:extLst>
        </c:ser>
        <c:ser>
          <c:idx val="3"/>
          <c:order val="3"/>
          <c:tx>
            <c:strRef>
              <c:f>'GRAF-příspěvky'!$A$6</c:f>
              <c:strCache>
                <c:ptCount val="1"/>
                <c:pt idx="0">
                  <c:v>Telekomunikační činnosti (61)</c:v>
                </c:pt>
              </c:strCache>
            </c:strRef>
          </c:tx>
          <c:spPr>
            <a:solidFill>
              <a:srgbClr val="A6CDE8"/>
            </a:solidFill>
          </c:spP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'GRAF-příspěvky'!$B$6:$N$6</c:f>
              <c:numCache>
                <c:formatCode>0.0</c:formatCode>
                <c:ptCount val="13"/>
                <c:pt idx="0">
                  <c:v>1.863640768075451</c:v>
                </c:pt>
                <c:pt idx="1">
                  <c:v>3.2306680863881767</c:v>
                </c:pt>
                <c:pt idx="2">
                  <c:v>3.8637879014562202</c:v>
                </c:pt>
                <c:pt idx="3">
                  <c:v>-1.2138855034660003</c:v>
                </c:pt>
                <c:pt idx="4">
                  <c:v>0.42413253810470508</c:v>
                </c:pt>
                <c:pt idx="5">
                  <c:v>-1.1900864464831251</c:v>
                </c:pt>
                <c:pt idx="6">
                  <c:v>-3.2722661285497368</c:v>
                </c:pt>
                <c:pt idx="7">
                  <c:v>-2.6166805076444781</c:v>
                </c:pt>
                <c:pt idx="8">
                  <c:v>4.3595771070816864</c:v>
                </c:pt>
                <c:pt idx="9">
                  <c:v>3.3908115755069299</c:v>
                </c:pt>
                <c:pt idx="10">
                  <c:v>0.71743430130937413</c:v>
                </c:pt>
                <c:pt idx="11">
                  <c:v>0.69911446035808245</c:v>
                </c:pt>
                <c:pt idx="12">
                  <c:v>0.47104242975162358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AE-44B1-8102-7FE5B880C233}"/>
            </c:ext>
          </c:extLst>
        </c:ser>
        <c:ser>
          <c:idx val="4"/>
          <c:order val="4"/>
          <c:tx>
            <c:strRef>
              <c:f>'GRAF-příspěvky'!$A$7</c:f>
              <c:strCache>
                <c:ptCount val="1"/>
                <c:pt idx="0">
                  <c:v>Činnosti v oblasti informač. technol. (62)</c:v>
                </c:pt>
              </c:strCache>
            </c:strRef>
          </c:tx>
          <c:spPr>
            <a:solidFill>
              <a:srgbClr val="80BB2D"/>
            </a:solidFill>
          </c:spP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'GRAF-příspěvky'!$B$7:$N$7</c:f>
              <c:numCache>
                <c:formatCode>0.0</c:formatCode>
                <c:ptCount val="13"/>
                <c:pt idx="0">
                  <c:v>10.138833352174498</c:v>
                </c:pt>
                <c:pt idx="1">
                  <c:v>4.8734397657459505</c:v>
                </c:pt>
                <c:pt idx="2">
                  <c:v>3.3410570017953312</c:v>
                </c:pt>
                <c:pt idx="3">
                  <c:v>1.854225099678493</c:v>
                </c:pt>
                <c:pt idx="4">
                  <c:v>0.15720344599072397</c:v>
                </c:pt>
                <c:pt idx="5">
                  <c:v>0.78029517794847414</c:v>
                </c:pt>
                <c:pt idx="6">
                  <c:v>5.1528030851069602</c:v>
                </c:pt>
                <c:pt idx="7">
                  <c:v>0.23385396703717679</c:v>
                </c:pt>
                <c:pt idx="8">
                  <c:v>0.6051433357853534</c:v>
                </c:pt>
                <c:pt idx="9">
                  <c:v>1.5984292086962637</c:v>
                </c:pt>
                <c:pt idx="10">
                  <c:v>4.5621528523095245</c:v>
                </c:pt>
                <c:pt idx="11">
                  <c:v>2.7639751728428212</c:v>
                </c:pt>
                <c:pt idx="12">
                  <c:v>2.5070466718355902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AE-44B1-8102-7FE5B880C233}"/>
            </c:ext>
          </c:extLst>
        </c:ser>
        <c:ser>
          <c:idx val="5"/>
          <c:order val="5"/>
          <c:tx>
            <c:strRef>
              <c:f>'GRAF-příspěvky'!$A$8</c:f>
              <c:strCache>
                <c:ptCount val="1"/>
                <c:pt idx="0">
                  <c:v>Informační činnosti (63)</c:v>
                </c:pt>
              </c:strCache>
            </c:strRef>
          </c:tx>
          <c:spPr>
            <a:solidFill>
              <a:srgbClr val="D2E7B6"/>
            </a:solidFill>
          </c:spP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'GRAF-příspěvky'!$B$8:$N$8</c:f>
              <c:numCache>
                <c:formatCode>0.0</c:formatCode>
                <c:ptCount val="13"/>
                <c:pt idx="0">
                  <c:v>0.57429628074482009</c:v>
                </c:pt>
                <c:pt idx="1">
                  <c:v>0.52719140321259172</c:v>
                </c:pt>
                <c:pt idx="2">
                  <c:v>3.1732719928186719</c:v>
                </c:pt>
                <c:pt idx="3">
                  <c:v>1.6618287901264448</c:v>
                </c:pt>
                <c:pt idx="4">
                  <c:v>-0.20807210072895935</c:v>
                </c:pt>
                <c:pt idx="5">
                  <c:v>-9.3207625077420767E-2</c:v>
                </c:pt>
                <c:pt idx="6">
                  <c:v>0.2722715677369173</c:v>
                </c:pt>
                <c:pt idx="7">
                  <c:v>-3.6372492653634854E-2</c:v>
                </c:pt>
                <c:pt idx="8">
                  <c:v>7.4366009632676694E-3</c:v>
                </c:pt>
                <c:pt idx="9">
                  <c:v>0.84302439658958117</c:v>
                </c:pt>
                <c:pt idx="10">
                  <c:v>1.1089734547647521</c:v>
                </c:pt>
                <c:pt idx="11">
                  <c:v>0.99693949205182175</c:v>
                </c:pt>
                <c:pt idx="12">
                  <c:v>1.0027778520439532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DAE-44B1-8102-7FE5B880C233}"/>
            </c:ext>
          </c:extLst>
        </c:ser>
        <c:gapWidth val="42"/>
        <c:overlap val="100"/>
        <c:axId val="128905600"/>
        <c:axId val="129002112"/>
      </c:barChart>
      <c:lineChart>
        <c:grouping val="standard"/>
        <c:ser>
          <c:idx val="6"/>
          <c:order val="6"/>
          <c:tx>
            <c:strRef>
              <c:f>'GRAF-příspěvky'!$A$9</c:f>
              <c:strCache>
                <c:ptCount val="1"/>
                <c:pt idx="0">
                  <c:v>Informační a komunikační čin. celkem (J)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</c:spPr>
          </c:marker>
          <c:cat>
            <c:numRef>
              <c:f>'GRAF-příspěvky'!$B$2:$N$2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'GRAF-příspěvky'!$B$9:$N$9</c:f>
              <c:numCache>
                <c:formatCode>0.0</c:formatCode>
                <c:ptCount val="13"/>
                <c:pt idx="0">
                  <c:v>15.466589686859132</c:v>
                </c:pt>
                <c:pt idx="1">
                  <c:v>10.658151606643738</c:v>
                </c:pt>
                <c:pt idx="2">
                  <c:v>12.222105650309196</c:v>
                </c:pt>
                <c:pt idx="3">
                  <c:v>3.2776824957398767</c:v>
                </c:pt>
                <c:pt idx="4">
                  <c:v>-0.98931901921802434</c:v>
                </c:pt>
                <c:pt idx="5">
                  <c:v>-0.27859112878038123</c:v>
                </c:pt>
                <c:pt idx="6">
                  <c:v>1.8400547182229052</c:v>
                </c:pt>
                <c:pt idx="7">
                  <c:v>-2.3898391252501967</c:v>
                </c:pt>
                <c:pt idx="8">
                  <c:v>3.3363657841184167</c:v>
                </c:pt>
                <c:pt idx="9">
                  <c:v>8.4894109803624005</c:v>
                </c:pt>
                <c:pt idx="10">
                  <c:v>9.6947926568744709</c:v>
                </c:pt>
                <c:pt idx="11">
                  <c:v>3.6347679169788867</c:v>
                </c:pt>
                <c:pt idx="12">
                  <c:v>5.6920028696449885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DAE-44B1-8102-7FE5B880C233}"/>
            </c:ext>
          </c:extLst>
        </c:ser>
        <c:marker val="1"/>
        <c:axId val="128905600"/>
        <c:axId val="129002112"/>
      </c:lineChart>
      <c:catAx>
        <c:axId val="128905600"/>
        <c:scaling>
          <c:orientation val="minMax"/>
        </c:scaling>
        <c:axPos val="b"/>
        <c:numFmt formatCode="General" sourceLinked="1"/>
        <c:tickLblPos val="low"/>
        <c:spPr>
          <a:noFill/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9002112"/>
        <c:crosses val="autoZero"/>
        <c:auto val="1"/>
        <c:lblAlgn val="ctr"/>
        <c:lblOffset val="0"/>
      </c:catAx>
      <c:valAx>
        <c:axId val="129002112"/>
        <c:scaling>
          <c:orientation val="minMax"/>
          <c:max val="18"/>
          <c:min val="-6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8905600"/>
        <c:crosses val="autoZero"/>
        <c:crossBetween val="between"/>
        <c:majorUnit val="2"/>
      </c:valAx>
      <c:spPr>
        <a:ln w="6350"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4.1648251457136902E-2"/>
          <c:y val="0.81918309537252876"/>
          <c:w val="0.93778925070883878"/>
          <c:h val="0.17020394469078981"/>
        </c:manualLayout>
      </c:layout>
      <c:spPr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7022469019128536E-2"/>
          <c:y val="1.6390304153157325E-2"/>
          <c:w val="0.93027287368946099"/>
          <c:h val="0.70153662610355561"/>
        </c:manualLayout>
      </c:layout>
      <c:barChart>
        <c:barDir val="col"/>
        <c:grouping val="clustered"/>
        <c:ser>
          <c:idx val="0"/>
          <c:order val="0"/>
          <c:tx>
            <c:strRef>
              <c:f>'Graf-evropské srovnání'!$C$3</c:f>
              <c:strCache>
                <c:ptCount val="1"/>
                <c:pt idx="0">
                  <c:v>% z HPH v celé ekonomice (rok 2017)</c:v>
                </c:pt>
              </c:strCache>
            </c:strRef>
          </c:tx>
          <c:spPr>
            <a:solidFill>
              <a:srgbClr val="48AEE7"/>
            </a:solidFill>
            <a:ln>
              <a:noFill/>
            </a:ln>
          </c:spPr>
          <c:cat>
            <c:strRef>
              <c:f>'Graf-evropské srovnání'!$B$4:$B$41</c:f>
              <c:strCache>
                <c:ptCount val="38"/>
                <c:pt idx="0">
                  <c:v>Irsko</c:v>
                </c:pt>
                <c:pt idx="1">
                  <c:v>Švédsko</c:v>
                </c:pt>
                <c:pt idx="2">
                  <c:v>Lucemburs.</c:v>
                </c:pt>
                <c:pt idx="3">
                  <c:v>Malta</c:v>
                </c:pt>
                <c:pt idx="4">
                  <c:v>V. Británie</c:v>
                </c:pt>
                <c:pt idx="5">
                  <c:v>Estonsko</c:v>
                </c:pt>
                <c:pt idx="6">
                  <c:v>Finsko</c:v>
                </c:pt>
                <c:pt idx="7">
                  <c:v>Rumunsko</c:v>
                </c:pt>
                <c:pt idx="8">
                  <c:v>Bulharsko</c:v>
                </c:pt>
                <c:pt idx="9">
                  <c:v>ČR</c:v>
                </c:pt>
                <c:pt idx="10">
                  <c:v>Francie</c:v>
                </c:pt>
                <c:pt idx="11">
                  <c:v>EU15</c:v>
                </c:pt>
                <c:pt idx="12">
                  <c:v>EU28</c:v>
                </c:pt>
                <c:pt idx="13">
                  <c:v>Lotyšsko</c:v>
                </c:pt>
                <c:pt idx="14">
                  <c:v>Maďarsko</c:v>
                </c:pt>
                <c:pt idx="15">
                  <c:v>Nizozemsko</c:v>
                </c:pt>
                <c:pt idx="16">
                  <c:v>Německo</c:v>
                </c:pt>
                <c:pt idx="17">
                  <c:v>Kypr</c:v>
                </c:pt>
                <c:pt idx="18">
                  <c:v>Chorvatsko</c:v>
                </c:pt>
                <c:pt idx="19">
                  <c:v>Dánsko</c:v>
                </c:pt>
                <c:pt idx="20">
                  <c:v>Slovensko</c:v>
                </c:pt>
                <c:pt idx="21">
                  <c:v>Španělsko</c:v>
                </c:pt>
                <c:pt idx="22">
                  <c:v>Belgie</c:v>
                </c:pt>
                <c:pt idx="23">
                  <c:v>Slovinsko</c:v>
                </c:pt>
                <c:pt idx="24">
                  <c:v>Polsko</c:v>
                </c:pt>
                <c:pt idx="25">
                  <c:v>Litva</c:v>
                </c:pt>
                <c:pt idx="26">
                  <c:v>Itálie</c:v>
                </c:pt>
                <c:pt idx="27">
                  <c:v>Rakousko</c:v>
                </c:pt>
                <c:pt idx="28">
                  <c:v>Portugalsko</c:v>
                </c:pt>
                <c:pt idx="29">
                  <c:v>Řecko</c:v>
                </c:pt>
                <c:pt idx="31">
                  <c:v>Srbsko</c:v>
                </c:pt>
                <c:pt idx="32">
                  <c:v>Island</c:v>
                </c:pt>
                <c:pt idx="33">
                  <c:v>Černá Hora</c:v>
                </c:pt>
                <c:pt idx="34">
                  <c:v>Norsko</c:v>
                </c:pt>
                <c:pt idx="35">
                  <c:v>Švýcarsko</c:v>
                </c:pt>
                <c:pt idx="36">
                  <c:v>Makedonie</c:v>
                </c:pt>
                <c:pt idx="37">
                  <c:v>Albánie</c:v>
                </c:pt>
              </c:strCache>
            </c:strRef>
          </c:cat>
          <c:val>
            <c:numRef>
              <c:f>'Graf-evropské srovnání'!$C$4:$C$41</c:f>
              <c:numCache>
                <c:formatCode>#,##0.0</c:formatCode>
                <c:ptCount val="38"/>
                <c:pt idx="0">
                  <c:v>10.313151054170969</c:v>
                </c:pt>
                <c:pt idx="1">
                  <c:v>7.182141533111527</c:v>
                </c:pt>
                <c:pt idx="2">
                  <c:v>6.9341512218602155</c:v>
                </c:pt>
                <c:pt idx="3">
                  <c:v>6.7582579981043134</c:v>
                </c:pt>
                <c:pt idx="4">
                  <c:v>6.4078981110073094</c:v>
                </c:pt>
                <c:pt idx="5">
                  <c:v>6.1678045636718659</c:v>
                </c:pt>
                <c:pt idx="6">
                  <c:v>5.7904050334250865</c:v>
                </c:pt>
                <c:pt idx="7">
                  <c:v>5.6533479287814155</c:v>
                </c:pt>
                <c:pt idx="8">
                  <c:v>5.504912769996249</c:v>
                </c:pt>
                <c:pt idx="9">
                  <c:v>5.2726295872906777</c:v>
                </c:pt>
                <c:pt idx="10">
                  <c:v>5.2369591426788933</c:v>
                </c:pt>
                <c:pt idx="11">
                  <c:v>5.0387932377718503</c:v>
                </c:pt>
                <c:pt idx="12">
                  <c:v>5.0058716622090165</c:v>
                </c:pt>
                <c:pt idx="13">
                  <c:v>4.9856498914679834</c:v>
                </c:pt>
                <c:pt idx="14">
                  <c:v>4.8893500168934905</c:v>
                </c:pt>
                <c:pt idx="15">
                  <c:v>4.8268228161110045</c:v>
                </c:pt>
                <c:pt idx="16">
                  <c:v>4.7075390934973314</c:v>
                </c:pt>
                <c:pt idx="17">
                  <c:v>4.6555180734462382</c:v>
                </c:pt>
                <c:pt idx="18">
                  <c:v>4.5610361581165755</c:v>
                </c:pt>
                <c:pt idx="19">
                  <c:v>4.299068773619517</c:v>
                </c:pt>
                <c:pt idx="20">
                  <c:v>4.2574433154368414</c:v>
                </c:pt>
                <c:pt idx="21">
                  <c:v>4.1904967754106464</c:v>
                </c:pt>
                <c:pt idx="22">
                  <c:v>4.1521030013864655</c:v>
                </c:pt>
                <c:pt idx="23">
                  <c:v>4.0683666231892905</c:v>
                </c:pt>
                <c:pt idx="24">
                  <c:v>3.8950544990666844</c:v>
                </c:pt>
                <c:pt idx="25">
                  <c:v>3.7499634208307064</c:v>
                </c:pt>
                <c:pt idx="26">
                  <c:v>3.5825360123396752</c:v>
                </c:pt>
                <c:pt idx="27">
                  <c:v>3.4688087153925142</c:v>
                </c:pt>
                <c:pt idx="28">
                  <c:v>3.3411755686419258</c:v>
                </c:pt>
                <c:pt idx="29">
                  <c:v>3.3205167829275637</c:v>
                </c:pt>
                <c:pt idx="31">
                  <c:v>5.6058856520734865</c:v>
                </c:pt>
                <c:pt idx="32">
                  <c:v>4.9852571464042974</c:v>
                </c:pt>
                <c:pt idx="33">
                  <c:v>4.7294405380617546</c:v>
                </c:pt>
                <c:pt idx="34">
                  <c:v>4.1892829937443459</c:v>
                </c:pt>
                <c:pt idx="35">
                  <c:v>4.1522299758841834</c:v>
                </c:pt>
                <c:pt idx="36">
                  <c:v>3.6980639547530987</c:v>
                </c:pt>
                <c:pt idx="37">
                  <c:v>3.4261474874918427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F8-43E2-87E6-C8DF3707A048}"/>
            </c:ext>
          </c:extLst>
        </c:ser>
        <c:gapWidth val="41"/>
        <c:axId val="133824512"/>
        <c:axId val="133826816"/>
      </c:barChart>
      <c:lineChart>
        <c:grouping val="standard"/>
        <c:ser>
          <c:idx val="1"/>
          <c:order val="1"/>
          <c:tx>
            <c:strRef>
              <c:f>'Graf-evropské srovnání'!$D$3</c:f>
              <c:strCache>
                <c:ptCount val="1"/>
                <c:pt idx="0">
                  <c:v>% z HPH v celé ekonomice (rok 2006)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6"/>
          </c:marker>
          <c:cat>
            <c:strRef>
              <c:f>'Graf-evropské srovnání'!$B$4:$B$41</c:f>
              <c:strCache>
                <c:ptCount val="38"/>
                <c:pt idx="0">
                  <c:v>Irsko</c:v>
                </c:pt>
                <c:pt idx="1">
                  <c:v>Švédsko</c:v>
                </c:pt>
                <c:pt idx="2">
                  <c:v>Lucemburs.</c:v>
                </c:pt>
                <c:pt idx="3">
                  <c:v>Malta</c:v>
                </c:pt>
                <c:pt idx="4">
                  <c:v>V. Británie</c:v>
                </c:pt>
                <c:pt idx="5">
                  <c:v>Estonsko</c:v>
                </c:pt>
                <c:pt idx="6">
                  <c:v>Finsko</c:v>
                </c:pt>
                <c:pt idx="7">
                  <c:v>Rumunsko</c:v>
                </c:pt>
                <c:pt idx="8">
                  <c:v>Bulharsko</c:v>
                </c:pt>
                <c:pt idx="9">
                  <c:v>ČR</c:v>
                </c:pt>
                <c:pt idx="10">
                  <c:v>Francie</c:v>
                </c:pt>
                <c:pt idx="11">
                  <c:v>EU15</c:v>
                </c:pt>
                <c:pt idx="12">
                  <c:v>EU28</c:v>
                </c:pt>
                <c:pt idx="13">
                  <c:v>Lotyšsko</c:v>
                </c:pt>
                <c:pt idx="14">
                  <c:v>Maďarsko</c:v>
                </c:pt>
                <c:pt idx="15">
                  <c:v>Nizozemsko</c:v>
                </c:pt>
                <c:pt idx="16">
                  <c:v>Německo</c:v>
                </c:pt>
                <c:pt idx="17">
                  <c:v>Kypr</c:v>
                </c:pt>
                <c:pt idx="18">
                  <c:v>Chorvatsko</c:v>
                </c:pt>
                <c:pt idx="19">
                  <c:v>Dánsko</c:v>
                </c:pt>
                <c:pt idx="20">
                  <c:v>Slovensko</c:v>
                </c:pt>
                <c:pt idx="21">
                  <c:v>Španělsko</c:v>
                </c:pt>
                <c:pt idx="22">
                  <c:v>Belgie</c:v>
                </c:pt>
                <c:pt idx="23">
                  <c:v>Slovinsko</c:v>
                </c:pt>
                <c:pt idx="24">
                  <c:v>Polsko</c:v>
                </c:pt>
                <c:pt idx="25">
                  <c:v>Litva</c:v>
                </c:pt>
                <c:pt idx="26">
                  <c:v>Itálie</c:v>
                </c:pt>
                <c:pt idx="27">
                  <c:v>Rakousko</c:v>
                </c:pt>
                <c:pt idx="28">
                  <c:v>Portugalsko</c:v>
                </c:pt>
                <c:pt idx="29">
                  <c:v>Řecko</c:v>
                </c:pt>
                <c:pt idx="31">
                  <c:v>Srbsko</c:v>
                </c:pt>
                <c:pt idx="32">
                  <c:v>Island</c:v>
                </c:pt>
                <c:pt idx="33">
                  <c:v>Černá Hora</c:v>
                </c:pt>
                <c:pt idx="34">
                  <c:v>Norsko</c:v>
                </c:pt>
                <c:pt idx="35">
                  <c:v>Švýcarsko</c:v>
                </c:pt>
                <c:pt idx="36">
                  <c:v>Makedonie</c:v>
                </c:pt>
                <c:pt idx="37">
                  <c:v>Albánie</c:v>
                </c:pt>
              </c:strCache>
            </c:strRef>
          </c:cat>
          <c:val>
            <c:numRef>
              <c:f>'Graf-evropské srovnání'!$D$4:$D$41</c:f>
              <c:numCache>
                <c:formatCode>#,##0.0</c:formatCode>
                <c:ptCount val="38"/>
                <c:pt idx="0">
                  <c:v>6.342937562739877</c:v>
                </c:pt>
                <c:pt idx="1">
                  <c:v>5.2708553521307664</c:v>
                </c:pt>
                <c:pt idx="2">
                  <c:v>5.7065351743141761</c:v>
                </c:pt>
                <c:pt idx="3">
                  <c:v>5.686090225563909</c:v>
                </c:pt>
                <c:pt idx="4">
                  <c:v>6.0785137183864766</c:v>
                </c:pt>
                <c:pt idx="5">
                  <c:v>4.5243502397173696</c:v>
                </c:pt>
                <c:pt idx="6">
                  <c:v>4.7443096859943719</c:v>
                </c:pt>
                <c:pt idx="7">
                  <c:v>4.5974447397077096</c:v>
                </c:pt>
                <c:pt idx="8">
                  <c:v>3.7926118404129694</c:v>
                </c:pt>
                <c:pt idx="9">
                  <c:v>5.0269376357761644</c:v>
                </c:pt>
                <c:pt idx="10">
                  <c:v>5.346746740938455</c:v>
                </c:pt>
                <c:pt idx="11">
                  <c:v>4.9829237227982714</c:v>
                </c:pt>
                <c:pt idx="12">
                  <c:v>4.9494798693006734</c:v>
                </c:pt>
                <c:pt idx="13">
                  <c:v>4.0970244525188955</c:v>
                </c:pt>
                <c:pt idx="14">
                  <c:v>5.1552522299865755</c:v>
                </c:pt>
                <c:pt idx="15">
                  <c:v>4.9868801696549694</c:v>
                </c:pt>
                <c:pt idx="16">
                  <c:v>4.6996450762411701</c:v>
                </c:pt>
                <c:pt idx="17">
                  <c:v>3.3863726209973453</c:v>
                </c:pt>
                <c:pt idx="18">
                  <c:v>4.7911697886239999</c:v>
                </c:pt>
                <c:pt idx="19">
                  <c:v>4.3264378690315821</c:v>
                </c:pt>
                <c:pt idx="20">
                  <c:v>3.9173443748796677</c:v>
                </c:pt>
                <c:pt idx="21">
                  <c:v>4.446878763504194</c:v>
                </c:pt>
                <c:pt idx="22">
                  <c:v>4.0197611040559131</c:v>
                </c:pt>
                <c:pt idx="23">
                  <c:v>4.0065321542770826</c:v>
                </c:pt>
                <c:pt idx="24">
                  <c:v>4.20924568143462</c:v>
                </c:pt>
                <c:pt idx="25">
                  <c:v>3.9178786860957784</c:v>
                </c:pt>
                <c:pt idx="26">
                  <c:v>4.3894480751663334</c:v>
                </c:pt>
                <c:pt idx="27">
                  <c:v>3.5046596061503448</c:v>
                </c:pt>
                <c:pt idx="28">
                  <c:v>3.8912963837430632</c:v>
                </c:pt>
                <c:pt idx="29">
                  <c:v>4.0377710931684554</c:v>
                </c:pt>
                <c:pt idx="31">
                  <c:v>4.0569370470188755</c:v>
                </c:pt>
                <c:pt idx="32">
                  <c:v>5.3911847915179365</c:v>
                </c:pt>
                <c:pt idx="33">
                  <c:v>7.1553425429940791</c:v>
                </c:pt>
                <c:pt idx="34">
                  <c:v>3.7088309745549992</c:v>
                </c:pt>
                <c:pt idx="35">
                  <c:v>4.1112627475822023</c:v>
                </c:pt>
                <c:pt idx="36">
                  <c:v>4.2859545129692656</c:v>
                </c:pt>
                <c:pt idx="37">
                  <c:v>5.2473763118440804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F8-43E2-87E6-C8DF3707A048}"/>
            </c:ext>
          </c:extLst>
        </c:ser>
        <c:ser>
          <c:idx val="2"/>
          <c:order val="2"/>
          <c:tx>
            <c:strRef>
              <c:f>'Graf-evropské srovnání'!$E$3</c:f>
              <c:strCache>
                <c:ptCount val="1"/>
                <c:pt idx="0">
                  <c:v>% ze zaměstnanosti v celé ekonomice (rok 2017)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6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strRef>
              <c:f>'Graf-evropské srovnání'!$B$4:$B$41</c:f>
              <c:strCache>
                <c:ptCount val="38"/>
                <c:pt idx="0">
                  <c:v>Irsko</c:v>
                </c:pt>
                <c:pt idx="1">
                  <c:v>Švédsko</c:v>
                </c:pt>
                <c:pt idx="2">
                  <c:v>Lucemburs.</c:v>
                </c:pt>
                <c:pt idx="3">
                  <c:v>Malta</c:v>
                </c:pt>
                <c:pt idx="4">
                  <c:v>V. Británie</c:v>
                </c:pt>
                <c:pt idx="5">
                  <c:v>Estonsko</c:v>
                </c:pt>
                <c:pt idx="6">
                  <c:v>Finsko</c:v>
                </c:pt>
                <c:pt idx="7">
                  <c:v>Rumunsko</c:v>
                </c:pt>
                <c:pt idx="8">
                  <c:v>Bulharsko</c:v>
                </c:pt>
                <c:pt idx="9">
                  <c:v>ČR</c:v>
                </c:pt>
                <c:pt idx="10">
                  <c:v>Francie</c:v>
                </c:pt>
                <c:pt idx="11">
                  <c:v>EU15</c:v>
                </c:pt>
                <c:pt idx="12">
                  <c:v>EU28</c:v>
                </c:pt>
                <c:pt idx="13">
                  <c:v>Lotyšsko</c:v>
                </c:pt>
                <c:pt idx="14">
                  <c:v>Maďarsko</c:v>
                </c:pt>
                <c:pt idx="15">
                  <c:v>Nizozemsko</c:v>
                </c:pt>
                <c:pt idx="16">
                  <c:v>Německo</c:v>
                </c:pt>
                <c:pt idx="17">
                  <c:v>Kypr</c:v>
                </c:pt>
                <c:pt idx="18">
                  <c:v>Chorvatsko</c:v>
                </c:pt>
                <c:pt idx="19">
                  <c:v>Dánsko</c:v>
                </c:pt>
                <c:pt idx="20">
                  <c:v>Slovensko</c:v>
                </c:pt>
                <c:pt idx="21">
                  <c:v>Španělsko</c:v>
                </c:pt>
                <c:pt idx="22">
                  <c:v>Belgie</c:v>
                </c:pt>
                <c:pt idx="23">
                  <c:v>Slovinsko</c:v>
                </c:pt>
                <c:pt idx="24">
                  <c:v>Polsko</c:v>
                </c:pt>
                <c:pt idx="25">
                  <c:v>Litva</c:v>
                </c:pt>
                <c:pt idx="26">
                  <c:v>Itálie</c:v>
                </c:pt>
                <c:pt idx="27">
                  <c:v>Rakousko</c:v>
                </c:pt>
                <c:pt idx="28">
                  <c:v>Portugalsko</c:v>
                </c:pt>
                <c:pt idx="29">
                  <c:v>Řecko</c:v>
                </c:pt>
                <c:pt idx="31">
                  <c:v>Srbsko</c:v>
                </c:pt>
                <c:pt idx="32">
                  <c:v>Island</c:v>
                </c:pt>
                <c:pt idx="33">
                  <c:v>Černá Hora</c:v>
                </c:pt>
                <c:pt idx="34">
                  <c:v>Norsko</c:v>
                </c:pt>
                <c:pt idx="35">
                  <c:v>Švýcarsko</c:v>
                </c:pt>
                <c:pt idx="36">
                  <c:v>Makedonie</c:v>
                </c:pt>
                <c:pt idx="37">
                  <c:v>Albánie</c:v>
                </c:pt>
              </c:strCache>
            </c:strRef>
          </c:cat>
          <c:val>
            <c:numRef>
              <c:f>'Graf-evropské srovnání'!$E$4:$E$41</c:f>
              <c:numCache>
                <c:formatCode>#,##0.0</c:formatCode>
                <c:ptCount val="38"/>
                <c:pt idx="0">
                  <c:v>3.9810005147643781</c:v>
                </c:pt>
                <c:pt idx="1">
                  <c:v>4.0031977615668985</c:v>
                </c:pt>
                <c:pt idx="2">
                  <c:v>4.2329387830589971</c:v>
                </c:pt>
                <c:pt idx="3">
                  <c:v>4.2751796882292554</c:v>
                </c:pt>
                <c:pt idx="4">
                  <c:v>4.2484679512813814</c:v>
                </c:pt>
                <c:pt idx="5">
                  <c:v>4.8324240062353745</c:v>
                </c:pt>
                <c:pt idx="6">
                  <c:v>4.152915291529137</c:v>
                </c:pt>
                <c:pt idx="7">
                  <c:v>2.1873053229044155</c:v>
                </c:pt>
                <c:pt idx="8">
                  <c:v>2.6732097522231832</c:v>
                </c:pt>
                <c:pt idx="9">
                  <c:v>2.7564070189615215</c:v>
                </c:pt>
                <c:pt idx="10">
                  <c:v>3.0845378573222053</c:v>
                </c:pt>
                <c:pt idx="11">
                  <c:v>3.0961714866491166</c:v>
                </c:pt>
                <c:pt idx="12">
                  <c:v>2.9922515514772887</c:v>
                </c:pt>
                <c:pt idx="13">
                  <c:v>3.3399878872165272</c:v>
                </c:pt>
                <c:pt idx="14">
                  <c:v>3.0573457103070849</c:v>
                </c:pt>
                <c:pt idx="15">
                  <c:v>3.220488019344911</c:v>
                </c:pt>
                <c:pt idx="16">
                  <c:v>2.8799891576878771</c:v>
                </c:pt>
                <c:pt idx="17">
                  <c:v>2.7898357576219253</c:v>
                </c:pt>
                <c:pt idx="18">
                  <c:v>2.7251590797846301</c:v>
                </c:pt>
                <c:pt idx="19">
                  <c:v>3.5946593632317629</c:v>
                </c:pt>
                <c:pt idx="20">
                  <c:v>2.852132565570384</c:v>
                </c:pt>
                <c:pt idx="21">
                  <c:v>2.7265082582258842</c:v>
                </c:pt>
                <c:pt idx="22">
                  <c:v>2.4791463776093488</c:v>
                </c:pt>
                <c:pt idx="23">
                  <c:v>3.0128543043672167</c:v>
                </c:pt>
                <c:pt idx="24">
                  <c:v>2.3481070191386384</c:v>
                </c:pt>
                <c:pt idx="25">
                  <c:v>2.0722097909327877</c:v>
                </c:pt>
                <c:pt idx="26">
                  <c:v>2.4082372388520517</c:v>
                </c:pt>
                <c:pt idx="27">
                  <c:v>2.6340419842224887</c:v>
                </c:pt>
                <c:pt idx="28">
                  <c:v>1.879209166142582</c:v>
                </c:pt>
                <c:pt idx="29">
                  <c:v>2.1616165006989592</c:v>
                </c:pt>
                <c:pt idx="32">
                  <c:v>4</c:v>
                </c:pt>
                <c:pt idx="34">
                  <c:v>3.3297529538130957</c:v>
                </c:pt>
                <c:pt idx="35">
                  <c:v>3.1540159178741547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F8-43E2-87E6-C8DF3707A048}"/>
            </c:ext>
          </c:extLst>
        </c:ser>
        <c:marker val="1"/>
        <c:axId val="133824512"/>
        <c:axId val="133826816"/>
      </c:lineChart>
      <c:catAx>
        <c:axId val="133824512"/>
        <c:scaling>
          <c:orientation val="minMax"/>
        </c:scaling>
        <c:axPos val="b"/>
        <c:numFmt formatCode="General" sourceLinked="0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3826816"/>
        <c:crosses val="autoZero"/>
        <c:auto val="1"/>
        <c:lblAlgn val="ctr"/>
        <c:lblOffset val="20"/>
      </c:catAx>
      <c:valAx>
        <c:axId val="133826816"/>
        <c:scaling>
          <c:orientation val="minMax"/>
          <c:max val="11"/>
          <c:min val="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3824512"/>
        <c:crosses val="autoZero"/>
        <c:crossBetween val="between"/>
        <c:majorUnit val="1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4.8955370088302468E-2"/>
          <c:y val="0.88186983311578315"/>
          <c:w val="0.91818074493958002"/>
          <c:h val="0.11077912052437294"/>
        </c:manualLayout>
      </c:layout>
      <c:spPr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FA9A-D03E-4F90-8B01-88AB526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5</TotalTime>
  <Pages>4</Pages>
  <Words>957</Words>
  <Characters>5651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6595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2014-07-17T14:07:00Z</cp:lastPrinted>
  <dcterms:created xsi:type="dcterms:W3CDTF">2018-10-29T16:28:00Z</dcterms:created>
  <dcterms:modified xsi:type="dcterms:W3CDTF">2018-10-29T16:33:00Z</dcterms:modified>
</cp:coreProperties>
</file>