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73" w:rsidRPr="00360DE3" w:rsidRDefault="00F46502" w:rsidP="00F46502">
      <w:pPr>
        <w:pStyle w:val="Nadpis1"/>
      </w:pPr>
      <w:bookmarkStart w:id="0" w:name="_Toc527639458"/>
      <w:r w:rsidRPr="00360DE3">
        <w:t>Základní makroekonomické okruhy</w:t>
      </w:r>
      <w:bookmarkEnd w:id="0"/>
    </w:p>
    <w:p w:rsidR="00F46502" w:rsidRPr="00360DE3" w:rsidRDefault="00F46502" w:rsidP="00F46502">
      <w:pPr>
        <w:pStyle w:val="Nadpis11"/>
      </w:pPr>
      <w:bookmarkStart w:id="1" w:name="_Toc527639459"/>
      <w:r w:rsidRPr="00360DE3">
        <w:t>1. Hrubý domácí produkt</w:t>
      </w:r>
      <w:bookmarkEnd w:id="1"/>
    </w:p>
    <w:tbl>
      <w:tblPr>
        <w:tblW w:w="9644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909"/>
        <w:gridCol w:w="264"/>
        <w:gridCol w:w="7471"/>
      </w:tblGrid>
      <w:tr w:rsidR="00F46502" w:rsidRPr="00360DE3" w:rsidTr="002B213A">
        <w:trPr>
          <w:trHeight w:val="145"/>
        </w:trPr>
        <w:tc>
          <w:tcPr>
            <w:tcW w:w="1909" w:type="dxa"/>
            <w:shd w:val="clear" w:color="auto" w:fill="auto"/>
          </w:tcPr>
          <w:p w:rsidR="00F46502" w:rsidRPr="00360DE3" w:rsidRDefault="00F46502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Hrubý domácí produkt se v minulém roce reálně zvýšil o 4,3 %.</w:t>
            </w:r>
          </w:p>
        </w:tc>
        <w:tc>
          <w:tcPr>
            <w:tcW w:w="264" w:type="dxa"/>
            <w:shd w:val="clear" w:color="auto" w:fill="auto"/>
          </w:tcPr>
          <w:p w:rsidR="00F46502" w:rsidRPr="00360DE3" w:rsidRDefault="00F46502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F46502" w:rsidRPr="00360DE3" w:rsidRDefault="00F46502" w:rsidP="002B213A">
            <w:r w:rsidRPr="00360DE3">
              <w:t xml:space="preserve">Hrubý domácí produkt (HDP) v roce 2017 dosáhl 5 045,2 mld. korun (v běžných cenách). Poprvé tak byla překonána hranice 5 bilionů. Reálný meziroční přírůstek HDP činil 4,3 %, tempo tak výrazně zrychlilo v porovnání s předchozím rokem. Šlo o čtvrtý kladný přírůstek v řadě. Během posledního čtyřletého období konjunktury se HDP reálně zvýšil o 15,6 %. V celém uvedeném období stabilně přetrvával silný příspěvek bilance zahraničního obchodu. Výrazného hospodářského růstu v loňském roce však mohlo být dosaženo díky součinnosti všech složek HDP. Klíčovým faktorem, který přispěl ke zrychlení, byly výdaje na spotřebu domácností. </w:t>
            </w:r>
          </w:p>
        </w:tc>
      </w:tr>
      <w:tr w:rsidR="00F46502" w:rsidRPr="00360DE3" w:rsidTr="002B213A">
        <w:tc>
          <w:tcPr>
            <w:tcW w:w="1909" w:type="dxa"/>
            <w:vMerge w:val="restart"/>
            <w:shd w:val="clear" w:color="auto" w:fill="auto"/>
          </w:tcPr>
          <w:p w:rsidR="00F46502" w:rsidRPr="00360DE3" w:rsidRDefault="00F46502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64" w:type="dxa"/>
            <w:vMerge w:val="restart"/>
            <w:shd w:val="clear" w:color="auto" w:fill="auto"/>
          </w:tcPr>
          <w:p w:rsidR="00F46502" w:rsidRPr="00360DE3" w:rsidRDefault="00F46502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0D514E" w:rsidRDefault="00F46502" w:rsidP="002B213A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č. </w:t>
            </w:r>
            <w:proofErr w:type="gramStart"/>
            <w:r w:rsidR="002B213A" w:rsidRPr="00360DE3">
              <w:rPr>
                <w:b/>
              </w:rPr>
              <w:t>1.1</w:t>
            </w:r>
            <w:r w:rsidRPr="00360DE3">
              <w:rPr>
                <w:b/>
              </w:rPr>
              <w:t xml:space="preserve">  Příspěvky</w:t>
            </w:r>
            <w:proofErr w:type="gramEnd"/>
            <w:r w:rsidRPr="00360DE3">
              <w:rPr>
                <w:b/>
              </w:rPr>
              <w:t xml:space="preserve"> jednotlivých složek ke změně HDP* </w:t>
            </w:r>
          </w:p>
          <w:p w:rsidR="00F46502" w:rsidRPr="00360DE3" w:rsidRDefault="00F46502" w:rsidP="002B213A">
            <w:pPr>
              <w:spacing w:after="0"/>
              <w:rPr>
                <w:b/>
              </w:rPr>
            </w:pPr>
            <w:r w:rsidRPr="00360DE3">
              <w:t>(objemové indexy, v p. </w:t>
            </w:r>
            <w:proofErr w:type="spellStart"/>
            <w:r w:rsidRPr="00360DE3">
              <w:t>b</w:t>
            </w:r>
            <w:proofErr w:type="spellEnd"/>
            <w:r w:rsidRPr="00360DE3">
              <w:t>., růst HDP v %)</w:t>
            </w:r>
          </w:p>
        </w:tc>
      </w:tr>
      <w:tr w:rsidR="00F46502" w:rsidRPr="00360DE3" w:rsidTr="002B213A">
        <w:trPr>
          <w:trHeight w:val="170"/>
        </w:trPr>
        <w:tc>
          <w:tcPr>
            <w:tcW w:w="1909" w:type="dxa"/>
            <w:vMerge/>
            <w:shd w:val="clear" w:color="auto" w:fill="auto"/>
          </w:tcPr>
          <w:p w:rsidR="00F46502" w:rsidRPr="00360DE3" w:rsidRDefault="00F46502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:rsidR="00F46502" w:rsidRPr="00360DE3" w:rsidRDefault="00F46502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F46502" w:rsidRPr="00360DE3" w:rsidRDefault="00F46502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F46502" w:rsidRPr="00360DE3" w:rsidTr="002B213A">
        <w:trPr>
          <w:trHeight w:val="170"/>
        </w:trPr>
        <w:tc>
          <w:tcPr>
            <w:tcW w:w="1909" w:type="dxa"/>
            <w:vMerge/>
            <w:shd w:val="clear" w:color="auto" w:fill="auto"/>
          </w:tcPr>
          <w:p w:rsidR="00F46502" w:rsidRPr="00360DE3" w:rsidRDefault="00F46502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:rsidR="00F46502" w:rsidRPr="00360DE3" w:rsidRDefault="00F46502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F46502" w:rsidRPr="00360DE3" w:rsidRDefault="00F46502" w:rsidP="002B213A">
            <w:pPr>
              <w:spacing w:after="0"/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Zdroj: ČSÚ</w:t>
            </w:r>
          </w:p>
          <w:p w:rsidR="00F46502" w:rsidRPr="00360DE3" w:rsidRDefault="00F46502" w:rsidP="002B213A">
            <w:pPr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*Po vyloučení dovozu pro konečné užití</w:t>
            </w:r>
          </w:p>
        </w:tc>
      </w:tr>
      <w:tr w:rsidR="00F46502" w:rsidRPr="00360DE3" w:rsidTr="002B213A">
        <w:trPr>
          <w:trHeight w:val="145"/>
        </w:trPr>
        <w:tc>
          <w:tcPr>
            <w:tcW w:w="1909" w:type="dxa"/>
            <w:shd w:val="clear" w:color="auto" w:fill="auto"/>
          </w:tcPr>
          <w:p w:rsidR="00F46502" w:rsidRPr="00360DE3" w:rsidRDefault="00F46502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Hospodářský růst byl podpořen všemi složkami HDP. Nejvýrazněji se projevoval růst spotřeby a investic.</w:t>
            </w:r>
          </w:p>
        </w:tc>
        <w:tc>
          <w:tcPr>
            <w:tcW w:w="264" w:type="dxa"/>
            <w:shd w:val="clear" w:color="auto" w:fill="auto"/>
          </w:tcPr>
          <w:p w:rsidR="00F46502" w:rsidRPr="00360DE3" w:rsidRDefault="00F46502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F46502" w:rsidRPr="00360DE3" w:rsidRDefault="00F46502" w:rsidP="002B213A">
            <w:r w:rsidRPr="00360DE3">
              <w:t xml:space="preserve">Celkový příspěvek výdajů na konečnou spotřebu k růstu HDP loni dosáhl 2,3 p. </w:t>
            </w:r>
            <w:proofErr w:type="spellStart"/>
            <w:r w:rsidRPr="00360DE3">
              <w:t>b</w:t>
            </w:r>
            <w:proofErr w:type="spellEnd"/>
            <w:r w:rsidRPr="00360DE3">
              <w:t>.</w:t>
            </w:r>
            <w:r w:rsidRPr="00360DE3">
              <w:rPr>
                <w:rStyle w:val="Znakapoznpodarou"/>
              </w:rPr>
              <w:footnoteReference w:id="1"/>
            </w:r>
            <w:r w:rsidRPr="00360DE3">
              <w:t xml:space="preserve"> Klíčovou roli měly domácnosti, jejichž spotřební výdaje se reálně zvýšily o 4,3 % (zrychlení o 0,7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.). Samotný příspěvek spotřeby domácností k růstu HDP narostl na 2,1 p. </w:t>
            </w:r>
            <w:proofErr w:type="spellStart"/>
            <w:r w:rsidRPr="00360DE3">
              <w:t>b</w:t>
            </w:r>
            <w:proofErr w:type="spellEnd"/>
            <w:r w:rsidRPr="00360DE3">
              <w:t>.</w:t>
            </w:r>
            <w:r w:rsidR="000D514E">
              <w:t>,</w:t>
            </w:r>
            <w:r w:rsidRPr="00360DE3">
              <w:t xml:space="preserve"> a byl </w:t>
            </w:r>
            <w:r w:rsidR="000D514E">
              <w:t xml:space="preserve">zároveň </w:t>
            </w:r>
            <w:r w:rsidRPr="00360DE3">
              <w:t xml:space="preserve">nejvyšší od roku 1996. Naopak výdaje na spotřebu vládních institucí rostly pomaleji než v roce 2016 – zvýšily se o 1,3 %. Výsledný příspěvek k celkovému hospodářskému růstu činil 0,2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 Druhý nejvyšší příspěvek k růstu vzešel od rostoucí bilance zahraničního obchodu. Dosáhl 1,4 p. </w:t>
            </w:r>
            <w:proofErr w:type="spellStart"/>
            <w:r w:rsidRPr="00360DE3">
              <w:t>b</w:t>
            </w:r>
            <w:proofErr w:type="spellEnd"/>
            <w:r w:rsidRPr="00360DE3">
              <w:t>.</w:t>
            </w:r>
            <w:r w:rsidR="000D514E">
              <w:t>,</w:t>
            </w:r>
            <w:r w:rsidRPr="00360DE3">
              <w:t xml:space="preserve"> a byl nejvyšší za posledních pět let. Po slabém roce 2016 došlo i k oživení investiční aktivity. Výdaje na tvorbu hrubého fixního kapitálu se zvýšily o 3,3 % a růst HDP podpořily 0,8 p. </w:t>
            </w:r>
            <w:proofErr w:type="spellStart"/>
            <w:r w:rsidRPr="00360DE3">
              <w:t>b</w:t>
            </w:r>
            <w:proofErr w:type="spellEnd"/>
            <w:r w:rsidRPr="00360DE3">
              <w:t>. Tento příspěvek byl (pomineme-li nestandardní rok 2015</w:t>
            </w:r>
            <w:r w:rsidRPr="00360DE3">
              <w:rPr>
                <w:rStyle w:val="Znakapoznpodarou"/>
              </w:rPr>
              <w:footnoteReference w:id="2"/>
            </w:r>
            <w:r w:rsidRPr="00360DE3">
              <w:t xml:space="preserve">) nejvyšší od roku 2007.  </w:t>
            </w:r>
          </w:p>
        </w:tc>
      </w:tr>
      <w:tr w:rsidR="00F46502" w:rsidRPr="00360DE3" w:rsidTr="002B213A">
        <w:trPr>
          <w:trHeight w:val="145"/>
        </w:trPr>
        <w:tc>
          <w:tcPr>
            <w:tcW w:w="1909" w:type="dxa"/>
            <w:shd w:val="clear" w:color="auto" w:fill="auto"/>
          </w:tcPr>
          <w:p w:rsidR="00F46502" w:rsidRPr="00360DE3" w:rsidRDefault="00F46502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Zpracovatelský průmysl loni dále posílil svou převahu v českém hospodářství.</w:t>
            </w:r>
          </w:p>
        </w:tc>
        <w:tc>
          <w:tcPr>
            <w:tcW w:w="264" w:type="dxa"/>
            <w:shd w:val="clear" w:color="auto" w:fill="auto"/>
          </w:tcPr>
          <w:p w:rsidR="00F46502" w:rsidRPr="00360DE3" w:rsidRDefault="00F46502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F46502" w:rsidRPr="00360DE3" w:rsidRDefault="00F46502" w:rsidP="002B213A">
            <w:r w:rsidRPr="00360DE3">
              <w:t xml:space="preserve">Nabídkovou stranu ekonomiky reprezentuje hrubá přidaná hodnota (HPH). Ta loni dosáhla v běžných cenách 4 527,6 mld. korun a reálně se zvýšila o 4,2 %. Hlavním tvůrcem HPH je v české ekonomice dlouhodobě zpracovatelský průmysl, ve kterém HPH loni vzrostla o 10,5 %. Zpracovatelský průmysl tak nejvýrazněji přispěl k růstu HPH (3,0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.). Ostatním průmyslovým odvětvím se tak nedařilo a růst tlumila celkem o 0,1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 Výjimkou byla výroba a rozvod elektřiny, plynu, tepla a klimatizovaného vzduchu, kde po čtyřech letech propadů loni došlo k mírnému růstu HPH ve výši 3,9 %. Pokračoval však pokles u těžby a dobývání (-9,6 %) a o 3,0 % se snížila HPH v odvětvích věnujících se zásobování vodou a činnostem souvisejícím s odpadními vodami. Pokračoval i slabý výkon stavebnictví, kde HPH meziročně poklesla o 2,9 %. I pod vlivem slabší úrody než v předchozích letech došlo ke snížení HPH v zemědělství, lesnictví a rybářství o 3,0 %.  </w:t>
            </w:r>
          </w:p>
        </w:tc>
      </w:tr>
      <w:tr w:rsidR="00F46502" w:rsidRPr="00360DE3" w:rsidTr="002B213A">
        <w:trPr>
          <w:trHeight w:val="170"/>
        </w:trPr>
        <w:tc>
          <w:tcPr>
            <w:tcW w:w="1909" w:type="dxa"/>
            <w:vMerge w:val="restart"/>
            <w:shd w:val="clear" w:color="auto" w:fill="auto"/>
          </w:tcPr>
          <w:p w:rsidR="00F46502" w:rsidRPr="00360DE3" w:rsidRDefault="00F46502" w:rsidP="002B213A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vMerge w:val="restart"/>
            <w:shd w:val="clear" w:color="auto" w:fill="auto"/>
          </w:tcPr>
          <w:p w:rsidR="00F46502" w:rsidRPr="00360DE3" w:rsidRDefault="00F46502" w:rsidP="002B213A">
            <w:pPr>
              <w:pStyle w:val="Textpoznpodarou1"/>
              <w:spacing w:after="240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0D514E" w:rsidRDefault="00F46502" w:rsidP="002B213A">
            <w:pPr>
              <w:spacing w:after="0"/>
              <w:rPr>
                <w:rFonts w:cs="Arial"/>
                <w:lang w:eastAsia="en-US"/>
              </w:rPr>
            </w:pPr>
            <w:r w:rsidRPr="00360DE3">
              <w:rPr>
                <w:rFonts w:cs="Arial"/>
                <w:b/>
                <w:lang w:eastAsia="en-US"/>
              </w:rPr>
              <w:t xml:space="preserve">Graf č. </w:t>
            </w:r>
            <w:proofErr w:type="gramStart"/>
            <w:r w:rsidR="002B213A" w:rsidRPr="00360DE3">
              <w:rPr>
                <w:rFonts w:cs="Arial"/>
                <w:b/>
                <w:lang w:eastAsia="en-US"/>
              </w:rPr>
              <w:t>1.2</w:t>
            </w:r>
            <w:r w:rsidRPr="00360DE3">
              <w:rPr>
                <w:rFonts w:cs="Arial"/>
                <w:b/>
                <w:lang w:eastAsia="en-US"/>
              </w:rPr>
              <w:t xml:space="preserve">  Příspěvky</w:t>
            </w:r>
            <w:proofErr w:type="gramEnd"/>
            <w:r w:rsidRPr="00360DE3">
              <w:rPr>
                <w:rFonts w:cs="Arial"/>
                <w:b/>
                <w:lang w:eastAsia="en-US"/>
              </w:rPr>
              <w:t xml:space="preserve"> odvětví ke změně HPH</w:t>
            </w:r>
            <w:r w:rsidRPr="00360DE3">
              <w:rPr>
                <w:rFonts w:cs="Arial"/>
                <w:lang w:eastAsia="en-US"/>
              </w:rPr>
              <w:t xml:space="preserve"> </w:t>
            </w:r>
          </w:p>
          <w:p w:rsidR="00F46502" w:rsidRPr="00360DE3" w:rsidRDefault="00F46502" w:rsidP="002B213A">
            <w:pPr>
              <w:spacing w:after="0"/>
            </w:pPr>
            <w:r w:rsidRPr="00360DE3">
              <w:rPr>
                <w:rFonts w:cs="Arial"/>
                <w:lang w:eastAsia="en-US"/>
              </w:rPr>
              <w:t xml:space="preserve">(objemové indexy, v p. </w:t>
            </w:r>
            <w:proofErr w:type="spellStart"/>
            <w:r w:rsidRPr="00360DE3">
              <w:rPr>
                <w:rFonts w:cs="Arial"/>
                <w:lang w:eastAsia="en-US"/>
              </w:rPr>
              <w:t>b</w:t>
            </w:r>
            <w:proofErr w:type="spellEnd"/>
            <w:r w:rsidRPr="00360DE3">
              <w:rPr>
                <w:rFonts w:cs="Arial"/>
                <w:lang w:eastAsia="en-US"/>
              </w:rPr>
              <w:t>., HPH v %)</w:t>
            </w:r>
          </w:p>
        </w:tc>
      </w:tr>
      <w:tr w:rsidR="00F46502" w:rsidRPr="00360DE3" w:rsidTr="002B213A">
        <w:trPr>
          <w:trHeight w:val="170"/>
        </w:trPr>
        <w:tc>
          <w:tcPr>
            <w:tcW w:w="1909" w:type="dxa"/>
            <w:vMerge/>
            <w:shd w:val="clear" w:color="auto" w:fill="auto"/>
          </w:tcPr>
          <w:p w:rsidR="00F46502" w:rsidRPr="00360DE3" w:rsidRDefault="00F46502" w:rsidP="002B213A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:rsidR="00F46502" w:rsidRPr="00360DE3" w:rsidRDefault="00F46502" w:rsidP="002B213A">
            <w:pPr>
              <w:pStyle w:val="Textpoznpodarou1"/>
              <w:spacing w:after="240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F46502" w:rsidRPr="00360DE3" w:rsidRDefault="00F46502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46502" w:rsidRPr="00360DE3" w:rsidTr="002B213A">
        <w:trPr>
          <w:trHeight w:val="170"/>
        </w:trPr>
        <w:tc>
          <w:tcPr>
            <w:tcW w:w="1909" w:type="dxa"/>
            <w:vMerge/>
            <w:shd w:val="clear" w:color="auto" w:fill="auto"/>
          </w:tcPr>
          <w:p w:rsidR="00F46502" w:rsidRPr="00360DE3" w:rsidRDefault="00F46502" w:rsidP="002B213A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:rsidR="00F46502" w:rsidRPr="00360DE3" w:rsidRDefault="00F46502" w:rsidP="002B213A">
            <w:pPr>
              <w:pStyle w:val="Textpoznpodarou1"/>
              <w:spacing w:after="240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F46502" w:rsidRPr="00360DE3" w:rsidRDefault="00F46502" w:rsidP="002B213A">
            <w:pPr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Zdroj:ČSÚ</w:t>
            </w:r>
          </w:p>
        </w:tc>
      </w:tr>
      <w:tr w:rsidR="00B30358" w:rsidRPr="00360DE3" w:rsidTr="002B213A">
        <w:trPr>
          <w:trHeight w:val="212"/>
        </w:trPr>
        <w:tc>
          <w:tcPr>
            <w:tcW w:w="1909" w:type="dxa"/>
            <w:shd w:val="clear" w:color="auto" w:fill="auto"/>
          </w:tcPr>
          <w:p w:rsidR="00B30358" w:rsidRPr="00360DE3" w:rsidRDefault="00B30358" w:rsidP="00A7184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Odvětví </w:t>
            </w:r>
            <w:proofErr w:type="gramStart"/>
            <w:r w:rsidRPr="00360DE3">
              <w:rPr>
                <w:spacing w:val="0"/>
              </w:rPr>
              <w:t>služeb  podporovalo</w:t>
            </w:r>
            <w:proofErr w:type="gramEnd"/>
            <w:r w:rsidRPr="00360DE3">
              <w:rPr>
                <w:spacing w:val="0"/>
              </w:rPr>
              <w:t xml:space="preserve"> zvýšení domácí poptávky.</w:t>
            </w:r>
          </w:p>
        </w:tc>
        <w:tc>
          <w:tcPr>
            <w:tcW w:w="264" w:type="dxa"/>
            <w:shd w:val="clear" w:color="auto" w:fill="auto"/>
          </w:tcPr>
          <w:p w:rsidR="00B30358" w:rsidRPr="00360DE3" w:rsidRDefault="00B30358" w:rsidP="00A7184F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B30358" w:rsidRPr="00360DE3" w:rsidRDefault="00B30358" w:rsidP="00A7184F">
            <w:r w:rsidRPr="00360DE3">
              <w:t xml:space="preserve">Odvětvím služeb prospívala zvýšená domácí poptávka i obecné zrychlení hospodářského růstu. Celkový příspěvek služeb k růstu HPH činil 1,6 p. </w:t>
            </w:r>
            <w:proofErr w:type="spellStart"/>
            <w:r w:rsidRPr="00360DE3">
              <w:t>b</w:t>
            </w:r>
            <w:proofErr w:type="spellEnd"/>
            <w:r w:rsidRPr="00360DE3">
              <w:t>. Zvýšená spotřeba domácností podpořila zejména ubytování, stravování a pohostinství, kde růst HPH zrychlil na 3,5 %. Zrychlení ekonomiky a zvýšená potřeba pohybu zboží pak stimulovaly odvětví doprava a skladování – zde se HPH zvýšila o 5,8 %. Naopak u velkoobchodu a maloobchodu se tempo růstu udrželo na 1,7 %. Dohromady zmíněná odvětví přispěla k rů</w:t>
            </w:r>
            <w:r>
              <w:t xml:space="preserve">stu HPH 0,6 p. </w:t>
            </w:r>
            <w:proofErr w:type="spellStart"/>
            <w:r>
              <w:t>b</w:t>
            </w:r>
            <w:proofErr w:type="spellEnd"/>
            <w:r>
              <w:t>. Informačním a</w:t>
            </w:r>
            <w:r w:rsidRPr="00360DE3">
              <w:t> komunikačním činnostem se daří již pět let (oživení zde proběhlo již v roce 2013, dříve než v ostatních důležitých odvětvích), lon</w:t>
            </w:r>
            <w:r>
              <w:t>i jejich HPH vzrostla o 5,7 % a</w:t>
            </w:r>
            <w:r w:rsidRPr="00360DE3">
              <w:t xml:space="preserve"> odvětví přispělo k růstu 0,3 p. </w:t>
            </w:r>
            <w:proofErr w:type="spellStart"/>
            <w:r w:rsidRPr="00360DE3">
              <w:t>b</w:t>
            </w:r>
            <w:proofErr w:type="spellEnd"/>
            <w:r w:rsidRPr="00360DE3">
              <w:t>. Poměrně silně s</w:t>
            </w:r>
            <w:r>
              <w:t>e zvyšovala HPH v peněžnictví a</w:t>
            </w:r>
            <w:r w:rsidRPr="00360DE3">
              <w:t xml:space="preserve"> pojišťovnictví (6,3 %), které podpořilo celkový růst 0,3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 Ostatní odvětví služeb růst podpořila méně. Oslabil růst u profesních, vědeckých a technických činností (2,7 %) i u administrativy a podpůrných činností (4,8 %, příspěvek 0,2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.). Rovněž </w:t>
            </w:r>
            <w:r w:rsidRPr="00360DE3">
              <w:lastRenderedPageBreak/>
              <w:t xml:space="preserve">0,2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 </w:t>
            </w:r>
            <w:proofErr w:type="gramStart"/>
            <w:r w:rsidRPr="00360DE3">
              <w:t>podpořila</w:t>
            </w:r>
            <w:proofErr w:type="gramEnd"/>
            <w:r w:rsidRPr="00360DE3">
              <w:t xml:space="preserve"> růst HPH odvětví </w:t>
            </w:r>
            <w:r>
              <w:t xml:space="preserve">služeb </w:t>
            </w:r>
            <w:r w:rsidRPr="00360DE3">
              <w:t>s dominancí státu</w:t>
            </w:r>
            <w:r>
              <w:rPr>
                <w:rStyle w:val="Znakapoznpodarou"/>
              </w:rPr>
              <w:footnoteReference w:id="3"/>
            </w:r>
            <w:r w:rsidRPr="00360DE3">
              <w:t>, kde hrubá přidaná hodnota vzrostla o 1,6 %. Útlum zažívaly činnosti v oblasti nemovitostí (</w:t>
            </w:r>
            <w:r w:rsidRPr="00360DE3">
              <w:noBreakHyphen/>
              <w:t xml:space="preserve">0,2 %). </w:t>
            </w:r>
          </w:p>
        </w:tc>
      </w:tr>
      <w:tr w:rsidR="00B30358" w:rsidRPr="00360DE3" w:rsidTr="002B213A">
        <w:trPr>
          <w:trHeight w:val="212"/>
        </w:trPr>
        <w:tc>
          <w:tcPr>
            <w:tcW w:w="1909" w:type="dxa"/>
            <w:shd w:val="clear" w:color="auto" w:fill="auto"/>
          </w:tcPr>
          <w:p w:rsidR="00B30358" w:rsidRPr="00360DE3" w:rsidRDefault="00B30358" w:rsidP="002B213A">
            <w:pPr>
              <w:pStyle w:val="Marginlie"/>
              <w:spacing w:after="240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Pozitivní ekonomický vývoj probíhal napříč státy Evropské unie.</w:t>
            </w:r>
          </w:p>
        </w:tc>
        <w:tc>
          <w:tcPr>
            <w:tcW w:w="264" w:type="dxa"/>
            <w:shd w:val="clear" w:color="auto" w:fill="auto"/>
          </w:tcPr>
          <w:p w:rsidR="00B30358" w:rsidRPr="00360DE3" w:rsidRDefault="00B30358" w:rsidP="002B213A">
            <w:pPr>
              <w:pStyle w:val="Textpoznpodarou1"/>
              <w:spacing w:after="240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B30358" w:rsidRPr="00360DE3" w:rsidRDefault="00B30358" w:rsidP="002B213A">
            <w:r w:rsidRPr="00360DE3">
              <w:t xml:space="preserve">Hrubý domácí produkt v Evropské unii loni vzrostl o 2,4 %. Výkon unijní ekonomiky tak zrychlil a dosáhl nejvyšší hodnoty přírůstku od konjunkturního roku 2007. Z celkového pohledu ke zrychlení přispělo zvýšení přebytku obchodní bilance i mírné posílení investiční aktivity. Růst spotřeby naopak zmírnil. Zrychlení hospodářského růstu se odehrálo ve většině </w:t>
            </w:r>
            <w:r>
              <w:t>jednotlivých ekonomik, důvody u</w:t>
            </w:r>
            <w:r w:rsidRPr="00360DE3">
              <w:t> jednotlivých zemí však byly různé. Nejvýraznějšího přírůstku HDP (7,2 %) dosáhlo Irsko, kde panují poměrně nestandardní podmínky, které znesnadňují srovnání se zbytkem EU</w:t>
            </w:r>
            <w:r w:rsidRPr="00360DE3">
              <w:rPr>
                <w:rStyle w:val="Znakapoznpodarou"/>
              </w:rPr>
              <w:footnoteReference w:id="4"/>
            </w:r>
            <w:r w:rsidRPr="00360DE3">
              <w:t>. K růstu zde každopádně přispělo více než zdvojnásobení přebytku bilance zahraničního obchodu. Mezi nejrychle</w:t>
            </w:r>
            <w:r>
              <w:t>ji rostoucími zeměmi se umístily i novější členské státy</w:t>
            </w:r>
            <w:r w:rsidRPr="00360DE3">
              <w:t xml:space="preserve"> Unie. Růst zde podpořila podobně jako v ČR zejména kombinace zvýšených výdajů na spotřebu a posílené investiční aktivity. To byl případ Rumunska (růst HDP o 6,9 %), Slovinska (5,0 %), Estonska (4,9 %) nebo Lotyšska (4,5 %). Poprvé od roku 2007 rostl HDP u všech zemí EU. Nejnižšího přírůstku dosáhlo Řecko (1,4 %, došlo zde k výraznému nárůstu investic), Itálie (1,5 %), shodně Velká Británie a Belgie (1,7 %). Ekonomika Velké Británie byla jednou z mála, kde došlo k meziročnímu zpomalení růstu. Určité zvolňování výkonu zd</w:t>
            </w:r>
            <w:r>
              <w:t>e trvá již třetím rokem.</w:t>
            </w:r>
          </w:p>
        </w:tc>
      </w:tr>
      <w:tr w:rsidR="00B30358" w:rsidRPr="00360DE3" w:rsidTr="002B213A">
        <w:trPr>
          <w:trHeight w:val="150"/>
        </w:trPr>
        <w:tc>
          <w:tcPr>
            <w:tcW w:w="1909" w:type="dxa"/>
            <w:vMerge w:val="restart"/>
            <w:shd w:val="clear" w:color="auto" w:fill="auto"/>
          </w:tcPr>
          <w:p w:rsidR="00B30358" w:rsidRPr="00360DE3" w:rsidRDefault="00B30358" w:rsidP="002B213A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vMerge w:val="restart"/>
            <w:shd w:val="clear" w:color="auto" w:fill="auto"/>
          </w:tcPr>
          <w:p w:rsidR="00B30358" w:rsidRPr="00360DE3" w:rsidRDefault="00B30358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B30358" w:rsidRDefault="00B30358" w:rsidP="002B213A">
            <w:pPr>
              <w:spacing w:after="0"/>
            </w:pPr>
            <w:r w:rsidRPr="00360DE3">
              <w:rPr>
                <w:b/>
              </w:rPr>
              <w:t xml:space="preserve">Graf č. </w:t>
            </w:r>
            <w:proofErr w:type="gramStart"/>
            <w:r w:rsidRPr="00360DE3">
              <w:rPr>
                <w:b/>
              </w:rPr>
              <w:t>1.3  Hrubý</w:t>
            </w:r>
            <w:proofErr w:type="gramEnd"/>
            <w:r w:rsidRPr="00360DE3">
              <w:rPr>
                <w:b/>
              </w:rPr>
              <w:t xml:space="preserve"> domácí produkt</w:t>
            </w:r>
            <w:r w:rsidRPr="00360DE3">
              <w:t xml:space="preserve"> </w:t>
            </w:r>
          </w:p>
          <w:p w:rsidR="00B30358" w:rsidRPr="00360DE3" w:rsidRDefault="00B30358" w:rsidP="002B213A">
            <w:pPr>
              <w:spacing w:after="0"/>
            </w:pPr>
            <w:r w:rsidRPr="00360DE3">
              <w:t>(meziroční přírůstek v %)</w:t>
            </w:r>
          </w:p>
        </w:tc>
      </w:tr>
      <w:tr w:rsidR="00B30358" w:rsidRPr="00360DE3" w:rsidTr="002B213A">
        <w:trPr>
          <w:trHeight w:val="150"/>
        </w:trPr>
        <w:tc>
          <w:tcPr>
            <w:tcW w:w="1909" w:type="dxa"/>
            <w:vMerge/>
            <w:shd w:val="clear" w:color="auto" w:fill="auto"/>
          </w:tcPr>
          <w:p w:rsidR="00B30358" w:rsidRPr="00360DE3" w:rsidRDefault="00B30358" w:rsidP="002B213A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:rsidR="00B30358" w:rsidRPr="00360DE3" w:rsidRDefault="00B30358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B30358" w:rsidRPr="00360DE3" w:rsidRDefault="00B30358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4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30358" w:rsidRPr="00360DE3" w:rsidTr="002B213A">
        <w:trPr>
          <w:trHeight w:val="150"/>
        </w:trPr>
        <w:tc>
          <w:tcPr>
            <w:tcW w:w="1909" w:type="dxa"/>
            <w:vMerge/>
            <w:shd w:val="clear" w:color="auto" w:fill="auto"/>
          </w:tcPr>
          <w:p w:rsidR="00B30358" w:rsidRPr="00360DE3" w:rsidRDefault="00B30358" w:rsidP="002B213A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:rsidR="00B30358" w:rsidRPr="00360DE3" w:rsidRDefault="00B30358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B30358" w:rsidRPr="00360DE3" w:rsidRDefault="00B30358" w:rsidP="002B213A">
            <w:pPr>
              <w:spacing w:after="0"/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 xml:space="preserve">Zdroj: </w:t>
            </w:r>
            <w:proofErr w:type="spellStart"/>
            <w:r w:rsidRPr="00360DE3">
              <w:rPr>
                <w:sz w:val="14"/>
                <w:szCs w:val="14"/>
              </w:rPr>
              <w:t>Eurostat</w:t>
            </w:r>
            <w:proofErr w:type="spellEnd"/>
          </w:p>
        </w:tc>
      </w:tr>
    </w:tbl>
    <w:p w:rsidR="00F46502" w:rsidRPr="00360DE3" w:rsidRDefault="00F46502" w:rsidP="00BE6186"/>
    <w:sectPr w:rsidR="00F46502" w:rsidRPr="00360DE3" w:rsidSect="00FC794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6C" w:rsidRDefault="0037026C" w:rsidP="00E71A58">
      <w:r>
        <w:separator/>
      </w:r>
    </w:p>
  </w:endnote>
  <w:endnote w:type="continuationSeparator" w:id="0">
    <w:p w:rsidR="0037026C" w:rsidRDefault="0037026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621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464621" w:rsidRPr="00932443">
      <w:rPr>
        <w:szCs w:val="16"/>
      </w:rPr>
      <w:fldChar w:fldCharType="separate"/>
    </w:r>
    <w:r w:rsidR="00FC7947">
      <w:rPr>
        <w:szCs w:val="16"/>
      </w:rPr>
      <w:t>6</w:t>
    </w:r>
    <w:r w:rsidR="00464621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464621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464621" w:rsidRPr="00932443">
      <w:rPr>
        <w:rStyle w:val="ZpatChar"/>
        <w:szCs w:val="16"/>
      </w:rPr>
      <w:fldChar w:fldCharType="separate"/>
    </w:r>
    <w:r w:rsidR="00FC7947">
      <w:rPr>
        <w:rStyle w:val="ZpatChar"/>
        <w:szCs w:val="16"/>
      </w:rPr>
      <w:t>7</w:t>
    </w:r>
    <w:r w:rsidR="00464621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6C" w:rsidRDefault="0037026C" w:rsidP="00E71A58">
      <w:r>
        <w:separator/>
      </w:r>
    </w:p>
  </w:footnote>
  <w:footnote w:type="continuationSeparator" w:id="0">
    <w:p w:rsidR="0037026C" w:rsidRDefault="0037026C" w:rsidP="00E71A58">
      <w:r>
        <w:continuationSeparator/>
      </w:r>
    </w:p>
  </w:footnote>
  <w:footnote w:id="1">
    <w:p w:rsidR="00C805DC" w:rsidRPr="002E4A56" w:rsidRDefault="00C805DC" w:rsidP="00F46502">
      <w:pPr>
        <w:pStyle w:val="Textpoznpodarou"/>
        <w:rPr>
          <w:sz w:val="16"/>
          <w:szCs w:val="16"/>
        </w:rPr>
      </w:pPr>
      <w:r w:rsidRPr="002E4A56">
        <w:rPr>
          <w:rStyle w:val="Znakapoznpodarou"/>
          <w:sz w:val="16"/>
          <w:szCs w:val="16"/>
        </w:rPr>
        <w:footnoteRef/>
      </w:r>
      <w:r w:rsidRPr="002E4A56">
        <w:rPr>
          <w:sz w:val="16"/>
          <w:szCs w:val="16"/>
        </w:rPr>
        <w:t xml:space="preserve"> Po vyloučení dovozu pro konečné užití</w:t>
      </w:r>
    </w:p>
  </w:footnote>
  <w:footnote w:id="2">
    <w:p w:rsidR="00C805DC" w:rsidRPr="00A74D5A" w:rsidRDefault="00C805DC" w:rsidP="00F46502">
      <w:pPr>
        <w:pStyle w:val="Textpoznpodarou"/>
        <w:rPr>
          <w:sz w:val="16"/>
          <w:szCs w:val="16"/>
        </w:rPr>
      </w:pPr>
      <w:r w:rsidRPr="00A74D5A">
        <w:rPr>
          <w:rStyle w:val="Znakapoznpodarou"/>
          <w:sz w:val="16"/>
          <w:szCs w:val="16"/>
        </w:rPr>
        <w:footnoteRef/>
      </w:r>
      <w:r w:rsidRPr="00A74D5A">
        <w:rPr>
          <w:sz w:val="16"/>
          <w:szCs w:val="16"/>
        </w:rPr>
        <w:t xml:space="preserve"> Investiční aktivitu tehdy ovlivnilo rychlé dočerpávání prostředků z evropských fondů.</w:t>
      </w:r>
    </w:p>
  </w:footnote>
  <w:footnote w:id="3">
    <w:p w:rsidR="00B30358" w:rsidRPr="00B30358" w:rsidRDefault="00B30358">
      <w:pPr>
        <w:pStyle w:val="Textpoznpodarou"/>
        <w:rPr>
          <w:rFonts w:cs="Arial"/>
          <w:sz w:val="16"/>
          <w:szCs w:val="16"/>
        </w:rPr>
      </w:pPr>
      <w:r w:rsidRPr="00B30358">
        <w:rPr>
          <w:rStyle w:val="Znakapoznpodarou"/>
          <w:rFonts w:cs="Arial"/>
          <w:sz w:val="16"/>
          <w:szCs w:val="16"/>
        </w:rPr>
        <w:footnoteRef/>
      </w:r>
      <w:r w:rsidRPr="00B30358">
        <w:rPr>
          <w:rFonts w:cs="Arial"/>
          <w:sz w:val="16"/>
          <w:szCs w:val="16"/>
        </w:rPr>
        <w:t xml:space="preserve"> Jde o odvětví </w:t>
      </w:r>
      <w:r w:rsidRPr="00B30358">
        <w:rPr>
          <w:rFonts w:cs="Arial"/>
          <w:bCs/>
          <w:sz w:val="16"/>
          <w:szCs w:val="16"/>
        </w:rPr>
        <w:t>Veřejná správa a obrana, vzdělávání, zdravotní a sociální péče</w:t>
      </w:r>
      <w:r>
        <w:rPr>
          <w:rFonts w:cs="Arial"/>
          <w:bCs/>
          <w:sz w:val="16"/>
          <w:szCs w:val="16"/>
        </w:rPr>
        <w:t>.</w:t>
      </w:r>
    </w:p>
  </w:footnote>
  <w:footnote w:id="4">
    <w:p w:rsidR="00B30358" w:rsidRPr="0065379C" w:rsidRDefault="00B30358" w:rsidP="00F46502">
      <w:pPr>
        <w:pStyle w:val="Textpoznpodarou"/>
        <w:rPr>
          <w:sz w:val="16"/>
          <w:szCs w:val="16"/>
        </w:rPr>
      </w:pPr>
      <w:r w:rsidRPr="0065379C">
        <w:rPr>
          <w:rStyle w:val="Znakapoznpodarou"/>
          <w:sz w:val="16"/>
          <w:szCs w:val="16"/>
        </w:rPr>
        <w:footnoteRef/>
      </w:r>
      <w:r w:rsidRPr="0065379C">
        <w:rPr>
          <w:sz w:val="16"/>
          <w:szCs w:val="16"/>
        </w:rPr>
        <w:t xml:space="preserve"> Zemi často využívají velké technologické firmy jako své daňové sídlo (např. </w:t>
      </w:r>
      <w:proofErr w:type="spellStart"/>
      <w:r w:rsidRPr="0065379C">
        <w:rPr>
          <w:sz w:val="16"/>
          <w:szCs w:val="16"/>
        </w:rPr>
        <w:t>Google</w:t>
      </w:r>
      <w:proofErr w:type="spellEnd"/>
      <w:r w:rsidRPr="0065379C">
        <w:rPr>
          <w:sz w:val="16"/>
          <w:szCs w:val="16"/>
        </w:rPr>
        <w:t xml:space="preserve">, </w:t>
      </w:r>
      <w:proofErr w:type="spellStart"/>
      <w:r w:rsidRPr="0065379C">
        <w:rPr>
          <w:sz w:val="16"/>
          <w:szCs w:val="16"/>
        </w:rPr>
        <w:t>Facebook</w:t>
      </w:r>
      <w:proofErr w:type="spellEnd"/>
      <w:r w:rsidRPr="0065379C">
        <w:rPr>
          <w:sz w:val="16"/>
          <w:szCs w:val="16"/>
        </w:rPr>
        <w:t>, atd.). Přesuny vychylují jednotlivé ukazatele národních účtů</w:t>
      </w:r>
      <w:r>
        <w:rPr>
          <w:sz w:val="16"/>
          <w:szCs w:val="16"/>
        </w:rPr>
        <w:t xml:space="preserve"> (příkladem může být 25,1% růst HDP v roce 2015)</w:t>
      </w:r>
      <w:r w:rsidRPr="0065379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4FA0"/>
    <w:rsid w:val="003657F3"/>
    <w:rsid w:val="0037026C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64621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C7947"/>
    <w:rsid w:val="00FD3265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ownloads\hdpcr062918_gs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Ro&#269;n&#237;%20anal&#253;za%202018\HDP\hdpcr062918_gs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Ro&#269;n&#237;%20anal&#253;za%202018\HDP\nama_10_gd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071470786896413E-2"/>
          <c:y val="3.9316672295395698E-2"/>
          <c:w val="0.92846377912867251"/>
          <c:h val="0.760525723291685"/>
        </c:manualLayout>
      </c:layout>
      <c:barChart>
        <c:barDir val="col"/>
        <c:grouping val="stacked"/>
        <c:ser>
          <c:idx val="4"/>
          <c:order val="1"/>
          <c:tx>
            <c:strRef>
              <c:f>HDP_minus!$W$126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</c:spPr>
          <c:cat>
            <c:strRef>
              <c:f>HDP_minus!$R$127:$R$136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HDP_minus!$W$127:$W$136</c:f>
              <c:numCache>
                <c:formatCode>0.0</c:formatCode>
                <c:ptCount val="10"/>
                <c:pt idx="0">
                  <c:v>1.4755957258407928</c:v>
                </c:pt>
                <c:pt idx="1">
                  <c:v>-1.6249344822136818</c:v>
                </c:pt>
                <c:pt idx="2">
                  <c:v>1.8179830375766795</c:v>
                </c:pt>
                <c:pt idx="3">
                  <c:v>2.4390375447846941</c:v>
                </c:pt>
                <c:pt idx="4">
                  <c:v>1.8677320472805792</c:v>
                </c:pt>
                <c:pt idx="5">
                  <c:v>-0.17108196351040841</c:v>
                </c:pt>
                <c:pt idx="6">
                  <c:v>1.2527742680860618</c:v>
                </c:pt>
                <c:pt idx="7">
                  <c:v>1.2779006775994621</c:v>
                </c:pt>
                <c:pt idx="8">
                  <c:v>1.3326265729670219</c:v>
                </c:pt>
                <c:pt idx="9">
                  <c:v>1.3615786306657904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EB-42BB-9F9E-C7AC89233B47}"/>
            </c:ext>
          </c:extLst>
        </c:ser>
        <c:ser>
          <c:idx val="3"/>
          <c:order val="2"/>
          <c:tx>
            <c:strRef>
              <c:f>HDP_minus!$V$126</c:f>
              <c:strCache>
                <c:ptCount val="1"/>
                <c:pt idx="0">
                  <c:v>Výdaje na tvorbu hrubého kapitálu</c:v>
                </c:pt>
              </c:strCache>
            </c:strRef>
          </c:tx>
          <c:spPr>
            <a:solidFill>
              <a:srgbClr val="BD1B21"/>
            </a:solidFill>
          </c:spPr>
          <c:cat>
            <c:strRef>
              <c:f>HDP_minus!$R$127:$R$136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HDP_minus!$V$127:$V$136</c:f>
              <c:numCache>
                <c:formatCode>0.0</c:formatCode>
                <c:ptCount val="10"/>
                <c:pt idx="0">
                  <c:v>0.37101582441177616</c:v>
                </c:pt>
                <c:pt idx="1">
                  <c:v>-1.8136558846275201</c:v>
                </c:pt>
                <c:pt idx="2">
                  <c:v>-0.21794768110834412</c:v>
                </c:pt>
                <c:pt idx="3">
                  <c:v>-0.16205236832851844</c:v>
                </c:pt>
                <c:pt idx="4">
                  <c:v>-1.1736745000391533</c:v>
                </c:pt>
                <c:pt idx="5">
                  <c:v>-0.58992894479168956</c:v>
                </c:pt>
                <c:pt idx="6">
                  <c:v>0.66813567100674165</c:v>
                </c:pt>
                <c:pt idx="7">
                  <c:v>2.1702392036760592</c:v>
                </c:pt>
                <c:pt idx="8">
                  <c:v>-0.58467087703897791</c:v>
                </c:pt>
                <c:pt idx="9">
                  <c:v>0.75361612979478287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EB-42BB-9F9E-C7AC89233B47}"/>
            </c:ext>
          </c:extLst>
        </c:ser>
        <c:ser>
          <c:idx val="2"/>
          <c:order val="3"/>
          <c:tx>
            <c:strRef>
              <c:f>HDP_minus!$U$126</c:f>
              <c:strCache>
                <c:ptCount val="1"/>
                <c:pt idx="0">
                  <c:v>Výdaje na spotřebu vládních institucí</c:v>
                </c:pt>
              </c:strCache>
            </c:strRef>
          </c:tx>
          <c:spPr>
            <a:solidFill>
              <a:srgbClr val="A6CDE8"/>
            </a:solidFill>
          </c:spPr>
          <c:cat>
            <c:strRef>
              <c:f>HDP_minus!$R$127:$R$136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HDP_minus!$U$127:$U$136</c:f>
              <c:numCache>
                <c:formatCode>0.0</c:formatCode>
                <c:ptCount val="10"/>
                <c:pt idx="0">
                  <c:v>0.17362002006193578</c:v>
                </c:pt>
                <c:pt idx="1">
                  <c:v>0.46695863029775952</c:v>
                </c:pt>
                <c:pt idx="2">
                  <c:v>0.14160562771821567</c:v>
                </c:pt>
                <c:pt idx="3">
                  <c:v>-0.64251969185506952</c:v>
                </c:pt>
                <c:pt idx="4">
                  <c:v>-0.44818044856460038</c:v>
                </c:pt>
                <c:pt idx="5">
                  <c:v>0.45169239658883165</c:v>
                </c:pt>
                <c:pt idx="6">
                  <c:v>0.24068493345412151</c:v>
                </c:pt>
                <c:pt idx="7">
                  <c:v>0.48651170672732291</c:v>
                </c:pt>
                <c:pt idx="8">
                  <c:v>0.4813410060632598</c:v>
                </c:pt>
                <c:pt idx="9">
                  <c:v>0.24057961820104318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EB-42BB-9F9E-C7AC89233B47}"/>
            </c:ext>
          </c:extLst>
        </c:ser>
        <c:ser>
          <c:idx val="1"/>
          <c:order val="4"/>
          <c:tx>
            <c:strRef>
              <c:f>HDP_minus!$T$126</c:f>
              <c:strCache>
                <c:ptCount val="1"/>
                <c:pt idx="0">
                  <c:v>Výdaje na spotřebu domácností</c:v>
                </c:pt>
              </c:strCache>
            </c:strRef>
          </c:tx>
          <c:spPr>
            <a:solidFill>
              <a:srgbClr val="0071BC"/>
            </a:solidFill>
          </c:spPr>
          <c:cat>
            <c:strRef>
              <c:f>HDP_minus!$R$127:$R$136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HDP_minus!$T$127:$T$136</c:f>
              <c:numCache>
                <c:formatCode>0.0</c:formatCode>
                <c:ptCount val="10"/>
                <c:pt idx="0">
                  <c:v>0.7420853872527533</c:v>
                </c:pt>
                <c:pt idx="1">
                  <c:v>-0.24546871381041777</c:v>
                </c:pt>
                <c:pt idx="2">
                  <c:v>0.10080499600772792</c:v>
                </c:pt>
                <c:pt idx="3">
                  <c:v>-0.14027238336955497</c:v>
                </c:pt>
                <c:pt idx="4">
                  <c:v>-0.83974268738684565</c:v>
                </c:pt>
                <c:pt idx="5">
                  <c:v>0.19075387236561187</c:v>
                </c:pt>
                <c:pt idx="6">
                  <c:v>0.36260426273846114</c:v>
                </c:pt>
                <c:pt idx="7">
                  <c:v>1.0052314221720837</c:v>
                </c:pt>
                <c:pt idx="8">
                  <c:v>1.0734404882044917</c:v>
                </c:pt>
                <c:pt idx="9">
                  <c:v>2.0778535533810554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EB-42BB-9F9E-C7AC89233B47}"/>
            </c:ext>
          </c:extLst>
        </c:ser>
        <c:gapWidth val="97"/>
        <c:overlap val="100"/>
        <c:axId val="134028288"/>
        <c:axId val="134038272"/>
      </c:barChart>
      <c:lineChart>
        <c:grouping val="standard"/>
        <c:ser>
          <c:idx val="0"/>
          <c:order val="0"/>
          <c:tx>
            <c:strRef>
              <c:f>HDP_minus!$S$126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HDP_minus!$R$127:$R$136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HDP_minus!$S$127:$S$136</c:f>
              <c:numCache>
                <c:formatCode>0.0</c:formatCode>
                <c:ptCount val="10"/>
                <c:pt idx="0">
                  <c:v>2.5152776686009619</c:v>
                </c:pt>
                <c:pt idx="1">
                  <c:v>-4.6661314906162055</c:v>
                </c:pt>
                <c:pt idx="2">
                  <c:v>2.1259501680597039</c:v>
                </c:pt>
                <c:pt idx="3">
                  <c:v>1.7804334964119619</c:v>
                </c:pt>
                <c:pt idx="4">
                  <c:v>-0.72813582538438371</c:v>
                </c:pt>
                <c:pt idx="5">
                  <c:v>-0.48507403852410091</c:v>
                </c:pt>
                <c:pt idx="6">
                  <c:v>2.714545690633992</c:v>
                </c:pt>
                <c:pt idx="7">
                  <c:v>5.3826993425739094</c:v>
                </c:pt>
                <c:pt idx="8">
                  <c:v>2.3601136807772982</c:v>
                </c:pt>
                <c:pt idx="9">
                  <c:v>4.4759389639345724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DEB-42BB-9F9E-C7AC89233B47}"/>
            </c:ext>
          </c:extLst>
        </c:ser>
        <c:marker val="1"/>
        <c:axId val="134028288"/>
        <c:axId val="134038272"/>
      </c:lineChart>
      <c:catAx>
        <c:axId val="134028288"/>
        <c:scaling>
          <c:orientation val="minMax"/>
        </c:scaling>
        <c:axPos val="b"/>
        <c:numFmt formatCode="General" sourceLinked="0"/>
        <c:tickLblPos val="low"/>
        <c:crossAx val="134038272"/>
        <c:crosses val="autoZero"/>
        <c:auto val="1"/>
        <c:lblAlgn val="ctr"/>
        <c:lblOffset val="100"/>
      </c:catAx>
      <c:valAx>
        <c:axId val="134038272"/>
        <c:scaling>
          <c:orientation val="minMax"/>
        </c:scaling>
        <c:axPos val="l"/>
        <c:majorGridlines/>
        <c:numFmt formatCode="0" sourceLinked="0"/>
        <c:tickLblPos val="nextTo"/>
        <c:crossAx val="134028288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5.2338525835866907E-2"/>
          <c:y val="0.8673322638748171"/>
          <c:w val="0.92621601654846364"/>
          <c:h val="0.1195795339412368"/>
        </c:manualLayout>
      </c:layout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4794199594732024E-2"/>
          <c:y val="3.9316672295395698E-2"/>
          <c:w val="0.91388086795001688"/>
          <c:h val="0.74980299448384946"/>
        </c:manualLayout>
      </c:layout>
      <c:barChart>
        <c:barDir val="col"/>
        <c:grouping val="stacked"/>
        <c:ser>
          <c:idx val="0"/>
          <c:order val="0"/>
          <c:tx>
            <c:strRef>
              <c:f>HPH!$R$128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</c:spPr>
          <c:cat>
            <c:strRef>
              <c:f>HPH!$P$129:$Q$138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HPH!$R$129:$R$138</c:f>
              <c:numCache>
                <c:formatCode>#,##0.0</c:formatCode>
                <c:ptCount val="10"/>
                <c:pt idx="0">
                  <c:v>0.1949576139718473</c:v>
                </c:pt>
                <c:pt idx="1">
                  <c:v>0.43896169099017607</c:v>
                </c:pt>
                <c:pt idx="2">
                  <c:v>-0.29243392604779683</c:v>
                </c:pt>
                <c:pt idx="3">
                  <c:v>3.2466480175330166E-2</c:v>
                </c:pt>
                <c:pt idx="4">
                  <c:v>9.8144899160173604E-2</c:v>
                </c:pt>
                <c:pt idx="5">
                  <c:v>-6.390559408350989E-2</c:v>
                </c:pt>
                <c:pt idx="6">
                  <c:v>0.21670011561702529</c:v>
                </c:pt>
                <c:pt idx="7">
                  <c:v>0.15079337792048403</c:v>
                </c:pt>
                <c:pt idx="8">
                  <c:v>8.3333675723242767E-2</c:v>
                </c:pt>
                <c:pt idx="9">
                  <c:v>-6.8749235471150485E-2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1F-413D-BB33-40303FD10A6D}"/>
            </c:ext>
          </c:extLst>
        </c:ser>
        <c:ser>
          <c:idx val="4"/>
          <c:order val="1"/>
          <c:tx>
            <c:strRef>
              <c:f>HPH!$V$128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F8A124"/>
            </a:solidFill>
          </c:spPr>
          <c:cat>
            <c:strRef>
              <c:f>HPH!$P$129:$Q$138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HPH!$V$129:$V$138</c:f>
              <c:numCache>
                <c:formatCode>#,##0.0</c:formatCode>
                <c:ptCount val="10"/>
                <c:pt idx="0">
                  <c:v>-2.6569444735986263E-2</c:v>
                </c:pt>
                <c:pt idx="1">
                  <c:v>-0.21314333608141814</c:v>
                </c:pt>
                <c:pt idx="2">
                  <c:v>0.25024784323651456</c:v>
                </c:pt>
                <c:pt idx="3">
                  <c:v>-0.45137348298834862</c:v>
                </c:pt>
                <c:pt idx="4">
                  <c:v>-0.1841901189618475</c:v>
                </c:pt>
                <c:pt idx="5">
                  <c:v>6.8922635575265484E-2</c:v>
                </c:pt>
                <c:pt idx="6">
                  <c:v>0.1138718614340874</c:v>
                </c:pt>
                <c:pt idx="7">
                  <c:v>0.22237982073112592</c:v>
                </c:pt>
                <c:pt idx="8">
                  <c:v>-0.21512559385515651</c:v>
                </c:pt>
                <c:pt idx="9">
                  <c:v>-0.13500062096083637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1F-413D-BB33-40303FD10A6D}"/>
            </c:ext>
          </c:extLst>
        </c:ser>
        <c:ser>
          <c:idx val="2"/>
          <c:order val="2"/>
          <c:tx>
            <c:strRef>
              <c:f>HPH!$T$128</c:f>
              <c:strCache>
                <c:ptCount val="1"/>
                <c:pt idx="0">
                  <c:v>Ostatní průmyslová odvětví</c:v>
                </c:pt>
              </c:strCache>
            </c:strRef>
          </c:tx>
          <c:spPr>
            <a:solidFill>
              <a:srgbClr val="E8AFB2"/>
            </a:solidFill>
          </c:spPr>
          <c:cat>
            <c:strRef>
              <c:f>HPH!$P$129:$Q$138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HPH!$T$129:$T$138</c:f>
              <c:numCache>
                <c:formatCode>#,##0.0</c:formatCode>
                <c:ptCount val="10"/>
                <c:pt idx="0">
                  <c:v>0.42640508224019547</c:v>
                </c:pt>
                <c:pt idx="1">
                  <c:v>-0.63328454457038674</c:v>
                </c:pt>
                <c:pt idx="2">
                  <c:v>-0.64030036490961617</c:v>
                </c:pt>
                <c:pt idx="3">
                  <c:v>-0.40605452356977223</c:v>
                </c:pt>
                <c:pt idx="4">
                  <c:v>-8.0682861904159547E-2</c:v>
                </c:pt>
                <c:pt idx="5">
                  <c:v>-0.71973983761235338</c:v>
                </c:pt>
                <c:pt idx="6">
                  <c:v>5.2136733491852112E-2</c:v>
                </c:pt>
                <c:pt idx="7">
                  <c:v>-5.3753977666056073E-2</c:v>
                </c:pt>
                <c:pt idx="8">
                  <c:v>-0.32243461943845253</c:v>
                </c:pt>
                <c:pt idx="9">
                  <c:v>3.1281485749182554E-2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1F-413D-BB33-40303FD10A6D}"/>
            </c:ext>
          </c:extLst>
        </c:ser>
        <c:ser>
          <c:idx val="3"/>
          <c:order val="3"/>
          <c:tx>
            <c:strRef>
              <c:f>HPH!$U$128</c:f>
              <c:strCache>
                <c:ptCount val="1"/>
                <c:pt idx="0">
                  <c:v>Služby</c:v>
                </c:pt>
              </c:strCache>
            </c:strRef>
          </c:tx>
          <c:spPr>
            <a:solidFill>
              <a:srgbClr val="0071BC"/>
            </a:solidFill>
          </c:spPr>
          <c:cat>
            <c:strRef>
              <c:f>HPH!$P$129:$Q$138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HPH!$U$129:$U$138</c:f>
              <c:numCache>
                <c:formatCode>#,##0.0</c:formatCode>
                <c:ptCount val="10"/>
                <c:pt idx="0">
                  <c:v>0.76625818541619273</c:v>
                </c:pt>
                <c:pt idx="1">
                  <c:v>-2.0332156824551131</c:v>
                </c:pt>
                <c:pt idx="2">
                  <c:v>0.89923854120525126</c:v>
                </c:pt>
                <c:pt idx="3">
                  <c:v>0.46827728721044504</c:v>
                </c:pt>
                <c:pt idx="4">
                  <c:v>0.13386645253900861</c:v>
                </c:pt>
                <c:pt idx="5">
                  <c:v>0.89295113895066458</c:v>
                </c:pt>
                <c:pt idx="6">
                  <c:v>1.4835791104033498</c:v>
                </c:pt>
                <c:pt idx="7">
                  <c:v>3.0327506692947335</c:v>
                </c:pt>
                <c:pt idx="8">
                  <c:v>1.8769411997294074</c:v>
                </c:pt>
                <c:pt idx="9">
                  <c:v>1.5866483148616941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E1F-413D-BB33-40303FD10A6D}"/>
            </c:ext>
          </c:extLst>
        </c:ser>
        <c:ser>
          <c:idx val="1"/>
          <c:order val="4"/>
          <c:tx>
            <c:strRef>
              <c:f>HPH!$S$128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BD1B21"/>
            </a:solidFill>
          </c:spPr>
          <c:cat>
            <c:strRef>
              <c:f>HPH!$P$129:$Q$138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HPH!$S$129:$S$138</c:f>
              <c:numCache>
                <c:formatCode>#,##0.0</c:formatCode>
                <c:ptCount val="10"/>
                <c:pt idx="0">
                  <c:v>2.0235910214830226</c:v>
                </c:pt>
                <c:pt idx="1">
                  <c:v>-2.8458435129006725</c:v>
                </c:pt>
                <c:pt idx="2">
                  <c:v>2.4573111997018837</c:v>
                </c:pt>
                <c:pt idx="3">
                  <c:v>2.3666164116101367</c:v>
                </c:pt>
                <c:pt idx="4">
                  <c:v>-0.73073813543941479</c:v>
                </c:pt>
                <c:pt idx="5">
                  <c:v>-0.67096761458594156</c:v>
                </c:pt>
                <c:pt idx="6">
                  <c:v>1.5337525359394428</c:v>
                </c:pt>
                <c:pt idx="7">
                  <c:v>1.4539488775297078</c:v>
                </c:pt>
                <c:pt idx="8">
                  <c:v>0.86644787548672764</c:v>
                </c:pt>
                <c:pt idx="9">
                  <c:v>2.9875452997933554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E1F-413D-BB33-40303FD10A6D}"/>
            </c:ext>
          </c:extLst>
        </c:ser>
        <c:gapWidth val="92"/>
        <c:overlap val="100"/>
        <c:axId val="134085248"/>
        <c:axId val="134287744"/>
      </c:barChart>
      <c:lineChart>
        <c:grouping val="standard"/>
        <c:ser>
          <c:idx val="5"/>
          <c:order val="5"/>
          <c:tx>
            <c:strRef>
              <c:f>HPH!$W$128</c:f>
              <c:strCache>
                <c:ptCount val="1"/>
                <c:pt idx="0">
                  <c:v>HPH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strRef>
              <c:f>HPH!$P$129:$Q$138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HPH!$W$129:$W$138</c:f>
              <c:numCache>
                <c:formatCode>#,##0.0</c:formatCode>
                <c:ptCount val="10"/>
                <c:pt idx="0">
                  <c:v>3.3846424583752537</c:v>
                </c:pt>
                <c:pt idx="1">
                  <c:v>-5.2865253850174154</c:v>
                </c:pt>
                <c:pt idx="2">
                  <c:v>2.6740632931862427</c:v>
                </c:pt>
                <c:pt idx="3">
                  <c:v>2.0099321724378032</c:v>
                </c:pt>
                <c:pt idx="4">
                  <c:v>-0.76359976460623791</c:v>
                </c:pt>
                <c:pt idx="5">
                  <c:v>-0.49273927175586796</c:v>
                </c:pt>
                <c:pt idx="6">
                  <c:v>3.4000403568857571</c:v>
                </c:pt>
                <c:pt idx="7">
                  <c:v>4.8061187678100055</c:v>
                </c:pt>
                <c:pt idx="8">
                  <c:v>2.2891625376457712</c:v>
                </c:pt>
                <c:pt idx="9">
                  <c:v>4.4017252439722494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E1F-413D-BB33-40303FD10A6D}"/>
            </c:ext>
          </c:extLst>
        </c:ser>
        <c:marker val="1"/>
        <c:axId val="134085248"/>
        <c:axId val="134287744"/>
      </c:lineChart>
      <c:catAx>
        <c:axId val="134085248"/>
        <c:scaling>
          <c:orientation val="minMax"/>
        </c:scaling>
        <c:axPos val="b"/>
        <c:numFmt formatCode="General" sourceLinked="0"/>
        <c:tickLblPos val="low"/>
        <c:crossAx val="134287744"/>
        <c:crosses val="autoZero"/>
        <c:auto val="1"/>
        <c:lblAlgn val="ctr"/>
        <c:lblOffset val="100"/>
      </c:catAx>
      <c:valAx>
        <c:axId val="134287744"/>
        <c:scaling>
          <c:orientation val="minMax"/>
          <c:max val="6"/>
          <c:min val="-6"/>
        </c:scaling>
        <c:axPos val="l"/>
        <c:majorGridlines/>
        <c:numFmt formatCode="#,##0" sourceLinked="0"/>
        <c:tickLblPos val="nextTo"/>
        <c:crossAx val="134085248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6.5902566700439036E-2"/>
          <c:y val="0.86729314420803783"/>
          <c:w val="0.91131142350557748"/>
          <c:h val="0.11490149724192275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7798674434313529E-2"/>
          <c:y val="3.9316672295395698E-2"/>
          <c:w val="0.9365421310368115"/>
          <c:h val="0.68301249577845258"/>
        </c:manualLayout>
      </c:layout>
      <c:barChart>
        <c:barDir val="col"/>
        <c:grouping val="clustered"/>
        <c:ser>
          <c:idx val="0"/>
          <c:order val="0"/>
          <c:tx>
            <c:strRef>
              <c:f>Data!$J$10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A6CDE8"/>
            </a:solidFill>
          </c:spPr>
          <c:dPt>
            <c:idx val="7"/>
            <c:spPr>
              <a:solidFill>
                <a:srgbClr val="0071B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4-4278-A823-194EF95285C8}"/>
              </c:ext>
            </c:extLst>
          </c:dPt>
          <c:dPt>
            <c:idx val="19"/>
            <c:spPr>
              <a:solidFill>
                <a:srgbClr val="0071B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4-4278-A823-194EF95285C8}"/>
              </c:ext>
            </c:extLst>
          </c:dPt>
          <c:cat>
            <c:strRef>
              <c:f>Data!$A$11:$A$40</c:f>
              <c:strCache>
                <c:ptCount val="30"/>
                <c:pt idx="0">
                  <c:v>Irsko</c:v>
                </c:pt>
                <c:pt idx="1">
                  <c:v>Rumunsko</c:v>
                </c:pt>
                <c:pt idx="2">
                  <c:v>Malta</c:v>
                </c:pt>
                <c:pt idx="3">
                  <c:v>Slovinsko</c:v>
                </c:pt>
                <c:pt idx="4">
                  <c:v>Estonsko</c:v>
                </c:pt>
                <c:pt idx="5">
                  <c:v>Polsko</c:v>
                </c:pt>
                <c:pt idx="6">
                  <c:v>Lotyšsko</c:v>
                </c:pt>
                <c:pt idx="7">
                  <c:v>ČR</c:v>
                </c:pt>
                <c:pt idx="8">
                  <c:v>Maďarsko</c:v>
                </c:pt>
                <c:pt idx="9">
                  <c:v>Kypr</c:v>
                </c:pt>
                <c:pt idx="10">
                  <c:v>Litva</c:v>
                </c:pt>
                <c:pt idx="11">
                  <c:v>Bulharsko</c:v>
                </c:pt>
                <c:pt idx="12">
                  <c:v>Slovensko</c:v>
                </c:pt>
                <c:pt idx="13">
                  <c:v>Španělsko</c:v>
                </c:pt>
                <c:pt idx="14">
                  <c:v>Rakousko</c:v>
                </c:pt>
                <c:pt idx="15">
                  <c:v>Chorvatsko</c:v>
                </c:pt>
                <c:pt idx="16">
                  <c:v>Nizozemí</c:v>
                </c:pt>
                <c:pt idx="17">
                  <c:v>Finsko</c:v>
                </c:pt>
                <c:pt idx="18">
                  <c:v>Portugalsko</c:v>
                </c:pt>
                <c:pt idx="19">
                  <c:v>EU 28</c:v>
                </c:pt>
                <c:pt idx="20">
                  <c:v>Eurozóna</c:v>
                </c:pt>
                <c:pt idx="21">
                  <c:v>Dánsko</c:v>
                </c:pt>
                <c:pt idx="22">
                  <c:v>Lucembursko</c:v>
                </c:pt>
                <c:pt idx="23">
                  <c:v>Švédsko</c:v>
                </c:pt>
                <c:pt idx="24">
                  <c:v>Německo</c:v>
                </c:pt>
                <c:pt idx="25">
                  <c:v>Francie</c:v>
                </c:pt>
                <c:pt idx="26">
                  <c:v>Belgie</c:v>
                </c:pt>
                <c:pt idx="27">
                  <c:v>Velká Británie</c:v>
                </c:pt>
                <c:pt idx="28">
                  <c:v>Itálie</c:v>
                </c:pt>
                <c:pt idx="29">
                  <c:v>Řecko</c:v>
                </c:pt>
              </c:strCache>
            </c:strRef>
          </c:cat>
          <c:val>
            <c:numRef>
              <c:f>Data!$J$11:$J$40</c:f>
              <c:numCache>
                <c:formatCode>#,##0.0</c:formatCode>
                <c:ptCount val="30"/>
                <c:pt idx="0">
                  <c:v>5</c:v>
                </c:pt>
                <c:pt idx="1">
                  <c:v>4.8</c:v>
                </c:pt>
                <c:pt idx="2">
                  <c:v>5.2</c:v>
                </c:pt>
                <c:pt idx="3">
                  <c:v>3.1</c:v>
                </c:pt>
                <c:pt idx="4">
                  <c:v>2.1</c:v>
                </c:pt>
                <c:pt idx="5">
                  <c:v>3</c:v>
                </c:pt>
                <c:pt idx="6">
                  <c:v>2.2000000000000002</c:v>
                </c:pt>
                <c:pt idx="7">
                  <c:v>2.5</c:v>
                </c:pt>
                <c:pt idx="8">
                  <c:v>2.2000000000000002</c:v>
                </c:pt>
                <c:pt idx="9">
                  <c:v>3.4</c:v>
                </c:pt>
                <c:pt idx="10">
                  <c:v>2.2999999999999998</c:v>
                </c:pt>
                <c:pt idx="11">
                  <c:v>3.9</c:v>
                </c:pt>
                <c:pt idx="12">
                  <c:v>3.3</c:v>
                </c:pt>
                <c:pt idx="13">
                  <c:v>3.3</c:v>
                </c:pt>
                <c:pt idx="14">
                  <c:v>1.5</c:v>
                </c:pt>
                <c:pt idx="15">
                  <c:v>3.5</c:v>
                </c:pt>
                <c:pt idx="16">
                  <c:v>2.2000000000000002</c:v>
                </c:pt>
                <c:pt idx="17">
                  <c:v>2.5</c:v>
                </c:pt>
                <c:pt idx="18">
                  <c:v>1.6</c:v>
                </c:pt>
                <c:pt idx="19">
                  <c:v>1.9000000000000001</c:v>
                </c:pt>
                <c:pt idx="20">
                  <c:v>1.8</c:v>
                </c:pt>
                <c:pt idx="21">
                  <c:v>2</c:v>
                </c:pt>
                <c:pt idx="22">
                  <c:v>3.1</c:v>
                </c:pt>
                <c:pt idx="23">
                  <c:v>3.2</c:v>
                </c:pt>
                <c:pt idx="24">
                  <c:v>1.9000000000000001</c:v>
                </c:pt>
                <c:pt idx="25">
                  <c:v>1.2</c:v>
                </c:pt>
                <c:pt idx="26">
                  <c:v>1.4</c:v>
                </c:pt>
                <c:pt idx="27">
                  <c:v>1.8</c:v>
                </c:pt>
                <c:pt idx="28">
                  <c:v>0.9</c:v>
                </c:pt>
                <c:pt idx="29">
                  <c:v>-0.2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4-4278-A823-194EF95285C8}"/>
            </c:ext>
          </c:extLst>
        </c:ser>
        <c:ser>
          <c:idx val="1"/>
          <c:order val="1"/>
          <c:tx>
            <c:strRef>
              <c:f>Data!$K$10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8AFB2"/>
            </a:solidFill>
          </c:spPr>
          <c:dPt>
            <c:idx val="7"/>
            <c:spPr>
              <a:solidFill>
                <a:srgbClr val="BD1B2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F4-4278-A823-194EF95285C8}"/>
              </c:ext>
            </c:extLst>
          </c:dPt>
          <c:dPt>
            <c:idx val="19"/>
            <c:spPr>
              <a:solidFill>
                <a:srgbClr val="BD1B2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FF4-4278-A823-194EF95285C8}"/>
              </c:ext>
            </c:extLst>
          </c:dPt>
          <c:cat>
            <c:strRef>
              <c:f>Data!$A$11:$A$40</c:f>
              <c:strCache>
                <c:ptCount val="30"/>
                <c:pt idx="0">
                  <c:v>Irsko</c:v>
                </c:pt>
                <c:pt idx="1">
                  <c:v>Rumunsko</c:v>
                </c:pt>
                <c:pt idx="2">
                  <c:v>Malta</c:v>
                </c:pt>
                <c:pt idx="3">
                  <c:v>Slovinsko</c:v>
                </c:pt>
                <c:pt idx="4">
                  <c:v>Estonsko</c:v>
                </c:pt>
                <c:pt idx="5">
                  <c:v>Polsko</c:v>
                </c:pt>
                <c:pt idx="6">
                  <c:v>Lotyšsko</c:v>
                </c:pt>
                <c:pt idx="7">
                  <c:v>ČR</c:v>
                </c:pt>
                <c:pt idx="8">
                  <c:v>Maďarsko</c:v>
                </c:pt>
                <c:pt idx="9">
                  <c:v>Kypr</c:v>
                </c:pt>
                <c:pt idx="10">
                  <c:v>Litva</c:v>
                </c:pt>
                <c:pt idx="11">
                  <c:v>Bulharsko</c:v>
                </c:pt>
                <c:pt idx="12">
                  <c:v>Slovensko</c:v>
                </c:pt>
                <c:pt idx="13">
                  <c:v>Španělsko</c:v>
                </c:pt>
                <c:pt idx="14">
                  <c:v>Rakousko</c:v>
                </c:pt>
                <c:pt idx="15">
                  <c:v>Chorvatsko</c:v>
                </c:pt>
                <c:pt idx="16">
                  <c:v>Nizozemí</c:v>
                </c:pt>
                <c:pt idx="17">
                  <c:v>Finsko</c:v>
                </c:pt>
                <c:pt idx="18">
                  <c:v>Portugalsko</c:v>
                </c:pt>
                <c:pt idx="19">
                  <c:v>EU 28</c:v>
                </c:pt>
                <c:pt idx="20">
                  <c:v>Eurozóna</c:v>
                </c:pt>
                <c:pt idx="21">
                  <c:v>Dánsko</c:v>
                </c:pt>
                <c:pt idx="22">
                  <c:v>Lucembursko</c:v>
                </c:pt>
                <c:pt idx="23">
                  <c:v>Švédsko</c:v>
                </c:pt>
                <c:pt idx="24">
                  <c:v>Německo</c:v>
                </c:pt>
                <c:pt idx="25">
                  <c:v>Francie</c:v>
                </c:pt>
                <c:pt idx="26">
                  <c:v>Belgie</c:v>
                </c:pt>
                <c:pt idx="27">
                  <c:v>Velká Británie</c:v>
                </c:pt>
                <c:pt idx="28">
                  <c:v>Itálie</c:v>
                </c:pt>
                <c:pt idx="29">
                  <c:v>Řecko</c:v>
                </c:pt>
              </c:strCache>
            </c:strRef>
          </c:cat>
          <c:val>
            <c:numRef>
              <c:f>Data!$K$11:$K$40</c:f>
              <c:numCache>
                <c:formatCode>#,##0.0</c:formatCode>
                <c:ptCount val="30"/>
                <c:pt idx="0">
                  <c:v>7.2</c:v>
                </c:pt>
                <c:pt idx="1">
                  <c:v>6.9</c:v>
                </c:pt>
                <c:pt idx="2">
                  <c:v>6.4</c:v>
                </c:pt>
                <c:pt idx="3">
                  <c:v>5</c:v>
                </c:pt>
                <c:pt idx="4">
                  <c:v>4.9000000000000004</c:v>
                </c:pt>
                <c:pt idx="5">
                  <c:v>4.5999999999999996</c:v>
                </c:pt>
                <c:pt idx="6">
                  <c:v>4.5</c:v>
                </c:pt>
                <c:pt idx="7">
                  <c:v>4.3</c:v>
                </c:pt>
                <c:pt idx="8">
                  <c:v>4</c:v>
                </c:pt>
                <c:pt idx="9">
                  <c:v>3.9</c:v>
                </c:pt>
                <c:pt idx="10">
                  <c:v>3.8</c:v>
                </c:pt>
                <c:pt idx="11">
                  <c:v>3.6</c:v>
                </c:pt>
                <c:pt idx="12">
                  <c:v>3.4</c:v>
                </c:pt>
                <c:pt idx="13">
                  <c:v>3.1</c:v>
                </c:pt>
                <c:pt idx="14">
                  <c:v>3</c:v>
                </c:pt>
                <c:pt idx="15">
                  <c:v>2.9</c:v>
                </c:pt>
                <c:pt idx="16">
                  <c:v>2.9</c:v>
                </c:pt>
                <c:pt idx="17">
                  <c:v>2.8</c:v>
                </c:pt>
                <c:pt idx="18">
                  <c:v>2.7</c:v>
                </c:pt>
                <c:pt idx="19">
                  <c:v>2.4</c:v>
                </c:pt>
                <c:pt idx="20">
                  <c:v>2.4</c:v>
                </c:pt>
                <c:pt idx="21">
                  <c:v>2.2999999999999998</c:v>
                </c:pt>
                <c:pt idx="22">
                  <c:v>2.2999999999999998</c:v>
                </c:pt>
                <c:pt idx="23">
                  <c:v>2.2999999999999998</c:v>
                </c:pt>
                <c:pt idx="24">
                  <c:v>2.2000000000000002</c:v>
                </c:pt>
                <c:pt idx="25">
                  <c:v>2.2000000000000002</c:v>
                </c:pt>
                <c:pt idx="26">
                  <c:v>1.7</c:v>
                </c:pt>
                <c:pt idx="27">
                  <c:v>1.7</c:v>
                </c:pt>
                <c:pt idx="28">
                  <c:v>1.5</c:v>
                </c:pt>
                <c:pt idx="29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FF4-4278-A823-194EF95285C8}"/>
            </c:ext>
          </c:extLst>
        </c:ser>
        <c:gapWidth val="94"/>
        <c:axId val="134300800"/>
        <c:axId val="134302336"/>
      </c:barChart>
      <c:catAx>
        <c:axId val="134300800"/>
        <c:scaling>
          <c:orientation val="minMax"/>
        </c:scaling>
        <c:axPos val="b"/>
        <c:numFmt formatCode="General" sourceLinked="0"/>
        <c:tickLblPos val="low"/>
        <c:crossAx val="134302336"/>
        <c:crosses val="autoZero"/>
        <c:auto val="1"/>
        <c:lblAlgn val="ctr"/>
        <c:lblOffset val="100"/>
      </c:catAx>
      <c:valAx>
        <c:axId val="134302336"/>
        <c:scaling>
          <c:orientation val="minMax"/>
          <c:min val="0"/>
        </c:scaling>
        <c:axPos val="l"/>
        <c:majorGridlines/>
        <c:numFmt formatCode="#,##0" sourceLinked="0"/>
        <c:tickLblPos val="nextTo"/>
        <c:crossAx val="134300800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4.8782716987504533E-2"/>
          <c:y val="0.93303529213103764"/>
          <c:w val="0.93245250759878462"/>
          <c:h val="5.6084093211752784E-2"/>
        </c:manualLayout>
      </c:layout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DED8-E8ED-4708-BB12-4E4CF768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4</TotalTime>
  <Pages>3</Pages>
  <Words>816</Words>
  <Characters>4820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5625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2</cp:revision>
  <cp:lastPrinted>2014-07-17T14:07:00Z</cp:lastPrinted>
  <dcterms:created xsi:type="dcterms:W3CDTF">2018-10-29T15:22:00Z</dcterms:created>
  <dcterms:modified xsi:type="dcterms:W3CDTF">2018-10-29T15:22:00Z</dcterms:modified>
</cp:coreProperties>
</file>