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4" w:rsidRPr="00B671D9" w:rsidRDefault="00F82DB4" w:rsidP="00FC7194">
      <w:pPr>
        <w:pStyle w:val="Datum"/>
      </w:pPr>
      <w:r>
        <w:t>2</w:t>
      </w:r>
      <w:r w:rsidR="0087430C">
        <w:t>2</w:t>
      </w:r>
      <w:r>
        <w:t>.</w:t>
      </w:r>
      <w:r w:rsidR="0087430C">
        <w:t> </w:t>
      </w:r>
      <w:r>
        <w:t>6.</w:t>
      </w:r>
      <w:r w:rsidR="0087430C">
        <w:t> </w:t>
      </w:r>
      <w:r>
        <w:t>2021</w:t>
      </w:r>
    </w:p>
    <w:p w:rsidR="00F82DB4" w:rsidRPr="00032806" w:rsidRDefault="00F82DB4" w:rsidP="00FC7194">
      <w:pPr>
        <w:pStyle w:val="Nzev"/>
      </w:pPr>
      <w:r>
        <w:t>Pracovní neschopnost v Moravskoslezském kraji v roce 2020</w:t>
      </w:r>
    </w:p>
    <w:p w:rsidR="00F82DB4" w:rsidRPr="00D72D67" w:rsidRDefault="00F82DB4" w:rsidP="00A7391E">
      <w:pPr>
        <w:pStyle w:val="Perex"/>
      </w:pPr>
      <w:r w:rsidRPr="00D72D67">
        <w:rPr>
          <w:bCs/>
          <w:szCs w:val="20"/>
        </w:rPr>
        <w:t>V Moravskoslezském kraji bylo v roce 2020 hlášeno 278,7 tis. nových případů dočasné pracovní neschopnosti, což znamenalo meziročně nárůst o </w:t>
      </w:r>
      <w:r>
        <w:rPr>
          <w:bCs/>
          <w:szCs w:val="20"/>
        </w:rPr>
        <w:t>73,5</w:t>
      </w:r>
      <w:r w:rsidR="009F74E0">
        <w:rPr>
          <w:bCs/>
          <w:szCs w:val="20"/>
        </w:rPr>
        <w:t> tis. případů. Na druhou stranu</w:t>
      </w:r>
      <w:r w:rsidRPr="00D72D67">
        <w:rPr>
          <w:bCs/>
          <w:szCs w:val="20"/>
        </w:rPr>
        <w:t xml:space="preserve"> </w:t>
      </w:r>
      <w:r>
        <w:rPr>
          <w:bCs/>
          <w:szCs w:val="20"/>
        </w:rPr>
        <w:t>došlo ke zkrácení průměrné doby</w:t>
      </w:r>
      <w:r w:rsidRPr="00D72D67">
        <w:rPr>
          <w:bCs/>
          <w:szCs w:val="20"/>
        </w:rPr>
        <w:t xml:space="preserve"> trvání jednoho případu dočasné pracovní neschopnosti o 5,8 dne na hodnotu 42,9 dne. Denně stonalo v průměru 32,6 tis. osob.</w:t>
      </w:r>
    </w:p>
    <w:p w:rsidR="00F82DB4" w:rsidRPr="005A73D2" w:rsidRDefault="008005E7" w:rsidP="00EA2D8A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0;width:425.25pt;height:312.75pt;z-index:251658240;mso-position-horizontal:center;mso-position-vertical:bottom;mso-position-vertical-relative:margin">
            <v:imagedata r:id="rId6" o:title=""/>
            <w10:wrap type="square" anchory="margin"/>
          </v:shape>
        </w:pict>
      </w:r>
      <w:r w:rsidR="00F82DB4" w:rsidRPr="00D72D67">
        <w:rPr>
          <w:szCs w:val="20"/>
        </w:rPr>
        <w:t xml:space="preserve">V Moravskoslezském kraji bylo v roce 2020 v průměru evidováno celkem </w:t>
      </w:r>
      <w:r w:rsidR="00F82DB4" w:rsidRPr="00D72D67">
        <w:rPr>
          <w:b/>
          <w:bCs/>
          <w:szCs w:val="20"/>
        </w:rPr>
        <w:t xml:space="preserve">466,6 tis. </w:t>
      </w:r>
      <w:r w:rsidR="00F82DB4" w:rsidRPr="00D72D67">
        <w:rPr>
          <w:rStyle w:val="spelle"/>
          <w:b/>
          <w:bCs/>
          <w:szCs w:val="20"/>
        </w:rPr>
        <w:t>nemocensky</w:t>
      </w:r>
      <w:r w:rsidR="00F82DB4" w:rsidRPr="00D72D67">
        <w:rPr>
          <w:b/>
          <w:bCs/>
          <w:szCs w:val="20"/>
        </w:rPr>
        <w:t xml:space="preserve"> pojištěných osob</w:t>
      </w:r>
      <w:r w:rsidR="00F82DB4" w:rsidRPr="00D72D67">
        <w:rPr>
          <w:szCs w:val="20"/>
        </w:rPr>
        <w:t xml:space="preserve">, což je o 9,7 tis. osob (o 2,0 %) méně než v roce 2019. </w:t>
      </w:r>
      <w:r w:rsidR="00F82DB4" w:rsidRPr="00D72D67">
        <w:rPr>
          <w:rFonts w:cs="Arial"/>
          <w:bCs/>
          <w:szCs w:val="20"/>
        </w:rPr>
        <w:t>Dá se př</w:t>
      </w:r>
      <w:r w:rsidR="009F74E0">
        <w:rPr>
          <w:rFonts w:cs="Arial"/>
          <w:bCs/>
          <w:szCs w:val="20"/>
        </w:rPr>
        <w:t>edpokládat, že za poklesem stála</w:t>
      </w:r>
      <w:r w:rsidR="00F82DB4" w:rsidRPr="00D72D67">
        <w:rPr>
          <w:rFonts w:cs="Arial"/>
          <w:bCs/>
          <w:szCs w:val="20"/>
        </w:rPr>
        <w:t xml:space="preserve"> zejména k</w:t>
      </w:r>
      <w:r w:rsidR="00F82DB4">
        <w:rPr>
          <w:rFonts w:cs="Arial"/>
          <w:bCs/>
          <w:szCs w:val="20"/>
        </w:rPr>
        <w:t>rize způsobená epidemií nemoci c</w:t>
      </w:r>
      <w:r w:rsidR="00F82DB4" w:rsidRPr="00D72D67">
        <w:rPr>
          <w:rFonts w:cs="Arial"/>
          <w:bCs/>
          <w:szCs w:val="20"/>
        </w:rPr>
        <w:t xml:space="preserve">ovid-19, která zapříčinila, zvláště v některých odvětvích, propouštění ze zaměstnání. </w:t>
      </w:r>
      <w:r w:rsidR="00F82DB4">
        <w:rPr>
          <w:szCs w:val="20"/>
        </w:rPr>
        <w:t>P</w:t>
      </w:r>
      <w:r w:rsidR="00F82DB4" w:rsidRPr="00D72D67">
        <w:rPr>
          <w:szCs w:val="20"/>
        </w:rPr>
        <w:t xml:space="preserve">očet pojištěnců </w:t>
      </w:r>
      <w:r w:rsidR="00F82DB4">
        <w:rPr>
          <w:szCs w:val="20"/>
        </w:rPr>
        <w:t xml:space="preserve">v kraji </w:t>
      </w:r>
      <w:r w:rsidR="00F82DB4" w:rsidRPr="00D72D67">
        <w:rPr>
          <w:szCs w:val="20"/>
        </w:rPr>
        <w:t xml:space="preserve">představoval přibližně 10% podíl na republikové hodnotě. Ve srovnání s ostatními kraji to byl 3. nejvyšší podíl za hlavním městem Prahou (26,7 %) a Jihomoravským krajem (10,8 %). Velmi vysoký počet pojištěnců v Praze </w:t>
      </w:r>
      <w:r w:rsidR="00FD27EF">
        <w:t>byl</w:t>
      </w:r>
      <w:r w:rsidR="00F82DB4" w:rsidRPr="00D72D67">
        <w:t xml:space="preserve"> zapříčiněn zejména skutečností, že data v krajském třídění jsou zpracována podle sídla zaměstnavatele, resp. jeho mzdové účtárny, a není výjimkou, že velký počet firem má své sídlo v Praze a působí v jiných regionech či dokonce republikově. Svou roli zde bezesporu sehrála i dojížďka Středočechů za prací do hlavního města, o čemž </w:t>
      </w:r>
      <w:r w:rsidR="00F82DB4" w:rsidRPr="00D72D67">
        <w:lastRenderedPageBreak/>
        <w:t>svědčí až čtvrtá příčka Středočeského kraje s 454,2 tis. nemocensky</w:t>
      </w:r>
      <w:r w:rsidR="00F82DB4">
        <w:t xml:space="preserve"> </w:t>
      </w:r>
      <w:r w:rsidR="00FD27EF">
        <w:t>pojištěnými</w:t>
      </w:r>
      <w:r w:rsidR="00F82DB4" w:rsidRPr="00D72D67">
        <w:t xml:space="preserve"> osob</w:t>
      </w:r>
      <w:r w:rsidR="00FD27EF">
        <w:t>ami</w:t>
      </w:r>
      <w:r w:rsidR="00F82DB4" w:rsidRPr="00D72D67">
        <w:t xml:space="preserve"> (podíl 9,7 %). V rámci okresů Moravskoslezského kraje se meziročně zvýšil počet pojištěnc</w:t>
      </w:r>
      <w:r w:rsidR="00F82DB4">
        <w:t>ů pouze ve Frýdku-Místku (o 0,3 </w:t>
      </w:r>
      <w:r w:rsidR="00F82DB4" w:rsidRPr="00D72D67">
        <w:t>%).</w:t>
      </w:r>
      <w:r w:rsidR="00F82DB4" w:rsidRPr="005A73D2">
        <w:rPr>
          <w:noProof/>
          <w:spacing w:val="-1"/>
          <w:lang w:eastAsia="cs-CZ"/>
        </w:rPr>
        <w:t xml:space="preserve"> </w:t>
      </w:r>
    </w:p>
    <w:p w:rsidR="00F82DB4" w:rsidRPr="005A73D2" w:rsidRDefault="00F82DB4" w:rsidP="00EA2D8A">
      <w:pPr>
        <w:rPr>
          <w:spacing w:val="-1"/>
        </w:rPr>
      </w:pPr>
    </w:p>
    <w:p w:rsidR="00F82DB4" w:rsidRDefault="00F82DB4" w:rsidP="00CC7101">
      <w:r w:rsidRPr="00D72D67">
        <w:rPr>
          <w:b/>
          <w:bCs/>
          <w:szCs w:val="20"/>
        </w:rPr>
        <w:t xml:space="preserve">Celkový počet nově hlášených případů dočasné pracovní neschopnosti pro nemoc a úraz </w:t>
      </w:r>
      <w:r w:rsidRPr="00D72D67">
        <w:rPr>
          <w:szCs w:val="20"/>
        </w:rPr>
        <w:t xml:space="preserve">vzrostl v Moravskoslezském kraji z 205,2 tis. v roce 2019 na 278,7 tis. v roce 2020, tj. o 35,8 %. K navýšení nově hlášených případů došlo </w:t>
      </w:r>
      <w:r>
        <w:rPr>
          <w:szCs w:val="20"/>
        </w:rPr>
        <w:t>ve všech krajích Česka</w:t>
      </w:r>
      <w:r w:rsidRPr="00D72D67">
        <w:rPr>
          <w:szCs w:val="20"/>
        </w:rPr>
        <w:t xml:space="preserve">, nejvyšší meziroční nárůst nově hlášených případů (o 41,7 %) zaznamenali ve Zlínském kraji, naopak nejmenší navýšení vykázali v Karlovarském (o 11,3 %). </w:t>
      </w:r>
      <w:r w:rsidR="00FD27EF">
        <w:rPr>
          <w:bCs/>
        </w:rPr>
        <w:t>Významným faktorem, který stál</w:t>
      </w:r>
      <w:r w:rsidRPr="00D72D67">
        <w:rPr>
          <w:bCs/>
        </w:rPr>
        <w:t xml:space="preserve"> za nárůstem počtu nových případů mezi roky</w:t>
      </w:r>
      <w:r>
        <w:rPr>
          <w:bCs/>
        </w:rPr>
        <w:t> </w:t>
      </w:r>
      <w:r w:rsidRPr="00D72D67">
        <w:rPr>
          <w:bCs/>
        </w:rPr>
        <w:t>2019 a</w:t>
      </w:r>
      <w:r>
        <w:rPr>
          <w:bCs/>
        </w:rPr>
        <w:t> </w:t>
      </w:r>
      <w:r w:rsidRPr="00D72D67">
        <w:rPr>
          <w:bCs/>
        </w:rPr>
        <w:t xml:space="preserve">2020, je bezesporu </w:t>
      </w:r>
      <w:r w:rsidRPr="00FD27EF">
        <w:rPr>
          <w:bCs/>
        </w:rPr>
        <w:t xml:space="preserve">pandemie nemoci </w:t>
      </w:r>
      <w:r w:rsidR="00FD27EF">
        <w:rPr>
          <w:bCs/>
        </w:rPr>
        <w:br/>
      </w:r>
      <w:r w:rsidRPr="00FD27EF">
        <w:rPr>
          <w:bCs/>
        </w:rPr>
        <w:t>covid-19,</w:t>
      </w:r>
      <w:r w:rsidRPr="009A3E7F">
        <w:rPr>
          <w:bCs/>
        </w:rPr>
        <w:t xml:space="preserve"> která </w:t>
      </w:r>
      <w:r w:rsidRPr="00D72D67">
        <w:rPr>
          <w:bCs/>
        </w:rPr>
        <w:t>zhruba bez 1.</w:t>
      </w:r>
      <w:r w:rsidR="008005E7">
        <w:rPr>
          <w:bCs/>
        </w:rPr>
        <w:t> </w:t>
      </w:r>
      <w:bookmarkStart w:id="0" w:name="_GoBack"/>
      <w:bookmarkEnd w:id="0"/>
      <w:r w:rsidRPr="00D72D67">
        <w:rPr>
          <w:bCs/>
        </w:rPr>
        <w:t>čtvrtletí ovlivnila celý rok</w:t>
      </w:r>
      <w:r>
        <w:rPr>
          <w:bCs/>
        </w:rPr>
        <w:t> </w:t>
      </w:r>
      <w:r w:rsidRPr="00D72D67">
        <w:rPr>
          <w:bCs/>
        </w:rPr>
        <w:t>2020. Do počtu případů pro nemoc jsou kromě nemocí jako takových započteny i</w:t>
      </w:r>
      <w:r>
        <w:rPr>
          <w:bCs/>
        </w:rPr>
        <w:t> </w:t>
      </w:r>
      <w:r w:rsidRPr="00D72D67">
        <w:rPr>
          <w:bCs/>
        </w:rPr>
        <w:t>karantény,</w:t>
      </w:r>
      <w:r w:rsidRPr="00D72D67">
        <w:t xml:space="preserve"> při nichž mají pojišt</w:t>
      </w:r>
      <w:r w:rsidR="00FD27EF">
        <w:t>ěnci rovněž nárok na nemocenské,</w:t>
      </w:r>
      <w:r w:rsidRPr="00D72D67">
        <w:t xml:space="preserve"> </w:t>
      </w:r>
      <w:r w:rsidR="001C02B3" w:rsidRPr="00D72D67">
        <w:t>a</w:t>
      </w:r>
      <w:r w:rsidR="001C02B3">
        <w:t> </w:t>
      </w:r>
      <w:r w:rsidRPr="00D72D67">
        <w:t>které byly poprvé v historii vystavovány v nebývalém množství.</w:t>
      </w:r>
      <w:r>
        <w:t xml:space="preserve"> </w:t>
      </w:r>
      <w:r w:rsidRPr="00D72D67">
        <w:rPr>
          <w:szCs w:val="20"/>
        </w:rPr>
        <w:t>V celkovém počtu nově hlášených případů bylo v Moravskoslezském kraji 258,0 tis. případů dočasné pracovní neschopnosti pro nemoc (92,6 % všech případů pracovní neschopnosti), 4,2 tis. případů pro pracovní úraz (1,5 %) a 16,5 tis. případů ostatních úrazů (5,9 %).</w:t>
      </w:r>
    </w:p>
    <w:p w:rsidR="00F82DB4" w:rsidRDefault="00F82DB4" w:rsidP="00CC7101"/>
    <w:p w:rsidR="00F82DB4" w:rsidRPr="003443FC" w:rsidRDefault="008005E7" w:rsidP="00CC7101">
      <w:pPr>
        <w:rPr>
          <w:rFonts w:cs="Arial"/>
          <w:szCs w:val="20"/>
        </w:rPr>
      </w:pPr>
      <w:r>
        <w:pict>
          <v:shape id="_x0000_i1025" type="#_x0000_t75" style="width:425.25pt;height:330pt">
            <v:imagedata r:id="rId7" o:title=""/>
          </v:shape>
        </w:pict>
      </w:r>
    </w:p>
    <w:p w:rsidR="00F82DB4" w:rsidRDefault="00F82DB4" w:rsidP="00CC7101">
      <w:pPr>
        <w:rPr>
          <w:rFonts w:cs="Arial"/>
          <w:szCs w:val="20"/>
        </w:rPr>
      </w:pPr>
    </w:p>
    <w:p w:rsidR="00F82DB4" w:rsidRDefault="00F82DB4" w:rsidP="00CC7101">
      <w:pPr>
        <w:rPr>
          <w:bCs/>
        </w:rPr>
      </w:pPr>
      <w:r w:rsidRPr="00D72D67">
        <w:rPr>
          <w:szCs w:val="20"/>
        </w:rPr>
        <w:t xml:space="preserve">Počet případů dočasné pracovní neschopnosti pro nemoc </w:t>
      </w:r>
      <w:r>
        <w:rPr>
          <w:szCs w:val="20"/>
        </w:rPr>
        <w:t xml:space="preserve">v Moravskoslezském kraji </w:t>
      </w:r>
      <w:r w:rsidRPr="00D72D67">
        <w:rPr>
          <w:szCs w:val="20"/>
        </w:rPr>
        <w:t>meziročně v</w:t>
      </w:r>
      <w:r>
        <w:rPr>
          <w:szCs w:val="20"/>
        </w:rPr>
        <w:t>zrostl o 75,4 tis., tj. o 41,3 </w:t>
      </w:r>
      <w:r w:rsidRPr="00D72D67">
        <w:rPr>
          <w:szCs w:val="20"/>
        </w:rPr>
        <w:t>%</w:t>
      </w:r>
      <w:r>
        <w:rPr>
          <w:szCs w:val="20"/>
        </w:rPr>
        <w:t xml:space="preserve">. Nárůst byl evidován ve </w:t>
      </w:r>
      <w:r w:rsidRPr="00D72D67">
        <w:rPr>
          <w:szCs w:val="20"/>
        </w:rPr>
        <w:t xml:space="preserve">všech okresech Moravskoslezského </w:t>
      </w:r>
      <w:r w:rsidRPr="00D72D67">
        <w:rPr>
          <w:szCs w:val="20"/>
        </w:rPr>
        <w:lastRenderedPageBreak/>
        <w:t>kraje, přičemž nejvyšší zaznamenali v okres</w:t>
      </w:r>
      <w:r>
        <w:rPr>
          <w:szCs w:val="20"/>
        </w:rPr>
        <w:t>e</w:t>
      </w:r>
      <w:r w:rsidRPr="00D72D67">
        <w:rPr>
          <w:szCs w:val="20"/>
        </w:rPr>
        <w:t xml:space="preserve"> Frýdek-Místek (+55,9</w:t>
      </w:r>
      <w:r>
        <w:rPr>
          <w:szCs w:val="20"/>
        </w:rPr>
        <w:t> </w:t>
      </w:r>
      <w:r w:rsidRPr="00D72D67">
        <w:rPr>
          <w:szCs w:val="20"/>
        </w:rPr>
        <w:t xml:space="preserve">%). </w:t>
      </w:r>
      <w:r w:rsidR="001C02B3">
        <w:rPr>
          <w:szCs w:val="20"/>
        </w:rPr>
        <w:t>V </w:t>
      </w:r>
      <w:r>
        <w:rPr>
          <w:szCs w:val="20"/>
        </w:rPr>
        <w:t>případě</w:t>
      </w:r>
      <w:r w:rsidRPr="00D72D67">
        <w:rPr>
          <w:szCs w:val="20"/>
        </w:rPr>
        <w:t xml:space="preserve"> pracovních úrazů došlo</w:t>
      </w:r>
      <w:r>
        <w:rPr>
          <w:szCs w:val="20"/>
        </w:rPr>
        <w:t xml:space="preserve"> naopak</w:t>
      </w:r>
      <w:r w:rsidRPr="00D72D67">
        <w:rPr>
          <w:szCs w:val="20"/>
        </w:rPr>
        <w:t xml:space="preserve"> k meziročnímu poklesu ve </w:t>
      </w:r>
      <w:r>
        <w:rPr>
          <w:szCs w:val="20"/>
        </w:rPr>
        <w:t xml:space="preserve">většině okresů, </w:t>
      </w:r>
      <w:r w:rsidRPr="00D72D67">
        <w:rPr>
          <w:szCs w:val="20"/>
        </w:rPr>
        <w:t xml:space="preserve">výjimkou </w:t>
      </w:r>
      <w:r>
        <w:rPr>
          <w:szCs w:val="20"/>
        </w:rPr>
        <w:t xml:space="preserve">byly </w:t>
      </w:r>
      <w:r w:rsidRPr="00D72D67">
        <w:rPr>
          <w:szCs w:val="20"/>
        </w:rPr>
        <w:t>okres</w:t>
      </w:r>
      <w:r>
        <w:rPr>
          <w:szCs w:val="20"/>
        </w:rPr>
        <w:t>y</w:t>
      </w:r>
      <w:r w:rsidRPr="00D72D67">
        <w:rPr>
          <w:szCs w:val="20"/>
        </w:rPr>
        <w:t xml:space="preserve"> Karviná (+2,</w:t>
      </w:r>
      <w:r w:rsidR="001C02B3" w:rsidRPr="00D72D67">
        <w:rPr>
          <w:szCs w:val="20"/>
        </w:rPr>
        <w:t>9</w:t>
      </w:r>
      <w:r w:rsidR="001C02B3">
        <w:rPr>
          <w:szCs w:val="20"/>
        </w:rPr>
        <w:t> </w:t>
      </w:r>
      <w:r w:rsidRPr="00D72D67">
        <w:rPr>
          <w:szCs w:val="20"/>
        </w:rPr>
        <w:t>%) a</w:t>
      </w:r>
      <w:r>
        <w:rPr>
          <w:szCs w:val="20"/>
        </w:rPr>
        <w:t> Opava (+4,</w:t>
      </w:r>
      <w:r w:rsidR="001C02B3">
        <w:rPr>
          <w:szCs w:val="20"/>
        </w:rPr>
        <w:t>7 </w:t>
      </w:r>
      <w:r>
        <w:rPr>
          <w:szCs w:val="20"/>
        </w:rPr>
        <w:t xml:space="preserve">%). Stejný trend byl zřejmý </w:t>
      </w:r>
      <w:r w:rsidR="001C02B3">
        <w:rPr>
          <w:szCs w:val="20"/>
        </w:rPr>
        <w:t>i </w:t>
      </w:r>
      <w:r>
        <w:rPr>
          <w:szCs w:val="20"/>
        </w:rPr>
        <w:t xml:space="preserve">v případě </w:t>
      </w:r>
      <w:r w:rsidRPr="00D72D67">
        <w:rPr>
          <w:szCs w:val="20"/>
        </w:rPr>
        <w:t>ostatních úrazů</w:t>
      </w:r>
      <w:r>
        <w:rPr>
          <w:szCs w:val="20"/>
        </w:rPr>
        <w:t>, které oproti roku </w:t>
      </w:r>
      <w:r w:rsidRPr="00D72D67">
        <w:rPr>
          <w:szCs w:val="20"/>
        </w:rPr>
        <w:t xml:space="preserve">2019 poklesly ve všech okresech. </w:t>
      </w:r>
      <w:r w:rsidRPr="00D72D67">
        <w:rPr>
          <w:bCs/>
        </w:rPr>
        <w:t>D</w:t>
      </w:r>
      <w:r w:rsidR="00FD27EF">
        <w:rPr>
          <w:bCs/>
        </w:rPr>
        <w:t>á se předpokládat, že to souviselo</w:t>
      </w:r>
      <w:r w:rsidRPr="00D72D67">
        <w:rPr>
          <w:bCs/>
        </w:rPr>
        <w:t xml:space="preserve"> s vyhlášením nouzového stavu, celkovým omezením pohybu, uzavřením některých podniků </w:t>
      </w:r>
      <w:r w:rsidR="001C02B3" w:rsidRPr="00D72D67">
        <w:rPr>
          <w:bCs/>
        </w:rPr>
        <w:t>a</w:t>
      </w:r>
      <w:r w:rsidR="001C02B3">
        <w:rPr>
          <w:bCs/>
        </w:rPr>
        <w:t> </w:t>
      </w:r>
      <w:r w:rsidRPr="00D72D67">
        <w:rPr>
          <w:bCs/>
        </w:rPr>
        <w:t>větší mírou práce z domova.</w:t>
      </w:r>
    </w:p>
    <w:p w:rsidR="00F82DB4" w:rsidRDefault="00F82DB4" w:rsidP="00CC7101">
      <w:pPr>
        <w:rPr>
          <w:bCs/>
        </w:rPr>
      </w:pPr>
    </w:p>
    <w:p w:rsidR="00F82DB4" w:rsidRDefault="00F82DB4" w:rsidP="00CC7101">
      <w:pPr>
        <w:rPr>
          <w:bCs/>
        </w:rPr>
      </w:pPr>
      <w:r w:rsidRPr="00D72D67">
        <w:rPr>
          <w:rFonts w:cs="Arial"/>
          <w:szCs w:val="20"/>
        </w:rPr>
        <w:t xml:space="preserve">V Moravskoslezském kraji v roce 2020 připadlo </w:t>
      </w:r>
      <w:r w:rsidRPr="00D72D67">
        <w:rPr>
          <w:rFonts w:cs="Arial"/>
          <w:b/>
          <w:bCs/>
          <w:szCs w:val="20"/>
        </w:rPr>
        <w:t>na 100 pojištěnců</w:t>
      </w:r>
      <w:r w:rsidRPr="00D72D67">
        <w:rPr>
          <w:rFonts w:cs="Arial"/>
          <w:szCs w:val="20"/>
        </w:rPr>
        <w:t xml:space="preserve"> </w:t>
      </w:r>
      <w:r w:rsidRPr="00D72D67">
        <w:rPr>
          <w:rFonts w:cs="Arial"/>
          <w:b/>
          <w:szCs w:val="20"/>
        </w:rPr>
        <w:t>59,72</w:t>
      </w:r>
      <w:r w:rsidRPr="00D72D67">
        <w:rPr>
          <w:rFonts w:cs="Arial"/>
          <w:b/>
          <w:bCs/>
          <w:szCs w:val="20"/>
        </w:rPr>
        <w:t> nově hlášených případů</w:t>
      </w:r>
      <w:r w:rsidRPr="00D72D67">
        <w:rPr>
          <w:rFonts w:cs="Arial"/>
          <w:szCs w:val="20"/>
        </w:rPr>
        <w:t xml:space="preserve"> dočasné pracovní neschopnosti pro nemoc a úraz, zatímco v roce 2019 to bylo 43,08 nově hlášených případů. Z pohledu územního členění bylo v roce 2020 nejvíce případů pracovní neschopnosti na 100 pojištěnců hlášeno v Libereckém kraji (63,73), naopak nejméně případů bylo v</w:t>
      </w:r>
      <w:r>
        <w:rPr>
          <w:rFonts w:cs="Arial"/>
          <w:szCs w:val="20"/>
        </w:rPr>
        <w:t> </w:t>
      </w:r>
      <w:r w:rsidRPr="00D72D67">
        <w:rPr>
          <w:rFonts w:cs="Arial"/>
          <w:szCs w:val="20"/>
        </w:rPr>
        <w:t xml:space="preserve">Praze (38,76). Hodnoty tohoto ukazatele v roce 2020 meziročně vzrostly ve všech krajích. Stejná situace nastala i ve všech okresech Moravskoslezského kraje, přičemž nejvyšší </w:t>
      </w:r>
      <w:r>
        <w:rPr>
          <w:rFonts w:cs="Arial"/>
          <w:szCs w:val="20"/>
        </w:rPr>
        <w:t xml:space="preserve">meziroční </w:t>
      </w:r>
      <w:r w:rsidRPr="00D72D67">
        <w:rPr>
          <w:rFonts w:cs="Arial"/>
          <w:szCs w:val="20"/>
        </w:rPr>
        <w:t>nárůst vykázal okres Karviná (o 22</w:t>
      </w:r>
      <w:r>
        <w:rPr>
          <w:rFonts w:cs="Arial"/>
          <w:szCs w:val="20"/>
        </w:rPr>
        <w:t>,46 případu</w:t>
      </w:r>
      <w:r w:rsidRPr="00D72D67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N</w:t>
      </w:r>
      <w:r w:rsidRPr="00D72D67">
        <w:rPr>
          <w:rFonts w:cs="Arial"/>
          <w:szCs w:val="20"/>
        </w:rPr>
        <w:t>ejméně případů bylo v roce 2020 hlášeno v okres</w:t>
      </w:r>
      <w:r>
        <w:rPr>
          <w:rFonts w:cs="Arial"/>
          <w:szCs w:val="20"/>
        </w:rPr>
        <w:t>e</w:t>
      </w:r>
      <w:r w:rsidRPr="00D72D67">
        <w:rPr>
          <w:rFonts w:cs="Arial"/>
          <w:szCs w:val="20"/>
        </w:rPr>
        <w:t xml:space="preserve"> Ostrava-město (54</w:t>
      </w:r>
      <w:r>
        <w:rPr>
          <w:rFonts w:cs="Arial"/>
          <w:szCs w:val="20"/>
        </w:rPr>
        <w:t>,01</w:t>
      </w:r>
      <w:r w:rsidRPr="00D72D67">
        <w:rPr>
          <w:rFonts w:cs="Arial"/>
          <w:szCs w:val="20"/>
        </w:rPr>
        <w:t>) a nejvíce v okres</w:t>
      </w:r>
      <w:r>
        <w:rPr>
          <w:rFonts w:cs="Arial"/>
          <w:szCs w:val="20"/>
        </w:rPr>
        <w:t>e</w:t>
      </w:r>
      <w:r w:rsidRPr="00D72D67">
        <w:rPr>
          <w:rFonts w:cs="Arial"/>
          <w:szCs w:val="20"/>
        </w:rPr>
        <w:t xml:space="preserve"> Karviná (71</w:t>
      </w:r>
      <w:r>
        <w:rPr>
          <w:rFonts w:cs="Arial"/>
          <w:szCs w:val="20"/>
        </w:rPr>
        <w:t>,52</w:t>
      </w:r>
      <w:r w:rsidRPr="00D72D67">
        <w:rPr>
          <w:rFonts w:cs="Arial"/>
          <w:szCs w:val="20"/>
        </w:rPr>
        <w:t>). Podle druhu dočasné pracovní neschopnosti bylo relativně nejvíce případů nemoci právě v okres</w:t>
      </w:r>
      <w:r>
        <w:rPr>
          <w:rFonts w:cs="Arial"/>
          <w:szCs w:val="20"/>
        </w:rPr>
        <w:t>e</w:t>
      </w:r>
      <w:r w:rsidRPr="00D72D67">
        <w:rPr>
          <w:rFonts w:cs="Arial"/>
          <w:szCs w:val="20"/>
        </w:rPr>
        <w:t xml:space="preserve"> Karviná (66,67 případu na 100 pojištěnců), pracovních úrazů v okres</w:t>
      </w:r>
      <w:r>
        <w:rPr>
          <w:rFonts w:cs="Arial"/>
          <w:szCs w:val="20"/>
        </w:rPr>
        <w:t>e</w:t>
      </w:r>
      <w:r w:rsidRPr="00D72D67">
        <w:rPr>
          <w:rFonts w:cs="Arial"/>
          <w:szCs w:val="20"/>
        </w:rPr>
        <w:t xml:space="preserve"> Bruntál (1,31 případu na 100 pojišt</w:t>
      </w:r>
      <w:r>
        <w:rPr>
          <w:rFonts w:cs="Arial"/>
          <w:szCs w:val="20"/>
        </w:rPr>
        <w:t>ěnců) a ostatních úrazů v okrese</w:t>
      </w:r>
      <w:r w:rsidRPr="00D72D67">
        <w:rPr>
          <w:rFonts w:cs="Arial"/>
          <w:szCs w:val="20"/>
        </w:rPr>
        <w:t xml:space="preserve"> Frýdek-Místek (4,22 případu na 100 pojištěnců).</w:t>
      </w:r>
    </w:p>
    <w:p w:rsidR="00F82DB4" w:rsidRPr="005A73D2" w:rsidRDefault="00F82DB4" w:rsidP="00CC7101">
      <w:pPr>
        <w:rPr>
          <w:rFonts w:cs="Arial"/>
          <w:szCs w:val="20"/>
        </w:rPr>
      </w:pPr>
    </w:p>
    <w:p w:rsidR="00F82DB4" w:rsidRDefault="008005E7" w:rsidP="00CC7101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pict>
          <v:shape id="Obrázek 20" o:spid="_x0000_i1026" type="#_x0000_t75" style="width:425.25pt;height:270pt;visibility:visible">
            <v:imagedata r:id="rId8" o:title=""/>
          </v:shape>
        </w:pict>
      </w:r>
    </w:p>
    <w:p w:rsidR="00F82DB4" w:rsidRPr="00B125F1" w:rsidRDefault="00F82DB4" w:rsidP="00CC7101">
      <w:pPr>
        <w:rPr>
          <w:rFonts w:cs="Arial"/>
          <w:szCs w:val="20"/>
        </w:rPr>
      </w:pPr>
    </w:p>
    <w:p w:rsidR="00F82DB4" w:rsidRDefault="00F82DB4" w:rsidP="00951C64">
      <w:pPr>
        <w:rPr>
          <w:szCs w:val="20"/>
        </w:rPr>
      </w:pPr>
      <w:r w:rsidRPr="00D72D67">
        <w:rPr>
          <w:b/>
          <w:bCs/>
          <w:szCs w:val="20"/>
        </w:rPr>
        <w:t>Průměrná doba trvání jednoho případu</w:t>
      </w:r>
      <w:r w:rsidRPr="00D72D67">
        <w:rPr>
          <w:szCs w:val="20"/>
        </w:rPr>
        <w:t xml:space="preserve"> dočasné pracovní neschopnosti pro nemoc a úraz v kalendářních dnech v kraji meziročn</w:t>
      </w:r>
      <w:r>
        <w:rPr>
          <w:szCs w:val="20"/>
        </w:rPr>
        <w:t xml:space="preserve">ě klesla o 5,8 dne na 42,9 dne. Šlo tak </w:t>
      </w:r>
      <w:r w:rsidR="001C02B3">
        <w:rPr>
          <w:szCs w:val="20"/>
        </w:rPr>
        <w:t>o </w:t>
      </w:r>
      <w:r>
        <w:rPr>
          <w:szCs w:val="20"/>
        </w:rPr>
        <w:t>druhou nejdelší průměrnou neschopenku za pojištěnci ze Zlínského kraje</w:t>
      </w:r>
      <w:r w:rsidRPr="00D72D67">
        <w:rPr>
          <w:szCs w:val="20"/>
        </w:rPr>
        <w:t xml:space="preserve"> (43,5 dne). Nejkratší průměrná doba dočasné pracovní neschopnosti byla zaznamenána v Královéhradeckém kraji (36,8</w:t>
      </w:r>
      <w:r>
        <w:rPr>
          <w:szCs w:val="20"/>
        </w:rPr>
        <w:t> dne).</w:t>
      </w:r>
      <w:r w:rsidRPr="00D72D67">
        <w:rPr>
          <w:szCs w:val="20"/>
        </w:rPr>
        <w:t xml:space="preserve"> </w:t>
      </w:r>
      <w:r w:rsidRPr="00D72D67">
        <w:rPr>
          <w:szCs w:val="20"/>
        </w:rPr>
        <w:lastRenderedPageBreak/>
        <w:t>V okresech Moravskoslezského kraje se průměrná doba trvání jednoho případu dočasné pracovní neschopnosti pohybovala v intervalu od 37,9 dne v Bruntál</w:t>
      </w:r>
      <w:r w:rsidR="00FD27EF">
        <w:rPr>
          <w:szCs w:val="20"/>
        </w:rPr>
        <w:t>u</w:t>
      </w:r>
      <w:r w:rsidRPr="00D72D67">
        <w:rPr>
          <w:szCs w:val="20"/>
        </w:rPr>
        <w:t xml:space="preserve"> do 44,0 dne v Ostravě-městě.</w:t>
      </w:r>
    </w:p>
    <w:p w:rsidR="00F82DB4" w:rsidRDefault="00F82DB4" w:rsidP="00951C64">
      <w:pPr>
        <w:rPr>
          <w:szCs w:val="20"/>
        </w:rPr>
      </w:pPr>
    </w:p>
    <w:p w:rsidR="00F82DB4" w:rsidRPr="00D72D67" w:rsidRDefault="00F82DB4" w:rsidP="00951C64">
      <w:pPr>
        <w:rPr>
          <w:szCs w:val="20"/>
        </w:rPr>
      </w:pPr>
      <w:r w:rsidRPr="00D72D67">
        <w:rPr>
          <w:b/>
          <w:bCs/>
          <w:szCs w:val="20"/>
        </w:rPr>
        <w:t>Průměrné procento dočasné pracovní neschopnosti</w:t>
      </w:r>
      <w:r w:rsidRPr="00D72D67">
        <w:rPr>
          <w:bCs/>
          <w:szCs w:val="20"/>
        </w:rPr>
        <w:t xml:space="preserve"> </w:t>
      </w:r>
      <w:r w:rsidRPr="00D72D67">
        <w:rPr>
          <w:szCs w:val="20"/>
        </w:rPr>
        <w:t>se v Moravskoslezském kraji meziročně zvýšilo z 5,750 % v roce 2019 na 6,996 % v roce 2020.</w:t>
      </w:r>
      <w:r w:rsidRPr="00D72D67">
        <w:rPr>
          <w:bCs/>
          <w:szCs w:val="20"/>
        </w:rPr>
        <w:t xml:space="preserve"> Průměrné procento dočasné pracovní neschopnosti udává, kolik ze 100 pojištěnců </w:t>
      </w:r>
      <w:r>
        <w:rPr>
          <w:bCs/>
          <w:szCs w:val="20"/>
        </w:rPr>
        <w:t>bylo</w:t>
      </w:r>
      <w:r w:rsidRPr="00D72D67">
        <w:rPr>
          <w:bCs/>
          <w:szCs w:val="20"/>
        </w:rPr>
        <w:t xml:space="preserve"> průměrně každý den v pracovní neschopnosti pro nemoc či úraz. </w:t>
      </w:r>
      <w:r w:rsidRPr="00D72D67">
        <w:rPr>
          <w:szCs w:val="20"/>
        </w:rPr>
        <w:t>Průměrné procento dočasné pracovní neschopnosti zohledňuje jak celkový počet případů pracovní neschopnosti (jak často lidé do pracovní neschopnosti nastupují), tak i průměrné trvání jednoho případu pracovní neschopnosti (jak dlouho v pracovní neschopnosti zůstávají). V porovnání s ostatními kraji bylo průměrné procento dočasné pracovní neschopnosti v Moravskoslezském kraji v roce 2020 druhé nejvyšší po Zlínském kraji (7,042</w:t>
      </w:r>
      <w:r>
        <w:rPr>
          <w:szCs w:val="20"/>
        </w:rPr>
        <w:t> </w:t>
      </w:r>
      <w:r w:rsidRPr="00D72D67">
        <w:rPr>
          <w:szCs w:val="20"/>
        </w:rPr>
        <w:t>%). Nejnižší hodnotu si u</w:t>
      </w:r>
      <w:r>
        <w:rPr>
          <w:szCs w:val="20"/>
        </w:rPr>
        <w:t>držovala</w:t>
      </w:r>
      <w:r w:rsidRPr="00D72D67">
        <w:rPr>
          <w:szCs w:val="20"/>
        </w:rPr>
        <w:t xml:space="preserve"> Praha s hodnotou 3,942 %. V okresech </w:t>
      </w:r>
      <w:r>
        <w:rPr>
          <w:szCs w:val="20"/>
        </w:rPr>
        <w:t xml:space="preserve">Moravskoslezského </w:t>
      </w:r>
      <w:r w:rsidRPr="00D72D67">
        <w:rPr>
          <w:szCs w:val="20"/>
        </w:rPr>
        <w:t>kraje se hodnota ukazatel</w:t>
      </w:r>
      <w:r>
        <w:rPr>
          <w:szCs w:val="20"/>
        </w:rPr>
        <w:t>e pohybovala od 5,837 % v okrese</w:t>
      </w:r>
      <w:r w:rsidRPr="00D72D67">
        <w:rPr>
          <w:szCs w:val="20"/>
        </w:rPr>
        <w:t xml:space="preserve"> Bruntál do 8,413 % v okres</w:t>
      </w:r>
      <w:r>
        <w:rPr>
          <w:szCs w:val="20"/>
        </w:rPr>
        <w:t>e</w:t>
      </w:r>
      <w:r w:rsidRPr="00D72D67">
        <w:rPr>
          <w:szCs w:val="20"/>
        </w:rPr>
        <w:t xml:space="preserve"> Karviná.</w:t>
      </w:r>
    </w:p>
    <w:p w:rsidR="00F82DB4" w:rsidRPr="00D72D67" w:rsidRDefault="00F82DB4" w:rsidP="00951C64">
      <w:pPr>
        <w:rPr>
          <w:szCs w:val="20"/>
        </w:rPr>
      </w:pPr>
    </w:p>
    <w:p w:rsidR="00F82DB4" w:rsidRPr="005A73D2" w:rsidRDefault="00F82DB4" w:rsidP="00951C64">
      <w:pPr>
        <w:rPr>
          <w:szCs w:val="20"/>
        </w:rPr>
      </w:pPr>
      <w:r w:rsidRPr="00D72D67">
        <w:rPr>
          <w:szCs w:val="20"/>
        </w:rPr>
        <w:t>V Moravskoslezském kraji bylo v roce 2020 denně v průměru 32 640 práceneschopných osob (o 5</w:t>
      </w:r>
      <w:r>
        <w:rPr>
          <w:szCs w:val="20"/>
        </w:rPr>
        <w:t> </w:t>
      </w:r>
      <w:r w:rsidRPr="00D72D67">
        <w:rPr>
          <w:szCs w:val="20"/>
        </w:rPr>
        <w:t>258</w:t>
      </w:r>
      <w:r>
        <w:rPr>
          <w:szCs w:val="20"/>
        </w:rPr>
        <w:t> </w:t>
      </w:r>
      <w:r w:rsidRPr="00D72D67">
        <w:rPr>
          <w:szCs w:val="20"/>
        </w:rPr>
        <w:t>osob více než v roce 2019), z toho 28 619 osob pro nemoc, 854 osob pro pracovní úraz a 3 167 osob pro ostatní úrazy.</w:t>
      </w:r>
    </w:p>
    <w:p w:rsidR="00F82DB4" w:rsidRPr="005A73D2" w:rsidRDefault="00F82DB4" w:rsidP="00CC7101">
      <w:pPr>
        <w:rPr>
          <w:spacing w:val="-2"/>
          <w:szCs w:val="20"/>
        </w:rPr>
      </w:pPr>
    </w:p>
    <w:p w:rsidR="00F82DB4" w:rsidRPr="00D72D67" w:rsidRDefault="00F82DB4" w:rsidP="00951C64">
      <w:pPr>
        <w:widowControl w:val="0"/>
        <w:rPr>
          <w:rFonts w:cs="Arial"/>
          <w:i/>
          <w:sz w:val="18"/>
          <w:szCs w:val="18"/>
        </w:rPr>
      </w:pPr>
      <w:r w:rsidRPr="00D72D67">
        <w:rPr>
          <w:rFonts w:cs="Arial"/>
          <w:i/>
          <w:sz w:val="18"/>
          <w:szCs w:val="18"/>
        </w:rPr>
        <w:t>Poznámka: Základní ukazatele statistiky dočasné pracovní neschopnosti pro nemoc a úraz jsou zpracované z </w:t>
      </w:r>
      <w:r w:rsidRPr="00D72D67">
        <w:rPr>
          <w:rFonts w:cs="Arial"/>
          <w:b/>
          <w:i/>
          <w:sz w:val="18"/>
          <w:szCs w:val="18"/>
        </w:rPr>
        <w:t>dat administrativního zdroje Informačního systému České správy sociálního zabezpečení</w:t>
      </w:r>
      <w:r w:rsidRPr="00D72D67">
        <w:rPr>
          <w:rFonts w:cs="Arial"/>
          <w:i/>
          <w:sz w:val="18"/>
          <w:szCs w:val="18"/>
        </w:rPr>
        <w:t>.</w:t>
      </w:r>
    </w:p>
    <w:p w:rsidR="00F82DB4" w:rsidRPr="005A73D2" w:rsidRDefault="00F82DB4" w:rsidP="00951C64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D72D67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Pr="00D72D67">
        <w:rPr>
          <w:rFonts w:ascii="Arial" w:hAnsi="Arial" w:cs="Arial"/>
          <w:b/>
          <w:i/>
          <w:sz w:val="18"/>
          <w:szCs w:val="18"/>
        </w:rPr>
        <w:t>metodiku zpracování dat, kdy rozlišení dle krajů a okresů vychází z údaje o sídle útvaru</w:t>
      </w:r>
      <w:r w:rsidRPr="00D72D67">
        <w:rPr>
          <w:rFonts w:ascii="Arial" w:hAnsi="Arial" w:cs="Arial"/>
          <w:i/>
          <w:sz w:val="18"/>
          <w:szCs w:val="18"/>
        </w:rPr>
        <w:t>, který vede evidenci mezd u zaměstnavatele osoby, která je v pracovní neschopnosti.</w:t>
      </w:r>
    </w:p>
    <w:p w:rsidR="00F82DB4" w:rsidRPr="004B66CF" w:rsidRDefault="00F82DB4" w:rsidP="00951C64"/>
    <w:p w:rsidR="00F82DB4" w:rsidRPr="00414EA5" w:rsidRDefault="00F82DB4" w:rsidP="00951C64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r w:rsidRPr="00414EA5">
        <w:rPr>
          <w:b/>
          <w:spacing w:val="-2"/>
          <w:szCs w:val="20"/>
        </w:rPr>
        <w:t>:</w:t>
      </w:r>
    </w:p>
    <w:p w:rsidR="00F82DB4" w:rsidRPr="003A03BA" w:rsidRDefault="003A03BA" w:rsidP="00951C64">
      <w:pPr>
        <w:rPr>
          <w:rStyle w:val="Hypertextovodkaz"/>
          <w:color w:val="0071BC"/>
          <w:spacing w:val="-2"/>
          <w:szCs w:val="20"/>
        </w:rPr>
      </w:pPr>
      <w:r w:rsidRPr="003A03BA">
        <w:rPr>
          <w:color w:val="0071BC"/>
          <w:u w:val="single"/>
        </w:rPr>
        <w:fldChar w:fldCharType="begin"/>
      </w:r>
      <w:r w:rsidRPr="003A03BA">
        <w:rPr>
          <w:color w:val="0071BC"/>
          <w:u w:val="single"/>
        </w:rPr>
        <w:instrText xml:space="preserve"> HYPERLINK "https://www.czso.cz/csu/czso/pracovni-neschopnost-pro-nemoc-a-uraz-v-ceske-republice-za-rok-2020" </w:instrText>
      </w:r>
      <w:r w:rsidRPr="003A03BA">
        <w:rPr>
          <w:color w:val="0071BC"/>
          <w:u w:val="single"/>
        </w:rPr>
        <w:fldChar w:fldCharType="separate"/>
      </w:r>
      <w:r w:rsidR="00F82DB4" w:rsidRPr="003A03BA">
        <w:rPr>
          <w:rStyle w:val="Hypertextovodkaz"/>
          <w:color w:val="0071BC"/>
        </w:rPr>
        <w:t>Pracovní neschopnost pro nemoc a úraz v České republice – za rok 2020</w:t>
      </w:r>
    </w:p>
    <w:p w:rsidR="00F82DB4" w:rsidRDefault="003A03BA" w:rsidP="00951C64">
      <w:r w:rsidRPr="003A03BA">
        <w:rPr>
          <w:color w:val="0071BC"/>
          <w:u w:val="single"/>
        </w:rPr>
        <w:fldChar w:fldCharType="end"/>
      </w:r>
    </w:p>
    <w:p w:rsidR="00F82DB4" w:rsidRDefault="00F82DB4" w:rsidP="00951C64"/>
    <w:p w:rsidR="00F82DB4" w:rsidRDefault="00F82DB4" w:rsidP="00951C64">
      <w:pPr>
        <w:rPr>
          <w:b/>
        </w:rPr>
      </w:pPr>
      <w:r>
        <w:rPr>
          <w:b/>
        </w:rPr>
        <w:t>Kontakt:</w:t>
      </w:r>
    </w:p>
    <w:p w:rsidR="00F82DB4" w:rsidRPr="00275CB2" w:rsidRDefault="00F82DB4" w:rsidP="00951C64">
      <w:r>
        <w:t>Patrik Szabo</w:t>
      </w:r>
    </w:p>
    <w:p w:rsidR="00F82DB4" w:rsidRPr="00275CB2" w:rsidRDefault="00F82DB4" w:rsidP="00951C64">
      <w:r w:rsidRPr="00275CB2">
        <w:t>Krajská správa ČSÚ v Ostravě</w:t>
      </w:r>
    </w:p>
    <w:p w:rsidR="00F82DB4" w:rsidRPr="00275CB2" w:rsidRDefault="00F82DB4" w:rsidP="00951C64">
      <w:r w:rsidRPr="00275CB2">
        <w:t>Tel.: 595 131 2</w:t>
      </w:r>
      <w:r>
        <w:t>2</w:t>
      </w:r>
      <w:r w:rsidRPr="00275CB2">
        <w:t>0</w:t>
      </w:r>
    </w:p>
    <w:p w:rsidR="00F82DB4" w:rsidRPr="00275CB2" w:rsidRDefault="00F82DB4" w:rsidP="00951C64">
      <w:pPr>
        <w:widowControl w:val="0"/>
      </w:pPr>
      <w:r w:rsidRPr="00275CB2">
        <w:t xml:space="preserve">E-mail: </w:t>
      </w:r>
      <w:r w:rsidRPr="003443FC">
        <w:t>patrik.szabo@czso.cz</w:t>
      </w:r>
    </w:p>
    <w:sectPr w:rsidR="00F82DB4" w:rsidRPr="00275CB2" w:rsidSect="003D02AA">
      <w:headerReference w:type="default" r:id="rId9"/>
      <w:footerReference w:type="default" r:id="rId10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B4" w:rsidRDefault="00F82DB4" w:rsidP="00BA6370">
      <w:r>
        <w:separator/>
      </w:r>
    </w:p>
  </w:endnote>
  <w:endnote w:type="continuationSeparator" w:id="0">
    <w:p w:rsidR="00F82DB4" w:rsidRDefault="00F82D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4" w:rsidRDefault="008005E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F82DB4" w:rsidRPr="00D71A18" w:rsidRDefault="00F82DB4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82DB4" w:rsidRPr="00FC7194" w:rsidRDefault="00F82DB4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6301D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8005E7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B4" w:rsidRDefault="00F82DB4" w:rsidP="00BA6370">
      <w:r>
        <w:separator/>
      </w:r>
    </w:p>
  </w:footnote>
  <w:footnote w:type="continuationSeparator" w:id="0">
    <w:p w:rsidR="00F82DB4" w:rsidRDefault="00F82D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4" w:rsidRDefault="008005E7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82DB4" w:rsidRPr="00136EE6" w:rsidRDefault="00F82DB4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82DB4" w:rsidRPr="007E622A" w:rsidRDefault="00F82DB4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867"/>
    <w:rsid w:val="000210EE"/>
    <w:rsid w:val="0002393A"/>
    <w:rsid w:val="00032806"/>
    <w:rsid w:val="0003374B"/>
    <w:rsid w:val="00043BF4"/>
    <w:rsid w:val="00075FCA"/>
    <w:rsid w:val="000775E2"/>
    <w:rsid w:val="00082EBD"/>
    <w:rsid w:val="000842D2"/>
    <w:rsid w:val="000843A5"/>
    <w:rsid w:val="00086DE3"/>
    <w:rsid w:val="00094B25"/>
    <w:rsid w:val="000B4D9F"/>
    <w:rsid w:val="000B6F63"/>
    <w:rsid w:val="000C29D6"/>
    <w:rsid w:val="000C435D"/>
    <w:rsid w:val="000E6C80"/>
    <w:rsid w:val="000F0325"/>
    <w:rsid w:val="00112B77"/>
    <w:rsid w:val="001165D7"/>
    <w:rsid w:val="00127921"/>
    <w:rsid w:val="00136EE6"/>
    <w:rsid w:val="00137FE4"/>
    <w:rsid w:val="001404AB"/>
    <w:rsid w:val="00144A9E"/>
    <w:rsid w:val="00146745"/>
    <w:rsid w:val="001471D6"/>
    <w:rsid w:val="00154950"/>
    <w:rsid w:val="00156FAB"/>
    <w:rsid w:val="001658A9"/>
    <w:rsid w:val="0017231D"/>
    <w:rsid w:val="001776E2"/>
    <w:rsid w:val="001810DC"/>
    <w:rsid w:val="00183C7E"/>
    <w:rsid w:val="001A214A"/>
    <w:rsid w:val="001A4ECE"/>
    <w:rsid w:val="001A59BF"/>
    <w:rsid w:val="001B607F"/>
    <w:rsid w:val="001C02B3"/>
    <w:rsid w:val="001C7DBF"/>
    <w:rsid w:val="001D369A"/>
    <w:rsid w:val="001D4FB5"/>
    <w:rsid w:val="001D7448"/>
    <w:rsid w:val="001F2ABC"/>
    <w:rsid w:val="001F3278"/>
    <w:rsid w:val="002070FB"/>
    <w:rsid w:val="00213729"/>
    <w:rsid w:val="002272A6"/>
    <w:rsid w:val="00231C66"/>
    <w:rsid w:val="002406FA"/>
    <w:rsid w:val="00243828"/>
    <w:rsid w:val="002460EA"/>
    <w:rsid w:val="00262787"/>
    <w:rsid w:val="0026346B"/>
    <w:rsid w:val="00275CB2"/>
    <w:rsid w:val="0027601F"/>
    <w:rsid w:val="002846CC"/>
    <w:rsid w:val="002848DA"/>
    <w:rsid w:val="002924E5"/>
    <w:rsid w:val="002A2CC6"/>
    <w:rsid w:val="002B2E47"/>
    <w:rsid w:val="002C5242"/>
    <w:rsid w:val="002D6A6C"/>
    <w:rsid w:val="002E5F09"/>
    <w:rsid w:val="002F0983"/>
    <w:rsid w:val="00322412"/>
    <w:rsid w:val="003301A3"/>
    <w:rsid w:val="003443FC"/>
    <w:rsid w:val="0035578A"/>
    <w:rsid w:val="0036777B"/>
    <w:rsid w:val="003723F1"/>
    <w:rsid w:val="00377FA8"/>
    <w:rsid w:val="0038282A"/>
    <w:rsid w:val="00397580"/>
    <w:rsid w:val="003A03BA"/>
    <w:rsid w:val="003A1794"/>
    <w:rsid w:val="003A24DE"/>
    <w:rsid w:val="003A45C8"/>
    <w:rsid w:val="003B1096"/>
    <w:rsid w:val="003C2DCF"/>
    <w:rsid w:val="003C795E"/>
    <w:rsid w:val="003C7FE7"/>
    <w:rsid w:val="003D02AA"/>
    <w:rsid w:val="003D0499"/>
    <w:rsid w:val="003D40F3"/>
    <w:rsid w:val="003D6162"/>
    <w:rsid w:val="003F526A"/>
    <w:rsid w:val="003F673F"/>
    <w:rsid w:val="00405244"/>
    <w:rsid w:val="00413A9D"/>
    <w:rsid w:val="00414EA5"/>
    <w:rsid w:val="00433A70"/>
    <w:rsid w:val="004436EE"/>
    <w:rsid w:val="00444FEA"/>
    <w:rsid w:val="0045547F"/>
    <w:rsid w:val="00460236"/>
    <w:rsid w:val="004679F1"/>
    <w:rsid w:val="00477364"/>
    <w:rsid w:val="00483248"/>
    <w:rsid w:val="00485B6D"/>
    <w:rsid w:val="004920AD"/>
    <w:rsid w:val="004B66CF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78E6"/>
    <w:rsid w:val="0051155E"/>
    <w:rsid w:val="00512D99"/>
    <w:rsid w:val="0051551D"/>
    <w:rsid w:val="00522A43"/>
    <w:rsid w:val="00524D45"/>
    <w:rsid w:val="00531DBB"/>
    <w:rsid w:val="00531E36"/>
    <w:rsid w:val="0055479C"/>
    <w:rsid w:val="00563CBF"/>
    <w:rsid w:val="005761D9"/>
    <w:rsid w:val="0058548A"/>
    <w:rsid w:val="005A4341"/>
    <w:rsid w:val="005A4CF0"/>
    <w:rsid w:val="005A6971"/>
    <w:rsid w:val="005A73D2"/>
    <w:rsid w:val="005B6C32"/>
    <w:rsid w:val="005D0CF2"/>
    <w:rsid w:val="005E428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6C0C"/>
    <w:rsid w:val="00622B80"/>
    <w:rsid w:val="006301DA"/>
    <w:rsid w:val="00634DF5"/>
    <w:rsid w:val="0064139A"/>
    <w:rsid w:val="00642389"/>
    <w:rsid w:val="00661292"/>
    <w:rsid w:val="00671136"/>
    <w:rsid w:val="00675D16"/>
    <w:rsid w:val="00687D20"/>
    <w:rsid w:val="006A31DF"/>
    <w:rsid w:val="006D0967"/>
    <w:rsid w:val="006D549F"/>
    <w:rsid w:val="006E024F"/>
    <w:rsid w:val="006E4E81"/>
    <w:rsid w:val="00703B18"/>
    <w:rsid w:val="00707F7D"/>
    <w:rsid w:val="00717EC5"/>
    <w:rsid w:val="0072626E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B4B02"/>
    <w:rsid w:val="007C4721"/>
    <w:rsid w:val="007D5C36"/>
    <w:rsid w:val="007D5E80"/>
    <w:rsid w:val="007D7E4F"/>
    <w:rsid w:val="007E2A8E"/>
    <w:rsid w:val="007E622A"/>
    <w:rsid w:val="007F4AEB"/>
    <w:rsid w:val="007F75B2"/>
    <w:rsid w:val="008005E7"/>
    <w:rsid w:val="008043C4"/>
    <w:rsid w:val="0080519E"/>
    <w:rsid w:val="008108D7"/>
    <w:rsid w:val="00831B1B"/>
    <w:rsid w:val="00861D0E"/>
    <w:rsid w:val="00867569"/>
    <w:rsid w:val="00872B44"/>
    <w:rsid w:val="0087430C"/>
    <w:rsid w:val="00874373"/>
    <w:rsid w:val="008805CB"/>
    <w:rsid w:val="008811E6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902B29"/>
    <w:rsid w:val="009422F7"/>
    <w:rsid w:val="0094402F"/>
    <w:rsid w:val="00945E8F"/>
    <w:rsid w:val="00951C64"/>
    <w:rsid w:val="009668FF"/>
    <w:rsid w:val="00981088"/>
    <w:rsid w:val="00984C08"/>
    <w:rsid w:val="009A3E7F"/>
    <w:rsid w:val="009B55B1"/>
    <w:rsid w:val="009C2234"/>
    <w:rsid w:val="009D564B"/>
    <w:rsid w:val="009F74E0"/>
    <w:rsid w:val="00A00672"/>
    <w:rsid w:val="00A15D60"/>
    <w:rsid w:val="00A4343D"/>
    <w:rsid w:val="00A502F1"/>
    <w:rsid w:val="00A53C99"/>
    <w:rsid w:val="00A70A83"/>
    <w:rsid w:val="00A7391E"/>
    <w:rsid w:val="00A81EB3"/>
    <w:rsid w:val="00A8240F"/>
    <w:rsid w:val="00A842CF"/>
    <w:rsid w:val="00AD72DF"/>
    <w:rsid w:val="00AE1690"/>
    <w:rsid w:val="00AE3FCA"/>
    <w:rsid w:val="00AE6D5B"/>
    <w:rsid w:val="00B00C1D"/>
    <w:rsid w:val="00B03E21"/>
    <w:rsid w:val="00B1128D"/>
    <w:rsid w:val="00B125F1"/>
    <w:rsid w:val="00B129C9"/>
    <w:rsid w:val="00B2612C"/>
    <w:rsid w:val="00B40799"/>
    <w:rsid w:val="00B671D9"/>
    <w:rsid w:val="00B92E08"/>
    <w:rsid w:val="00B94694"/>
    <w:rsid w:val="00BA3D2F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3E2"/>
    <w:rsid w:val="00C77F4A"/>
    <w:rsid w:val="00C8406E"/>
    <w:rsid w:val="00CA7E45"/>
    <w:rsid w:val="00CB2709"/>
    <w:rsid w:val="00CB6F89"/>
    <w:rsid w:val="00CB7797"/>
    <w:rsid w:val="00CC7101"/>
    <w:rsid w:val="00CE228C"/>
    <w:rsid w:val="00CF4334"/>
    <w:rsid w:val="00CF545B"/>
    <w:rsid w:val="00D018F0"/>
    <w:rsid w:val="00D27074"/>
    <w:rsid w:val="00D27D69"/>
    <w:rsid w:val="00D27DEC"/>
    <w:rsid w:val="00D448C2"/>
    <w:rsid w:val="00D666C3"/>
    <w:rsid w:val="00D71A18"/>
    <w:rsid w:val="00D72D67"/>
    <w:rsid w:val="00D750D2"/>
    <w:rsid w:val="00D92D83"/>
    <w:rsid w:val="00DA093A"/>
    <w:rsid w:val="00DB058A"/>
    <w:rsid w:val="00DB3587"/>
    <w:rsid w:val="00DB517B"/>
    <w:rsid w:val="00DD7A17"/>
    <w:rsid w:val="00DE3F95"/>
    <w:rsid w:val="00DF47FE"/>
    <w:rsid w:val="00E2374E"/>
    <w:rsid w:val="00E26704"/>
    <w:rsid w:val="00E27C40"/>
    <w:rsid w:val="00E31980"/>
    <w:rsid w:val="00E563B6"/>
    <w:rsid w:val="00E6423C"/>
    <w:rsid w:val="00E676DA"/>
    <w:rsid w:val="00E861F9"/>
    <w:rsid w:val="00E93830"/>
    <w:rsid w:val="00E93E0E"/>
    <w:rsid w:val="00EA24D2"/>
    <w:rsid w:val="00EA2D8A"/>
    <w:rsid w:val="00EB1ED3"/>
    <w:rsid w:val="00EC2D51"/>
    <w:rsid w:val="00ED6BEA"/>
    <w:rsid w:val="00F12DFF"/>
    <w:rsid w:val="00F26395"/>
    <w:rsid w:val="00F310A4"/>
    <w:rsid w:val="00F43A6D"/>
    <w:rsid w:val="00F46F18"/>
    <w:rsid w:val="00F82157"/>
    <w:rsid w:val="00F82DB4"/>
    <w:rsid w:val="00FB000A"/>
    <w:rsid w:val="00FB005B"/>
    <w:rsid w:val="00FB687C"/>
    <w:rsid w:val="00FC4B25"/>
    <w:rsid w:val="00FC7194"/>
    <w:rsid w:val="00FD0903"/>
    <w:rsid w:val="00FD27EF"/>
    <w:rsid w:val="00FD28FA"/>
    <w:rsid w:val="00FD2BB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3FB76C3"/>
  <w15:docId w15:val="{A9FC5DEA-B3AA-4A21-A9A4-FA4D3B9C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D2B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2BB3"/>
    <w:rPr>
      <w:rFonts w:ascii="Calibri Light" w:hAnsi="Calibri Light" w:cs="Times New Roman"/>
      <w:i/>
      <w:iCs/>
      <w:color w:val="2E74B5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uiPriority w:val="99"/>
    <w:rsid w:val="006301DA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A0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603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41</cp:revision>
  <cp:lastPrinted>2021-06-14T14:25:00Z</cp:lastPrinted>
  <dcterms:created xsi:type="dcterms:W3CDTF">2019-06-25T06:23:00Z</dcterms:created>
  <dcterms:modified xsi:type="dcterms:W3CDTF">2021-06-14T14:47:00Z</dcterms:modified>
</cp:coreProperties>
</file>