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905"/>
        <w:gridCol w:w="5262"/>
        <w:gridCol w:w="1905"/>
      </w:tblGrid>
      <w:tr w:rsidR="00170630" w:rsidRPr="00170630" w:rsidTr="00170630">
        <w:trPr>
          <w:tblCellSpacing w:w="0" w:type="dxa"/>
        </w:trPr>
        <w:tc>
          <w:tcPr>
            <w:tcW w:w="1905" w:type="dxa"/>
            <w:hideMark/>
          </w:tcPr>
          <w:p w:rsidR="00170630" w:rsidRPr="00170630" w:rsidRDefault="00170630" w:rsidP="00170630">
            <w:pPr>
              <w:spacing w:after="0" w:line="240" w:lineRule="auto"/>
              <w:rPr>
                <w:rFonts w:ascii="Times New Roman" w:eastAsia="Times New Roman" w:hAnsi="Times New Roman" w:cs="Times New Roman"/>
                <w:sz w:val="24"/>
                <w:szCs w:val="24"/>
                <w:lang w:eastAsia="cs-CZ"/>
              </w:rPr>
            </w:pPr>
          </w:p>
        </w:tc>
        <w:tc>
          <w:tcPr>
            <w:tcW w:w="0" w:type="auto"/>
            <w:hideMark/>
          </w:tcPr>
          <w:p w:rsidR="00170630" w:rsidRPr="00170630" w:rsidRDefault="00170630" w:rsidP="00170630">
            <w:pPr>
              <w:spacing w:after="0" w:line="240" w:lineRule="auto"/>
              <w:rPr>
                <w:rFonts w:ascii="Times New Roman" w:eastAsia="Times New Roman" w:hAnsi="Times New Roman" w:cs="Times New Roman"/>
                <w:sz w:val="24"/>
                <w:szCs w:val="24"/>
                <w:lang w:eastAsia="cs-CZ"/>
              </w:rPr>
            </w:pPr>
          </w:p>
        </w:tc>
        <w:tc>
          <w:tcPr>
            <w:tcW w:w="1905" w:type="dxa"/>
            <w:hideMark/>
          </w:tcPr>
          <w:p w:rsidR="00170630" w:rsidRPr="00170630" w:rsidRDefault="00170630" w:rsidP="00170630">
            <w:pPr>
              <w:spacing w:after="0" w:line="240" w:lineRule="auto"/>
              <w:jc w:val="right"/>
              <w:rPr>
                <w:rFonts w:ascii="Times New Roman" w:eastAsia="Times New Roman" w:hAnsi="Times New Roman" w:cs="Times New Roman"/>
                <w:sz w:val="24"/>
                <w:szCs w:val="24"/>
                <w:lang w:eastAsia="cs-CZ"/>
              </w:rPr>
            </w:pPr>
          </w:p>
        </w:tc>
      </w:tr>
    </w:tbl>
    <w:p w:rsidR="00170630" w:rsidRPr="00544D77" w:rsidRDefault="00544D77" w:rsidP="00544D77">
      <w:pPr>
        <w:spacing w:before="30" w:after="30" w:line="240" w:lineRule="auto"/>
        <w:jc w:val="center"/>
        <w:rPr>
          <w:rFonts w:ascii="Arial" w:eastAsia="Times New Roman" w:hAnsi="Arial" w:cs="Arial"/>
          <w:b/>
          <w:sz w:val="40"/>
          <w:szCs w:val="40"/>
          <w:lang w:eastAsia="cs-CZ"/>
        </w:rPr>
      </w:pPr>
      <w:r w:rsidRPr="00544D77">
        <w:rPr>
          <w:rFonts w:ascii="Arial" w:eastAsia="Times New Roman" w:hAnsi="Arial" w:cs="Arial"/>
          <w:b/>
          <w:sz w:val="40"/>
          <w:szCs w:val="40"/>
          <w:lang w:eastAsia="cs-CZ"/>
        </w:rPr>
        <w:t>BUSINESS REGISTER QUALITY REPORT</w:t>
      </w:r>
    </w:p>
    <w:p w:rsidR="00170630" w:rsidRPr="00170630" w:rsidRDefault="00170630" w:rsidP="00170630">
      <w:pPr>
        <w:spacing w:before="30" w:after="30" w:line="240" w:lineRule="auto"/>
        <w:rPr>
          <w:rFonts w:ascii="Times New Roman" w:eastAsia="Times New Roman" w:hAnsi="Times New Roman" w:cs="Times New Roman"/>
          <w:lang w:eastAsia="cs-CZ"/>
        </w:rPr>
      </w:pPr>
    </w:p>
    <w:p w:rsidR="00170630" w:rsidRPr="00544D77" w:rsidRDefault="00544D77" w:rsidP="00E91291">
      <w:pPr>
        <w:spacing w:before="30" w:after="30" w:line="276" w:lineRule="auto"/>
        <w:rPr>
          <w:rFonts w:ascii="Arial" w:eastAsia="Times New Roman" w:hAnsi="Arial" w:cs="Arial"/>
          <w:sz w:val="20"/>
          <w:szCs w:val="20"/>
          <w:lang w:eastAsia="cs-CZ"/>
        </w:rPr>
      </w:pPr>
      <w:r w:rsidRPr="00544D77">
        <w:rPr>
          <w:rFonts w:ascii="Arial" w:eastAsia="Times New Roman" w:hAnsi="Arial" w:cs="Arial"/>
          <w:sz w:val="20"/>
          <w:szCs w:val="20"/>
          <w:lang w:eastAsia="cs-CZ"/>
        </w:rPr>
        <w:t xml:space="preserve">Business register quality report </w:t>
      </w:r>
      <w:r>
        <w:rPr>
          <w:rFonts w:ascii="Arial" w:eastAsia="Times New Roman" w:hAnsi="Arial" w:cs="Arial"/>
          <w:sz w:val="20"/>
          <w:szCs w:val="20"/>
          <w:lang w:eastAsia="cs-CZ"/>
        </w:rPr>
        <w:t xml:space="preserve">provides statistical users basic </w:t>
      </w:r>
      <w:r w:rsidR="00E91291">
        <w:rPr>
          <w:rFonts w:ascii="Arial" w:eastAsia="Times New Roman" w:hAnsi="Arial" w:cs="Arial"/>
          <w:sz w:val="20"/>
          <w:szCs w:val="20"/>
          <w:lang w:eastAsia="cs-CZ"/>
        </w:rPr>
        <w:t xml:space="preserve">information about the methodology, definitions and quality of outputs from the statistical business register in order to secure their better understanding and interpretability. It is based on </w:t>
      </w:r>
      <w:r w:rsidR="002B102D">
        <w:rPr>
          <w:rFonts w:ascii="Arial" w:eastAsia="Times New Roman" w:hAnsi="Arial" w:cs="Arial"/>
          <w:sz w:val="20"/>
          <w:szCs w:val="20"/>
          <w:lang w:eastAsia="cs-CZ"/>
        </w:rPr>
        <w:t>Eurostat`s metadata report that</w:t>
      </w:r>
      <w:r w:rsidR="00E91291">
        <w:rPr>
          <w:rFonts w:ascii="Arial" w:eastAsia="Times New Roman" w:hAnsi="Arial" w:cs="Arial"/>
          <w:sz w:val="20"/>
          <w:szCs w:val="20"/>
          <w:lang w:eastAsia="cs-CZ"/>
        </w:rPr>
        <w:t xml:space="preserve"> </w:t>
      </w:r>
      <w:proofErr w:type="gramStart"/>
      <w:r w:rsidR="00E91291">
        <w:rPr>
          <w:rFonts w:ascii="Arial" w:eastAsia="Times New Roman" w:hAnsi="Arial" w:cs="Arial"/>
          <w:sz w:val="20"/>
          <w:szCs w:val="20"/>
          <w:lang w:eastAsia="cs-CZ"/>
        </w:rPr>
        <w:t>is used</w:t>
      </w:r>
      <w:proofErr w:type="gramEnd"/>
      <w:r w:rsidR="00E91291">
        <w:rPr>
          <w:rFonts w:ascii="Arial" w:eastAsia="Times New Roman" w:hAnsi="Arial" w:cs="Arial"/>
          <w:sz w:val="20"/>
          <w:szCs w:val="20"/>
          <w:lang w:eastAsia="cs-CZ"/>
        </w:rPr>
        <w:t xml:space="preserve"> for the monitoring of compliance with relev</w:t>
      </w:r>
      <w:r w:rsidR="00582142">
        <w:rPr>
          <w:rFonts w:ascii="Arial" w:eastAsia="Times New Roman" w:hAnsi="Arial" w:cs="Arial"/>
          <w:sz w:val="20"/>
          <w:szCs w:val="20"/>
          <w:lang w:eastAsia="cs-CZ"/>
        </w:rPr>
        <w:t xml:space="preserve">ant European regulations and </w:t>
      </w:r>
      <w:hyperlink r:id="rId5" w:history="1">
        <w:r w:rsidR="00582142" w:rsidRPr="00582142">
          <w:rPr>
            <w:rStyle w:val="Hypertextovodkaz"/>
            <w:rFonts w:ascii="Arial" w:eastAsia="Times New Roman" w:hAnsi="Arial" w:cs="Arial"/>
            <w:sz w:val="20"/>
            <w:szCs w:val="20"/>
            <w:lang w:eastAsia="cs-CZ"/>
          </w:rPr>
          <w:t>European statistics</w:t>
        </w:r>
        <w:r w:rsidR="00E91291" w:rsidRPr="00582142">
          <w:rPr>
            <w:rStyle w:val="Hypertextovodkaz"/>
            <w:rFonts w:ascii="Arial" w:eastAsia="Times New Roman" w:hAnsi="Arial" w:cs="Arial"/>
            <w:sz w:val="20"/>
            <w:szCs w:val="20"/>
            <w:lang w:eastAsia="cs-CZ"/>
          </w:rPr>
          <w:t xml:space="preserve"> code of practice</w:t>
        </w:r>
      </w:hyperlink>
      <w:r w:rsidR="00E91291">
        <w:rPr>
          <w:rFonts w:ascii="Arial" w:eastAsia="Times New Roman" w:hAnsi="Arial" w:cs="Arial"/>
          <w:sz w:val="20"/>
          <w:szCs w:val="20"/>
          <w:lang w:eastAsia="cs-CZ"/>
        </w:rPr>
        <w:t xml:space="preserve">. </w:t>
      </w:r>
    </w:p>
    <w:p w:rsidR="00544D77" w:rsidRPr="00170630" w:rsidRDefault="00544D77" w:rsidP="00170630">
      <w:pPr>
        <w:spacing w:before="30" w:after="30" w:line="240" w:lineRule="auto"/>
        <w:rPr>
          <w:rFonts w:ascii="Times New Roman" w:eastAsia="Times New Roman" w:hAnsi="Times New Roman" w:cs="Times New Roman"/>
          <w:lang w:eastAsia="cs-CZ"/>
        </w:rPr>
      </w:pPr>
      <w:bookmarkStart w:id="0" w:name="contact1651497095067"/>
      <w:bookmarkStart w:id="1" w:name="contact"/>
      <w:bookmarkEnd w:id="0"/>
      <w:bookmarkEnd w:id="1"/>
    </w:p>
    <w:tbl>
      <w:tblPr>
        <w:tblW w:w="4950" w:type="pct"/>
        <w:tblCellMar>
          <w:left w:w="0" w:type="dxa"/>
          <w:right w:w="0" w:type="dxa"/>
        </w:tblCellMar>
        <w:tblLook w:val="04A0" w:firstRow="1" w:lastRow="0" w:firstColumn="1" w:lastColumn="0" w:noHBand="0" w:noVBand="1"/>
      </w:tblPr>
      <w:tblGrid>
        <w:gridCol w:w="3090"/>
        <w:gridCol w:w="5871"/>
      </w:tblGrid>
      <w:tr w:rsidR="00170630" w:rsidRPr="00170630" w:rsidTr="00170630">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3938" w:type="pct"/>
              <w:tblCellSpacing w:w="0" w:type="dxa"/>
              <w:tblCellMar>
                <w:left w:w="0" w:type="dxa"/>
                <w:right w:w="0" w:type="dxa"/>
              </w:tblCellMar>
              <w:tblLook w:val="04A0" w:firstRow="1" w:lastRow="0" w:firstColumn="1" w:lastColumn="0" w:noHBand="0" w:noVBand="1"/>
            </w:tblPr>
            <w:tblGrid>
              <w:gridCol w:w="6854"/>
            </w:tblGrid>
            <w:tr w:rsidR="002832E0" w:rsidRPr="00170630" w:rsidTr="002832E0">
              <w:trPr>
                <w:tblCellSpacing w:w="0" w:type="dxa"/>
              </w:trPr>
              <w:tc>
                <w:tcPr>
                  <w:tcW w:w="0" w:type="auto"/>
                  <w:vAlign w:val="center"/>
                  <w:hideMark/>
                </w:tcPr>
                <w:p w:rsidR="002832E0" w:rsidRPr="00170630" w:rsidRDefault="002832E0" w:rsidP="00170630">
                  <w:pPr>
                    <w:spacing w:after="0" w:line="240" w:lineRule="auto"/>
                    <w:rPr>
                      <w:rFonts w:ascii="Times New Roman" w:eastAsia="Times New Roman" w:hAnsi="Times New Roman" w:cs="Times New Roman"/>
                      <w:b/>
                      <w:bCs/>
                      <w:sz w:val="32"/>
                      <w:szCs w:val="32"/>
                      <w:lang w:eastAsia="cs-CZ"/>
                    </w:rPr>
                  </w:pPr>
                  <w:bookmarkStart w:id="2" w:name="meta_update1651497095067"/>
                  <w:bookmarkStart w:id="3" w:name="meta_update"/>
                  <w:bookmarkStart w:id="4" w:name="_GoBack"/>
                  <w:bookmarkEnd w:id="2"/>
                  <w:bookmarkEnd w:id="3"/>
                  <w:bookmarkEnd w:id="4"/>
                  <w:r>
                    <w:rPr>
                      <w:rFonts w:ascii="Times New Roman" w:eastAsia="Times New Roman" w:hAnsi="Times New Roman" w:cs="Times New Roman"/>
                      <w:b/>
                      <w:bCs/>
                      <w:sz w:val="32"/>
                      <w:szCs w:val="32"/>
                      <w:lang w:eastAsia="cs-CZ"/>
                    </w:rPr>
                    <w:t>1. U</w:t>
                  </w:r>
                  <w:r w:rsidRPr="00170630">
                    <w:rPr>
                      <w:rFonts w:ascii="Times New Roman" w:eastAsia="Times New Roman" w:hAnsi="Times New Roman" w:cs="Times New Roman"/>
                      <w:b/>
                      <w:bCs/>
                      <w:sz w:val="32"/>
                      <w:szCs w:val="32"/>
                      <w:lang w:eastAsia="cs-CZ"/>
                    </w:rPr>
                    <w:t>pdate</w:t>
                  </w:r>
                </w:p>
              </w:tc>
            </w:tr>
          </w:tbl>
          <w:p w:rsidR="00170630" w:rsidRPr="00170630" w:rsidRDefault="00170630" w:rsidP="00170630">
            <w:pPr>
              <w:spacing w:after="0" w:line="240" w:lineRule="auto"/>
              <w:rPr>
                <w:rFonts w:ascii="Times New Roman" w:eastAsia="Times New Roman" w:hAnsi="Times New Roman" w:cs="Times New Roman"/>
                <w:b/>
                <w:bCs/>
                <w:color w:val="000000"/>
                <w:sz w:val="32"/>
                <w:szCs w:val="32"/>
                <w:lang w:eastAsia="cs-CZ"/>
              </w:rPr>
            </w:pPr>
          </w:p>
        </w:tc>
      </w:tr>
      <w:tr w:rsidR="00170630" w:rsidRPr="00170630" w:rsidTr="00170630">
        <w:trPr>
          <w:trHeight w:val="300"/>
        </w:trPr>
        <w:tc>
          <w:tcPr>
            <w:tcW w:w="3090" w:type="dxa"/>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170630" w:rsidP="00170630">
            <w:pPr>
              <w:spacing w:after="0" w:line="240" w:lineRule="auto"/>
              <w:rPr>
                <w:rFonts w:ascii="Times New Roman" w:eastAsia="Times New Roman" w:hAnsi="Times New Roman" w:cs="Times New Roman"/>
                <w:b/>
                <w:bCs/>
                <w:lang w:eastAsia="cs-CZ"/>
              </w:rPr>
            </w:pPr>
            <w:bookmarkStart w:id="5" w:name="meta_certified"/>
            <w:bookmarkEnd w:id="5"/>
            <w:r w:rsidRPr="00170630">
              <w:rPr>
                <w:rFonts w:ascii="Times New Roman" w:eastAsia="Times New Roman" w:hAnsi="Times New Roman" w:cs="Times New Roman"/>
                <w:b/>
                <w:bCs/>
                <w:lang w:eastAsia="cs-CZ"/>
              </w:rPr>
              <w:t>2.1. Metadata last certified</w:t>
            </w:r>
          </w:p>
        </w:tc>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2832E0" w:rsidP="00170630">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01/12</w:t>
            </w:r>
            <w:r w:rsidR="00170630" w:rsidRPr="00170630">
              <w:rPr>
                <w:rFonts w:ascii="Times New Roman" w:eastAsia="Times New Roman" w:hAnsi="Times New Roman" w:cs="Times New Roman"/>
                <w:lang w:eastAsia="cs-CZ"/>
              </w:rPr>
              <w:t>/2022</w:t>
            </w:r>
          </w:p>
        </w:tc>
      </w:tr>
      <w:tr w:rsidR="00170630" w:rsidRPr="00170630" w:rsidTr="00170630">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170630" w:rsidP="00170630">
            <w:pPr>
              <w:spacing w:after="0" w:line="240" w:lineRule="auto"/>
              <w:rPr>
                <w:rFonts w:ascii="Times New Roman" w:eastAsia="Times New Roman" w:hAnsi="Times New Roman" w:cs="Times New Roman"/>
                <w:b/>
                <w:bCs/>
                <w:lang w:eastAsia="cs-CZ"/>
              </w:rPr>
            </w:pPr>
            <w:bookmarkStart w:id="6" w:name="meta_posted"/>
            <w:bookmarkEnd w:id="6"/>
            <w:r w:rsidRPr="00170630">
              <w:rPr>
                <w:rFonts w:ascii="Times New Roman" w:eastAsia="Times New Roman" w:hAnsi="Times New Roman" w:cs="Times New Roman"/>
                <w:b/>
                <w:bCs/>
                <w:lang w:eastAsia="cs-CZ"/>
              </w:rPr>
              <w:t>2.2. Metadata last posted</w:t>
            </w:r>
          </w:p>
        </w:tc>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after="0" w:line="240" w:lineRule="auto"/>
              <w:rPr>
                <w:rFonts w:ascii="Times New Roman" w:eastAsia="Times New Roman" w:hAnsi="Times New Roman" w:cs="Times New Roman"/>
                <w:b/>
                <w:bCs/>
                <w:lang w:eastAsia="cs-CZ"/>
              </w:rPr>
            </w:pPr>
          </w:p>
        </w:tc>
      </w:tr>
      <w:tr w:rsidR="00170630" w:rsidRPr="00170630" w:rsidTr="00170630">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170630" w:rsidP="00170630">
            <w:pPr>
              <w:spacing w:after="0" w:line="240" w:lineRule="auto"/>
              <w:rPr>
                <w:rFonts w:ascii="Times New Roman" w:eastAsia="Times New Roman" w:hAnsi="Times New Roman" w:cs="Times New Roman"/>
                <w:b/>
                <w:bCs/>
                <w:lang w:eastAsia="cs-CZ"/>
              </w:rPr>
            </w:pPr>
            <w:bookmarkStart w:id="7" w:name="meta_last_update"/>
            <w:bookmarkEnd w:id="7"/>
            <w:r w:rsidRPr="00170630">
              <w:rPr>
                <w:rFonts w:ascii="Times New Roman" w:eastAsia="Times New Roman" w:hAnsi="Times New Roman" w:cs="Times New Roman"/>
                <w:b/>
                <w:bCs/>
                <w:lang w:eastAsia="cs-CZ"/>
              </w:rPr>
              <w:t>2.3. Metadata last update</w:t>
            </w:r>
          </w:p>
        </w:tc>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2832E0" w:rsidP="00170630">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01/12</w:t>
            </w:r>
            <w:r w:rsidR="00170630" w:rsidRPr="00170630">
              <w:rPr>
                <w:rFonts w:ascii="Times New Roman" w:eastAsia="Times New Roman" w:hAnsi="Times New Roman" w:cs="Times New Roman"/>
                <w:lang w:eastAsia="cs-CZ"/>
              </w:rPr>
              <w:t>/2022</w:t>
            </w:r>
          </w:p>
        </w:tc>
      </w:tr>
    </w:tbl>
    <w:p w:rsidR="00170630" w:rsidRPr="00170630" w:rsidRDefault="00170630" w:rsidP="00170630">
      <w:pPr>
        <w:spacing w:before="30" w:after="30" w:line="240" w:lineRule="auto"/>
        <w:rPr>
          <w:rFonts w:ascii="Times New Roman" w:eastAsia="Times New Roman" w:hAnsi="Times New Roman" w:cs="Times New Roman"/>
          <w:lang w:eastAsia="cs-CZ"/>
        </w:rPr>
      </w:pPr>
    </w:p>
    <w:tbl>
      <w:tblPr>
        <w:tblW w:w="4952" w:type="pct"/>
        <w:tblCellMar>
          <w:left w:w="0" w:type="dxa"/>
          <w:right w:w="0" w:type="dxa"/>
        </w:tblCellMar>
        <w:tblLook w:val="04A0" w:firstRow="1" w:lastRow="0" w:firstColumn="1" w:lastColumn="0" w:noHBand="0" w:noVBand="1"/>
      </w:tblPr>
      <w:tblGrid>
        <w:gridCol w:w="8945"/>
        <w:gridCol w:w="20"/>
      </w:tblGrid>
      <w:tr w:rsidR="00170630" w:rsidRPr="00170630" w:rsidTr="00130234">
        <w:trPr>
          <w:gridAfter w:val="1"/>
          <w:wAfter w:w="11" w:type="pct"/>
        </w:trPr>
        <w:tc>
          <w:tcPr>
            <w:tcW w:w="4989" w:type="pct"/>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8672"/>
              <w:gridCol w:w="15"/>
            </w:tblGrid>
            <w:tr w:rsidR="00170630" w:rsidRPr="00170630">
              <w:trPr>
                <w:tblCellSpacing w:w="0" w:type="dxa"/>
              </w:trPr>
              <w:tc>
                <w:tcPr>
                  <w:tcW w:w="0" w:type="auto"/>
                  <w:vAlign w:val="center"/>
                  <w:hideMark/>
                </w:tcPr>
                <w:p w:rsidR="00170630" w:rsidRPr="00170630" w:rsidRDefault="00E91291" w:rsidP="00170630">
                  <w:pPr>
                    <w:spacing w:after="0" w:line="240" w:lineRule="auto"/>
                    <w:rPr>
                      <w:rFonts w:ascii="Times New Roman" w:eastAsia="Times New Roman" w:hAnsi="Times New Roman" w:cs="Times New Roman"/>
                      <w:b/>
                      <w:bCs/>
                      <w:sz w:val="32"/>
                      <w:szCs w:val="32"/>
                      <w:lang w:eastAsia="cs-CZ"/>
                    </w:rPr>
                  </w:pPr>
                  <w:bookmarkStart w:id="8" w:name="stat_pres1651497095067"/>
                  <w:bookmarkStart w:id="9" w:name="stat_pres"/>
                  <w:bookmarkEnd w:id="8"/>
                  <w:bookmarkEnd w:id="9"/>
                  <w:r>
                    <w:rPr>
                      <w:rFonts w:ascii="Times New Roman" w:eastAsia="Times New Roman" w:hAnsi="Times New Roman" w:cs="Times New Roman"/>
                      <w:b/>
                      <w:bCs/>
                      <w:sz w:val="32"/>
                      <w:szCs w:val="32"/>
                      <w:lang w:eastAsia="cs-CZ"/>
                    </w:rPr>
                    <w:t>2</w:t>
                  </w:r>
                  <w:r w:rsidR="00170630" w:rsidRPr="00170630">
                    <w:rPr>
                      <w:rFonts w:ascii="Times New Roman" w:eastAsia="Times New Roman" w:hAnsi="Times New Roman" w:cs="Times New Roman"/>
                      <w:b/>
                      <w:bCs/>
                      <w:sz w:val="32"/>
                      <w:szCs w:val="32"/>
                      <w:lang w:eastAsia="cs-CZ"/>
                    </w:rPr>
                    <w:t>. Statistical presentation</w:t>
                  </w:r>
                </w:p>
              </w:tc>
              <w:tc>
                <w:tcPr>
                  <w:tcW w:w="0" w:type="auto"/>
                  <w:vAlign w:val="center"/>
                  <w:hideMark/>
                </w:tcPr>
                <w:p w:rsidR="00170630" w:rsidRPr="00170630" w:rsidRDefault="00170630" w:rsidP="00170630">
                  <w:pPr>
                    <w:spacing w:after="0" w:line="240" w:lineRule="auto"/>
                    <w:jc w:val="right"/>
                    <w:rPr>
                      <w:rFonts w:ascii="Times New Roman" w:eastAsia="Times New Roman" w:hAnsi="Times New Roman" w:cs="Times New Roman"/>
                      <w:sz w:val="24"/>
                      <w:szCs w:val="24"/>
                      <w:lang w:eastAsia="cs-CZ"/>
                    </w:rPr>
                  </w:pPr>
                </w:p>
              </w:tc>
            </w:tr>
          </w:tbl>
          <w:p w:rsidR="00170630" w:rsidRPr="00170630" w:rsidRDefault="00170630" w:rsidP="00170630">
            <w:pPr>
              <w:spacing w:after="0" w:line="240" w:lineRule="auto"/>
              <w:rPr>
                <w:rFonts w:ascii="Times New Roman" w:eastAsia="Times New Roman" w:hAnsi="Times New Roman" w:cs="Times New Roman"/>
                <w:b/>
                <w:bCs/>
                <w:color w:val="000000"/>
                <w:sz w:val="32"/>
                <w:szCs w:val="32"/>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E91291" w:rsidP="00170630">
            <w:pPr>
              <w:spacing w:after="0" w:line="240" w:lineRule="auto"/>
              <w:rPr>
                <w:rFonts w:ascii="Times New Roman" w:eastAsia="Times New Roman" w:hAnsi="Times New Roman" w:cs="Times New Roman"/>
                <w:b/>
                <w:bCs/>
                <w:lang w:eastAsia="cs-CZ"/>
              </w:rPr>
            </w:pPr>
            <w:bookmarkStart w:id="10" w:name="data_descr"/>
            <w:bookmarkEnd w:id="10"/>
            <w:r>
              <w:rPr>
                <w:rFonts w:ascii="Times New Roman" w:eastAsia="Times New Roman" w:hAnsi="Times New Roman" w:cs="Times New Roman"/>
                <w:b/>
                <w:bCs/>
                <w:lang w:eastAsia="cs-CZ"/>
              </w:rPr>
              <w:t>2</w:t>
            </w:r>
            <w:r w:rsidR="00170630" w:rsidRPr="00170630">
              <w:rPr>
                <w:rFonts w:ascii="Times New Roman" w:eastAsia="Times New Roman" w:hAnsi="Times New Roman" w:cs="Times New Roman"/>
                <w:b/>
                <w:bCs/>
                <w:lang w:eastAsia="cs-CZ"/>
              </w:rPr>
              <w:t>.1. Data description</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 xml:space="preserve">The statistical business registers (SBR) are basic infrastructure for the collection and compilation of data for European business statistics. The SBR </w:t>
            </w:r>
            <w:proofErr w:type="gramStart"/>
            <w:r w:rsidRPr="00170630">
              <w:rPr>
                <w:rFonts w:ascii="Times New Roman" w:eastAsia="Times New Roman" w:hAnsi="Times New Roman" w:cs="Times New Roman"/>
                <w:lang w:eastAsia="cs-CZ"/>
              </w:rPr>
              <w:t>are used</w:t>
            </w:r>
            <w:proofErr w:type="gramEnd"/>
            <w:r w:rsidRPr="00170630">
              <w:rPr>
                <w:rFonts w:ascii="Times New Roman" w:eastAsia="Times New Roman" w:hAnsi="Times New Roman" w:cs="Times New Roman"/>
                <w:lang w:eastAsia="cs-CZ"/>
              </w:rPr>
              <w:t xml:space="preserve"> as the main source of information for statistical analysis of the business population and its demography, for the definition of the survey population and for establishing the link to administrative data sources.</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European statistical business registers should become an authoritative sources for deriving harmonised frame populations for the production of European business statistics. SBR contribute to the achievement of consistent and comparable business statistics by creating and using coordinated populations of statistical units</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national statistical business registers</w:t>
            </w:r>
            <w:r w:rsidRPr="00170630">
              <w:rPr>
                <w:rFonts w:ascii="Times New Roman" w:eastAsia="Times New Roman" w:hAnsi="Times New Roman" w:cs="Times New Roman"/>
                <w:b/>
                <w:bCs/>
                <w:lang w:eastAsia="cs-CZ"/>
              </w:rPr>
              <w:t> </w:t>
            </w:r>
            <w:r w:rsidRPr="00170630">
              <w:rPr>
                <w:rFonts w:ascii="Times New Roman" w:eastAsia="Times New Roman" w:hAnsi="Times New Roman" w:cs="Times New Roman"/>
                <w:lang w:eastAsia="cs-CZ"/>
              </w:rPr>
              <w:t>include information on the active population of:</w:t>
            </w:r>
          </w:p>
          <w:p w:rsidR="00170630" w:rsidRPr="00170630" w:rsidRDefault="00170630" w:rsidP="00170630">
            <w:pPr>
              <w:numPr>
                <w:ilvl w:val="0"/>
                <w:numId w:val="1"/>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all enterprises carrying out economic activities contributing to the gross domestic product (GDP) and their local units;</w:t>
            </w:r>
          </w:p>
          <w:p w:rsidR="00170630" w:rsidRPr="00170630" w:rsidRDefault="00170630" w:rsidP="00170630">
            <w:pPr>
              <w:numPr>
                <w:ilvl w:val="0"/>
                <w:numId w:val="1"/>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legal units of which those enterprises consist;</w:t>
            </w:r>
          </w:p>
          <w:p w:rsidR="00170630" w:rsidRPr="00170630" w:rsidRDefault="00170630" w:rsidP="00170630">
            <w:pPr>
              <w:numPr>
                <w:ilvl w:val="0"/>
                <w:numId w:val="1"/>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kind of activity unit for those enterprises which due to their size have a significant influence and whose kind-of-activity units (KAUs) have a significant influence on the aggregated (national) data;</w:t>
            </w:r>
          </w:p>
          <w:p w:rsidR="00170630" w:rsidRPr="00170630" w:rsidRDefault="00170630" w:rsidP="00170630">
            <w:pPr>
              <w:numPr>
                <w:ilvl w:val="0"/>
                <w:numId w:val="1"/>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enterprise groups to which those enterprises belong.</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Households shall not fall within the scope of the European framework for statistical business registers insofar as the goods and services they produce are destined to their own consumption, or involve letting out of own property.</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Local units of foreign enterprises not constituting separate legal entities (branches), and classified as quasi- corporations in accordance with Regulation (EU) No 549/2013, shall be deemed to be enterprises for the purposes of the national statistical business registers and the EuroGroups Register.</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Enterprise groups shall be identified through the links of control between their legal units in accordance with Regulation (EU) No 549/2013.</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 </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main variables recorded in the statistical business registers are the following:</w:t>
            </w:r>
          </w:p>
          <w:p w:rsidR="00170630" w:rsidRPr="00170630" w:rsidRDefault="00170630" w:rsidP="00170630">
            <w:pPr>
              <w:numPr>
                <w:ilvl w:val="0"/>
                <w:numId w:val="2"/>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Identification variables: identification number, name, address;</w:t>
            </w:r>
          </w:p>
          <w:p w:rsidR="00170630" w:rsidRPr="00170630" w:rsidRDefault="00170630" w:rsidP="00170630">
            <w:pPr>
              <w:numPr>
                <w:ilvl w:val="0"/>
                <w:numId w:val="2"/>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Demographic events: date of commencement/cessation of the unit;</w:t>
            </w:r>
          </w:p>
          <w:p w:rsidR="00170630" w:rsidRPr="00170630" w:rsidRDefault="00170630" w:rsidP="00170630">
            <w:pPr>
              <w:numPr>
                <w:ilvl w:val="0"/>
                <w:numId w:val="2"/>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Economic variables/stratification parameters: economic activity (NACE), employment, turnover, legal form, legal activity status;</w:t>
            </w:r>
          </w:p>
          <w:p w:rsidR="00170630" w:rsidRPr="00170630" w:rsidRDefault="00170630" w:rsidP="00170630">
            <w:pPr>
              <w:numPr>
                <w:ilvl w:val="0"/>
                <w:numId w:val="2"/>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lastRenderedPageBreak/>
              <w:t>Information on control and ownership of units: parent/subsidiary legal unit, minority shareholder information, country of global decision centre;</w:t>
            </w:r>
          </w:p>
          <w:p w:rsidR="00170630" w:rsidRPr="00170630" w:rsidRDefault="00170630" w:rsidP="00170630">
            <w:pPr>
              <w:numPr>
                <w:ilvl w:val="0"/>
                <w:numId w:val="2"/>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Information on demographic events (mergers, activity status);</w:t>
            </w:r>
          </w:p>
          <w:p w:rsidR="00170630" w:rsidRPr="002B102D" w:rsidRDefault="00170630" w:rsidP="002B102D">
            <w:pPr>
              <w:numPr>
                <w:ilvl w:val="0"/>
                <w:numId w:val="2"/>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Institutional sector according ESA. </w:t>
            </w:r>
            <w:r w:rsidRPr="002B102D">
              <w:rPr>
                <w:rFonts w:ascii="Times New Roman" w:eastAsia="Times New Roman" w:hAnsi="Times New Roman" w:cs="Times New Roman"/>
                <w:lang w:eastAsia="cs-CZ"/>
              </w:rPr>
              <w:t> </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E91291" w:rsidP="00170630">
            <w:pPr>
              <w:spacing w:after="0" w:line="240" w:lineRule="auto"/>
              <w:rPr>
                <w:rFonts w:ascii="Times New Roman" w:eastAsia="Times New Roman" w:hAnsi="Times New Roman" w:cs="Times New Roman"/>
                <w:b/>
                <w:bCs/>
                <w:lang w:eastAsia="cs-CZ"/>
              </w:rPr>
            </w:pPr>
            <w:bookmarkStart w:id="11" w:name="class_system"/>
            <w:bookmarkEnd w:id="11"/>
            <w:r>
              <w:rPr>
                <w:rFonts w:ascii="Times New Roman" w:eastAsia="Times New Roman" w:hAnsi="Times New Roman" w:cs="Times New Roman"/>
                <w:b/>
                <w:bCs/>
                <w:lang w:eastAsia="cs-CZ"/>
              </w:rPr>
              <w:t>2</w:t>
            </w:r>
            <w:r w:rsidR="00170630" w:rsidRPr="00170630">
              <w:rPr>
                <w:rFonts w:ascii="Times New Roman" w:eastAsia="Times New Roman" w:hAnsi="Times New Roman" w:cs="Times New Roman"/>
                <w:b/>
                <w:bCs/>
                <w:lang w:eastAsia="cs-CZ"/>
              </w:rPr>
              <w:t xml:space="preserve">.2. Classification </w:t>
            </w:r>
            <w:r w:rsidR="00940951">
              <w:rPr>
                <w:rFonts w:ascii="Times New Roman" w:eastAsia="Times New Roman" w:hAnsi="Times New Roman" w:cs="Times New Roman"/>
                <w:b/>
                <w:bCs/>
                <w:lang w:eastAsia="cs-CZ"/>
              </w:rPr>
              <w:t>system</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Classification systems and code lists used in the national statistical business register are as follows:</w:t>
            </w:r>
          </w:p>
          <w:p w:rsidR="00170630" w:rsidRPr="00170630" w:rsidRDefault="00170630" w:rsidP="00170630">
            <w:pPr>
              <w:numPr>
                <w:ilvl w:val="0"/>
                <w:numId w:val="3"/>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Statistical classification of economic activities in the European Community (</w:t>
            </w:r>
            <w:hyperlink r:id="rId6" w:history="1">
              <w:r w:rsidRPr="00170630">
                <w:rPr>
                  <w:rFonts w:ascii="Times New Roman" w:eastAsia="Times New Roman" w:hAnsi="Times New Roman" w:cs="Times New Roman"/>
                  <w:color w:val="0F4BA0"/>
                  <w:u w:val="single"/>
                  <w:lang w:eastAsia="cs-CZ"/>
                </w:rPr>
                <w:t>NACE Rev. 2</w:t>
              </w:r>
            </w:hyperlink>
            <w:r w:rsidRPr="00170630">
              <w:rPr>
                <w:rFonts w:ascii="Times New Roman" w:eastAsia="Times New Roman" w:hAnsi="Times New Roman" w:cs="Times New Roman"/>
                <w:lang w:eastAsia="cs-CZ"/>
              </w:rPr>
              <w:t>);</w:t>
            </w:r>
          </w:p>
          <w:p w:rsidR="00170630" w:rsidRPr="00170630" w:rsidRDefault="00170630" w:rsidP="00170630">
            <w:pPr>
              <w:numPr>
                <w:ilvl w:val="0"/>
                <w:numId w:val="3"/>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European System of Accounts (</w:t>
            </w:r>
            <w:hyperlink r:id="rId7" w:history="1">
              <w:r w:rsidRPr="00170630">
                <w:rPr>
                  <w:rFonts w:ascii="Times New Roman" w:eastAsia="Times New Roman" w:hAnsi="Times New Roman" w:cs="Times New Roman"/>
                  <w:color w:val="0F4BA0"/>
                  <w:u w:val="single"/>
                  <w:lang w:eastAsia="cs-CZ"/>
                </w:rPr>
                <w:t>ESA 2010</w:t>
              </w:r>
            </w:hyperlink>
            <w:r w:rsidRPr="00170630">
              <w:rPr>
                <w:rFonts w:ascii="Times New Roman" w:eastAsia="Times New Roman" w:hAnsi="Times New Roman" w:cs="Times New Roman"/>
                <w:lang w:eastAsia="cs-CZ"/>
              </w:rPr>
              <w:t>);</w:t>
            </w:r>
          </w:p>
          <w:p w:rsidR="00170630" w:rsidRPr="00170630" w:rsidRDefault="00170630" w:rsidP="00170630">
            <w:pPr>
              <w:numPr>
                <w:ilvl w:val="0"/>
                <w:numId w:val="3"/>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Nomenclature of territorial units for statistics (</w:t>
            </w:r>
            <w:hyperlink r:id="rId8" w:history="1">
              <w:r w:rsidRPr="00170630">
                <w:rPr>
                  <w:rFonts w:ascii="Times New Roman" w:eastAsia="Times New Roman" w:hAnsi="Times New Roman" w:cs="Times New Roman"/>
                  <w:color w:val="0F4BA0"/>
                  <w:u w:val="single"/>
                  <w:lang w:eastAsia="cs-CZ"/>
                </w:rPr>
                <w:t>NUTS</w:t>
              </w:r>
            </w:hyperlink>
            <w:r w:rsidRPr="00170630">
              <w:rPr>
                <w:rFonts w:ascii="Times New Roman" w:eastAsia="Times New Roman" w:hAnsi="Times New Roman" w:cs="Times New Roman"/>
                <w:lang w:eastAsia="cs-CZ"/>
              </w:rPr>
              <w:t>);</w:t>
            </w:r>
          </w:p>
          <w:p w:rsidR="00170630" w:rsidRPr="00170630" w:rsidRDefault="00170630" w:rsidP="00170630">
            <w:pPr>
              <w:numPr>
                <w:ilvl w:val="0"/>
                <w:numId w:val="3"/>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National nomenclature of legal forms (</w:t>
            </w:r>
            <w:hyperlink r:id="rId9" w:history="1">
              <w:r w:rsidRPr="00170630">
                <w:rPr>
                  <w:rFonts w:ascii="Times New Roman" w:eastAsia="Times New Roman" w:hAnsi="Times New Roman" w:cs="Times New Roman"/>
                  <w:color w:val="0F4BA0"/>
                  <w:u w:val="single"/>
                  <w:lang w:eastAsia="cs-CZ"/>
                </w:rPr>
                <w:t>FORMA</w:t>
              </w:r>
            </w:hyperlink>
            <w:r w:rsidRPr="00170630">
              <w:rPr>
                <w:rFonts w:ascii="Times New Roman" w:eastAsia="Times New Roman" w:hAnsi="Times New Roman" w:cs="Times New Roman"/>
                <w:lang w:eastAsia="cs-CZ"/>
              </w:rPr>
              <w:t>);</w:t>
            </w:r>
          </w:p>
          <w:p w:rsidR="00170630" w:rsidRPr="00170630" w:rsidRDefault="00170630" w:rsidP="00170630">
            <w:pPr>
              <w:numPr>
                <w:ilvl w:val="0"/>
                <w:numId w:val="3"/>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Nomenclature of countries (</w:t>
            </w:r>
            <w:hyperlink r:id="rId10" w:history="1">
              <w:r w:rsidRPr="00170630">
                <w:rPr>
                  <w:rFonts w:ascii="Times New Roman" w:eastAsia="Times New Roman" w:hAnsi="Times New Roman" w:cs="Times New Roman"/>
                  <w:color w:val="0F4BA0"/>
                  <w:u w:val="single"/>
                  <w:lang w:eastAsia="cs-CZ"/>
                </w:rPr>
                <w:t>CZEM</w:t>
              </w:r>
            </w:hyperlink>
            <w:r w:rsidRPr="00170630">
              <w:rPr>
                <w:rFonts w:ascii="Times New Roman" w:eastAsia="Times New Roman" w:hAnsi="Times New Roman" w:cs="Times New Roman"/>
                <w:lang w:eastAsia="cs-CZ"/>
              </w:rPr>
              <w:t>)</w:t>
            </w:r>
          </w:p>
          <w:p w:rsidR="00170630" w:rsidRPr="00170630" w:rsidRDefault="00170630" w:rsidP="00170630">
            <w:pPr>
              <w:numPr>
                <w:ilvl w:val="0"/>
                <w:numId w:val="3"/>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Employee size classification (</w:t>
            </w:r>
            <w:hyperlink r:id="rId11" w:history="1">
              <w:r w:rsidRPr="00170630">
                <w:rPr>
                  <w:rFonts w:ascii="Times New Roman" w:eastAsia="Times New Roman" w:hAnsi="Times New Roman" w:cs="Times New Roman"/>
                  <w:color w:val="0F4BA0"/>
                  <w:u w:val="single"/>
                  <w:lang w:eastAsia="cs-CZ"/>
                </w:rPr>
                <w:t>KATPOECD</w:t>
              </w:r>
            </w:hyperlink>
            <w:r w:rsidRPr="00170630">
              <w:rPr>
                <w:rFonts w:ascii="Times New Roman" w:eastAsia="Times New Roman" w:hAnsi="Times New Roman" w:cs="Times New Roman"/>
                <w:lang w:eastAsia="cs-CZ"/>
              </w:rPr>
              <w:t>)</w:t>
            </w:r>
          </w:p>
          <w:p w:rsidR="00170630" w:rsidRPr="00170630" w:rsidRDefault="00170630" w:rsidP="00170630">
            <w:pPr>
              <w:numPr>
                <w:ilvl w:val="0"/>
                <w:numId w:val="3"/>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Turnover size classification (see Annex I)</w:t>
            </w:r>
          </w:p>
          <w:p w:rsidR="00170630" w:rsidRPr="00170630" w:rsidRDefault="00170630" w:rsidP="00170630">
            <w:pPr>
              <w:numPr>
                <w:ilvl w:val="0"/>
                <w:numId w:val="3"/>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Asset size classification (see Annex IIa)</w:t>
            </w:r>
          </w:p>
          <w:p w:rsidR="00170630" w:rsidRPr="00170630" w:rsidRDefault="00170630" w:rsidP="00170630">
            <w:pPr>
              <w:numPr>
                <w:ilvl w:val="0"/>
                <w:numId w:val="3"/>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Persons employed size classification (see Annex IVa) - only in Czech</w:t>
            </w:r>
          </w:p>
          <w:p w:rsidR="00170630" w:rsidRPr="00170630" w:rsidRDefault="00170630" w:rsidP="00170630">
            <w:pPr>
              <w:numPr>
                <w:ilvl w:val="0"/>
                <w:numId w:val="3"/>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Classification of the Purposes of (Private) Non-Profit Institutions serving Households (</w:t>
            </w:r>
            <w:hyperlink r:id="rId12" w:history="1">
              <w:r w:rsidRPr="00170630">
                <w:rPr>
                  <w:rFonts w:ascii="Times New Roman" w:eastAsia="Times New Roman" w:hAnsi="Times New Roman" w:cs="Times New Roman"/>
                  <w:color w:val="0F4BA0"/>
                  <w:u w:val="single"/>
                  <w:lang w:eastAsia="cs-CZ"/>
                </w:rPr>
                <w:t>CZ-COPNI</w:t>
              </w:r>
            </w:hyperlink>
            <w:r w:rsidRPr="00170630">
              <w:rPr>
                <w:rFonts w:ascii="Times New Roman" w:eastAsia="Times New Roman" w:hAnsi="Times New Roman" w:cs="Times New Roman"/>
                <w:lang w:eastAsia="cs-CZ"/>
              </w:rPr>
              <w:t>)</w:t>
            </w:r>
          </w:p>
          <w:p w:rsidR="00170630" w:rsidRPr="00170630" w:rsidRDefault="00170630" w:rsidP="00170630">
            <w:pPr>
              <w:numPr>
                <w:ilvl w:val="0"/>
                <w:numId w:val="3"/>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Classification of the Functions of Government (</w:t>
            </w:r>
            <w:hyperlink r:id="rId13" w:history="1">
              <w:r w:rsidRPr="00170630">
                <w:rPr>
                  <w:rFonts w:ascii="Times New Roman" w:eastAsia="Times New Roman" w:hAnsi="Times New Roman" w:cs="Times New Roman"/>
                  <w:color w:val="0F4BA0"/>
                  <w:u w:val="single"/>
                  <w:lang w:eastAsia="cs-CZ"/>
                </w:rPr>
                <w:t>CZ-COFOG</w:t>
              </w:r>
            </w:hyperlink>
            <w:r w:rsidRPr="00170630">
              <w:rPr>
                <w:rFonts w:ascii="Times New Roman" w:eastAsia="Times New Roman" w:hAnsi="Times New Roman" w:cs="Times New Roman"/>
                <w:lang w:eastAsia="cs-CZ"/>
              </w:rPr>
              <w:t>)</w:t>
            </w:r>
          </w:p>
          <w:p w:rsidR="00170630" w:rsidRPr="00170630" w:rsidRDefault="00170630" w:rsidP="00170630">
            <w:pPr>
              <w:numPr>
                <w:ilvl w:val="0"/>
                <w:numId w:val="3"/>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Classification of Enterprise Groups (see Annex IIIa)</w:t>
            </w:r>
          </w:p>
          <w:p w:rsidR="00170630" w:rsidRPr="00170630" w:rsidRDefault="00170630" w:rsidP="00170630">
            <w:pPr>
              <w:numPr>
                <w:ilvl w:val="0"/>
                <w:numId w:val="3"/>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Coded list of municipalities, military districts and city districts (</w:t>
            </w:r>
            <w:hyperlink r:id="rId14" w:history="1">
              <w:r w:rsidRPr="00170630">
                <w:rPr>
                  <w:rFonts w:ascii="Times New Roman" w:eastAsia="Times New Roman" w:hAnsi="Times New Roman" w:cs="Times New Roman"/>
                  <w:color w:val="0F4BA0"/>
                  <w:u w:val="single"/>
                  <w:lang w:eastAsia="cs-CZ"/>
                </w:rPr>
                <w:t>ZUJ</w:t>
              </w:r>
            </w:hyperlink>
            <w:r w:rsidRPr="00170630">
              <w:rPr>
                <w:rFonts w:ascii="Times New Roman" w:eastAsia="Times New Roman" w:hAnsi="Times New Roman" w:cs="Times New Roman"/>
                <w:lang w:eastAsia="cs-CZ"/>
              </w:rPr>
              <w:t>) - only in Czech</w:t>
            </w:r>
          </w:p>
          <w:p w:rsidR="00170630" w:rsidRPr="00940951" w:rsidRDefault="00170630" w:rsidP="00940951">
            <w:pPr>
              <w:numPr>
                <w:ilvl w:val="0"/>
                <w:numId w:val="3"/>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Nomenclature of Units for Territorial Statistics (</w:t>
            </w:r>
            <w:hyperlink r:id="rId15" w:history="1">
              <w:r w:rsidRPr="00170630">
                <w:rPr>
                  <w:rFonts w:ascii="Times New Roman" w:eastAsia="Times New Roman" w:hAnsi="Times New Roman" w:cs="Times New Roman"/>
                  <w:color w:val="0F4BA0"/>
                  <w:u w:val="single"/>
                  <w:lang w:eastAsia="cs-CZ"/>
                </w:rPr>
                <w:t>CZ-NUTS</w:t>
              </w:r>
            </w:hyperlink>
            <w:r w:rsidRPr="00170630">
              <w:rPr>
                <w:rFonts w:ascii="Times New Roman" w:eastAsia="Times New Roman" w:hAnsi="Times New Roman" w:cs="Times New Roman"/>
                <w:lang w:eastAsia="cs-CZ"/>
              </w:rPr>
              <w:t>) - only in Czech</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E91291" w:rsidP="00170630">
            <w:pPr>
              <w:spacing w:after="0" w:line="240" w:lineRule="auto"/>
              <w:rPr>
                <w:rFonts w:ascii="Times New Roman" w:eastAsia="Times New Roman" w:hAnsi="Times New Roman" w:cs="Times New Roman"/>
                <w:b/>
                <w:bCs/>
                <w:lang w:eastAsia="cs-CZ"/>
              </w:rPr>
            </w:pPr>
            <w:bookmarkStart w:id="12" w:name="coverage_sector"/>
            <w:bookmarkEnd w:id="12"/>
            <w:r>
              <w:rPr>
                <w:rFonts w:ascii="Times New Roman" w:eastAsia="Times New Roman" w:hAnsi="Times New Roman" w:cs="Times New Roman"/>
                <w:b/>
                <w:bCs/>
                <w:lang w:eastAsia="cs-CZ"/>
              </w:rPr>
              <w:t>2</w:t>
            </w:r>
            <w:r w:rsidR="00170630" w:rsidRPr="00170630">
              <w:rPr>
                <w:rFonts w:ascii="Times New Roman" w:eastAsia="Times New Roman" w:hAnsi="Times New Roman" w:cs="Times New Roman"/>
                <w:b/>
                <w:bCs/>
                <w:lang w:eastAsia="cs-CZ"/>
              </w:rPr>
              <w:t xml:space="preserve">.3. Coverage </w:t>
            </w:r>
            <w:r w:rsidR="00940951">
              <w:rPr>
                <w:rFonts w:ascii="Times New Roman" w:eastAsia="Times New Roman" w:hAnsi="Times New Roman" w:cs="Times New Roman"/>
                <w:b/>
                <w:bCs/>
                <w:lang w:eastAsia="cs-CZ"/>
              </w:rPr>
              <w:t>–</w:t>
            </w:r>
            <w:r w:rsidR="00170630" w:rsidRPr="00170630">
              <w:rPr>
                <w:rFonts w:ascii="Times New Roman" w:eastAsia="Times New Roman" w:hAnsi="Times New Roman" w:cs="Times New Roman"/>
                <w:b/>
                <w:bCs/>
                <w:lang w:eastAsia="cs-CZ"/>
              </w:rPr>
              <w:t xml:space="preserve"> sector</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coverage of the national statistical business registers is defined in the </w:t>
            </w:r>
            <w:hyperlink r:id="rId16" w:history="1">
              <w:r w:rsidRPr="00170630">
                <w:rPr>
                  <w:rFonts w:ascii="Times New Roman" w:eastAsia="Times New Roman" w:hAnsi="Times New Roman" w:cs="Times New Roman"/>
                  <w:color w:val="0F4BA0"/>
                  <w:u w:val="single"/>
                  <w:lang w:eastAsia="cs-CZ"/>
                </w:rPr>
                <w:t>Regulation (EU) 2019/2152</w:t>
              </w:r>
            </w:hyperlink>
            <w:r w:rsidRPr="00170630">
              <w:rPr>
                <w:rFonts w:ascii="Times New Roman" w:eastAsia="Times New Roman" w:hAnsi="Times New Roman" w:cs="Times New Roman"/>
                <w:lang w:eastAsia="cs-CZ"/>
              </w:rPr>
              <w:t> on European business statistics.</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BR covers all required economic sectors without any exemptions.</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E91291" w:rsidP="00170630">
            <w:pPr>
              <w:spacing w:after="0" w:line="240" w:lineRule="auto"/>
              <w:rPr>
                <w:rFonts w:ascii="Times New Roman" w:eastAsia="Times New Roman" w:hAnsi="Times New Roman" w:cs="Times New Roman"/>
                <w:b/>
                <w:bCs/>
                <w:lang w:eastAsia="cs-CZ"/>
              </w:rPr>
            </w:pPr>
            <w:bookmarkStart w:id="13" w:name="stat_conc_def"/>
            <w:bookmarkEnd w:id="13"/>
            <w:r>
              <w:rPr>
                <w:rFonts w:ascii="Times New Roman" w:eastAsia="Times New Roman" w:hAnsi="Times New Roman" w:cs="Times New Roman"/>
                <w:b/>
                <w:bCs/>
                <w:lang w:eastAsia="cs-CZ"/>
              </w:rPr>
              <w:t>2</w:t>
            </w:r>
            <w:r w:rsidR="00170630" w:rsidRPr="00170630">
              <w:rPr>
                <w:rFonts w:ascii="Times New Roman" w:eastAsia="Times New Roman" w:hAnsi="Times New Roman" w:cs="Times New Roman"/>
                <w:b/>
                <w:bCs/>
                <w:lang w:eastAsia="cs-CZ"/>
              </w:rPr>
              <w:t>.4. Statistical concepts and definitions</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main statistical concepts and definitions used for the statistical business registers are as follows:</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b/>
                <w:bCs/>
                <w:lang w:eastAsia="cs-CZ"/>
              </w:rPr>
              <w:t>Annual copy of statistical business register</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annual copy of the statistical business register reflects the state of the register at the end of the year including all units active within the reference year.  BR makes a copy annually and keep that copy for at least 30 years for the purpose of analysis.</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b/>
                <w:bCs/>
                <w:lang w:eastAsia="cs-CZ"/>
              </w:rPr>
              <w:t>Active unit</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A statistical unit is considered to have been active during the reference period, if in said period it either realized positive net turnover or produced outputs or had employees or performed investments. </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A legal unit can be legally or administratively active without any economic activity, when the inactive legal unit is part of an enterprise in combination with economically active legal units. Holding assets and/or liabilities shall also be regarded as an economic activity.</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b/>
                <w:bCs/>
                <w:lang w:eastAsia="cs-CZ"/>
              </w:rPr>
              <w:t>Number of active enterprises</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number of active enterprises is the number of all statistical units which at any time during the reference period were ‘enterprises’, as defined in Council Regulation (EEC) No 696/93, and also active during the same reference period. A statistical unit is considered to have been active during the reference period, if in said period it either realized positive net turnover or produced outputs or had employees or performed investments.</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b/>
                <w:bCs/>
                <w:lang w:eastAsia="cs-CZ"/>
              </w:rPr>
              <w:t>Number of employees</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lastRenderedPageBreak/>
              <w:t>The number of employees represents the average number of persons who were, at some time during the reference period, employees of the statistical unit.</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b/>
                <w:bCs/>
                <w:lang w:eastAsia="cs-CZ"/>
              </w:rPr>
              <w:t>Number of employees and self-employed persons</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number of employees and self-employed persons is the sum of the Number of employees and Number of self- employed persons. The number of self-employed persons is the average number of persons who were at some time during the reference period the sole owners or joint owners of the statistical unit in which they work. Family workers and outworkers whose income is a function of the value of the outputs of the statistical unit are also included.</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b/>
                <w:bCs/>
                <w:lang w:eastAsia="cs-CZ"/>
              </w:rPr>
              <w:t>Number of local units</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A count of the number of local units as defined in Regulation (EEC) No 696/93 registered to the population concerned in the business register corrected for errors, in particular frame errors. Local units must be included even if they have no paid employees. This statistic should include all units active during at least a part of the reference period.</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b/>
                <w:bCs/>
                <w:lang w:eastAsia="cs-CZ"/>
              </w:rPr>
              <w:t>Net turnover</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For all activities except for NACE 64, 65 and some activities of NACE 66 net turnover consists of all income arising during the reference period in the course of ordinary activities of the statistical unit, and is presented net of all price reductions, discounts and rebates granted by it.</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Income is defined as increases in economic benefits during the reference period in the form of inflows or enhancements of assets or decreases of liabilities that result in increases in equity, other than those relating to contributions from equity participants.</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inflows referred to are arising from contracts with customers and are realized through the satisfaction by the statistical unit of performance obligations as foreseen in said contracts. Usually, a performance obligation is represented by the sale (transfer) of goods or the rendering of services, however, the gross inflows can also contain revenues obtained as a yield on the use by others of the statistical unit’s assets.</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Excluded from net turnover are:</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   all taxes, duties or levies linked directly to revenue;</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   any amounts collected on behalf of any principal, if the statistical unit is acting as an agent in its relationship with said principal; </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   all income not arising in the course of ordinary activities of the statistical unit. Usually, these types of income are classified as ‘Other (operating) income’, ‘Financial income’, ‘Extra-ordinary income’ or under a similar heading, depending on the respective set of generally accepted accounting standards used to prepare the financial statements.</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Infra-annual statistics may not be able to take into account aspects such as annual price reductions, subsidies, rebates and discounts.</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For the activities of NACE K6411, K6419 and K649 net turnover is defined as the value of output minus subsidies or government grants.</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For the activities of NACE K642 and K643 net turnover can be approximated by the total operating costs, if net turnover is not available in the financial statements.</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For the activities of NACE K6511, K6512 and K652 net turnover is defined as Gross premiums earned.</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For the activities of NACE K653 the net turnover is defined as total pension contributions</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For activities of NACE K66 for which net turnover is not available in the financial statements, net turnover is defined as the value of output minus subsidies or government grants. For activities of NACE K66 for which net turnover is available in the financial statements, the standard definition of net turnover applies. </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b/>
                <w:bCs/>
                <w:lang w:eastAsia="cs-CZ"/>
              </w:rPr>
              <w:t>Principal activity</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 xml:space="preserve">The principal (or main) activity is the activity that contributes most to the total value added of a unit under consideration. Ideally, the principal activity of the unit should be determined with reference to the value added to the goods and services produced, by applying the top-down method. The top-down method follows a hierarchical principle: the classification of the unit at the lowest level of the classification must be consistent with the classification of the unit at higher </w:t>
            </w:r>
            <w:r w:rsidRPr="00170630">
              <w:rPr>
                <w:rFonts w:ascii="Times New Roman" w:eastAsia="Times New Roman" w:hAnsi="Times New Roman" w:cs="Times New Roman"/>
                <w:lang w:eastAsia="cs-CZ"/>
              </w:rPr>
              <w:lastRenderedPageBreak/>
              <w:t>levels. The principal activity so identified does not necessarily account for 50 % or more of the unit’s total value added.</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In the European Union the classification of principal activity is determined by reference to NACE Rev. 2, first at the highest level of classification and then at more detailed levels (top-down method).</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b/>
                <w:bCs/>
                <w:lang w:eastAsia="cs-CZ"/>
              </w:rPr>
              <w:t>Secondary activity</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Important secondary activities are treated as a kind of activity units.</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More information on statistical concepts and definitions relevant to the statistical business registers could be found in the </w:t>
            </w:r>
            <w:hyperlink r:id="rId17" w:history="1">
              <w:r w:rsidRPr="00170630">
                <w:rPr>
                  <w:rFonts w:ascii="Times New Roman" w:eastAsia="Times New Roman" w:hAnsi="Times New Roman" w:cs="Times New Roman"/>
                  <w:color w:val="0F4BA0"/>
                  <w:u w:val="single"/>
                  <w:lang w:eastAsia="cs-CZ"/>
                </w:rPr>
                <w:t>EBS methodological manual for Statistical Business Registers (2021 edition)</w:t>
              </w:r>
            </w:hyperlink>
            <w:r w:rsidR="00940951">
              <w:rPr>
                <w:rFonts w:ascii="Times New Roman" w:eastAsia="Times New Roman" w:hAnsi="Times New Roman" w:cs="Times New Roman"/>
                <w:lang w:eastAsia="cs-CZ"/>
              </w:rPr>
              <w:t>.</w:t>
            </w:r>
            <w:r w:rsidRPr="00170630">
              <w:rPr>
                <w:rFonts w:ascii="Times New Roman" w:eastAsia="Times New Roman" w:hAnsi="Times New Roman" w:cs="Times New Roman"/>
                <w:lang w:eastAsia="cs-CZ"/>
              </w:rPr>
              <w:t> </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E91291" w:rsidP="00170630">
            <w:pPr>
              <w:spacing w:after="0" w:line="240" w:lineRule="auto"/>
              <w:rPr>
                <w:rFonts w:ascii="Times New Roman" w:eastAsia="Times New Roman" w:hAnsi="Times New Roman" w:cs="Times New Roman"/>
                <w:b/>
                <w:bCs/>
                <w:lang w:eastAsia="cs-CZ"/>
              </w:rPr>
            </w:pPr>
            <w:bookmarkStart w:id="14" w:name="stat_unit"/>
            <w:bookmarkEnd w:id="14"/>
            <w:r>
              <w:rPr>
                <w:rFonts w:ascii="Times New Roman" w:eastAsia="Times New Roman" w:hAnsi="Times New Roman" w:cs="Times New Roman"/>
                <w:b/>
                <w:bCs/>
                <w:lang w:eastAsia="cs-CZ"/>
              </w:rPr>
              <w:lastRenderedPageBreak/>
              <w:t>2</w:t>
            </w:r>
            <w:r w:rsidR="00170630" w:rsidRPr="00170630">
              <w:rPr>
                <w:rFonts w:ascii="Times New Roman" w:eastAsia="Times New Roman" w:hAnsi="Times New Roman" w:cs="Times New Roman"/>
                <w:b/>
                <w:bCs/>
                <w:lang w:eastAsia="cs-CZ"/>
              </w:rPr>
              <w:t>.5. Statistical unit</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statistical units maintained in the national statistical business register are defined in accordance with </w:t>
            </w:r>
            <w:hyperlink r:id="rId18" w:history="1">
              <w:r w:rsidRPr="00170630">
                <w:rPr>
                  <w:rFonts w:ascii="Times New Roman" w:eastAsia="Times New Roman" w:hAnsi="Times New Roman" w:cs="Times New Roman"/>
                  <w:color w:val="0F4BA0"/>
                  <w:u w:val="single"/>
                  <w:lang w:eastAsia="cs-CZ"/>
                </w:rPr>
                <w:t>Regulation (EEC) No 696/93</w:t>
              </w:r>
            </w:hyperlink>
            <w:r w:rsidRPr="00170630">
              <w:rPr>
                <w:rFonts w:ascii="Times New Roman" w:eastAsia="Times New Roman" w:hAnsi="Times New Roman" w:cs="Times New Roman"/>
                <w:lang w:eastAsia="cs-CZ"/>
              </w:rPr>
              <w:t> on the statistical units for the observation and analysis of the production system in the Community, as follows:</w:t>
            </w:r>
          </w:p>
          <w:p w:rsidR="00170630" w:rsidRPr="00170630" w:rsidRDefault="00170630" w:rsidP="00170630">
            <w:pPr>
              <w:numPr>
                <w:ilvl w:val="0"/>
                <w:numId w:val="4"/>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b/>
                <w:bCs/>
                <w:lang w:eastAsia="cs-CZ"/>
              </w:rPr>
              <w:t>Enterprise - </w:t>
            </w:r>
            <w:r w:rsidRPr="00170630">
              <w:rPr>
                <w:rFonts w:ascii="Times New Roman" w:eastAsia="Times New Roman" w:hAnsi="Times New Roman" w:cs="Times New Roman"/>
                <w:lang w:eastAsia="cs-CZ"/>
              </w:rPr>
              <w:t>the enterprise is the smallest combination of legal units that is an organizational unit producing goods or services, which benefits from a certain degree of autonomy in decision-making, especially for the allocation of its current resources. An enterprise carries out one or more activities at one or more locations. An enterprise may be a sole legal unit.</w:t>
            </w:r>
          </w:p>
          <w:p w:rsidR="00170630" w:rsidRPr="00170630" w:rsidRDefault="00170630" w:rsidP="00170630">
            <w:pPr>
              <w:numPr>
                <w:ilvl w:val="0"/>
                <w:numId w:val="4"/>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b/>
                <w:bCs/>
                <w:lang w:eastAsia="cs-CZ"/>
              </w:rPr>
              <w:t>Enterprise group</w:t>
            </w:r>
            <w:r w:rsidRPr="00170630">
              <w:rPr>
                <w:rFonts w:ascii="Times New Roman" w:eastAsia="Times New Roman" w:hAnsi="Times New Roman" w:cs="Times New Roman"/>
                <w:lang w:eastAsia="cs-CZ"/>
              </w:rPr>
              <w:t> - an enterprise group is an association of enterprises bound together by legal and/or financial links. A group of enterprises can have more than one decision-making centre, especially for policy on production, sales and profits. It may centralize certain aspects of financial management and taxation. It constitutes an economic entity, which is empowered to make choices, particularly concerning the units, which it comprises.</w:t>
            </w:r>
          </w:p>
          <w:p w:rsidR="00170630" w:rsidRPr="00170630" w:rsidRDefault="00170630" w:rsidP="00170630">
            <w:pPr>
              <w:numPr>
                <w:ilvl w:val="0"/>
                <w:numId w:val="4"/>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b/>
                <w:bCs/>
                <w:lang w:eastAsia="cs-CZ"/>
              </w:rPr>
              <w:t>Kind of activity unit (KAU)</w:t>
            </w:r>
            <w:r w:rsidRPr="00170630">
              <w:rPr>
                <w:rFonts w:ascii="Times New Roman" w:eastAsia="Times New Roman" w:hAnsi="Times New Roman" w:cs="Times New Roman"/>
                <w:lang w:eastAsia="cs-CZ"/>
              </w:rPr>
              <w:t>  - the kind of activity unit groups all the parts of an enterprise contributing to the performance of an activity at class level (four digits) of NACE and corresponds to one or more operational subdivisions of the enterprise. The enterprise's information system must be capable of indicating or calculating for each KAU at least the value of production, intermediate consumption, manpower costs, the operating surplus and employment and gross fixed capital formation.</w:t>
            </w:r>
          </w:p>
          <w:p w:rsidR="00170630" w:rsidRPr="00170630" w:rsidRDefault="00170630" w:rsidP="00170630">
            <w:pPr>
              <w:numPr>
                <w:ilvl w:val="0"/>
                <w:numId w:val="4"/>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b/>
                <w:bCs/>
                <w:lang w:eastAsia="cs-CZ"/>
              </w:rPr>
              <w:t>Local unit</w:t>
            </w:r>
            <w:r w:rsidRPr="00170630">
              <w:rPr>
                <w:rFonts w:ascii="Times New Roman" w:eastAsia="Times New Roman" w:hAnsi="Times New Roman" w:cs="Times New Roman"/>
                <w:lang w:eastAsia="cs-CZ"/>
              </w:rPr>
              <w:t xml:space="preserve"> - the local unit is an enterprise or part </w:t>
            </w:r>
            <w:proofErr w:type="gramStart"/>
            <w:r w:rsidRPr="00170630">
              <w:rPr>
                <w:rFonts w:ascii="Times New Roman" w:eastAsia="Times New Roman" w:hAnsi="Times New Roman" w:cs="Times New Roman"/>
                <w:lang w:eastAsia="cs-CZ"/>
              </w:rPr>
              <w:t>thereof (e. g. a workshop</w:t>
            </w:r>
            <w:proofErr w:type="gramEnd"/>
            <w:r w:rsidRPr="00170630">
              <w:rPr>
                <w:rFonts w:ascii="Times New Roman" w:eastAsia="Times New Roman" w:hAnsi="Times New Roman" w:cs="Times New Roman"/>
                <w:lang w:eastAsia="cs-CZ"/>
              </w:rPr>
              <w:t>, factory, warehouse, office, mine or depot) situated in a geographically identified place. At or from this place economic activity is carried out for which - save for certain exceptions - one or more persons work (even if only part-time) for one and the same enterprise.</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E91291" w:rsidP="00170630">
            <w:pPr>
              <w:spacing w:after="0" w:line="240" w:lineRule="auto"/>
              <w:rPr>
                <w:rFonts w:ascii="Times New Roman" w:eastAsia="Times New Roman" w:hAnsi="Times New Roman" w:cs="Times New Roman"/>
                <w:b/>
                <w:bCs/>
                <w:lang w:eastAsia="cs-CZ"/>
              </w:rPr>
            </w:pPr>
            <w:bookmarkStart w:id="15" w:name="stat_pop"/>
            <w:bookmarkEnd w:id="15"/>
            <w:r>
              <w:rPr>
                <w:rFonts w:ascii="Times New Roman" w:eastAsia="Times New Roman" w:hAnsi="Times New Roman" w:cs="Times New Roman"/>
                <w:b/>
                <w:bCs/>
                <w:lang w:eastAsia="cs-CZ"/>
              </w:rPr>
              <w:t>2</w:t>
            </w:r>
            <w:r w:rsidR="00170630" w:rsidRPr="00170630">
              <w:rPr>
                <w:rFonts w:ascii="Times New Roman" w:eastAsia="Times New Roman" w:hAnsi="Times New Roman" w:cs="Times New Roman"/>
                <w:b/>
                <w:bCs/>
                <w:lang w:eastAsia="cs-CZ"/>
              </w:rPr>
              <w:t>.6. Statistical population</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national statistical business registers shall be the authoritative source for deriving high quality and harmonised statistical business register populations for the production of European statistics in accordance with Article 8 to the EBS Regulation 2019/2152.</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There are no tresholds in the Czech NBR.</w:t>
            </w:r>
          </w:p>
          <w:p w:rsidR="00170630" w:rsidRPr="00170630" w:rsidRDefault="00170630" w:rsidP="00170630">
            <w:pPr>
              <w:spacing w:after="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 </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E91291" w:rsidP="00170630">
            <w:pPr>
              <w:spacing w:after="0" w:line="240" w:lineRule="auto"/>
              <w:rPr>
                <w:rFonts w:ascii="Times New Roman" w:eastAsia="Times New Roman" w:hAnsi="Times New Roman" w:cs="Times New Roman"/>
                <w:b/>
                <w:bCs/>
                <w:lang w:eastAsia="cs-CZ"/>
              </w:rPr>
            </w:pPr>
            <w:bookmarkStart w:id="16" w:name="ref_area"/>
            <w:bookmarkEnd w:id="16"/>
            <w:r>
              <w:rPr>
                <w:rFonts w:ascii="Times New Roman" w:eastAsia="Times New Roman" w:hAnsi="Times New Roman" w:cs="Times New Roman"/>
                <w:b/>
                <w:bCs/>
                <w:lang w:eastAsia="cs-CZ"/>
              </w:rPr>
              <w:t>2</w:t>
            </w:r>
            <w:r w:rsidR="00170630" w:rsidRPr="00170630">
              <w:rPr>
                <w:rFonts w:ascii="Times New Roman" w:eastAsia="Times New Roman" w:hAnsi="Times New Roman" w:cs="Times New Roman"/>
                <w:b/>
                <w:bCs/>
                <w:lang w:eastAsia="cs-CZ"/>
              </w:rPr>
              <w:t>.7. Reference area</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reference area for national statistical business register is the territory of the country. Concerning enterprise groups any country outside the national territory may be relevant.</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 </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E91291" w:rsidP="00170630">
            <w:pPr>
              <w:spacing w:after="0" w:line="240" w:lineRule="auto"/>
              <w:rPr>
                <w:rFonts w:ascii="Times New Roman" w:eastAsia="Times New Roman" w:hAnsi="Times New Roman" w:cs="Times New Roman"/>
                <w:b/>
                <w:bCs/>
                <w:lang w:eastAsia="cs-CZ"/>
              </w:rPr>
            </w:pPr>
            <w:bookmarkStart w:id="17" w:name="coverage_time"/>
            <w:bookmarkEnd w:id="17"/>
            <w:r>
              <w:rPr>
                <w:rFonts w:ascii="Times New Roman" w:eastAsia="Times New Roman" w:hAnsi="Times New Roman" w:cs="Times New Roman"/>
                <w:b/>
                <w:bCs/>
                <w:lang w:eastAsia="cs-CZ"/>
              </w:rPr>
              <w:t>2</w:t>
            </w:r>
            <w:r w:rsidR="00170630" w:rsidRPr="00170630">
              <w:rPr>
                <w:rFonts w:ascii="Times New Roman" w:eastAsia="Times New Roman" w:hAnsi="Times New Roman" w:cs="Times New Roman"/>
                <w:b/>
                <w:bCs/>
                <w:lang w:eastAsia="cs-CZ"/>
              </w:rPr>
              <w:t xml:space="preserve">.8. Coverage </w:t>
            </w:r>
            <w:r w:rsidR="002B102D">
              <w:rPr>
                <w:rFonts w:ascii="Times New Roman" w:eastAsia="Times New Roman" w:hAnsi="Times New Roman" w:cs="Times New Roman"/>
                <w:b/>
                <w:bCs/>
                <w:lang w:eastAsia="cs-CZ"/>
              </w:rPr>
              <w:t>–</w:t>
            </w:r>
            <w:r w:rsidR="00170630" w:rsidRPr="00170630">
              <w:rPr>
                <w:rFonts w:ascii="Times New Roman" w:eastAsia="Times New Roman" w:hAnsi="Times New Roman" w:cs="Times New Roman"/>
                <w:b/>
                <w:bCs/>
                <w:lang w:eastAsia="cs-CZ"/>
              </w:rPr>
              <w:t xml:space="preserve"> Time</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national statistical business register was established in 1990 (year).</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statistical units are implemented and maintained in the national statistical business register as follows:</w:t>
            </w:r>
          </w:p>
          <w:p w:rsidR="00170630" w:rsidRPr="00170630" w:rsidRDefault="00170630" w:rsidP="00170630">
            <w:pPr>
              <w:numPr>
                <w:ilvl w:val="0"/>
                <w:numId w:val="5"/>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lastRenderedPageBreak/>
              <w:t>Enterprise group – implemented and maintained since 2009 (year).</w:t>
            </w:r>
          </w:p>
          <w:p w:rsidR="00170630" w:rsidRPr="00170630" w:rsidRDefault="00170630" w:rsidP="00170630">
            <w:pPr>
              <w:numPr>
                <w:ilvl w:val="0"/>
                <w:numId w:val="5"/>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Enterprise – implemented and maintained since 1993 (year).</w:t>
            </w:r>
          </w:p>
          <w:p w:rsidR="00170630" w:rsidRPr="00170630" w:rsidRDefault="00170630" w:rsidP="00170630">
            <w:pPr>
              <w:numPr>
                <w:ilvl w:val="0"/>
                <w:numId w:val="5"/>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Local unit – implemented and maintained since 2001 (year).</w:t>
            </w:r>
          </w:p>
          <w:p w:rsidR="00170630" w:rsidRPr="00170630" w:rsidRDefault="00170630" w:rsidP="00170630">
            <w:pPr>
              <w:numPr>
                <w:ilvl w:val="0"/>
                <w:numId w:val="5"/>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Kind of activity unit – implemented and maintained since 2020 (year).</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E91291" w:rsidP="00170630">
            <w:pPr>
              <w:spacing w:after="0" w:line="240" w:lineRule="auto"/>
              <w:rPr>
                <w:rFonts w:ascii="Times New Roman" w:eastAsia="Times New Roman" w:hAnsi="Times New Roman" w:cs="Times New Roman"/>
                <w:b/>
                <w:bCs/>
                <w:lang w:eastAsia="cs-CZ"/>
              </w:rPr>
            </w:pPr>
            <w:bookmarkStart w:id="18" w:name="base_per"/>
            <w:bookmarkEnd w:id="18"/>
            <w:r>
              <w:rPr>
                <w:rFonts w:ascii="Times New Roman" w:eastAsia="Times New Roman" w:hAnsi="Times New Roman" w:cs="Times New Roman"/>
                <w:b/>
                <w:bCs/>
                <w:lang w:eastAsia="cs-CZ"/>
              </w:rPr>
              <w:t>2</w:t>
            </w:r>
            <w:r w:rsidR="00170630" w:rsidRPr="00170630">
              <w:rPr>
                <w:rFonts w:ascii="Times New Roman" w:eastAsia="Times New Roman" w:hAnsi="Times New Roman" w:cs="Times New Roman"/>
                <w:b/>
                <w:bCs/>
                <w:lang w:eastAsia="cs-CZ"/>
              </w:rPr>
              <w:t>.9. Base period</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Not applicable.</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bl>
    <w:p w:rsidR="00170630" w:rsidRPr="00170630" w:rsidRDefault="00170630" w:rsidP="00170630">
      <w:pPr>
        <w:spacing w:before="30" w:after="30" w:line="240" w:lineRule="auto"/>
        <w:rPr>
          <w:rFonts w:ascii="Times New Roman" w:eastAsia="Times New Roman" w:hAnsi="Times New Roman" w:cs="Times New Roman"/>
          <w:lang w:eastAsia="cs-CZ"/>
        </w:rPr>
      </w:pPr>
    </w:p>
    <w:tbl>
      <w:tblPr>
        <w:tblW w:w="4950" w:type="pct"/>
        <w:tblCellMar>
          <w:left w:w="0" w:type="dxa"/>
          <w:right w:w="0" w:type="dxa"/>
        </w:tblCellMar>
        <w:tblLook w:val="04A0" w:firstRow="1" w:lastRow="0" w:firstColumn="1" w:lastColumn="0" w:noHBand="0" w:noVBand="1"/>
      </w:tblPr>
      <w:tblGrid>
        <w:gridCol w:w="8939"/>
        <w:gridCol w:w="22"/>
      </w:tblGrid>
      <w:tr w:rsidR="00170630" w:rsidRPr="00170630" w:rsidTr="00130234">
        <w:trPr>
          <w:gridAfter w:val="1"/>
          <w:wAfter w:w="12" w:type="pct"/>
        </w:trPr>
        <w:tc>
          <w:tcPr>
            <w:tcW w:w="4988" w:type="pct"/>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4380" w:type="pct"/>
              <w:tblCellSpacing w:w="0" w:type="dxa"/>
              <w:tblCellMar>
                <w:left w:w="0" w:type="dxa"/>
                <w:right w:w="0" w:type="dxa"/>
              </w:tblCellMar>
              <w:tblLook w:val="04A0" w:firstRow="1" w:lastRow="0" w:firstColumn="1" w:lastColumn="0" w:noHBand="0" w:noVBand="1"/>
            </w:tblPr>
            <w:tblGrid>
              <w:gridCol w:w="7605"/>
            </w:tblGrid>
            <w:tr w:rsidR="00E91291" w:rsidRPr="00170630" w:rsidTr="00E91291">
              <w:trPr>
                <w:tblCellSpacing w:w="0" w:type="dxa"/>
              </w:trPr>
              <w:tc>
                <w:tcPr>
                  <w:tcW w:w="0" w:type="auto"/>
                  <w:vAlign w:val="center"/>
                  <w:hideMark/>
                </w:tcPr>
                <w:p w:rsidR="00E91291" w:rsidRPr="00170630" w:rsidRDefault="00E91291" w:rsidP="00170630">
                  <w:pPr>
                    <w:spacing w:after="0" w:line="240" w:lineRule="auto"/>
                    <w:rPr>
                      <w:rFonts w:ascii="Times New Roman" w:eastAsia="Times New Roman" w:hAnsi="Times New Roman" w:cs="Times New Roman"/>
                      <w:b/>
                      <w:bCs/>
                      <w:sz w:val="32"/>
                      <w:szCs w:val="32"/>
                      <w:lang w:eastAsia="cs-CZ"/>
                    </w:rPr>
                  </w:pPr>
                  <w:bookmarkStart w:id="19" w:name="unit_measure1651497095067"/>
                  <w:bookmarkStart w:id="20" w:name="unit_measure"/>
                  <w:bookmarkEnd w:id="19"/>
                  <w:bookmarkEnd w:id="20"/>
                  <w:r>
                    <w:rPr>
                      <w:rFonts w:ascii="Times New Roman" w:eastAsia="Times New Roman" w:hAnsi="Times New Roman" w:cs="Times New Roman"/>
                      <w:b/>
                      <w:bCs/>
                      <w:sz w:val="32"/>
                      <w:szCs w:val="32"/>
                      <w:lang w:eastAsia="cs-CZ"/>
                    </w:rPr>
                    <w:t>3</w:t>
                  </w:r>
                  <w:r w:rsidRPr="00170630">
                    <w:rPr>
                      <w:rFonts w:ascii="Times New Roman" w:eastAsia="Times New Roman" w:hAnsi="Times New Roman" w:cs="Times New Roman"/>
                      <w:b/>
                      <w:bCs/>
                      <w:sz w:val="32"/>
                      <w:szCs w:val="32"/>
                      <w:lang w:eastAsia="cs-CZ"/>
                    </w:rPr>
                    <w:t>. Unit of measure</w:t>
                  </w:r>
                </w:p>
              </w:tc>
            </w:tr>
          </w:tbl>
          <w:p w:rsidR="00170630" w:rsidRPr="00170630" w:rsidRDefault="00170630" w:rsidP="00170630">
            <w:pPr>
              <w:spacing w:after="0" w:line="240" w:lineRule="auto"/>
              <w:rPr>
                <w:rFonts w:ascii="Times New Roman" w:eastAsia="Times New Roman" w:hAnsi="Times New Roman" w:cs="Times New Roman"/>
                <w:b/>
                <w:bCs/>
                <w:color w:val="000000"/>
                <w:sz w:val="32"/>
                <w:szCs w:val="32"/>
                <w:lang w:eastAsia="cs-CZ"/>
              </w:rPr>
            </w:pPr>
          </w:p>
        </w:tc>
      </w:tr>
      <w:tr w:rsidR="00170630" w:rsidRPr="00170630" w:rsidTr="00130234">
        <w:trPr>
          <w:trHeight w:val="300"/>
        </w:trPr>
        <w:tc>
          <w:tcPr>
            <w:tcW w:w="4988"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economic variables on employment are recorded in absolute figures.</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net turnover is recorded in 1.000 of CZK.</w:t>
            </w:r>
          </w:p>
        </w:tc>
        <w:tc>
          <w:tcPr>
            <w:tcW w:w="12"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bl>
    <w:p w:rsidR="00170630" w:rsidRPr="00170630" w:rsidRDefault="00170630" w:rsidP="00170630">
      <w:pPr>
        <w:spacing w:before="30" w:after="30" w:line="240" w:lineRule="auto"/>
        <w:rPr>
          <w:rFonts w:ascii="Times New Roman" w:eastAsia="Times New Roman" w:hAnsi="Times New Roman" w:cs="Times New Roman"/>
          <w:lang w:eastAsia="cs-CZ"/>
        </w:rPr>
      </w:pPr>
    </w:p>
    <w:tbl>
      <w:tblPr>
        <w:tblW w:w="4952" w:type="pct"/>
        <w:tblCellMar>
          <w:left w:w="0" w:type="dxa"/>
          <w:right w:w="0" w:type="dxa"/>
        </w:tblCellMar>
        <w:tblLook w:val="04A0" w:firstRow="1" w:lastRow="0" w:firstColumn="1" w:lastColumn="0" w:noHBand="0" w:noVBand="1"/>
      </w:tblPr>
      <w:tblGrid>
        <w:gridCol w:w="8945"/>
        <w:gridCol w:w="20"/>
      </w:tblGrid>
      <w:tr w:rsidR="00170630" w:rsidRPr="00170630" w:rsidTr="00130234">
        <w:trPr>
          <w:gridAfter w:val="1"/>
          <w:wAfter w:w="11" w:type="pct"/>
        </w:trPr>
        <w:tc>
          <w:tcPr>
            <w:tcW w:w="4989" w:type="pct"/>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8668"/>
              <w:gridCol w:w="19"/>
            </w:tblGrid>
            <w:tr w:rsidR="00170630" w:rsidRPr="00170630">
              <w:trPr>
                <w:tblCellSpacing w:w="0" w:type="dxa"/>
              </w:trPr>
              <w:tc>
                <w:tcPr>
                  <w:tcW w:w="0" w:type="auto"/>
                  <w:vAlign w:val="center"/>
                  <w:hideMark/>
                </w:tcPr>
                <w:p w:rsidR="00170630" w:rsidRPr="00170630" w:rsidRDefault="00E91291" w:rsidP="00170630">
                  <w:pPr>
                    <w:spacing w:after="0" w:line="240" w:lineRule="auto"/>
                    <w:rPr>
                      <w:rFonts w:ascii="Times New Roman" w:eastAsia="Times New Roman" w:hAnsi="Times New Roman" w:cs="Times New Roman"/>
                      <w:b/>
                      <w:bCs/>
                      <w:sz w:val="32"/>
                      <w:szCs w:val="32"/>
                      <w:lang w:eastAsia="cs-CZ"/>
                    </w:rPr>
                  </w:pPr>
                  <w:bookmarkStart w:id="21" w:name="ref_period1651497095067"/>
                  <w:bookmarkStart w:id="22" w:name="ref_period"/>
                  <w:bookmarkEnd w:id="21"/>
                  <w:bookmarkEnd w:id="22"/>
                  <w:r>
                    <w:rPr>
                      <w:rFonts w:ascii="Times New Roman" w:eastAsia="Times New Roman" w:hAnsi="Times New Roman" w:cs="Times New Roman"/>
                      <w:b/>
                      <w:bCs/>
                      <w:sz w:val="32"/>
                      <w:szCs w:val="32"/>
                      <w:lang w:eastAsia="cs-CZ"/>
                    </w:rPr>
                    <w:t>4</w:t>
                  </w:r>
                  <w:r w:rsidR="00170630" w:rsidRPr="00170630">
                    <w:rPr>
                      <w:rFonts w:ascii="Times New Roman" w:eastAsia="Times New Roman" w:hAnsi="Times New Roman" w:cs="Times New Roman"/>
                      <w:b/>
                      <w:bCs/>
                      <w:sz w:val="32"/>
                      <w:szCs w:val="32"/>
                      <w:lang w:eastAsia="cs-CZ"/>
                    </w:rPr>
                    <w:t>. Reference Period</w:t>
                  </w:r>
                </w:p>
              </w:tc>
              <w:tc>
                <w:tcPr>
                  <w:tcW w:w="0" w:type="auto"/>
                  <w:vAlign w:val="center"/>
                  <w:hideMark/>
                </w:tcPr>
                <w:p w:rsidR="00170630" w:rsidRPr="00170630" w:rsidRDefault="00170630" w:rsidP="00170630">
                  <w:pPr>
                    <w:spacing w:after="0" w:line="240" w:lineRule="auto"/>
                    <w:jc w:val="right"/>
                    <w:rPr>
                      <w:rFonts w:ascii="Times New Roman" w:eastAsia="Times New Roman" w:hAnsi="Times New Roman" w:cs="Times New Roman"/>
                      <w:sz w:val="24"/>
                      <w:szCs w:val="24"/>
                      <w:lang w:eastAsia="cs-CZ"/>
                    </w:rPr>
                  </w:pPr>
                </w:p>
              </w:tc>
            </w:tr>
          </w:tbl>
          <w:p w:rsidR="00170630" w:rsidRPr="00170630" w:rsidRDefault="00170630" w:rsidP="00170630">
            <w:pPr>
              <w:spacing w:after="0" w:line="240" w:lineRule="auto"/>
              <w:rPr>
                <w:rFonts w:ascii="Times New Roman" w:eastAsia="Times New Roman" w:hAnsi="Times New Roman" w:cs="Times New Roman"/>
                <w:b/>
                <w:bCs/>
                <w:color w:val="000000"/>
                <w:sz w:val="32"/>
                <w:szCs w:val="32"/>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reference period for the annual copy of the national statistical business register is a calendar year.</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An annual copy that reflects the state of the national statistical business registers at the end of the year is taken and kept for at least 30 years for the purpose of analysis.</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latest available copy of the national statistical business register consists of the final annual master frame for 2021 reference year.</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reference date for identification characteristics, demographic characteristics, activity and information on links to other register is 30/12 of the year 2021. The reference date for monetary data is 31/12 of the year 2020 and for employment 1/10 of the year 2021. It does not include relatio</w:t>
            </w:r>
            <w:r w:rsidR="00940951">
              <w:rPr>
                <w:rFonts w:ascii="Times New Roman" w:eastAsia="Times New Roman" w:hAnsi="Times New Roman" w:cs="Times New Roman"/>
                <w:lang w:eastAsia="cs-CZ"/>
              </w:rPr>
              <w:t>nship information and adresses.</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bl>
    <w:p w:rsidR="00170630" w:rsidRPr="00170630" w:rsidRDefault="00170630" w:rsidP="00170630">
      <w:pPr>
        <w:spacing w:before="30" w:after="30" w:line="240" w:lineRule="auto"/>
        <w:rPr>
          <w:rFonts w:ascii="Times New Roman" w:eastAsia="Times New Roman" w:hAnsi="Times New Roman" w:cs="Times New Roman"/>
          <w:lang w:eastAsia="cs-CZ"/>
        </w:rPr>
      </w:pPr>
    </w:p>
    <w:tbl>
      <w:tblPr>
        <w:tblW w:w="4952" w:type="pct"/>
        <w:tblCellMar>
          <w:left w:w="0" w:type="dxa"/>
          <w:right w:w="0" w:type="dxa"/>
        </w:tblCellMar>
        <w:tblLook w:val="04A0" w:firstRow="1" w:lastRow="0" w:firstColumn="1" w:lastColumn="0" w:noHBand="0" w:noVBand="1"/>
      </w:tblPr>
      <w:tblGrid>
        <w:gridCol w:w="8945"/>
        <w:gridCol w:w="20"/>
      </w:tblGrid>
      <w:tr w:rsidR="00170630" w:rsidRPr="00170630" w:rsidTr="00130234">
        <w:trPr>
          <w:gridAfter w:val="1"/>
          <w:wAfter w:w="11" w:type="pct"/>
        </w:trPr>
        <w:tc>
          <w:tcPr>
            <w:tcW w:w="4989" w:type="pct"/>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4517" w:type="pct"/>
              <w:tblCellSpacing w:w="0" w:type="dxa"/>
              <w:tblCellMar>
                <w:left w:w="0" w:type="dxa"/>
                <w:right w:w="0" w:type="dxa"/>
              </w:tblCellMar>
              <w:tblLook w:val="04A0" w:firstRow="1" w:lastRow="0" w:firstColumn="1" w:lastColumn="0" w:noHBand="0" w:noVBand="1"/>
            </w:tblPr>
            <w:tblGrid>
              <w:gridCol w:w="7848"/>
            </w:tblGrid>
            <w:tr w:rsidR="00940951" w:rsidRPr="00170630" w:rsidTr="00940951">
              <w:trPr>
                <w:tblCellSpacing w:w="0" w:type="dxa"/>
              </w:trPr>
              <w:tc>
                <w:tcPr>
                  <w:tcW w:w="0" w:type="auto"/>
                  <w:vAlign w:val="center"/>
                  <w:hideMark/>
                </w:tcPr>
                <w:p w:rsidR="00940951" w:rsidRPr="00170630" w:rsidRDefault="00940951" w:rsidP="00170630">
                  <w:pPr>
                    <w:spacing w:after="0" w:line="240" w:lineRule="auto"/>
                    <w:rPr>
                      <w:rFonts w:ascii="Times New Roman" w:eastAsia="Times New Roman" w:hAnsi="Times New Roman" w:cs="Times New Roman"/>
                      <w:b/>
                      <w:bCs/>
                      <w:sz w:val="32"/>
                      <w:szCs w:val="32"/>
                      <w:lang w:eastAsia="cs-CZ"/>
                    </w:rPr>
                  </w:pPr>
                  <w:bookmarkStart w:id="23" w:name="inst_mandate1651497095067"/>
                  <w:bookmarkStart w:id="24" w:name="inst_mandate"/>
                  <w:bookmarkEnd w:id="23"/>
                  <w:bookmarkEnd w:id="24"/>
                  <w:r>
                    <w:rPr>
                      <w:rFonts w:ascii="Times New Roman" w:eastAsia="Times New Roman" w:hAnsi="Times New Roman" w:cs="Times New Roman"/>
                      <w:b/>
                      <w:bCs/>
                      <w:sz w:val="32"/>
                      <w:szCs w:val="32"/>
                      <w:lang w:eastAsia="cs-CZ"/>
                    </w:rPr>
                    <w:t>5</w:t>
                  </w:r>
                  <w:r w:rsidRPr="00170630">
                    <w:rPr>
                      <w:rFonts w:ascii="Times New Roman" w:eastAsia="Times New Roman" w:hAnsi="Times New Roman" w:cs="Times New Roman"/>
                      <w:b/>
                      <w:bCs/>
                      <w:sz w:val="32"/>
                      <w:szCs w:val="32"/>
                      <w:lang w:eastAsia="cs-CZ"/>
                    </w:rPr>
                    <w:t>. Institutional Mandate</w:t>
                  </w:r>
                </w:p>
              </w:tc>
            </w:tr>
          </w:tbl>
          <w:p w:rsidR="00170630" w:rsidRPr="00170630" w:rsidRDefault="00170630" w:rsidP="00170630">
            <w:pPr>
              <w:spacing w:after="0" w:line="240" w:lineRule="auto"/>
              <w:rPr>
                <w:rFonts w:ascii="Times New Roman" w:eastAsia="Times New Roman" w:hAnsi="Times New Roman" w:cs="Times New Roman"/>
                <w:b/>
                <w:bCs/>
                <w:color w:val="000000"/>
                <w:sz w:val="32"/>
                <w:szCs w:val="32"/>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E91291" w:rsidP="00170630">
            <w:pPr>
              <w:spacing w:after="0" w:line="240" w:lineRule="auto"/>
              <w:rPr>
                <w:rFonts w:ascii="Times New Roman" w:eastAsia="Times New Roman" w:hAnsi="Times New Roman" w:cs="Times New Roman"/>
                <w:b/>
                <w:bCs/>
                <w:lang w:eastAsia="cs-CZ"/>
              </w:rPr>
            </w:pPr>
            <w:bookmarkStart w:id="25" w:name="inst_man_la_oa"/>
            <w:bookmarkEnd w:id="25"/>
            <w:r>
              <w:rPr>
                <w:rFonts w:ascii="Times New Roman" w:eastAsia="Times New Roman" w:hAnsi="Times New Roman" w:cs="Times New Roman"/>
                <w:b/>
                <w:bCs/>
                <w:lang w:eastAsia="cs-CZ"/>
              </w:rPr>
              <w:t>5</w:t>
            </w:r>
            <w:r w:rsidR="00170630" w:rsidRPr="00170630">
              <w:rPr>
                <w:rFonts w:ascii="Times New Roman" w:eastAsia="Times New Roman" w:hAnsi="Times New Roman" w:cs="Times New Roman"/>
                <w:b/>
                <w:bCs/>
                <w:lang w:eastAsia="cs-CZ"/>
              </w:rPr>
              <w:t>.1. Institutional Mandate - legal acts and other agreements</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Legal acts and other agreements - EU level</w:t>
            </w:r>
          </w:p>
          <w:p w:rsidR="00170630" w:rsidRPr="00170630" w:rsidRDefault="00582142" w:rsidP="00170630">
            <w:pPr>
              <w:numPr>
                <w:ilvl w:val="0"/>
                <w:numId w:val="6"/>
              </w:numPr>
              <w:spacing w:before="100" w:beforeAutospacing="1" w:after="100" w:afterAutospacing="1" w:line="240" w:lineRule="auto"/>
              <w:ind w:left="945"/>
              <w:rPr>
                <w:rFonts w:ascii="Times New Roman" w:eastAsia="Times New Roman" w:hAnsi="Times New Roman" w:cs="Times New Roman"/>
                <w:lang w:eastAsia="cs-CZ"/>
              </w:rPr>
            </w:pPr>
            <w:hyperlink r:id="rId19" w:history="1">
              <w:r w:rsidR="00170630" w:rsidRPr="00170630">
                <w:rPr>
                  <w:rFonts w:ascii="Times New Roman" w:eastAsia="Times New Roman" w:hAnsi="Times New Roman" w:cs="Times New Roman"/>
                  <w:color w:val="0F4BA0"/>
                  <w:u w:val="single"/>
                  <w:lang w:eastAsia="cs-CZ"/>
                </w:rPr>
                <w:t>Regulation (EU) 2019/2152</w:t>
              </w:r>
            </w:hyperlink>
            <w:r w:rsidR="00170630" w:rsidRPr="00170630">
              <w:rPr>
                <w:rFonts w:ascii="Times New Roman" w:eastAsia="Times New Roman" w:hAnsi="Times New Roman" w:cs="Times New Roman"/>
                <w:lang w:eastAsia="cs-CZ"/>
              </w:rPr>
              <w:t> of the European Parliament and of the Council of 27 November 2019 on European business statistics;</w:t>
            </w:r>
          </w:p>
          <w:p w:rsidR="00170630" w:rsidRPr="00170630" w:rsidRDefault="00582142" w:rsidP="00170630">
            <w:pPr>
              <w:numPr>
                <w:ilvl w:val="0"/>
                <w:numId w:val="6"/>
              </w:numPr>
              <w:spacing w:before="100" w:beforeAutospacing="1" w:after="100" w:afterAutospacing="1" w:line="240" w:lineRule="auto"/>
              <w:ind w:left="945"/>
              <w:rPr>
                <w:rFonts w:ascii="Times New Roman" w:eastAsia="Times New Roman" w:hAnsi="Times New Roman" w:cs="Times New Roman"/>
                <w:lang w:eastAsia="cs-CZ"/>
              </w:rPr>
            </w:pPr>
            <w:hyperlink r:id="rId20" w:history="1">
              <w:r w:rsidR="00170630" w:rsidRPr="00170630">
                <w:rPr>
                  <w:rFonts w:ascii="Times New Roman" w:eastAsia="Times New Roman" w:hAnsi="Times New Roman" w:cs="Times New Roman"/>
                  <w:color w:val="0F4BA0"/>
                  <w:u w:val="single"/>
                  <w:lang w:eastAsia="cs-CZ"/>
                </w:rPr>
                <w:t>Commission Implementing Regulation (EU) 2020/1197</w:t>
              </w:r>
            </w:hyperlink>
            <w:r w:rsidR="00170630" w:rsidRPr="00170630">
              <w:rPr>
                <w:rFonts w:ascii="Times New Roman" w:eastAsia="Times New Roman" w:hAnsi="Times New Roman" w:cs="Times New Roman"/>
                <w:lang w:eastAsia="cs-CZ"/>
              </w:rPr>
              <w:t> of 30 July 2020 laying down technical specifications and arrangements pursuant to Regulation (EU) 2019/2152 of the European Parliament and of the Council on European business statistics.</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Legal acts and other agreements - national level</w:t>
            </w:r>
          </w:p>
          <w:p w:rsidR="00170630" w:rsidRPr="00170630" w:rsidRDefault="00170630" w:rsidP="00170630">
            <w:pPr>
              <w:numPr>
                <w:ilvl w:val="0"/>
                <w:numId w:val="7"/>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 </w:t>
            </w:r>
            <w:hyperlink r:id="rId21" w:history="1">
              <w:r w:rsidRPr="00170630">
                <w:rPr>
                  <w:rFonts w:ascii="Times New Roman" w:eastAsia="Times New Roman" w:hAnsi="Times New Roman" w:cs="Times New Roman"/>
                  <w:color w:val="0F4BA0"/>
                  <w:u w:val="single"/>
                  <w:lang w:eastAsia="cs-CZ"/>
                </w:rPr>
                <w:t>Act No. 89/1995 Coll., on the State Statistical Service</w:t>
              </w:r>
            </w:hyperlink>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E91291" w:rsidP="00170630">
            <w:pPr>
              <w:spacing w:after="0" w:line="240" w:lineRule="auto"/>
              <w:rPr>
                <w:rFonts w:ascii="Times New Roman" w:eastAsia="Times New Roman" w:hAnsi="Times New Roman" w:cs="Times New Roman"/>
                <w:b/>
                <w:bCs/>
                <w:lang w:eastAsia="cs-CZ"/>
              </w:rPr>
            </w:pPr>
            <w:bookmarkStart w:id="26" w:name="inst_man_shar"/>
            <w:bookmarkEnd w:id="26"/>
            <w:r>
              <w:rPr>
                <w:rFonts w:ascii="Times New Roman" w:eastAsia="Times New Roman" w:hAnsi="Times New Roman" w:cs="Times New Roman"/>
                <w:b/>
                <w:bCs/>
                <w:lang w:eastAsia="cs-CZ"/>
              </w:rPr>
              <w:t>5</w:t>
            </w:r>
            <w:r w:rsidR="00170630" w:rsidRPr="00170630">
              <w:rPr>
                <w:rFonts w:ascii="Times New Roman" w:eastAsia="Times New Roman" w:hAnsi="Times New Roman" w:cs="Times New Roman"/>
                <w:b/>
                <w:bCs/>
                <w:lang w:eastAsia="cs-CZ"/>
              </w:rPr>
              <w:t>.2. Institutional Mandate - data sharing</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w:t>
            </w:r>
            <w:hyperlink r:id="rId22" w:history="1">
              <w:r w:rsidRPr="00170630">
                <w:rPr>
                  <w:rFonts w:ascii="Times New Roman" w:eastAsia="Times New Roman" w:hAnsi="Times New Roman" w:cs="Times New Roman"/>
                  <w:color w:val="0F4BA0"/>
                  <w:u w:val="single"/>
                  <w:lang w:eastAsia="cs-CZ"/>
                </w:rPr>
                <w:t>EBS Regulation (EU) 2019/2152</w:t>
              </w:r>
            </w:hyperlink>
            <w:r w:rsidRPr="00170630">
              <w:rPr>
                <w:rFonts w:ascii="Times New Roman" w:eastAsia="Times New Roman" w:hAnsi="Times New Roman" w:cs="Times New Roman"/>
                <w:lang w:eastAsia="cs-CZ"/>
              </w:rPr>
              <w:t> lays down provisions on the exchange of and access to confidential data for the purpose of the European framework for statistical business registers.  </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w:t>
            </w:r>
            <w:hyperlink r:id="rId23" w:history="1">
              <w:r w:rsidRPr="00170630">
                <w:rPr>
                  <w:rFonts w:ascii="Times New Roman" w:eastAsia="Times New Roman" w:hAnsi="Times New Roman" w:cs="Times New Roman"/>
                  <w:color w:val="0F4BA0"/>
                  <w:u w:val="single"/>
                  <w:lang w:eastAsia="cs-CZ"/>
                </w:rPr>
                <w:t>Commission implementing regulation (EU) 2020/1197</w:t>
              </w:r>
            </w:hyperlink>
            <w:r w:rsidRPr="00170630">
              <w:rPr>
                <w:rFonts w:ascii="Times New Roman" w:eastAsia="Times New Roman" w:hAnsi="Times New Roman" w:cs="Times New Roman"/>
                <w:lang w:eastAsia="cs-CZ"/>
              </w:rPr>
              <w:t> lays down technical specifications and arrangements pursuant to Regulation (EU) 2019/2152, including technical specifications for the exchange of confidential data for the purposes of the European framework for statistical business registers.</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lastRenderedPageBreak/>
              <w:t>At national level, the following agreements or procedures for data sharing and data exchange between national authorities have been established:</w:t>
            </w:r>
          </w:p>
          <w:p w:rsidR="00170630" w:rsidRPr="00170630" w:rsidRDefault="00582142" w:rsidP="00170630">
            <w:pPr>
              <w:numPr>
                <w:ilvl w:val="0"/>
                <w:numId w:val="8"/>
              </w:numPr>
              <w:spacing w:before="100" w:beforeAutospacing="1" w:after="100" w:afterAutospacing="1" w:line="240" w:lineRule="auto"/>
              <w:ind w:left="945"/>
              <w:rPr>
                <w:rFonts w:ascii="Times New Roman" w:eastAsia="Times New Roman" w:hAnsi="Times New Roman" w:cs="Times New Roman"/>
                <w:lang w:eastAsia="cs-CZ"/>
              </w:rPr>
            </w:pPr>
            <w:hyperlink r:id="rId24" w:history="1">
              <w:r w:rsidR="00170630" w:rsidRPr="00170630">
                <w:rPr>
                  <w:rFonts w:ascii="Times New Roman" w:eastAsia="Times New Roman" w:hAnsi="Times New Roman" w:cs="Times New Roman"/>
                  <w:color w:val="0F4BA0"/>
                  <w:u w:val="single"/>
                  <w:lang w:eastAsia="cs-CZ"/>
                </w:rPr>
                <w:t>Act No. 89/1995 Coll., on the State Statistical Service</w:t>
              </w:r>
            </w:hyperlink>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bl>
    <w:p w:rsidR="00170630" w:rsidRPr="00170630" w:rsidRDefault="00170630" w:rsidP="00170630">
      <w:pPr>
        <w:spacing w:before="30" w:after="30" w:line="240" w:lineRule="auto"/>
        <w:rPr>
          <w:rFonts w:ascii="Times New Roman" w:eastAsia="Times New Roman" w:hAnsi="Times New Roman" w:cs="Times New Roman"/>
          <w:lang w:eastAsia="cs-CZ"/>
        </w:rPr>
      </w:pPr>
    </w:p>
    <w:tbl>
      <w:tblPr>
        <w:tblW w:w="4952" w:type="pct"/>
        <w:tblCellMar>
          <w:left w:w="0" w:type="dxa"/>
          <w:right w:w="0" w:type="dxa"/>
        </w:tblCellMar>
        <w:tblLook w:val="04A0" w:firstRow="1" w:lastRow="0" w:firstColumn="1" w:lastColumn="0" w:noHBand="0" w:noVBand="1"/>
      </w:tblPr>
      <w:tblGrid>
        <w:gridCol w:w="8945"/>
        <w:gridCol w:w="20"/>
      </w:tblGrid>
      <w:tr w:rsidR="00170630" w:rsidRPr="00170630" w:rsidTr="00130234">
        <w:trPr>
          <w:gridAfter w:val="1"/>
          <w:wAfter w:w="11" w:type="pct"/>
        </w:trPr>
        <w:tc>
          <w:tcPr>
            <w:tcW w:w="4989" w:type="pct"/>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4352" w:type="pct"/>
              <w:tblCellSpacing w:w="0" w:type="dxa"/>
              <w:tblCellMar>
                <w:left w:w="0" w:type="dxa"/>
                <w:right w:w="0" w:type="dxa"/>
              </w:tblCellMar>
              <w:tblLook w:val="04A0" w:firstRow="1" w:lastRow="0" w:firstColumn="1" w:lastColumn="0" w:noHBand="0" w:noVBand="1"/>
            </w:tblPr>
            <w:tblGrid>
              <w:gridCol w:w="7561"/>
            </w:tblGrid>
            <w:tr w:rsidR="00940951" w:rsidRPr="00170630" w:rsidTr="00940951">
              <w:trPr>
                <w:tblCellSpacing w:w="0" w:type="dxa"/>
              </w:trPr>
              <w:tc>
                <w:tcPr>
                  <w:tcW w:w="0" w:type="auto"/>
                  <w:vAlign w:val="center"/>
                  <w:hideMark/>
                </w:tcPr>
                <w:p w:rsidR="00940951" w:rsidRPr="00170630" w:rsidRDefault="00940951" w:rsidP="00170630">
                  <w:pPr>
                    <w:spacing w:after="0" w:line="240" w:lineRule="auto"/>
                    <w:rPr>
                      <w:rFonts w:ascii="Times New Roman" w:eastAsia="Times New Roman" w:hAnsi="Times New Roman" w:cs="Times New Roman"/>
                      <w:b/>
                      <w:bCs/>
                      <w:sz w:val="32"/>
                      <w:szCs w:val="32"/>
                      <w:lang w:eastAsia="cs-CZ"/>
                    </w:rPr>
                  </w:pPr>
                  <w:bookmarkStart w:id="27" w:name="conf1651497095067"/>
                  <w:bookmarkStart w:id="28" w:name="conf"/>
                  <w:bookmarkEnd w:id="27"/>
                  <w:bookmarkEnd w:id="28"/>
                  <w:r>
                    <w:rPr>
                      <w:rFonts w:ascii="Times New Roman" w:eastAsia="Times New Roman" w:hAnsi="Times New Roman" w:cs="Times New Roman"/>
                      <w:b/>
                      <w:bCs/>
                      <w:sz w:val="32"/>
                      <w:szCs w:val="32"/>
                      <w:lang w:eastAsia="cs-CZ"/>
                    </w:rPr>
                    <w:t>6</w:t>
                  </w:r>
                  <w:r w:rsidRPr="00170630">
                    <w:rPr>
                      <w:rFonts w:ascii="Times New Roman" w:eastAsia="Times New Roman" w:hAnsi="Times New Roman" w:cs="Times New Roman"/>
                      <w:b/>
                      <w:bCs/>
                      <w:sz w:val="32"/>
                      <w:szCs w:val="32"/>
                      <w:lang w:eastAsia="cs-CZ"/>
                    </w:rPr>
                    <w:t>. Confidentiality</w:t>
                  </w:r>
                </w:p>
              </w:tc>
            </w:tr>
          </w:tbl>
          <w:p w:rsidR="00170630" w:rsidRPr="00170630" w:rsidRDefault="00170630" w:rsidP="00170630">
            <w:pPr>
              <w:spacing w:after="0" w:line="240" w:lineRule="auto"/>
              <w:rPr>
                <w:rFonts w:ascii="Times New Roman" w:eastAsia="Times New Roman" w:hAnsi="Times New Roman" w:cs="Times New Roman"/>
                <w:b/>
                <w:bCs/>
                <w:color w:val="000000"/>
                <w:sz w:val="32"/>
                <w:szCs w:val="32"/>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940951" w:rsidP="00170630">
            <w:pPr>
              <w:spacing w:after="0" w:line="240" w:lineRule="auto"/>
              <w:rPr>
                <w:rFonts w:ascii="Times New Roman" w:eastAsia="Times New Roman" w:hAnsi="Times New Roman" w:cs="Times New Roman"/>
                <w:b/>
                <w:bCs/>
                <w:lang w:eastAsia="cs-CZ"/>
              </w:rPr>
            </w:pPr>
            <w:bookmarkStart w:id="29" w:name="conf_policy"/>
            <w:bookmarkEnd w:id="29"/>
            <w:r>
              <w:rPr>
                <w:rFonts w:ascii="Times New Roman" w:eastAsia="Times New Roman" w:hAnsi="Times New Roman" w:cs="Times New Roman"/>
                <w:b/>
                <w:bCs/>
                <w:lang w:eastAsia="cs-CZ"/>
              </w:rPr>
              <w:t>6</w:t>
            </w:r>
            <w:r w:rsidR="00170630" w:rsidRPr="00170630">
              <w:rPr>
                <w:rFonts w:ascii="Times New Roman" w:eastAsia="Times New Roman" w:hAnsi="Times New Roman" w:cs="Times New Roman"/>
                <w:b/>
                <w:bCs/>
                <w:lang w:eastAsia="cs-CZ"/>
              </w:rPr>
              <w:t xml:space="preserve">.1. Confidentiality </w:t>
            </w:r>
            <w:r w:rsidR="00885691">
              <w:rPr>
                <w:rFonts w:ascii="Times New Roman" w:eastAsia="Times New Roman" w:hAnsi="Times New Roman" w:cs="Times New Roman"/>
                <w:b/>
                <w:bCs/>
                <w:lang w:eastAsia="cs-CZ"/>
              </w:rPr>
              <w:t>–</w:t>
            </w:r>
            <w:r w:rsidR="00170630" w:rsidRPr="00170630">
              <w:rPr>
                <w:rFonts w:ascii="Times New Roman" w:eastAsia="Times New Roman" w:hAnsi="Times New Roman" w:cs="Times New Roman"/>
                <w:b/>
                <w:bCs/>
                <w:lang w:eastAsia="cs-CZ"/>
              </w:rPr>
              <w:t xml:space="preserve"> policy</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582142" w:rsidP="00170630">
            <w:pPr>
              <w:spacing w:before="30" w:after="30" w:line="240" w:lineRule="auto"/>
              <w:rPr>
                <w:rFonts w:ascii="Times New Roman" w:eastAsia="Times New Roman" w:hAnsi="Times New Roman" w:cs="Times New Roman"/>
                <w:lang w:eastAsia="cs-CZ"/>
              </w:rPr>
            </w:pPr>
            <w:hyperlink r:id="rId25" w:tgtFrame="_blank" w:history="1">
              <w:r w:rsidR="00170630" w:rsidRPr="00170630">
                <w:rPr>
                  <w:rFonts w:ascii="Times New Roman" w:eastAsia="Times New Roman" w:hAnsi="Times New Roman" w:cs="Times New Roman"/>
                  <w:color w:val="0F4BA0"/>
                  <w:u w:val="single"/>
                  <w:lang w:eastAsia="cs-CZ"/>
                </w:rPr>
                <w:t>Regulation (EC) No 223/2009</w:t>
              </w:r>
            </w:hyperlink>
            <w:r w:rsidR="00170630" w:rsidRPr="00170630">
              <w:rPr>
                <w:rFonts w:ascii="Times New Roman" w:eastAsia="Times New Roman" w:hAnsi="Times New Roman" w:cs="Times New Roman"/>
                <w:lang w:eastAsia="cs-CZ"/>
              </w:rPr>
              <w:t> (recital 24 and Article 20(4)) of 11 March 2009 (OJ L 87, p. 164) on European statistics stipulates the need to establish common principles and guidelines ensuring the confidentiality of data used for the production of European statistics and the access to those confidential data with due account for technical developments and the requirements of users in a democratic society.</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following policy rules are applied at national level:</w:t>
            </w:r>
          </w:p>
          <w:p w:rsidR="00170630" w:rsidRPr="00170630" w:rsidRDefault="00582142" w:rsidP="00170630">
            <w:pPr>
              <w:numPr>
                <w:ilvl w:val="0"/>
                <w:numId w:val="9"/>
              </w:numPr>
              <w:spacing w:before="100" w:beforeAutospacing="1" w:after="100" w:afterAutospacing="1" w:line="240" w:lineRule="auto"/>
              <w:ind w:left="945"/>
              <w:rPr>
                <w:rFonts w:ascii="Times New Roman" w:eastAsia="Times New Roman" w:hAnsi="Times New Roman" w:cs="Times New Roman"/>
                <w:lang w:eastAsia="cs-CZ"/>
              </w:rPr>
            </w:pPr>
            <w:hyperlink r:id="rId26" w:history="1">
              <w:r w:rsidR="00170630" w:rsidRPr="00170630">
                <w:rPr>
                  <w:rFonts w:ascii="Times New Roman" w:eastAsia="Times New Roman" w:hAnsi="Times New Roman" w:cs="Times New Roman"/>
                  <w:color w:val="0F4BA0"/>
                  <w:u w:val="single"/>
                  <w:lang w:eastAsia="cs-CZ"/>
                </w:rPr>
                <w:t>Act No. 89/1995 Coll., on the State Statistical Service</w:t>
              </w:r>
            </w:hyperlink>
          </w:p>
          <w:p w:rsidR="00170630" w:rsidRPr="00170630" w:rsidRDefault="00170630" w:rsidP="00170630">
            <w:pPr>
              <w:numPr>
                <w:ilvl w:val="0"/>
                <w:numId w:val="9"/>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Directive no. 3/2015 of the Czech Statistical Office on principles of providing the information to external users</w:t>
            </w:r>
          </w:p>
          <w:p w:rsidR="00170630" w:rsidRPr="00170630" w:rsidRDefault="00582142" w:rsidP="00170630">
            <w:pPr>
              <w:numPr>
                <w:ilvl w:val="0"/>
                <w:numId w:val="9"/>
              </w:numPr>
              <w:spacing w:before="100" w:beforeAutospacing="1" w:after="100" w:afterAutospacing="1" w:line="240" w:lineRule="auto"/>
              <w:ind w:left="945"/>
              <w:rPr>
                <w:rFonts w:ascii="Times New Roman" w:eastAsia="Times New Roman" w:hAnsi="Times New Roman" w:cs="Times New Roman"/>
                <w:lang w:eastAsia="cs-CZ"/>
              </w:rPr>
            </w:pPr>
            <w:hyperlink r:id="rId27" w:history="1">
              <w:r w:rsidR="00170630" w:rsidRPr="00170630">
                <w:rPr>
                  <w:rFonts w:ascii="Times New Roman" w:eastAsia="Times New Roman" w:hAnsi="Times New Roman" w:cs="Times New Roman"/>
                  <w:color w:val="0F4BA0"/>
                  <w:u w:val="single"/>
                  <w:lang w:eastAsia="cs-CZ"/>
                </w:rPr>
                <w:t>Dissemination Policy of the Czech Statistical Office (March 2013)</w:t>
              </w:r>
            </w:hyperlink>
          </w:p>
          <w:p w:rsidR="00170630" w:rsidRPr="00170630" w:rsidRDefault="00582142" w:rsidP="00170630">
            <w:pPr>
              <w:numPr>
                <w:ilvl w:val="0"/>
                <w:numId w:val="9"/>
              </w:numPr>
              <w:spacing w:before="100" w:beforeAutospacing="1" w:after="100" w:afterAutospacing="1" w:line="240" w:lineRule="auto"/>
              <w:ind w:left="945"/>
              <w:rPr>
                <w:rFonts w:ascii="Times New Roman" w:eastAsia="Times New Roman" w:hAnsi="Times New Roman" w:cs="Times New Roman"/>
                <w:lang w:eastAsia="cs-CZ"/>
              </w:rPr>
            </w:pPr>
            <w:hyperlink r:id="rId28" w:history="1">
              <w:r w:rsidR="00170630" w:rsidRPr="00170630">
                <w:rPr>
                  <w:rFonts w:ascii="Times New Roman" w:eastAsia="Times New Roman" w:hAnsi="Times New Roman" w:cs="Times New Roman"/>
                  <w:color w:val="0F4BA0"/>
                  <w:u w:val="single"/>
                  <w:lang w:eastAsia="cs-CZ"/>
                </w:rPr>
                <w:t>The CZSO Framework Security Policy</w:t>
              </w:r>
            </w:hyperlink>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940951" w:rsidP="00170630">
            <w:pPr>
              <w:spacing w:after="0" w:line="240" w:lineRule="auto"/>
              <w:rPr>
                <w:rFonts w:ascii="Times New Roman" w:eastAsia="Times New Roman" w:hAnsi="Times New Roman" w:cs="Times New Roman"/>
                <w:b/>
                <w:bCs/>
                <w:lang w:eastAsia="cs-CZ"/>
              </w:rPr>
            </w:pPr>
            <w:bookmarkStart w:id="30" w:name="conf_data_tr"/>
            <w:bookmarkEnd w:id="30"/>
            <w:r>
              <w:rPr>
                <w:rFonts w:ascii="Times New Roman" w:eastAsia="Times New Roman" w:hAnsi="Times New Roman" w:cs="Times New Roman"/>
                <w:b/>
                <w:bCs/>
                <w:lang w:eastAsia="cs-CZ"/>
              </w:rPr>
              <w:t>6</w:t>
            </w:r>
            <w:r w:rsidR="00170630" w:rsidRPr="00170630">
              <w:rPr>
                <w:rFonts w:ascii="Times New Roman" w:eastAsia="Times New Roman" w:hAnsi="Times New Roman" w:cs="Times New Roman"/>
                <w:b/>
                <w:bCs/>
                <w:lang w:eastAsia="cs-CZ"/>
              </w:rPr>
              <w:t>.2. Confidentiality - data treatment</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 xml:space="preserve">According to policy rules </w:t>
            </w:r>
            <w:r w:rsidR="00940951">
              <w:rPr>
                <w:rFonts w:ascii="Times New Roman" w:eastAsia="Times New Roman" w:hAnsi="Times New Roman" w:cs="Times New Roman"/>
                <w:lang w:eastAsia="cs-CZ"/>
              </w:rPr>
              <w:t>(see section 6</w:t>
            </w:r>
            <w:r w:rsidRPr="00170630">
              <w:rPr>
                <w:rFonts w:ascii="Times New Roman" w:eastAsia="Times New Roman" w:hAnsi="Times New Roman" w:cs="Times New Roman"/>
                <w:lang w:eastAsia="cs-CZ"/>
              </w:rPr>
              <w:t>.1).</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bl>
    <w:p w:rsidR="00170630" w:rsidRPr="00170630" w:rsidRDefault="00170630" w:rsidP="00170630">
      <w:pPr>
        <w:spacing w:before="30" w:after="30" w:line="240" w:lineRule="auto"/>
        <w:rPr>
          <w:rFonts w:ascii="Times New Roman" w:eastAsia="Times New Roman" w:hAnsi="Times New Roman" w:cs="Times New Roman"/>
          <w:lang w:eastAsia="cs-CZ"/>
        </w:rPr>
      </w:pPr>
    </w:p>
    <w:tbl>
      <w:tblPr>
        <w:tblW w:w="4952" w:type="pct"/>
        <w:tblCellMar>
          <w:left w:w="0" w:type="dxa"/>
          <w:right w:w="0" w:type="dxa"/>
        </w:tblCellMar>
        <w:tblLook w:val="04A0" w:firstRow="1" w:lastRow="0" w:firstColumn="1" w:lastColumn="0" w:noHBand="0" w:noVBand="1"/>
      </w:tblPr>
      <w:tblGrid>
        <w:gridCol w:w="8945"/>
        <w:gridCol w:w="20"/>
      </w:tblGrid>
      <w:tr w:rsidR="00170630" w:rsidRPr="00170630" w:rsidTr="00130234">
        <w:trPr>
          <w:gridAfter w:val="1"/>
          <w:wAfter w:w="11" w:type="pct"/>
        </w:trPr>
        <w:tc>
          <w:tcPr>
            <w:tcW w:w="4989" w:type="pct"/>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4319" w:type="pct"/>
              <w:tblCellSpacing w:w="0" w:type="dxa"/>
              <w:tblCellMar>
                <w:left w:w="0" w:type="dxa"/>
                <w:right w:w="0" w:type="dxa"/>
              </w:tblCellMar>
              <w:tblLook w:val="04A0" w:firstRow="1" w:lastRow="0" w:firstColumn="1" w:lastColumn="0" w:noHBand="0" w:noVBand="1"/>
            </w:tblPr>
            <w:tblGrid>
              <w:gridCol w:w="7504"/>
            </w:tblGrid>
            <w:tr w:rsidR="00940951" w:rsidRPr="00170630" w:rsidTr="00940951">
              <w:trPr>
                <w:tblCellSpacing w:w="0" w:type="dxa"/>
              </w:trPr>
              <w:tc>
                <w:tcPr>
                  <w:tcW w:w="0" w:type="auto"/>
                  <w:vAlign w:val="center"/>
                  <w:hideMark/>
                </w:tcPr>
                <w:p w:rsidR="00940951" w:rsidRPr="00170630" w:rsidRDefault="00940951" w:rsidP="00170630">
                  <w:pPr>
                    <w:spacing w:after="0" w:line="240" w:lineRule="auto"/>
                    <w:rPr>
                      <w:rFonts w:ascii="Times New Roman" w:eastAsia="Times New Roman" w:hAnsi="Times New Roman" w:cs="Times New Roman"/>
                      <w:b/>
                      <w:bCs/>
                      <w:sz w:val="32"/>
                      <w:szCs w:val="32"/>
                      <w:lang w:eastAsia="cs-CZ"/>
                    </w:rPr>
                  </w:pPr>
                  <w:bookmarkStart w:id="31" w:name="rel_policy1651497095067"/>
                  <w:bookmarkStart w:id="32" w:name="rel_policy"/>
                  <w:bookmarkEnd w:id="31"/>
                  <w:bookmarkEnd w:id="32"/>
                  <w:r>
                    <w:rPr>
                      <w:rFonts w:ascii="Times New Roman" w:eastAsia="Times New Roman" w:hAnsi="Times New Roman" w:cs="Times New Roman"/>
                      <w:b/>
                      <w:bCs/>
                      <w:sz w:val="32"/>
                      <w:szCs w:val="32"/>
                      <w:lang w:eastAsia="cs-CZ"/>
                    </w:rPr>
                    <w:t>7</w:t>
                  </w:r>
                  <w:r w:rsidRPr="00170630">
                    <w:rPr>
                      <w:rFonts w:ascii="Times New Roman" w:eastAsia="Times New Roman" w:hAnsi="Times New Roman" w:cs="Times New Roman"/>
                      <w:b/>
                      <w:bCs/>
                      <w:sz w:val="32"/>
                      <w:szCs w:val="32"/>
                      <w:lang w:eastAsia="cs-CZ"/>
                    </w:rPr>
                    <w:t>. Release policy</w:t>
                  </w:r>
                </w:p>
              </w:tc>
            </w:tr>
          </w:tbl>
          <w:p w:rsidR="00170630" w:rsidRPr="00170630" w:rsidRDefault="00170630" w:rsidP="00170630">
            <w:pPr>
              <w:spacing w:after="0" w:line="240" w:lineRule="auto"/>
              <w:rPr>
                <w:rFonts w:ascii="Times New Roman" w:eastAsia="Times New Roman" w:hAnsi="Times New Roman" w:cs="Times New Roman"/>
                <w:b/>
                <w:bCs/>
                <w:color w:val="000000"/>
                <w:sz w:val="32"/>
                <w:szCs w:val="32"/>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940951" w:rsidP="00170630">
            <w:pPr>
              <w:spacing w:after="0" w:line="240" w:lineRule="auto"/>
              <w:rPr>
                <w:rFonts w:ascii="Times New Roman" w:eastAsia="Times New Roman" w:hAnsi="Times New Roman" w:cs="Times New Roman"/>
                <w:b/>
                <w:bCs/>
                <w:lang w:eastAsia="cs-CZ"/>
              </w:rPr>
            </w:pPr>
            <w:bookmarkStart w:id="33" w:name="rel_cal_policy"/>
            <w:bookmarkEnd w:id="33"/>
            <w:r>
              <w:rPr>
                <w:rFonts w:ascii="Times New Roman" w:eastAsia="Times New Roman" w:hAnsi="Times New Roman" w:cs="Times New Roman"/>
                <w:b/>
                <w:bCs/>
                <w:lang w:eastAsia="cs-CZ"/>
              </w:rPr>
              <w:t>7</w:t>
            </w:r>
            <w:r w:rsidR="00170630" w:rsidRPr="00170630">
              <w:rPr>
                <w:rFonts w:ascii="Times New Roman" w:eastAsia="Times New Roman" w:hAnsi="Times New Roman" w:cs="Times New Roman"/>
                <w:b/>
                <w:bCs/>
                <w:lang w:eastAsia="cs-CZ"/>
              </w:rPr>
              <w:t>.1. Release calendar</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preliminary frames of the national statistical business register are released according to the statistical user needs, as follows:</w:t>
            </w:r>
          </w:p>
          <w:p w:rsidR="00170630" w:rsidRPr="00170630" w:rsidRDefault="00170630" w:rsidP="00170630">
            <w:pPr>
              <w:numPr>
                <w:ilvl w:val="0"/>
                <w:numId w:val="10"/>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T+ 0 months to STS domain;</w:t>
            </w:r>
          </w:p>
          <w:p w:rsidR="00170630" w:rsidRPr="00170630" w:rsidRDefault="00170630" w:rsidP="00170630">
            <w:pPr>
              <w:numPr>
                <w:ilvl w:val="0"/>
                <w:numId w:val="10"/>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T+ 0 months to SBS domain;</w:t>
            </w:r>
          </w:p>
          <w:p w:rsidR="00170630" w:rsidRPr="00170630" w:rsidRDefault="00170630" w:rsidP="00170630">
            <w:pPr>
              <w:numPr>
                <w:ilvl w:val="0"/>
                <w:numId w:val="10"/>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T+ 0 months to FATS;</w:t>
            </w:r>
          </w:p>
          <w:p w:rsidR="00170630" w:rsidRPr="00170630" w:rsidRDefault="00170630" w:rsidP="00170630">
            <w:pPr>
              <w:numPr>
                <w:ilvl w:val="0"/>
                <w:numId w:val="10"/>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T+ 0 months to ITGS;</w:t>
            </w:r>
          </w:p>
          <w:p w:rsidR="00170630" w:rsidRPr="00170630" w:rsidRDefault="00170630" w:rsidP="00170630">
            <w:pPr>
              <w:numPr>
                <w:ilvl w:val="0"/>
                <w:numId w:val="10"/>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T+ 0 months to ITSS;</w:t>
            </w:r>
          </w:p>
          <w:p w:rsidR="00170630" w:rsidRPr="00170630" w:rsidRDefault="00170630" w:rsidP="00170630">
            <w:pPr>
              <w:numPr>
                <w:ilvl w:val="0"/>
                <w:numId w:val="10"/>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T+ 0 months to CIS (Community Innovation Survey);</w:t>
            </w:r>
          </w:p>
          <w:p w:rsidR="00170630" w:rsidRPr="00170630" w:rsidRDefault="00170630" w:rsidP="00170630">
            <w:pPr>
              <w:numPr>
                <w:ilvl w:val="0"/>
                <w:numId w:val="10"/>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T+ 0 months to ICT survey;</w:t>
            </w:r>
          </w:p>
          <w:p w:rsidR="00170630" w:rsidRPr="00170630" w:rsidRDefault="00170630" w:rsidP="00170630">
            <w:pPr>
              <w:numPr>
                <w:ilvl w:val="0"/>
                <w:numId w:val="10"/>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T+ 0 months to R&amp;D;</w:t>
            </w:r>
          </w:p>
          <w:p w:rsidR="00170630" w:rsidRPr="00170630" w:rsidRDefault="00170630" w:rsidP="00170630">
            <w:pPr>
              <w:numPr>
                <w:ilvl w:val="0"/>
                <w:numId w:val="10"/>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T+ 11 months to EGR.</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final frame of the national statistical business register is released in T+ 0 months.</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940951" w:rsidP="00170630">
            <w:pPr>
              <w:spacing w:after="0" w:line="240" w:lineRule="auto"/>
              <w:rPr>
                <w:rFonts w:ascii="Times New Roman" w:eastAsia="Times New Roman" w:hAnsi="Times New Roman" w:cs="Times New Roman"/>
                <w:b/>
                <w:bCs/>
                <w:lang w:eastAsia="cs-CZ"/>
              </w:rPr>
            </w:pPr>
            <w:bookmarkStart w:id="34" w:name="rel_cal_access"/>
            <w:bookmarkEnd w:id="34"/>
            <w:r>
              <w:rPr>
                <w:rFonts w:ascii="Times New Roman" w:eastAsia="Times New Roman" w:hAnsi="Times New Roman" w:cs="Times New Roman"/>
                <w:b/>
                <w:bCs/>
                <w:lang w:eastAsia="cs-CZ"/>
              </w:rPr>
              <w:t>7</w:t>
            </w:r>
            <w:r w:rsidR="00170630" w:rsidRPr="00170630">
              <w:rPr>
                <w:rFonts w:ascii="Times New Roman" w:eastAsia="Times New Roman" w:hAnsi="Times New Roman" w:cs="Times New Roman"/>
                <w:b/>
                <w:bCs/>
                <w:lang w:eastAsia="cs-CZ"/>
              </w:rPr>
              <w:t>.2. Release calendar access</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Not applicable.</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bl>
    <w:p w:rsidR="00170630" w:rsidRDefault="00170630" w:rsidP="00170630">
      <w:pPr>
        <w:spacing w:before="30" w:after="30" w:line="240" w:lineRule="auto"/>
        <w:rPr>
          <w:rFonts w:ascii="Times New Roman" w:eastAsia="Times New Roman" w:hAnsi="Times New Roman" w:cs="Times New Roman"/>
          <w:lang w:eastAsia="cs-CZ"/>
        </w:rPr>
      </w:pPr>
      <w:bookmarkStart w:id="35" w:name="rel_pol_us_ac"/>
      <w:bookmarkEnd w:id="35"/>
    </w:p>
    <w:p w:rsidR="00940951" w:rsidRDefault="00940951" w:rsidP="00170630">
      <w:pPr>
        <w:spacing w:before="30" w:after="30" w:line="240" w:lineRule="auto"/>
        <w:rPr>
          <w:rFonts w:ascii="Times New Roman" w:eastAsia="Times New Roman" w:hAnsi="Times New Roman" w:cs="Times New Roman"/>
          <w:lang w:eastAsia="cs-CZ"/>
        </w:rPr>
      </w:pPr>
    </w:p>
    <w:p w:rsidR="00940951" w:rsidRPr="00170630" w:rsidRDefault="00940951" w:rsidP="00170630">
      <w:pPr>
        <w:spacing w:before="30" w:after="30" w:line="240" w:lineRule="auto"/>
        <w:rPr>
          <w:rFonts w:ascii="Times New Roman" w:eastAsia="Times New Roman" w:hAnsi="Times New Roman" w:cs="Times New Roman"/>
          <w:lang w:eastAsia="cs-CZ"/>
        </w:rPr>
      </w:pPr>
    </w:p>
    <w:tbl>
      <w:tblPr>
        <w:tblW w:w="4952" w:type="pct"/>
        <w:tblCellMar>
          <w:left w:w="0" w:type="dxa"/>
          <w:right w:w="0" w:type="dxa"/>
        </w:tblCellMar>
        <w:tblLook w:val="04A0" w:firstRow="1" w:lastRow="0" w:firstColumn="1" w:lastColumn="0" w:noHBand="0" w:noVBand="1"/>
      </w:tblPr>
      <w:tblGrid>
        <w:gridCol w:w="8945"/>
        <w:gridCol w:w="20"/>
      </w:tblGrid>
      <w:tr w:rsidR="00170630" w:rsidRPr="00170630" w:rsidTr="00130234">
        <w:trPr>
          <w:gridAfter w:val="1"/>
          <w:wAfter w:w="11" w:type="pct"/>
        </w:trPr>
        <w:tc>
          <w:tcPr>
            <w:tcW w:w="4989" w:type="pct"/>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4840" w:type="pct"/>
              <w:tblCellSpacing w:w="0" w:type="dxa"/>
              <w:tblCellMar>
                <w:left w:w="0" w:type="dxa"/>
                <w:right w:w="0" w:type="dxa"/>
              </w:tblCellMar>
              <w:tblLook w:val="04A0" w:firstRow="1" w:lastRow="0" w:firstColumn="1" w:lastColumn="0" w:noHBand="0" w:noVBand="1"/>
            </w:tblPr>
            <w:tblGrid>
              <w:gridCol w:w="8409"/>
            </w:tblGrid>
            <w:tr w:rsidR="00940951" w:rsidRPr="00170630" w:rsidTr="00940951">
              <w:trPr>
                <w:tblCellSpacing w:w="0" w:type="dxa"/>
              </w:trPr>
              <w:tc>
                <w:tcPr>
                  <w:tcW w:w="0" w:type="auto"/>
                  <w:vAlign w:val="center"/>
                  <w:hideMark/>
                </w:tcPr>
                <w:p w:rsidR="00940951" w:rsidRPr="00170630" w:rsidRDefault="00940951" w:rsidP="00170630">
                  <w:pPr>
                    <w:spacing w:after="0" w:line="240" w:lineRule="auto"/>
                    <w:rPr>
                      <w:rFonts w:ascii="Times New Roman" w:eastAsia="Times New Roman" w:hAnsi="Times New Roman" w:cs="Times New Roman"/>
                      <w:b/>
                      <w:bCs/>
                      <w:sz w:val="32"/>
                      <w:szCs w:val="32"/>
                      <w:lang w:eastAsia="cs-CZ"/>
                    </w:rPr>
                  </w:pPr>
                  <w:bookmarkStart w:id="36" w:name="freq_diss1651497095067"/>
                  <w:bookmarkStart w:id="37" w:name="freq_diss"/>
                  <w:bookmarkEnd w:id="36"/>
                  <w:bookmarkEnd w:id="37"/>
                  <w:r>
                    <w:rPr>
                      <w:rFonts w:ascii="Times New Roman" w:eastAsia="Times New Roman" w:hAnsi="Times New Roman" w:cs="Times New Roman"/>
                      <w:b/>
                      <w:bCs/>
                      <w:sz w:val="32"/>
                      <w:szCs w:val="32"/>
                      <w:lang w:eastAsia="cs-CZ"/>
                    </w:rPr>
                    <w:t>8</w:t>
                  </w:r>
                  <w:r w:rsidRPr="00170630">
                    <w:rPr>
                      <w:rFonts w:ascii="Times New Roman" w:eastAsia="Times New Roman" w:hAnsi="Times New Roman" w:cs="Times New Roman"/>
                      <w:b/>
                      <w:bCs/>
                      <w:sz w:val="32"/>
                      <w:szCs w:val="32"/>
                      <w:lang w:eastAsia="cs-CZ"/>
                    </w:rPr>
                    <w:t>. Frequency of dissemination</w:t>
                  </w:r>
                </w:p>
              </w:tc>
            </w:tr>
          </w:tbl>
          <w:p w:rsidR="00170630" w:rsidRPr="00170630" w:rsidRDefault="00170630" w:rsidP="00170630">
            <w:pPr>
              <w:spacing w:after="0" w:line="240" w:lineRule="auto"/>
              <w:rPr>
                <w:rFonts w:ascii="Times New Roman" w:eastAsia="Times New Roman" w:hAnsi="Times New Roman" w:cs="Times New Roman"/>
                <w:b/>
                <w:bCs/>
                <w:color w:val="000000"/>
                <w:sz w:val="32"/>
                <w:szCs w:val="32"/>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940951">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lastRenderedPageBreak/>
              <w:t>The final frame for a reference year T is available on annual bases in T+ 0 months. The annual copy is kept for 30 yea</w:t>
            </w:r>
            <w:r w:rsidR="00940951">
              <w:rPr>
                <w:rFonts w:ascii="Times New Roman" w:eastAsia="Times New Roman" w:hAnsi="Times New Roman" w:cs="Times New Roman"/>
                <w:lang w:eastAsia="cs-CZ"/>
              </w:rPr>
              <w:t>rs for the purpose of analysis.</w:t>
            </w:r>
            <w:r w:rsidRPr="00170630">
              <w:rPr>
                <w:rFonts w:ascii="Times New Roman" w:eastAsia="Times New Roman" w:hAnsi="Times New Roman" w:cs="Times New Roman"/>
                <w:lang w:eastAsia="cs-CZ"/>
              </w:rPr>
              <w:t> </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bl>
    <w:p w:rsidR="00170630" w:rsidRPr="00170630" w:rsidRDefault="00170630" w:rsidP="00170630">
      <w:pPr>
        <w:spacing w:before="30" w:after="30" w:line="240" w:lineRule="auto"/>
        <w:rPr>
          <w:rFonts w:ascii="Times New Roman" w:eastAsia="Times New Roman" w:hAnsi="Times New Roman" w:cs="Times New Roman"/>
          <w:lang w:eastAsia="cs-CZ"/>
        </w:rPr>
      </w:pPr>
    </w:p>
    <w:tbl>
      <w:tblPr>
        <w:tblW w:w="4952" w:type="pct"/>
        <w:tblCellMar>
          <w:left w:w="0" w:type="dxa"/>
          <w:right w:w="0" w:type="dxa"/>
        </w:tblCellMar>
        <w:tblLook w:val="04A0" w:firstRow="1" w:lastRow="0" w:firstColumn="1" w:lastColumn="0" w:noHBand="0" w:noVBand="1"/>
      </w:tblPr>
      <w:tblGrid>
        <w:gridCol w:w="8945"/>
        <w:gridCol w:w="20"/>
      </w:tblGrid>
      <w:tr w:rsidR="00170630" w:rsidRPr="00170630" w:rsidTr="00130234">
        <w:trPr>
          <w:gridAfter w:val="1"/>
          <w:wAfter w:w="11" w:type="pct"/>
        </w:trPr>
        <w:tc>
          <w:tcPr>
            <w:tcW w:w="4989" w:type="pct"/>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8673"/>
              <w:gridCol w:w="14"/>
            </w:tblGrid>
            <w:tr w:rsidR="00170630" w:rsidRPr="00170630">
              <w:trPr>
                <w:tblCellSpacing w:w="0" w:type="dxa"/>
              </w:trPr>
              <w:tc>
                <w:tcPr>
                  <w:tcW w:w="0" w:type="auto"/>
                  <w:vAlign w:val="center"/>
                  <w:hideMark/>
                </w:tcPr>
                <w:p w:rsidR="00170630" w:rsidRPr="00170630" w:rsidRDefault="00940951" w:rsidP="00170630">
                  <w:pPr>
                    <w:spacing w:after="0" w:line="240" w:lineRule="auto"/>
                    <w:rPr>
                      <w:rFonts w:ascii="Times New Roman" w:eastAsia="Times New Roman" w:hAnsi="Times New Roman" w:cs="Times New Roman"/>
                      <w:b/>
                      <w:bCs/>
                      <w:sz w:val="32"/>
                      <w:szCs w:val="32"/>
                      <w:lang w:eastAsia="cs-CZ"/>
                    </w:rPr>
                  </w:pPr>
                  <w:bookmarkStart w:id="38" w:name="accessibility_clarity1651497095067"/>
                  <w:bookmarkStart w:id="39" w:name="accessibility_clarity"/>
                  <w:bookmarkEnd w:id="38"/>
                  <w:bookmarkEnd w:id="39"/>
                  <w:r>
                    <w:rPr>
                      <w:rFonts w:ascii="Times New Roman" w:eastAsia="Times New Roman" w:hAnsi="Times New Roman" w:cs="Times New Roman"/>
                      <w:b/>
                      <w:bCs/>
                      <w:sz w:val="32"/>
                      <w:szCs w:val="32"/>
                      <w:lang w:eastAsia="cs-CZ"/>
                    </w:rPr>
                    <w:t>9</w:t>
                  </w:r>
                  <w:r w:rsidR="00170630" w:rsidRPr="00170630">
                    <w:rPr>
                      <w:rFonts w:ascii="Times New Roman" w:eastAsia="Times New Roman" w:hAnsi="Times New Roman" w:cs="Times New Roman"/>
                      <w:b/>
                      <w:bCs/>
                      <w:sz w:val="32"/>
                      <w:szCs w:val="32"/>
                      <w:lang w:eastAsia="cs-CZ"/>
                    </w:rPr>
                    <w:t>. Accessibility and clarity</w:t>
                  </w:r>
                </w:p>
              </w:tc>
              <w:tc>
                <w:tcPr>
                  <w:tcW w:w="0" w:type="auto"/>
                  <w:vAlign w:val="center"/>
                  <w:hideMark/>
                </w:tcPr>
                <w:p w:rsidR="00170630" w:rsidRPr="00170630" w:rsidRDefault="00170630" w:rsidP="00A83D39">
                  <w:pPr>
                    <w:spacing w:after="0" w:line="240" w:lineRule="auto"/>
                    <w:jc w:val="right"/>
                    <w:rPr>
                      <w:rFonts w:ascii="Times New Roman" w:eastAsia="Times New Roman" w:hAnsi="Times New Roman" w:cs="Times New Roman"/>
                      <w:sz w:val="24"/>
                      <w:szCs w:val="24"/>
                      <w:lang w:eastAsia="cs-CZ"/>
                    </w:rPr>
                  </w:pPr>
                </w:p>
              </w:tc>
            </w:tr>
          </w:tbl>
          <w:p w:rsidR="00170630" w:rsidRPr="00170630" w:rsidRDefault="00170630" w:rsidP="00170630">
            <w:pPr>
              <w:spacing w:after="0" w:line="240" w:lineRule="auto"/>
              <w:rPr>
                <w:rFonts w:ascii="Times New Roman" w:eastAsia="Times New Roman" w:hAnsi="Times New Roman" w:cs="Times New Roman"/>
                <w:b/>
                <w:bCs/>
                <w:color w:val="000000"/>
                <w:sz w:val="32"/>
                <w:szCs w:val="32"/>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940951" w:rsidP="00170630">
            <w:pPr>
              <w:spacing w:after="0" w:line="240" w:lineRule="auto"/>
              <w:rPr>
                <w:rFonts w:ascii="Times New Roman" w:eastAsia="Times New Roman" w:hAnsi="Times New Roman" w:cs="Times New Roman"/>
                <w:b/>
                <w:bCs/>
                <w:lang w:eastAsia="cs-CZ"/>
              </w:rPr>
            </w:pPr>
            <w:bookmarkStart w:id="40" w:name="news_rel"/>
            <w:bookmarkEnd w:id="40"/>
            <w:r>
              <w:rPr>
                <w:rFonts w:ascii="Times New Roman" w:eastAsia="Times New Roman" w:hAnsi="Times New Roman" w:cs="Times New Roman"/>
                <w:b/>
                <w:bCs/>
                <w:lang w:eastAsia="cs-CZ"/>
              </w:rPr>
              <w:t>9</w:t>
            </w:r>
            <w:r w:rsidR="00170630" w:rsidRPr="00170630">
              <w:rPr>
                <w:rFonts w:ascii="Times New Roman" w:eastAsia="Times New Roman" w:hAnsi="Times New Roman" w:cs="Times New Roman"/>
                <w:b/>
                <w:bCs/>
                <w:lang w:eastAsia="cs-CZ"/>
              </w:rPr>
              <w:t>.1. Dissemination format - News release</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Information based on the statistical business register is published in press</w:t>
            </w:r>
            <w:r w:rsidR="00940951">
              <w:rPr>
                <w:rFonts w:ascii="Times New Roman" w:eastAsia="Times New Roman" w:hAnsi="Times New Roman" w:cs="Times New Roman"/>
                <w:lang w:eastAsia="cs-CZ"/>
              </w:rPr>
              <w:t xml:space="preserve"> releases as indicated in the 9</w:t>
            </w:r>
            <w:r w:rsidRPr="00170630">
              <w:rPr>
                <w:rFonts w:ascii="Times New Roman" w:eastAsia="Times New Roman" w:hAnsi="Times New Roman" w:cs="Times New Roman"/>
                <w:lang w:eastAsia="cs-CZ"/>
              </w:rPr>
              <w:t>.2.</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940951" w:rsidP="00170630">
            <w:pPr>
              <w:spacing w:after="0" w:line="240" w:lineRule="auto"/>
              <w:rPr>
                <w:rFonts w:ascii="Times New Roman" w:eastAsia="Times New Roman" w:hAnsi="Times New Roman" w:cs="Times New Roman"/>
                <w:b/>
                <w:bCs/>
                <w:lang w:eastAsia="cs-CZ"/>
              </w:rPr>
            </w:pPr>
            <w:bookmarkStart w:id="41" w:name="publications"/>
            <w:bookmarkEnd w:id="41"/>
            <w:r>
              <w:rPr>
                <w:rFonts w:ascii="Times New Roman" w:eastAsia="Times New Roman" w:hAnsi="Times New Roman" w:cs="Times New Roman"/>
                <w:b/>
                <w:bCs/>
                <w:lang w:eastAsia="cs-CZ"/>
              </w:rPr>
              <w:t>9</w:t>
            </w:r>
            <w:r w:rsidR="00170630" w:rsidRPr="00170630">
              <w:rPr>
                <w:rFonts w:ascii="Times New Roman" w:eastAsia="Times New Roman" w:hAnsi="Times New Roman" w:cs="Times New Roman"/>
                <w:b/>
                <w:bCs/>
                <w:lang w:eastAsia="cs-CZ"/>
              </w:rPr>
              <w:t xml:space="preserve">.2. Dissemination format </w:t>
            </w:r>
            <w:r w:rsidR="002F5A3D">
              <w:rPr>
                <w:rFonts w:ascii="Times New Roman" w:eastAsia="Times New Roman" w:hAnsi="Times New Roman" w:cs="Times New Roman"/>
                <w:b/>
                <w:bCs/>
                <w:lang w:eastAsia="cs-CZ"/>
              </w:rPr>
              <w:t>–</w:t>
            </w:r>
            <w:r w:rsidR="00170630" w:rsidRPr="00170630">
              <w:rPr>
                <w:rFonts w:ascii="Times New Roman" w:eastAsia="Times New Roman" w:hAnsi="Times New Roman" w:cs="Times New Roman"/>
                <w:b/>
                <w:bCs/>
                <w:lang w:eastAsia="cs-CZ"/>
              </w:rPr>
              <w:t xml:space="preserve"> Publications</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numPr>
                <w:ilvl w:val="0"/>
                <w:numId w:val="12"/>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140070-17 - </w:t>
            </w:r>
            <w:hyperlink r:id="rId29" w:history="1">
              <w:r w:rsidRPr="00170630">
                <w:rPr>
                  <w:rFonts w:ascii="Times New Roman" w:eastAsia="Times New Roman" w:hAnsi="Times New Roman" w:cs="Times New Roman"/>
                  <w:color w:val="0F4BA0"/>
                  <w:u w:val="single"/>
                  <w:lang w:eastAsia="cs-CZ"/>
                </w:rPr>
                <w:t>Organizační statistika</w:t>
              </w:r>
            </w:hyperlink>
            <w:r w:rsidRPr="00170630">
              <w:rPr>
                <w:rFonts w:ascii="Times New Roman" w:eastAsia="Times New Roman" w:hAnsi="Times New Roman" w:cs="Times New Roman"/>
                <w:lang w:eastAsia="cs-CZ"/>
              </w:rPr>
              <w:t> (only Czech version)</w:t>
            </w:r>
          </w:p>
          <w:p w:rsidR="00170630" w:rsidRPr="00170630" w:rsidRDefault="00582142" w:rsidP="00170630">
            <w:pPr>
              <w:numPr>
                <w:ilvl w:val="0"/>
                <w:numId w:val="12"/>
              </w:numPr>
              <w:spacing w:before="100" w:beforeAutospacing="1" w:after="100" w:afterAutospacing="1" w:line="240" w:lineRule="auto"/>
              <w:ind w:left="945"/>
              <w:rPr>
                <w:rFonts w:ascii="Times New Roman" w:eastAsia="Times New Roman" w:hAnsi="Times New Roman" w:cs="Times New Roman"/>
                <w:lang w:eastAsia="cs-CZ"/>
              </w:rPr>
            </w:pPr>
            <w:hyperlink r:id="rId30" w:history="1">
              <w:r w:rsidR="00170630" w:rsidRPr="00170630">
                <w:rPr>
                  <w:rFonts w:ascii="Times New Roman" w:eastAsia="Times New Roman" w:hAnsi="Times New Roman" w:cs="Times New Roman"/>
                  <w:color w:val="0F4BA0"/>
                  <w:u w:val="single"/>
                  <w:lang w:eastAsia="cs-CZ"/>
                </w:rPr>
                <w:t>Statistical Yearbook of the Czech Republic, chapter 12</w:t>
              </w:r>
            </w:hyperlink>
          </w:p>
          <w:p w:rsidR="00170630" w:rsidRPr="00170630" w:rsidRDefault="00582142" w:rsidP="00170630">
            <w:pPr>
              <w:numPr>
                <w:ilvl w:val="0"/>
                <w:numId w:val="12"/>
              </w:numPr>
              <w:spacing w:before="100" w:beforeAutospacing="1" w:after="100" w:afterAutospacing="1" w:line="240" w:lineRule="auto"/>
              <w:ind w:left="945"/>
              <w:rPr>
                <w:rFonts w:ascii="Times New Roman" w:eastAsia="Times New Roman" w:hAnsi="Times New Roman" w:cs="Times New Roman"/>
                <w:lang w:eastAsia="cs-CZ"/>
              </w:rPr>
            </w:pPr>
            <w:hyperlink r:id="rId31" w:history="1">
              <w:r w:rsidR="00170630" w:rsidRPr="00170630">
                <w:rPr>
                  <w:rFonts w:ascii="Times New Roman" w:eastAsia="Times New Roman" w:hAnsi="Times New Roman" w:cs="Times New Roman"/>
                  <w:color w:val="0F4BA0"/>
                  <w:u w:val="single"/>
                  <w:lang w:eastAsia="cs-CZ"/>
                </w:rPr>
                <w:t>Regional Statistical Yearbooks, chapter 10</w:t>
              </w:r>
            </w:hyperlink>
          </w:p>
          <w:p w:rsidR="00170630" w:rsidRPr="00170630" w:rsidRDefault="00582142" w:rsidP="00170630">
            <w:pPr>
              <w:numPr>
                <w:ilvl w:val="0"/>
                <w:numId w:val="12"/>
              </w:numPr>
              <w:spacing w:before="100" w:beforeAutospacing="1" w:after="100" w:afterAutospacing="1" w:line="240" w:lineRule="auto"/>
              <w:ind w:left="945"/>
              <w:rPr>
                <w:rFonts w:ascii="Times New Roman" w:eastAsia="Times New Roman" w:hAnsi="Times New Roman" w:cs="Times New Roman"/>
                <w:lang w:eastAsia="cs-CZ"/>
              </w:rPr>
            </w:pPr>
            <w:hyperlink r:id="rId32" w:history="1">
              <w:r w:rsidR="00170630" w:rsidRPr="00170630">
                <w:rPr>
                  <w:rFonts w:ascii="Times New Roman" w:eastAsia="Times New Roman" w:hAnsi="Times New Roman" w:cs="Times New Roman"/>
                  <w:color w:val="0F4BA0"/>
                  <w:u w:val="single"/>
                  <w:lang w:eastAsia="cs-CZ"/>
                </w:rPr>
                <w:t>Time series</w:t>
              </w:r>
            </w:hyperlink>
            <w:r w:rsidR="00170630" w:rsidRPr="00170630">
              <w:rPr>
                <w:rFonts w:ascii="Times New Roman" w:eastAsia="Times New Roman" w:hAnsi="Times New Roman" w:cs="Times New Roman"/>
                <w:lang w:eastAsia="cs-CZ"/>
              </w:rPr>
              <w:t> (Czech version only)</w:t>
            </w:r>
          </w:p>
          <w:p w:rsidR="00170630" w:rsidRPr="00170630" w:rsidRDefault="00582142" w:rsidP="00170630">
            <w:pPr>
              <w:numPr>
                <w:ilvl w:val="0"/>
                <w:numId w:val="12"/>
              </w:numPr>
              <w:spacing w:before="100" w:beforeAutospacing="1" w:after="100" w:afterAutospacing="1" w:line="240" w:lineRule="auto"/>
              <w:ind w:left="945"/>
              <w:rPr>
                <w:rFonts w:ascii="Times New Roman" w:eastAsia="Times New Roman" w:hAnsi="Times New Roman" w:cs="Times New Roman"/>
                <w:lang w:eastAsia="cs-CZ"/>
              </w:rPr>
            </w:pPr>
            <w:hyperlink r:id="rId33" w:history="1">
              <w:r w:rsidR="00170630" w:rsidRPr="00170630">
                <w:rPr>
                  <w:rFonts w:ascii="Times New Roman" w:eastAsia="Times New Roman" w:hAnsi="Times New Roman" w:cs="Times New Roman"/>
                  <w:color w:val="0F4BA0"/>
                  <w:u w:val="single"/>
                  <w:lang w:eastAsia="cs-CZ"/>
                </w:rPr>
                <w:t>Czech Republic in Figures, table Organizational structure of the national economy</w:t>
              </w:r>
            </w:hyperlink>
            <w:r w:rsidR="00170630" w:rsidRPr="00170630">
              <w:rPr>
                <w:rFonts w:ascii="Times New Roman" w:eastAsia="Times New Roman" w:hAnsi="Times New Roman" w:cs="Times New Roman"/>
                <w:lang w:eastAsia="cs-CZ"/>
              </w:rPr>
              <w:t> (Czech version only)</w:t>
            </w:r>
          </w:p>
          <w:p w:rsidR="00170630" w:rsidRPr="00170630" w:rsidRDefault="00582142" w:rsidP="00170630">
            <w:pPr>
              <w:numPr>
                <w:ilvl w:val="0"/>
                <w:numId w:val="12"/>
              </w:numPr>
              <w:spacing w:before="100" w:beforeAutospacing="1" w:after="100" w:afterAutospacing="1" w:line="240" w:lineRule="auto"/>
              <w:ind w:left="945"/>
              <w:rPr>
                <w:rFonts w:ascii="Times New Roman" w:eastAsia="Times New Roman" w:hAnsi="Times New Roman" w:cs="Times New Roman"/>
                <w:lang w:eastAsia="cs-CZ"/>
              </w:rPr>
            </w:pPr>
            <w:hyperlink r:id="rId34" w:history="1">
              <w:r w:rsidR="00170630" w:rsidRPr="00170630">
                <w:rPr>
                  <w:rFonts w:ascii="Times New Roman" w:eastAsia="Times New Roman" w:hAnsi="Times New Roman" w:cs="Times New Roman"/>
                  <w:color w:val="0F4BA0"/>
                  <w:u w:val="single"/>
                  <w:lang w:eastAsia="cs-CZ"/>
                </w:rPr>
                <w:t>Česká republika od roku 1989 v číslech, table 07.01</w:t>
              </w:r>
            </w:hyperlink>
            <w:r w:rsidR="00170630" w:rsidRPr="00170630">
              <w:rPr>
                <w:rFonts w:ascii="Times New Roman" w:eastAsia="Times New Roman" w:hAnsi="Times New Roman" w:cs="Times New Roman"/>
                <w:lang w:eastAsia="cs-CZ"/>
              </w:rPr>
              <w:t> (Czech version only)</w:t>
            </w:r>
          </w:p>
          <w:p w:rsidR="00170630" w:rsidRPr="00170630" w:rsidRDefault="00582142" w:rsidP="00170630">
            <w:pPr>
              <w:numPr>
                <w:ilvl w:val="0"/>
                <w:numId w:val="12"/>
              </w:numPr>
              <w:spacing w:before="100" w:beforeAutospacing="1" w:after="100" w:afterAutospacing="1" w:line="240" w:lineRule="auto"/>
              <w:ind w:left="945"/>
              <w:rPr>
                <w:rFonts w:ascii="Times New Roman" w:eastAsia="Times New Roman" w:hAnsi="Times New Roman" w:cs="Times New Roman"/>
                <w:lang w:eastAsia="cs-CZ"/>
              </w:rPr>
            </w:pPr>
            <w:hyperlink r:id="rId35" w:history="1">
              <w:r w:rsidR="00170630" w:rsidRPr="00170630">
                <w:rPr>
                  <w:rFonts w:ascii="Times New Roman" w:eastAsia="Times New Roman" w:hAnsi="Times New Roman" w:cs="Times New Roman"/>
                  <w:color w:val="0F4BA0"/>
                  <w:u w:val="single"/>
                  <w:lang w:eastAsia="cs-CZ"/>
                </w:rPr>
                <w:t>Comparison of Regions in the Czech Republic</w:t>
              </w:r>
            </w:hyperlink>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940951" w:rsidP="00170630">
            <w:pPr>
              <w:spacing w:after="0" w:line="240" w:lineRule="auto"/>
              <w:rPr>
                <w:rFonts w:ascii="Times New Roman" w:eastAsia="Times New Roman" w:hAnsi="Times New Roman" w:cs="Times New Roman"/>
                <w:b/>
                <w:bCs/>
                <w:lang w:eastAsia="cs-CZ"/>
              </w:rPr>
            </w:pPr>
            <w:bookmarkStart w:id="42" w:name="online_db"/>
            <w:bookmarkEnd w:id="42"/>
            <w:r>
              <w:rPr>
                <w:rFonts w:ascii="Times New Roman" w:eastAsia="Times New Roman" w:hAnsi="Times New Roman" w:cs="Times New Roman"/>
                <w:b/>
                <w:bCs/>
                <w:lang w:eastAsia="cs-CZ"/>
              </w:rPr>
              <w:t>9</w:t>
            </w:r>
            <w:r w:rsidR="00170630" w:rsidRPr="00170630">
              <w:rPr>
                <w:rFonts w:ascii="Times New Roman" w:eastAsia="Times New Roman" w:hAnsi="Times New Roman" w:cs="Times New Roman"/>
                <w:b/>
                <w:bCs/>
                <w:lang w:eastAsia="cs-CZ"/>
              </w:rPr>
              <w:t>.3. Dissemination format - online database</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582142" w:rsidP="00170630">
            <w:pPr>
              <w:numPr>
                <w:ilvl w:val="0"/>
                <w:numId w:val="13"/>
              </w:numPr>
              <w:spacing w:before="100" w:beforeAutospacing="1" w:after="100" w:afterAutospacing="1" w:line="240" w:lineRule="auto"/>
              <w:ind w:left="945"/>
              <w:rPr>
                <w:rFonts w:ascii="Times New Roman" w:eastAsia="Times New Roman" w:hAnsi="Times New Roman" w:cs="Times New Roman"/>
                <w:lang w:eastAsia="cs-CZ"/>
              </w:rPr>
            </w:pPr>
            <w:hyperlink r:id="rId36" w:anchor="katalog=30831" w:history="1">
              <w:r w:rsidR="00170630" w:rsidRPr="00170630">
                <w:rPr>
                  <w:rFonts w:ascii="Times New Roman" w:eastAsia="Times New Roman" w:hAnsi="Times New Roman" w:cs="Times New Roman"/>
                  <w:color w:val="0F4BA0"/>
                  <w:u w:val="single"/>
                  <w:lang w:eastAsia="cs-CZ"/>
                </w:rPr>
                <w:t>Business register data 2007-2022</w:t>
              </w:r>
            </w:hyperlink>
            <w:r w:rsidR="00170630" w:rsidRPr="00170630">
              <w:rPr>
                <w:rFonts w:ascii="Times New Roman" w:eastAsia="Times New Roman" w:hAnsi="Times New Roman" w:cs="Times New Roman"/>
                <w:lang w:eastAsia="cs-CZ"/>
              </w:rPr>
              <w:t> (html, xls, xml, pdf)</w:t>
            </w:r>
          </w:p>
          <w:p w:rsidR="00170630" w:rsidRPr="00170630" w:rsidRDefault="00582142" w:rsidP="00170630">
            <w:pPr>
              <w:numPr>
                <w:ilvl w:val="0"/>
                <w:numId w:val="13"/>
              </w:numPr>
              <w:spacing w:before="100" w:beforeAutospacing="1" w:after="100" w:afterAutospacing="1" w:line="240" w:lineRule="auto"/>
              <w:ind w:left="945"/>
              <w:rPr>
                <w:rFonts w:ascii="Times New Roman" w:eastAsia="Times New Roman" w:hAnsi="Times New Roman" w:cs="Times New Roman"/>
                <w:lang w:eastAsia="cs-CZ"/>
              </w:rPr>
            </w:pPr>
            <w:hyperlink r:id="rId37" w:history="1">
              <w:r w:rsidR="00170630" w:rsidRPr="00170630">
                <w:rPr>
                  <w:rFonts w:ascii="Times New Roman" w:eastAsia="Times New Roman" w:hAnsi="Times New Roman" w:cs="Times New Roman"/>
                  <w:color w:val="0F4BA0"/>
                  <w:u w:val="single"/>
                  <w:lang w:eastAsia="cs-CZ"/>
                </w:rPr>
                <w:t xml:space="preserve">BR </w:t>
              </w:r>
              <w:proofErr w:type="gramStart"/>
              <w:r w:rsidR="00170630" w:rsidRPr="00170630">
                <w:rPr>
                  <w:rFonts w:ascii="Times New Roman" w:eastAsia="Times New Roman" w:hAnsi="Times New Roman" w:cs="Times New Roman"/>
                  <w:color w:val="0F4BA0"/>
                  <w:u w:val="single"/>
                  <w:lang w:eastAsia="cs-CZ"/>
                </w:rPr>
                <w:t>database, e.g. web</w:t>
              </w:r>
              <w:proofErr w:type="gramEnd"/>
              <w:r w:rsidR="00170630" w:rsidRPr="00170630">
                <w:rPr>
                  <w:rFonts w:ascii="Times New Roman" w:eastAsia="Times New Roman" w:hAnsi="Times New Roman" w:cs="Times New Roman"/>
                  <w:color w:val="0F4BA0"/>
                  <w:u w:val="single"/>
                  <w:lang w:eastAsia="cs-CZ"/>
                </w:rPr>
                <w:t xml:space="preserve"> application</w:t>
              </w:r>
            </w:hyperlink>
            <w:r w:rsidR="00170630" w:rsidRPr="00170630">
              <w:rPr>
                <w:rFonts w:ascii="Times New Roman" w:eastAsia="Times New Roman" w:hAnsi="Times New Roman" w:cs="Times New Roman"/>
                <w:lang w:eastAsia="cs-CZ"/>
              </w:rPr>
              <w:t>  - online access to information on individual enterprises (Czech version only)</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940951" w:rsidP="00170630">
            <w:pPr>
              <w:spacing w:after="0" w:line="240" w:lineRule="auto"/>
              <w:rPr>
                <w:rFonts w:ascii="Times New Roman" w:eastAsia="Times New Roman" w:hAnsi="Times New Roman" w:cs="Times New Roman"/>
                <w:b/>
                <w:bCs/>
                <w:lang w:eastAsia="cs-CZ"/>
              </w:rPr>
            </w:pPr>
            <w:bookmarkStart w:id="43" w:name="micro_dat_acc"/>
            <w:bookmarkEnd w:id="43"/>
            <w:r>
              <w:rPr>
                <w:rFonts w:ascii="Times New Roman" w:eastAsia="Times New Roman" w:hAnsi="Times New Roman" w:cs="Times New Roman"/>
                <w:b/>
                <w:bCs/>
                <w:lang w:eastAsia="cs-CZ"/>
              </w:rPr>
              <w:t>9</w:t>
            </w:r>
            <w:r w:rsidR="00170630" w:rsidRPr="00170630">
              <w:rPr>
                <w:rFonts w:ascii="Times New Roman" w:eastAsia="Times New Roman" w:hAnsi="Times New Roman" w:cs="Times New Roman"/>
                <w:b/>
                <w:bCs/>
                <w:lang w:eastAsia="cs-CZ"/>
              </w:rPr>
              <w:t>.4. Dissemination format - microdata access</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NSI exchange microdata with the Commission (Eurostat) for the purposes of the European framework for statistical business registers.</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data and metadata are exchanged in electronic form and transmitted using the ESS data and metadata standards as specified by the Commission (Eurostat).</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SBR microdata are provided to the authorized statistical users, as follows:</w:t>
            </w:r>
          </w:p>
          <w:p w:rsidR="00170630" w:rsidRPr="00170630" w:rsidRDefault="00582142" w:rsidP="00170630">
            <w:pPr>
              <w:numPr>
                <w:ilvl w:val="0"/>
                <w:numId w:val="14"/>
              </w:numPr>
              <w:spacing w:before="100" w:beforeAutospacing="1" w:after="100" w:afterAutospacing="1" w:line="240" w:lineRule="auto"/>
              <w:ind w:left="945"/>
              <w:rPr>
                <w:rFonts w:ascii="Times New Roman" w:eastAsia="Times New Roman" w:hAnsi="Times New Roman" w:cs="Times New Roman"/>
                <w:lang w:eastAsia="cs-CZ"/>
              </w:rPr>
            </w:pPr>
            <w:hyperlink r:id="rId38" w:history="1">
              <w:r w:rsidR="00170630" w:rsidRPr="00170630">
                <w:rPr>
                  <w:rFonts w:ascii="Times New Roman" w:eastAsia="Times New Roman" w:hAnsi="Times New Roman" w:cs="Times New Roman"/>
                  <w:color w:val="0F4BA0"/>
                  <w:u w:val="single"/>
                  <w:lang w:eastAsia="cs-CZ"/>
                </w:rPr>
                <w:t xml:space="preserve">BR </w:t>
              </w:r>
              <w:proofErr w:type="gramStart"/>
              <w:r w:rsidR="00170630" w:rsidRPr="00170630">
                <w:rPr>
                  <w:rFonts w:ascii="Times New Roman" w:eastAsia="Times New Roman" w:hAnsi="Times New Roman" w:cs="Times New Roman"/>
                  <w:color w:val="0F4BA0"/>
                  <w:u w:val="single"/>
                  <w:lang w:eastAsia="cs-CZ"/>
                </w:rPr>
                <w:t>database, e.g. web</w:t>
              </w:r>
              <w:proofErr w:type="gramEnd"/>
              <w:r w:rsidR="00170630" w:rsidRPr="00170630">
                <w:rPr>
                  <w:rFonts w:ascii="Times New Roman" w:eastAsia="Times New Roman" w:hAnsi="Times New Roman" w:cs="Times New Roman"/>
                  <w:color w:val="0F4BA0"/>
                  <w:u w:val="single"/>
                  <w:lang w:eastAsia="cs-CZ"/>
                </w:rPr>
                <w:t xml:space="preserve"> application</w:t>
              </w:r>
            </w:hyperlink>
            <w:r w:rsidR="00170630" w:rsidRPr="00170630">
              <w:rPr>
                <w:rFonts w:ascii="Times New Roman" w:eastAsia="Times New Roman" w:hAnsi="Times New Roman" w:cs="Times New Roman"/>
                <w:lang w:eastAsia="cs-CZ"/>
              </w:rPr>
              <w:t>  - online access to information on individual enterprises (Czech version only)</w:t>
            </w:r>
          </w:p>
          <w:p w:rsidR="00170630" w:rsidRPr="00170630" w:rsidRDefault="00582142" w:rsidP="00170630">
            <w:pPr>
              <w:numPr>
                <w:ilvl w:val="0"/>
                <w:numId w:val="14"/>
              </w:numPr>
              <w:spacing w:before="100" w:beforeAutospacing="1" w:after="100" w:afterAutospacing="1" w:line="240" w:lineRule="auto"/>
              <w:ind w:left="945"/>
              <w:rPr>
                <w:rFonts w:ascii="Times New Roman" w:eastAsia="Times New Roman" w:hAnsi="Times New Roman" w:cs="Times New Roman"/>
                <w:lang w:eastAsia="cs-CZ"/>
              </w:rPr>
            </w:pPr>
            <w:hyperlink r:id="rId39" w:history="1">
              <w:r w:rsidR="00170630" w:rsidRPr="00170630">
                <w:rPr>
                  <w:rFonts w:ascii="Times New Roman" w:eastAsia="Times New Roman" w:hAnsi="Times New Roman" w:cs="Times New Roman"/>
                  <w:color w:val="0F4BA0"/>
                  <w:u w:val="single"/>
                  <w:lang w:eastAsia="cs-CZ"/>
                </w:rPr>
                <w:t>BR open data (Czech version only)</w:t>
              </w:r>
            </w:hyperlink>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NSI exchange microdata with NSB for the purposes of the European framework for statistical business registers in order to ensure the quality of multinational enterprise group information in the European Union.</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Anonymised micro-data are provided to researchers via secured environment according to the procedure for dissemination of confidentia</w:t>
            </w:r>
            <w:r w:rsidR="00A83D39">
              <w:rPr>
                <w:rFonts w:ascii="Times New Roman" w:eastAsia="Times New Roman" w:hAnsi="Times New Roman" w:cs="Times New Roman"/>
                <w:lang w:eastAsia="cs-CZ"/>
              </w:rPr>
              <w:t>l data for scientific purposes.</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A83D39" w:rsidP="00170630">
            <w:pPr>
              <w:spacing w:after="0" w:line="240" w:lineRule="auto"/>
              <w:rPr>
                <w:rFonts w:ascii="Times New Roman" w:eastAsia="Times New Roman" w:hAnsi="Times New Roman" w:cs="Times New Roman"/>
                <w:b/>
                <w:bCs/>
                <w:lang w:eastAsia="cs-CZ"/>
              </w:rPr>
            </w:pPr>
            <w:bookmarkStart w:id="44" w:name="diss_other"/>
            <w:bookmarkEnd w:id="44"/>
            <w:r>
              <w:rPr>
                <w:rFonts w:ascii="Times New Roman" w:eastAsia="Times New Roman" w:hAnsi="Times New Roman" w:cs="Times New Roman"/>
                <w:b/>
                <w:bCs/>
                <w:lang w:eastAsia="cs-CZ"/>
              </w:rPr>
              <w:t>9</w:t>
            </w:r>
            <w:r w:rsidR="00170630" w:rsidRPr="00170630">
              <w:rPr>
                <w:rFonts w:ascii="Times New Roman" w:eastAsia="Times New Roman" w:hAnsi="Times New Roman" w:cs="Times New Roman"/>
                <w:b/>
                <w:bCs/>
                <w:lang w:eastAsia="cs-CZ"/>
              </w:rPr>
              <w:t xml:space="preserve">.5. Dissemination format </w:t>
            </w:r>
            <w:r w:rsidR="002B102D">
              <w:rPr>
                <w:rFonts w:ascii="Times New Roman" w:eastAsia="Times New Roman" w:hAnsi="Times New Roman" w:cs="Times New Roman"/>
                <w:b/>
                <w:bCs/>
                <w:lang w:eastAsia="cs-CZ"/>
              </w:rPr>
              <w:t>–</w:t>
            </w:r>
            <w:r w:rsidR="00170630" w:rsidRPr="00170630">
              <w:rPr>
                <w:rFonts w:ascii="Times New Roman" w:eastAsia="Times New Roman" w:hAnsi="Times New Roman" w:cs="Times New Roman"/>
                <w:b/>
                <w:bCs/>
                <w:lang w:eastAsia="cs-CZ"/>
              </w:rPr>
              <w:t xml:space="preserve"> other</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aggregated data on national statistical business register are provided annually to Eurostat in electronic form and transmitted via EDAMIS.</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Tailor-made data sets available on request for external users:</w:t>
            </w:r>
          </w:p>
          <w:p w:rsidR="00170630" w:rsidRPr="00170630" w:rsidRDefault="00582142" w:rsidP="00170630">
            <w:pPr>
              <w:numPr>
                <w:ilvl w:val="0"/>
                <w:numId w:val="15"/>
              </w:numPr>
              <w:spacing w:before="100" w:beforeAutospacing="1" w:after="100" w:afterAutospacing="1" w:line="240" w:lineRule="auto"/>
              <w:ind w:left="945"/>
              <w:rPr>
                <w:rFonts w:ascii="Times New Roman" w:eastAsia="Times New Roman" w:hAnsi="Times New Roman" w:cs="Times New Roman"/>
                <w:lang w:eastAsia="cs-CZ"/>
              </w:rPr>
            </w:pPr>
            <w:hyperlink r:id="rId40" w:history="1">
              <w:r w:rsidR="00170630" w:rsidRPr="00170630">
                <w:rPr>
                  <w:rFonts w:ascii="Times New Roman" w:eastAsia="Times New Roman" w:hAnsi="Times New Roman" w:cs="Times New Roman"/>
                  <w:color w:val="0F4BA0"/>
                  <w:u w:val="single"/>
                  <w:lang w:eastAsia="cs-CZ"/>
                </w:rPr>
                <w:t>Special selections from BR; particular products are mentioned in the Price List of Services and Product</w:t>
              </w:r>
            </w:hyperlink>
            <w:r w:rsidR="00170630" w:rsidRPr="00170630">
              <w:rPr>
                <w:rFonts w:ascii="Times New Roman" w:eastAsia="Times New Roman" w:hAnsi="Times New Roman" w:cs="Times New Roman"/>
                <w:lang w:eastAsia="cs-CZ"/>
              </w:rPr>
              <w:t>s - only in Czech</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 xml:space="preserve">National statistical business register is the main source for the Business demography statistics that provide information for active enterprises in the business economy, the births, deaths and survival rates of enterprises, as well as information on related employment data. In the business </w:t>
            </w:r>
            <w:r w:rsidRPr="00170630">
              <w:rPr>
                <w:rFonts w:ascii="Times New Roman" w:eastAsia="Times New Roman" w:hAnsi="Times New Roman" w:cs="Times New Roman"/>
                <w:lang w:eastAsia="cs-CZ"/>
              </w:rPr>
              <w:lastRenderedPageBreak/>
              <w:t>demography domain, the business economy covers sections B to N, excluding activities of holding companies – K64.2 (NACE Rev.2).</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A83D39" w:rsidP="00170630">
            <w:pPr>
              <w:spacing w:after="0" w:line="240" w:lineRule="auto"/>
              <w:rPr>
                <w:rFonts w:ascii="Times New Roman" w:eastAsia="Times New Roman" w:hAnsi="Times New Roman" w:cs="Times New Roman"/>
                <w:b/>
                <w:bCs/>
                <w:lang w:eastAsia="cs-CZ"/>
              </w:rPr>
            </w:pPr>
            <w:bookmarkStart w:id="45" w:name="doc_method"/>
            <w:bookmarkEnd w:id="45"/>
            <w:r>
              <w:rPr>
                <w:rFonts w:ascii="Times New Roman" w:eastAsia="Times New Roman" w:hAnsi="Times New Roman" w:cs="Times New Roman"/>
                <w:b/>
                <w:bCs/>
                <w:lang w:eastAsia="cs-CZ"/>
              </w:rPr>
              <w:t>9</w:t>
            </w:r>
            <w:r w:rsidR="00170630" w:rsidRPr="00170630">
              <w:rPr>
                <w:rFonts w:ascii="Times New Roman" w:eastAsia="Times New Roman" w:hAnsi="Times New Roman" w:cs="Times New Roman"/>
                <w:b/>
                <w:bCs/>
                <w:lang w:eastAsia="cs-CZ"/>
              </w:rPr>
              <w:t>.6. Documentation on methodology</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582142" w:rsidP="00170630">
            <w:pPr>
              <w:spacing w:before="30" w:after="30" w:line="240" w:lineRule="auto"/>
              <w:rPr>
                <w:rFonts w:ascii="Times New Roman" w:eastAsia="Times New Roman" w:hAnsi="Times New Roman" w:cs="Times New Roman"/>
                <w:lang w:eastAsia="cs-CZ"/>
              </w:rPr>
            </w:pPr>
            <w:hyperlink r:id="rId41" w:history="1">
              <w:r w:rsidR="00170630" w:rsidRPr="00170630">
                <w:rPr>
                  <w:rFonts w:ascii="Times New Roman" w:eastAsia="Times New Roman" w:hAnsi="Times New Roman" w:cs="Times New Roman"/>
                  <w:color w:val="0F4BA0"/>
                  <w:u w:val="single"/>
                  <w:lang w:eastAsia="cs-CZ"/>
                </w:rPr>
                <w:t>European business statistics methodological manual for statistical business registers – edition 2021</w:t>
              </w:r>
            </w:hyperlink>
            <w:r w:rsidR="00170630" w:rsidRPr="00170630">
              <w:rPr>
                <w:rFonts w:ascii="Times New Roman" w:eastAsia="Times New Roman" w:hAnsi="Times New Roman" w:cs="Times New Roman"/>
                <w:lang w:eastAsia="cs-CZ"/>
              </w:rPr>
              <w:t> and national methodological papers outline the methodology to be used for the national statistical institutes.</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A83D39" w:rsidP="00170630">
            <w:pPr>
              <w:spacing w:after="0" w:line="240" w:lineRule="auto"/>
              <w:rPr>
                <w:rFonts w:ascii="Times New Roman" w:eastAsia="Times New Roman" w:hAnsi="Times New Roman" w:cs="Times New Roman"/>
                <w:b/>
                <w:bCs/>
                <w:lang w:eastAsia="cs-CZ"/>
              </w:rPr>
            </w:pPr>
            <w:bookmarkStart w:id="46" w:name="quality_doc"/>
            <w:bookmarkEnd w:id="46"/>
            <w:r>
              <w:rPr>
                <w:rFonts w:ascii="Times New Roman" w:eastAsia="Times New Roman" w:hAnsi="Times New Roman" w:cs="Times New Roman"/>
                <w:b/>
                <w:bCs/>
                <w:lang w:eastAsia="cs-CZ"/>
              </w:rPr>
              <w:t>9</w:t>
            </w:r>
            <w:r w:rsidR="00170630" w:rsidRPr="00170630">
              <w:rPr>
                <w:rFonts w:ascii="Times New Roman" w:eastAsia="Times New Roman" w:hAnsi="Times New Roman" w:cs="Times New Roman"/>
                <w:b/>
                <w:bCs/>
                <w:lang w:eastAsia="cs-CZ"/>
              </w:rPr>
              <w:t xml:space="preserve">.7. Quality management </w:t>
            </w:r>
            <w:r>
              <w:rPr>
                <w:rFonts w:ascii="Times New Roman" w:eastAsia="Times New Roman" w:hAnsi="Times New Roman" w:cs="Times New Roman"/>
                <w:b/>
                <w:bCs/>
                <w:lang w:eastAsia="cs-CZ"/>
              </w:rPr>
              <w:t>–</w:t>
            </w:r>
            <w:r w:rsidR="00170630" w:rsidRPr="00170630">
              <w:rPr>
                <w:rFonts w:ascii="Times New Roman" w:eastAsia="Times New Roman" w:hAnsi="Times New Roman" w:cs="Times New Roman"/>
                <w:b/>
                <w:bCs/>
                <w:lang w:eastAsia="cs-CZ"/>
              </w:rPr>
              <w:t xml:space="preserve"> documentation</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ESS Data Quality Programme for statistical business registers is available on </w:t>
            </w:r>
            <w:hyperlink r:id="rId42" w:history="1">
              <w:r w:rsidRPr="00170630">
                <w:rPr>
                  <w:rFonts w:ascii="Times New Roman" w:eastAsia="Times New Roman" w:hAnsi="Times New Roman" w:cs="Times New Roman"/>
                  <w:color w:val="0F4BA0"/>
                  <w:u w:val="single"/>
                  <w:lang w:eastAsia="cs-CZ"/>
                </w:rPr>
                <w:t>CIRCABC</w:t>
              </w:r>
            </w:hyperlink>
            <w:r w:rsidRPr="00170630">
              <w:rPr>
                <w:rFonts w:ascii="Times New Roman" w:eastAsia="Times New Roman" w:hAnsi="Times New Roman" w:cs="Times New Roman"/>
                <w:lang w:eastAsia="cs-CZ"/>
              </w:rPr>
              <w:t>.</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bl>
    <w:p w:rsidR="00170630" w:rsidRPr="00170630" w:rsidRDefault="00170630" w:rsidP="00170630">
      <w:pPr>
        <w:spacing w:before="30" w:after="30" w:line="240" w:lineRule="auto"/>
        <w:rPr>
          <w:rFonts w:ascii="Times New Roman" w:eastAsia="Times New Roman" w:hAnsi="Times New Roman" w:cs="Times New Roman"/>
          <w:lang w:eastAsia="cs-CZ"/>
        </w:rPr>
      </w:pPr>
    </w:p>
    <w:tbl>
      <w:tblPr>
        <w:tblW w:w="4952" w:type="pct"/>
        <w:tblCellMar>
          <w:left w:w="0" w:type="dxa"/>
          <w:right w:w="0" w:type="dxa"/>
        </w:tblCellMar>
        <w:tblLook w:val="04A0" w:firstRow="1" w:lastRow="0" w:firstColumn="1" w:lastColumn="0" w:noHBand="0" w:noVBand="1"/>
      </w:tblPr>
      <w:tblGrid>
        <w:gridCol w:w="8945"/>
        <w:gridCol w:w="20"/>
      </w:tblGrid>
      <w:tr w:rsidR="00170630" w:rsidRPr="00170630" w:rsidTr="00130234">
        <w:trPr>
          <w:gridAfter w:val="1"/>
          <w:wAfter w:w="11" w:type="pct"/>
        </w:trPr>
        <w:tc>
          <w:tcPr>
            <w:tcW w:w="4989" w:type="pct"/>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4521" w:type="pct"/>
              <w:tblCellSpacing w:w="0" w:type="dxa"/>
              <w:tblCellMar>
                <w:left w:w="0" w:type="dxa"/>
                <w:right w:w="0" w:type="dxa"/>
              </w:tblCellMar>
              <w:tblLook w:val="04A0" w:firstRow="1" w:lastRow="0" w:firstColumn="1" w:lastColumn="0" w:noHBand="0" w:noVBand="1"/>
            </w:tblPr>
            <w:tblGrid>
              <w:gridCol w:w="7855"/>
            </w:tblGrid>
            <w:tr w:rsidR="00A83D39" w:rsidRPr="00170630" w:rsidTr="00A83D39">
              <w:trPr>
                <w:tblCellSpacing w:w="0" w:type="dxa"/>
              </w:trPr>
              <w:tc>
                <w:tcPr>
                  <w:tcW w:w="0" w:type="auto"/>
                  <w:vAlign w:val="center"/>
                  <w:hideMark/>
                </w:tcPr>
                <w:p w:rsidR="00A83D39" w:rsidRPr="00170630" w:rsidRDefault="00A83D39" w:rsidP="00170630">
                  <w:pPr>
                    <w:spacing w:after="0" w:line="240" w:lineRule="auto"/>
                    <w:rPr>
                      <w:rFonts w:ascii="Times New Roman" w:eastAsia="Times New Roman" w:hAnsi="Times New Roman" w:cs="Times New Roman"/>
                      <w:b/>
                      <w:bCs/>
                      <w:sz w:val="32"/>
                      <w:szCs w:val="32"/>
                      <w:lang w:eastAsia="cs-CZ"/>
                    </w:rPr>
                  </w:pPr>
                  <w:bookmarkStart w:id="47" w:name="quality_mgmnt1651497095067"/>
                  <w:bookmarkStart w:id="48" w:name="quality_mgmnt"/>
                  <w:bookmarkEnd w:id="47"/>
                  <w:bookmarkEnd w:id="48"/>
                  <w:r>
                    <w:rPr>
                      <w:rFonts w:ascii="Times New Roman" w:eastAsia="Times New Roman" w:hAnsi="Times New Roman" w:cs="Times New Roman"/>
                      <w:b/>
                      <w:bCs/>
                      <w:sz w:val="32"/>
                      <w:szCs w:val="32"/>
                      <w:lang w:eastAsia="cs-CZ"/>
                    </w:rPr>
                    <w:t>10</w:t>
                  </w:r>
                  <w:r w:rsidRPr="00170630">
                    <w:rPr>
                      <w:rFonts w:ascii="Times New Roman" w:eastAsia="Times New Roman" w:hAnsi="Times New Roman" w:cs="Times New Roman"/>
                      <w:b/>
                      <w:bCs/>
                      <w:sz w:val="32"/>
                      <w:szCs w:val="32"/>
                      <w:lang w:eastAsia="cs-CZ"/>
                    </w:rPr>
                    <w:t>. Quality management</w:t>
                  </w:r>
                </w:p>
              </w:tc>
            </w:tr>
          </w:tbl>
          <w:p w:rsidR="00170630" w:rsidRPr="00170630" w:rsidRDefault="00170630" w:rsidP="00170630">
            <w:pPr>
              <w:spacing w:after="0" w:line="240" w:lineRule="auto"/>
              <w:rPr>
                <w:rFonts w:ascii="Times New Roman" w:eastAsia="Times New Roman" w:hAnsi="Times New Roman" w:cs="Times New Roman"/>
                <w:b/>
                <w:bCs/>
                <w:color w:val="000000"/>
                <w:sz w:val="32"/>
                <w:szCs w:val="32"/>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A83D39" w:rsidP="00170630">
            <w:pPr>
              <w:spacing w:after="0" w:line="240" w:lineRule="auto"/>
              <w:rPr>
                <w:rFonts w:ascii="Times New Roman" w:eastAsia="Times New Roman" w:hAnsi="Times New Roman" w:cs="Times New Roman"/>
                <w:b/>
                <w:bCs/>
                <w:lang w:eastAsia="cs-CZ"/>
              </w:rPr>
            </w:pPr>
            <w:bookmarkStart w:id="49" w:name="quality_assure"/>
            <w:bookmarkEnd w:id="49"/>
            <w:r>
              <w:rPr>
                <w:rFonts w:ascii="Times New Roman" w:eastAsia="Times New Roman" w:hAnsi="Times New Roman" w:cs="Times New Roman"/>
                <w:b/>
                <w:bCs/>
                <w:lang w:eastAsia="cs-CZ"/>
              </w:rPr>
              <w:t>10</w:t>
            </w:r>
            <w:r w:rsidR="00170630" w:rsidRPr="00170630">
              <w:rPr>
                <w:rFonts w:ascii="Times New Roman" w:eastAsia="Times New Roman" w:hAnsi="Times New Roman" w:cs="Times New Roman"/>
                <w:b/>
                <w:bCs/>
                <w:lang w:eastAsia="cs-CZ"/>
              </w:rPr>
              <w:t>.1. Quality assurance</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quality is assured by applying the following quality management and assurance procedures: </w:t>
            </w:r>
          </w:p>
          <w:p w:rsidR="00170630" w:rsidRPr="00170630" w:rsidRDefault="00582142" w:rsidP="00170630">
            <w:pPr>
              <w:numPr>
                <w:ilvl w:val="0"/>
                <w:numId w:val="16"/>
              </w:numPr>
              <w:spacing w:before="100" w:beforeAutospacing="1" w:after="100" w:afterAutospacing="1" w:line="240" w:lineRule="auto"/>
              <w:ind w:left="945"/>
              <w:rPr>
                <w:rFonts w:ascii="Times New Roman" w:eastAsia="Times New Roman" w:hAnsi="Times New Roman" w:cs="Times New Roman"/>
                <w:lang w:eastAsia="cs-CZ"/>
              </w:rPr>
            </w:pPr>
            <w:hyperlink r:id="rId43" w:history="1">
              <w:r w:rsidR="00170630" w:rsidRPr="00170630">
                <w:rPr>
                  <w:rFonts w:ascii="Times New Roman" w:eastAsia="Times New Roman" w:hAnsi="Times New Roman" w:cs="Times New Roman"/>
                  <w:color w:val="0F4BA0"/>
                  <w:u w:val="single"/>
                  <w:lang w:eastAsia="cs-CZ"/>
                </w:rPr>
                <w:t>Quality policy of the CZSO</w:t>
              </w:r>
            </w:hyperlink>
          </w:p>
          <w:p w:rsidR="00170630" w:rsidRPr="00170630" w:rsidRDefault="00582142" w:rsidP="00170630">
            <w:pPr>
              <w:numPr>
                <w:ilvl w:val="0"/>
                <w:numId w:val="16"/>
              </w:numPr>
              <w:spacing w:before="100" w:beforeAutospacing="1" w:after="100" w:afterAutospacing="1" w:line="240" w:lineRule="auto"/>
              <w:ind w:left="945"/>
              <w:rPr>
                <w:rFonts w:ascii="Times New Roman" w:eastAsia="Times New Roman" w:hAnsi="Times New Roman" w:cs="Times New Roman"/>
                <w:lang w:eastAsia="cs-CZ"/>
              </w:rPr>
            </w:pPr>
            <w:hyperlink r:id="rId44" w:history="1">
              <w:r w:rsidR="00170630" w:rsidRPr="00170630">
                <w:rPr>
                  <w:rFonts w:ascii="Times New Roman" w:eastAsia="Times New Roman" w:hAnsi="Times New Roman" w:cs="Times New Roman"/>
                  <w:color w:val="0F4BA0"/>
                  <w:u w:val="single"/>
                  <w:lang w:eastAsia="cs-CZ"/>
                </w:rPr>
                <w:t>CZSO Quality Commitment</w:t>
              </w:r>
            </w:hyperlink>
          </w:p>
          <w:p w:rsidR="00170630" w:rsidRPr="00170630" w:rsidRDefault="00170630" w:rsidP="00170630">
            <w:pPr>
              <w:numPr>
                <w:ilvl w:val="0"/>
                <w:numId w:val="16"/>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Data validation procedures in place</w:t>
            </w:r>
          </w:p>
          <w:p w:rsidR="00170630" w:rsidRPr="00170630" w:rsidRDefault="00170630" w:rsidP="00170630">
            <w:pPr>
              <w:numPr>
                <w:ilvl w:val="0"/>
                <w:numId w:val="16"/>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Methodological standards and guidelines assuring the quality of the production process and output</w:t>
            </w:r>
          </w:p>
          <w:p w:rsidR="00170630" w:rsidRPr="00170630" w:rsidRDefault="00170630" w:rsidP="00170630">
            <w:pPr>
              <w:numPr>
                <w:ilvl w:val="0"/>
                <w:numId w:val="16"/>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Communication with users and SBR administrators</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A83D39" w:rsidP="00170630">
            <w:pPr>
              <w:spacing w:after="0" w:line="240" w:lineRule="auto"/>
              <w:rPr>
                <w:rFonts w:ascii="Times New Roman" w:eastAsia="Times New Roman" w:hAnsi="Times New Roman" w:cs="Times New Roman"/>
                <w:b/>
                <w:bCs/>
                <w:lang w:eastAsia="cs-CZ"/>
              </w:rPr>
            </w:pPr>
            <w:bookmarkStart w:id="50" w:name="quality_assmnt"/>
            <w:bookmarkEnd w:id="50"/>
            <w:r>
              <w:rPr>
                <w:rFonts w:ascii="Times New Roman" w:eastAsia="Times New Roman" w:hAnsi="Times New Roman" w:cs="Times New Roman"/>
                <w:b/>
                <w:bCs/>
                <w:lang w:eastAsia="cs-CZ"/>
              </w:rPr>
              <w:t>10</w:t>
            </w:r>
            <w:r w:rsidR="00170630" w:rsidRPr="00170630">
              <w:rPr>
                <w:rFonts w:ascii="Times New Roman" w:eastAsia="Times New Roman" w:hAnsi="Times New Roman" w:cs="Times New Roman"/>
                <w:b/>
                <w:bCs/>
                <w:lang w:eastAsia="cs-CZ"/>
              </w:rPr>
              <w:t xml:space="preserve">.2. Quality management </w:t>
            </w:r>
            <w:r w:rsidR="002B102D">
              <w:rPr>
                <w:rFonts w:ascii="Times New Roman" w:eastAsia="Times New Roman" w:hAnsi="Times New Roman" w:cs="Times New Roman"/>
                <w:b/>
                <w:bCs/>
                <w:lang w:eastAsia="cs-CZ"/>
              </w:rPr>
              <w:t>–</w:t>
            </w:r>
            <w:r w:rsidR="00170630" w:rsidRPr="00170630">
              <w:rPr>
                <w:rFonts w:ascii="Times New Roman" w:eastAsia="Times New Roman" w:hAnsi="Times New Roman" w:cs="Times New Roman"/>
                <w:b/>
                <w:bCs/>
                <w:lang w:eastAsia="cs-CZ"/>
              </w:rPr>
              <w:t xml:space="preserve"> assessment</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quality of statistical business register is monitored according the quality assurance procedure described in concept 11.1. The quality of the statistical business register was assessed by methodological audit in 2015/2016. It was carried out by main external (National Bank, Ministry of Finance) and internal (SBS) users of SBR. The audit did not find out principal problems and deficiencies in SBR. There is high level of har</w:t>
            </w:r>
            <w:r w:rsidR="00A83D39">
              <w:rPr>
                <w:rFonts w:ascii="Times New Roman" w:eastAsia="Times New Roman" w:hAnsi="Times New Roman" w:cs="Times New Roman"/>
                <w:lang w:eastAsia="cs-CZ"/>
              </w:rPr>
              <w:t>monisation with EU legislation.</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bl>
    <w:p w:rsidR="00170630" w:rsidRPr="00170630" w:rsidRDefault="00170630" w:rsidP="00170630">
      <w:pPr>
        <w:spacing w:before="30" w:after="30" w:line="240" w:lineRule="auto"/>
        <w:rPr>
          <w:rFonts w:ascii="Times New Roman" w:eastAsia="Times New Roman" w:hAnsi="Times New Roman" w:cs="Times New Roman"/>
          <w:lang w:eastAsia="cs-CZ"/>
        </w:rPr>
      </w:pPr>
    </w:p>
    <w:tbl>
      <w:tblPr>
        <w:tblW w:w="4952" w:type="pct"/>
        <w:tblCellMar>
          <w:left w:w="0" w:type="dxa"/>
          <w:right w:w="0" w:type="dxa"/>
        </w:tblCellMar>
        <w:tblLook w:val="04A0" w:firstRow="1" w:lastRow="0" w:firstColumn="1" w:lastColumn="0" w:noHBand="0" w:noVBand="1"/>
      </w:tblPr>
      <w:tblGrid>
        <w:gridCol w:w="8945"/>
        <w:gridCol w:w="20"/>
      </w:tblGrid>
      <w:tr w:rsidR="00170630" w:rsidRPr="00170630" w:rsidTr="00130234">
        <w:trPr>
          <w:gridAfter w:val="1"/>
          <w:wAfter w:w="11" w:type="pct"/>
        </w:trPr>
        <w:tc>
          <w:tcPr>
            <w:tcW w:w="4989" w:type="pct"/>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8659"/>
              <w:gridCol w:w="28"/>
            </w:tblGrid>
            <w:tr w:rsidR="00170630" w:rsidRPr="00170630">
              <w:trPr>
                <w:tblCellSpacing w:w="0" w:type="dxa"/>
              </w:trPr>
              <w:tc>
                <w:tcPr>
                  <w:tcW w:w="0" w:type="auto"/>
                  <w:vAlign w:val="center"/>
                  <w:hideMark/>
                </w:tcPr>
                <w:p w:rsidR="00170630" w:rsidRPr="00170630" w:rsidRDefault="00A83D39" w:rsidP="00170630">
                  <w:pPr>
                    <w:spacing w:after="0" w:line="240" w:lineRule="auto"/>
                    <w:rPr>
                      <w:rFonts w:ascii="Times New Roman" w:eastAsia="Times New Roman" w:hAnsi="Times New Roman" w:cs="Times New Roman"/>
                      <w:b/>
                      <w:bCs/>
                      <w:sz w:val="32"/>
                      <w:szCs w:val="32"/>
                      <w:lang w:eastAsia="cs-CZ"/>
                    </w:rPr>
                  </w:pPr>
                  <w:bookmarkStart w:id="51" w:name="relevance1651497095067"/>
                  <w:bookmarkStart w:id="52" w:name="relevance"/>
                  <w:bookmarkEnd w:id="51"/>
                  <w:bookmarkEnd w:id="52"/>
                  <w:r>
                    <w:rPr>
                      <w:rFonts w:ascii="Times New Roman" w:eastAsia="Times New Roman" w:hAnsi="Times New Roman" w:cs="Times New Roman"/>
                      <w:b/>
                      <w:bCs/>
                      <w:sz w:val="32"/>
                      <w:szCs w:val="32"/>
                      <w:lang w:eastAsia="cs-CZ"/>
                    </w:rPr>
                    <w:t>11</w:t>
                  </w:r>
                  <w:r w:rsidR="00170630" w:rsidRPr="00170630">
                    <w:rPr>
                      <w:rFonts w:ascii="Times New Roman" w:eastAsia="Times New Roman" w:hAnsi="Times New Roman" w:cs="Times New Roman"/>
                      <w:b/>
                      <w:bCs/>
                      <w:sz w:val="32"/>
                      <w:szCs w:val="32"/>
                      <w:lang w:eastAsia="cs-CZ"/>
                    </w:rPr>
                    <w:t>. Relevance</w:t>
                  </w:r>
                </w:p>
              </w:tc>
              <w:tc>
                <w:tcPr>
                  <w:tcW w:w="0" w:type="auto"/>
                  <w:vAlign w:val="center"/>
                  <w:hideMark/>
                </w:tcPr>
                <w:p w:rsidR="00170630" w:rsidRPr="00170630" w:rsidRDefault="00170630" w:rsidP="00170630">
                  <w:pPr>
                    <w:spacing w:after="0" w:line="240" w:lineRule="auto"/>
                    <w:jc w:val="right"/>
                    <w:rPr>
                      <w:rFonts w:ascii="Times New Roman" w:eastAsia="Times New Roman" w:hAnsi="Times New Roman" w:cs="Times New Roman"/>
                      <w:sz w:val="24"/>
                      <w:szCs w:val="24"/>
                      <w:lang w:eastAsia="cs-CZ"/>
                    </w:rPr>
                  </w:pPr>
                </w:p>
              </w:tc>
            </w:tr>
          </w:tbl>
          <w:p w:rsidR="00170630" w:rsidRPr="00170630" w:rsidRDefault="00170630" w:rsidP="00170630">
            <w:pPr>
              <w:spacing w:after="0" w:line="240" w:lineRule="auto"/>
              <w:rPr>
                <w:rFonts w:ascii="Times New Roman" w:eastAsia="Times New Roman" w:hAnsi="Times New Roman" w:cs="Times New Roman"/>
                <w:b/>
                <w:bCs/>
                <w:color w:val="000000"/>
                <w:sz w:val="32"/>
                <w:szCs w:val="32"/>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A83D39" w:rsidP="00170630">
            <w:pPr>
              <w:spacing w:after="0" w:line="240" w:lineRule="auto"/>
              <w:rPr>
                <w:rFonts w:ascii="Times New Roman" w:eastAsia="Times New Roman" w:hAnsi="Times New Roman" w:cs="Times New Roman"/>
                <w:b/>
                <w:bCs/>
                <w:lang w:eastAsia="cs-CZ"/>
              </w:rPr>
            </w:pPr>
            <w:bookmarkStart w:id="53" w:name="user_needs"/>
            <w:bookmarkEnd w:id="53"/>
            <w:r>
              <w:rPr>
                <w:rFonts w:ascii="Times New Roman" w:eastAsia="Times New Roman" w:hAnsi="Times New Roman" w:cs="Times New Roman"/>
                <w:b/>
                <w:bCs/>
                <w:lang w:eastAsia="cs-CZ"/>
              </w:rPr>
              <w:t>11</w:t>
            </w:r>
            <w:r w:rsidR="00170630" w:rsidRPr="00170630">
              <w:rPr>
                <w:rFonts w:ascii="Times New Roman" w:eastAsia="Times New Roman" w:hAnsi="Times New Roman" w:cs="Times New Roman"/>
                <w:b/>
                <w:bCs/>
                <w:lang w:eastAsia="cs-CZ"/>
              </w:rPr>
              <w:t>.1. Relevance - User Needs</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SBR are important for the compilation of consistent and comparable European business statistics, establishing efficient statistical survey frames, providing identification numbers of all the units and for linking to many different sources, increasing statistical information and reducing the reporting burden on enterprises.</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SBR are referred to as the ‘backbone’ in the production of economic statistics because they provide the core infrastructure to ensure data consistency between various statistical outputs.</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 </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 </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1164FB" w:rsidP="00170630">
            <w:pPr>
              <w:spacing w:after="0" w:line="240" w:lineRule="auto"/>
              <w:rPr>
                <w:rFonts w:ascii="Times New Roman" w:eastAsia="Times New Roman" w:hAnsi="Times New Roman" w:cs="Times New Roman"/>
                <w:b/>
                <w:bCs/>
                <w:lang w:eastAsia="cs-CZ"/>
              </w:rPr>
            </w:pPr>
            <w:bookmarkStart w:id="54" w:name="user_sat"/>
            <w:bookmarkEnd w:id="54"/>
            <w:r>
              <w:rPr>
                <w:rFonts w:ascii="Times New Roman" w:eastAsia="Times New Roman" w:hAnsi="Times New Roman" w:cs="Times New Roman"/>
                <w:b/>
                <w:bCs/>
                <w:lang w:eastAsia="cs-CZ"/>
              </w:rPr>
              <w:t>11</w:t>
            </w:r>
            <w:r w:rsidR="00170630" w:rsidRPr="00170630">
              <w:rPr>
                <w:rFonts w:ascii="Times New Roman" w:eastAsia="Times New Roman" w:hAnsi="Times New Roman" w:cs="Times New Roman"/>
                <w:b/>
                <w:bCs/>
                <w:lang w:eastAsia="cs-CZ"/>
              </w:rPr>
              <w:t>.2. Relevance - User Satisfaction</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Since 2017, Eurostat together with the EU Member States conducts SBR user survey addressing users and potential users of the national statistical business registers (NSBR) and the EuroGroups Register (EGR).</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latest SBR User Survey 2020 show that the NSBR are widely used at national level and users consider that its quality had been significantly improved in the recent years. Most of the NSBR users (97%) had either no issue or manageable issue regarding business registers coverage, units, variables, timeliness and frequency of frames.</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results of the SBR User Survey 2020 are available on </w:t>
            </w:r>
            <w:hyperlink r:id="rId45" w:history="1">
              <w:r w:rsidRPr="00170630">
                <w:rPr>
                  <w:rFonts w:ascii="Times New Roman" w:eastAsia="Times New Roman" w:hAnsi="Times New Roman" w:cs="Times New Roman"/>
                  <w:color w:val="0F4BA0"/>
                  <w:u w:val="single"/>
                  <w:lang w:eastAsia="cs-CZ"/>
                </w:rPr>
                <w:t>CIRCABC</w:t>
              </w:r>
            </w:hyperlink>
            <w:r w:rsidRPr="00170630">
              <w:rPr>
                <w:rFonts w:ascii="Times New Roman" w:eastAsia="Times New Roman" w:hAnsi="Times New Roman" w:cs="Times New Roman"/>
                <w:lang w:eastAsia="cs-CZ"/>
              </w:rPr>
              <w:t>.</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1164FB" w:rsidP="00170630">
            <w:pPr>
              <w:spacing w:after="0" w:line="240" w:lineRule="auto"/>
              <w:rPr>
                <w:rFonts w:ascii="Times New Roman" w:eastAsia="Times New Roman" w:hAnsi="Times New Roman" w:cs="Times New Roman"/>
                <w:b/>
                <w:bCs/>
                <w:lang w:eastAsia="cs-CZ"/>
              </w:rPr>
            </w:pPr>
            <w:bookmarkStart w:id="55" w:name="completeness"/>
            <w:bookmarkEnd w:id="55"/>
            <w:r>
              <w:rPr>
                <w:rFonts w:ascii="Times New Roman" w:eastAsia="Times New Roman" w:hAnsi="Times New Roman" w:cs="Times New Roman"/>
                <w:b/>
                <w:bCs/>
                <w:lang w:eastAsia="cs-CZ"/>
              </w:rPr>
              <w:t>11</w:t>
            </w:r>
            <w:r w:rsidR="00170630" w:rsidRPr="00170630">
              <w:rPr>
                <w:rFonts w:ascii="Times New Roman" w:eastAsia="Times New Roman" w:hAnsi="Times New Roman" w:cs="Times New Roman"/>
                <w:b/>
                <w:bCs/>
                <w:lang w:eastAsia="cs-CZ"/>
              </w:rPr>
              <w:t>.3. Completeness</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lastRenderedPageBreak/>
              <w:t>The completeness of national statistical business registers is annually assessed by Eurostat. The SBR assessment results are provided to EU Member States and EFTA countries and presented at the Statistical Business Registers Working Group (SBR WG).</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Data completeness rate and missing variables or data in the national statistical business register are as follows:</w:t>
            </w:r>
          </w:p>
          <w:p w:rsidR="00170630" w:rsidRPr="00170630" w:rsidRDefault="00170630" w:rsidP="00170630">
            <w:pPr>
              <w:numPr>
                <w:ilvl w:val="0"/>
                <w:numId w:val="17"/>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 xml:space="preserve">The information on persons employed in local units is missing due to inavailability of this information in statistical or administrative sources. As a result a number of employees </w:t>
            </w:r>
            <w:proofErr w:type="gramStart"/>
            <w:r w:rsidRPr="00170630">
              <w:rPr>
                <w:rFonts w:ascii="Times New Roman" w:eastAsia="Times New Roman" w:hAnsi="Times New Roman" w:cs="Times New Roman"/>
                <w:lang w:eastAsia="cs-CZ"/>
              </w:rPr>
              <w:t>is used</w:t>
            </w:r>
            <w:proofErr w:type="gramEnd"/>
            <w:r w:rsidRPr="00170630">
              <w:rPr>
                <w:rFonts w:ascii="Times New Roman" w:eastAsia="Times New Roman" w:hAnsi="Times New Roman" w:cs="Times New Roman"/>
                <w:lang w:eastAsia="cs-CZ"/>
              </w:rPr>
              <w:t xml:space="preserve"> instead of number of persons employed.</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bl>
    <w:p w:rsidR="00170630" w:rsidRPr="00170630" w:rsidRDefault="00170630" w:rsidP="00170630">
      <w:pPr>
        <w:spacing w:before="30" w:after="30" w:line="240" w:lineRule="auto"/>
        <w:rPr>
          <w:rFonts w:ascii="Times New Roman" w:eastAsia="Times New Roman" w:hAnsi="Times New Roman" w:cs="Times New Roman"/>
          <w:lang w:eastAsia="cs-CZ"/>
        </w:rPr>
      </w:pPr>
    </w:p>
    <w:tbl>
      <w:tblPr>
        <w:tblW w:w="4952" w:type="pct"/>
        <w:tblCellMar>
          <w:left w:w="0" w:type="dxa"/>
          <w:right w:w="0" w:type="dxa"/>
        </w:tblCellMar>
        <w:tblLook w:val="04A0" w:firstRow="1" w:lastRow="0" w:firstColumn="1" w:lastColumn="0" w:noHBand="0" w:noVBand="1"/>
      </w:tblPr>
      <w:tblGrid>
        <w:gridCol w:w="8945"/>
        <w:gridCol w:w="20"/>
      </w:tblGrid>
      <w:tr w:rsidR="00170630" w:rsidRPr="00170630" w:rsidTr="00130234">
        <w:trPr>
          <w:gridAfter w:val="1"/>
          <w:wAfter w:w="11" w:type="pct"/>
        </w:trPr>
        <w:tc>
          <w:tcPr>
            <w:tcW w:w="4989" w:type="pct"/>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8658"/>
              <w:gridCol w:w="29"/>
            </w:tblGrid>
            <w:tr w:rsidR="00170630" w:rsidRPr="00170630">
              <w:trPr>
                <w:tblCellSpacing w:w="0" w:type="dxa"/>
              </w:trPr>
              <w:tc>
                <w:tcPr>
                  <w:tcW w:w="0" w:type="auto"/>
                  <w:vAlign w:val="center"/>
                  <w:hideMark/>
                </w:tcPr>
                <w:p w:rsidR="00170630" w:rsidRPr="00170630" w:rsidRDefault="001164FB" w:rsidP="00170630">
                  <w:pPr>
                    <w:spacing w:after="0" w:line="240" w:lineRule="auto"/>
                    <w:rPr>
                      <w:rFonts w:ascii="Times New Roman" w:eastAsia="Times New Roman" w:hAnsi="Times New Roman" w:cs="Times New Roman"/>
                      <w:b/>
                      <w:bCs/>
                      <w:sz w:val="32"/>
                      <w:szCs w:val="32"/>
                      <w:lang w:eastAsia="cs-CZ"/>
                    </w:rPr>
                  </w:pPr>
                  <w:bookmarkStart w:id="56" w:name="accuracy1651497095067"/>
                  <w:bookmarkStart w:id="57" w:name="accuracy"/>
                  <w:bookmarkEnd w:id="56"/>
                  <w:bookmarkEnd w:id="57"/>
                  <w:r>
                    <w:rPr>
                      <w:rFonts w:ascii="Times New Roman" w:eastAsia="Times New Roman" w:hAnsi="Times New Roman" w:cs="Times New Roman"/>
                      <w:b/>
                      <w:bCs/>
                      <w:sz w:val="32"/>
                      <w:szCs w:val="32"/>
                      <w:lang w:eastAsia="cs-CZ"/>
                    </w:rPr>
                    <w:t>12</w:t>
                  </w:r>
                  <w:r w:rsidR="00170630" w:rsidRPr="00170630">
                    <w:rPr>
                      <w:rFonts w:ascii="Times New Roman" w:eastAsia="Times New Roman" w:hAnsi="Times New Roman" w:cs="Times New Roman"/>
                      <w:b/>
                      <w:bCs/>
                      <w:sz w:val="32"/>
                      <w:szCs w:val="32"/>
                      <w:lang w:eastAsia="cs-CZ"/>
                    </w:rPr>
                    <w:t>. Accuracy</w:t>
                  </w:r>
                </w:p>
              </w:tc>
              <w:tc>
                <w:tcPr>
                  <w:tcW w:w="0" w:type="auto"/>
                  <w:vAlign w:val="center"/>
                  <w:hideMark/>
                </w:tcPr>
                <w:p w:rsidR="00170630" w:rsidRPr="00170630" w:rsidRDefault="00170630" w:rsidP="00170630">
                  <w:pPr>
                    <w:spacing w:after="0" w:line="240" w:lineRule="auto"/>
                    <w:jc w:val="right"/>
                    <w:rPr>
                      <w:rFonts w:ascii="Times New Roman" w:eastAsia="Times New Roman" w:hAnsi="Times New Roman" w:cs="Times New Roman"/>
                      <w:sz w:val="24"/>
                      <w:szCs w:val="24"/>
                      <w:lang w:eastAsia="cs-CZ"/>
                    </w:rPr>
                  </w:pPr>
                </w:p>
              </w:tc>
            </w:tr>
          </w:tbl>
          <w:p w:rsidR="00170630" w:rsidRPr="00170630" w:rsidRDefault="00170630" w:rsidP="00170630">
            <w:pPr>
              <w:spacing w:after="0" w:line="240" w:lineRule="auto"/>
              <w:rPr>
                <w:rFonts w:ascii="Times New Roman" w:eastAsia="Times New Roman" w:hAnsi="Times New Roman" w:cs="Times New Roman"/>
                <w:b/>
                <w:bCs/>
                <w:color w:val="000000"/>
                <w:sz w:val="32"/>
                <w:szCs w:val="32"/>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1164FB" w:rsidP="00170630">
            <w:pPr>
              <w:spacing w:after="0" w:line="240" w:lineRule="auto"/>
              <w:rPr>
                <w:rFonts w:ascii="Times New Roman" w:eastAsia="Times New Roman" w:hAnsi="Times New Roman" w:cs="Times New Roman"/>
                <w:b/>
                <w:bCs/>
                <w:lang w:eastAsia="cs-CZ"/>
              </w:rPr>
            </w:pPr>
            <w:bookmarkStart w:id="58" w:name="accuracy_overall"/>
            <w:bookmarkEnd w:id="58"/>
            <w:r>
              <w:rPr>
                <w:rFonts w:ascii="Times New Roman" w:eastAsia="Times New Roman" w:hAnsi="Times New Roman" w:cs="Times New Roman"/>
                <w:b/>
                <w:bCs/>
                <w:lang w:eastAsia="cs-CZ"/>
              </w:rPr>
              <w:t>12</w:t>
            </w:r>
            <w:r w:rsidR="00170630" w:rsidRPr="00170630">
              <w:rPr>
                <w:rFonts w:ascii="Times New Roman" w:eastAsia="Times New Roman" w:hAnsi="Times New Roman" w:cs="Times New Roman"/>
                <w:b/>
                <w:bCs/>
                <w:lang w:eastAsia="cs-CZ"/>
              </w:rPr>
              <w:t xml:space="preserve">.1. Accuracy </w:t>
            </w:r>
            <w:r w:rsidR="00885691">
              <w:rPr>
                <w:rFonts w:ascii="Times New Roman" w:eastAsia="Times New Roman" w:hAnsi="Times New Roman" w:cs="Times New Roman"/>
                <w:b/>
                <w:bCs/>
                <w:lang w:eastAsia="cs-CZ"/>
              </w:rPr>
              <w:t>–</w:t>
            </w:r>
            <w:r w:rsidR="00170630" w:rsidRPr="00170630">
              <w:rPr>
                <w:rFonts w:ascii="Times New Roman" w:eastAsia="Times New Roman" w:hAnsi="Times New Roman" w:cs="Times New Roman"/>
                <w:b/>
                <w:bCs/>
                <w:lang w:eastAsia="cs-CZ"/>
              </w:rPr>
              <w:t xml:space="preserve"> </w:t>
            </w:r>
            <w:r w:rsidR="00885691">
              <w:rPr>
                <w:rFonts w:ascii="Times New Roman" w:eastAsia="Times New Roman" w:hAnsi="Times New Roman" w:cs="Times New Roman"/>
                <w:b/>
                <w:bCs/>
                <w:lang w:eastAsia="cs-CZ"/>
              </w:rPr>
              <w:t>overal</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main issues regarding accuracy of the data are as follows:</w:t>
            </w:r>
          </w:p>
          <w:p w:rsidR="00170630" w:rsidRPr="00170630" w:rsidRDefault="00170630" w:rsidP="00170630">
            <w:pPr>
              <w:numPr>
                <w:ilvl w:val="0"/>
                <w:numId w:val="18"/>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undercoverage of local units due to missing administrative sources,</w:t>
            </w:r>
          </w:p>
          <w:p w:rsidR="00170630" w:rsidRPr="00170630" w:rsidRDefault="00170630" w:rsidP="00170630">
            <w:pPr>
              <w:numPr>
                <w:ilvl w:val="0"/>
                <w:numId w:val="18"/>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problems with updating of activity of the enterprises which are not included into the surveys.</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 The actions taken to reduce bias (if any) and to improve accuracy of the data are as follows: </w:t>
            </w:r>
          </w:p>
          <w:p w:rsidR="00170630" w:rsidRPr="00170630" w:rsidRDefault="00170630" w:rsidP="00170630">
            <w:pPr>
              <w:numPr>
                <w:ilvl w:val="0"/>
                <w:numId w:val="19"/>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we are going to launch yearly survey for updating of local units</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1164FB" w:rsidP="00170630">
            <w:pPr>
              <w:spacing w:after="0" w:line="240" w:lineRule="auto"/>
              <w:rPr>
                <w:rFonts w:ascii="Times New Roman" w:eastAsia="Times New Roman" w:hAnsi="Times New Roman" w:cs="Times New Roman"/>
                <w:b/>
                <w:bCs/>
                <w:lang w:eastAsia="cs-CZ"/>
              </w:rPr>
            </w:pPr>
            <w:bookmarkStart w:id="59" w:name="sampling_err"/>
            <w:bookmarkEnd w:id="59"/>
            <w:r>
              <w:rPr>
                <w:rFonts w:ascii="Times New Roman" w:eastAsia="Times New Roman" w:hAnsi="Times New Roman" w:cs="Times New Roman"/>
                <w:b/>
                <w:bCs/>
                <w:lang w:eastAsia="cs-CZ"/>
              </w:rPr>
              <w:t>12</w:t>
            </w:r>
            <w:r w:rsidR="00170630" w:rsidRPr="00170630">
              <w:rPr>
                <w:rFonts w:ascii="Times New Roman" w:eastAsia="Times New Roman" w:hAnsi="Times New Roman" w:cs="Times New Roman"/>
                <w:b/>
                <w:bCs/>
                <w:lang w:eastAsia="cs-CZ"/>
              </w:rPr>
              <w:t>.2. Sampling error</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Not applicable.</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1164FB" w:rsidP="00170630">
            <w:pPr>
              <w:spacing w:after="0" w:line="240" w:lineRule="auto"/>
              <w:rPr>
                <w:rFonts w:ascii="Times New Roman" w:eastAsia="Times New Roman" w:hAnsi="Times New Roman" w:cs="Times New Roman"/>
                <w:b/>
                <w:bCs/>
                <w:lang w:eastAsia="cs-CZ"/>
              </w:rPr>
            </w:pPr>
            <w:bookmarkStart w:id="60" w:name="nonsampling_err"/>
            <w:bookmarkEnd w:id="60"/>
            <w:r>
              <w:rPr>
                <w:rFonts w:ascii="Times New Roman" w:eastAsia="Times New Roman" w:hAnsi="Times New Roman" w:cs="Times New Roman"/>
                <w:b/>
                <w:bCs/>
                <w:lang w:eastAsia="cs-CZ"/>
              </w:rPr>
              <w:t>12</w:t>
            </w:r>
            <w:r w:rsidR="00170630" w:rsidRPr="00170630">
              <w:rPr>
                <w:rFonts w:ascii="Times New Roman" w:eastAsia="Times New Roman" w:hAnsi="Times New Roman" w:cs="Times New Roman"/>
                <w:b/>
                <w:bCs/>
                <w:lang w:eastAsia="cs-CZ"/>
              </w:rPr>
              <w:t>.3. Non-sampling error</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Not applicable.</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bl>
    <w:p w:rsidR="00170630" w:rsidRPr="00170630" w:rsidRDefault="00170630" w:rsidP="00170630">
      <w:pPr>
        <w:spacing w:before="30" w:after="30" w:line="240" w:lineRule="auto"/>
        <w:rPr>
          <w:rFonts w:ascii="Times New Roman" w:eastAsia="Times New Roman" w:hAnsi="Times New Roman" w:cs="Times New Roman"/>
          <w:lang w:eastAsia="cs-CZ"/>
        </w:rPr>
      </w:pPr>
    </w:p>
    <w:tbl>
      <w:tblPr>
        <w:tblW w:w="4952" w:type="pct"/>
        <w:tblCellMar>
          <w:left w:w="0" w:type="dxa"/>
          <w:right w:w="0" w:type="dxa"/>
        </w:tblCellMar>
        <w:tblLook w:val="04A0" w:firstRow="1" w:lastRow="0" w:firstColumn="1" w:lastColumn="0" w:noHBand="0" w:noVBand="1"/>
      </w:tblPr>
      <w:tblGrid>
        <w:gridCol w:w="8945"/>
        <w:gridCol w:w="20"/>
      </w:tblGrid>
      <w:tr w:rsidR="00170630" w:rsidRPr="00170630" w:rsidTr="00130234">
        <w:trPr>
          <w:gridAfter w:val="1"/>
          <w:wAfter w:w="11" w:type="pct"/>
        </w:trPr>
        <w:tc>
          <w:tcPr>
            <w:tcW w:w="4989" w:type="pct"/>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4609" w:type="pct"/>
              <w:tblCellSpacing w:w="0" w:type="dxa"/>
              <w:tblCellMar>
                <w:left w:w="0" w:type="dxa"/>
                <w:right w:w="0" w:type="dxa"/>
              </w:tblCellMar>
              <w:tblLook w:val="04A0" w:firstRow="1" w:lastRow="0" w:firstColumn="1" w:lastColumn="0" w:noHBand="0" w:noVBand="1"/>
            </w:tblPr>
            <w:tblGrid>
              <w:gridCol w:w="8008"/>
            </w:tblGrid>
            <w:tr w:rsidR="001164FB" w:rsidRPr="00170630" w:rsidTr="001164FB">
              <w:trPr>
                <w:tblCellSpacing w:w="0" w:type="dxa"/>
              </w:trPr>
              <w:tc>
                <w:tcPr>
                  <w:tcW w:w="0" w:type="auto"/>
                  <w:vAlign w:val="center"/>
                  <w:hideMark/>
                </w:tcPr>
                <w:p w:rsidR="001164FB" w:rsidRPr="00170630" w:rsidRDefault="001164FB" w:rsidP="00170630">
                  <w:pPr>
                    <w:spacing w:after="0" w:line="240" w:lineRule="auto"/>
                    <w:rPr>
                      <w:rFonts w:ascii="Times New Roman" w:eastAsia="Times New Roman" w:hAnsi="Times New Roman" w:cs="Times New Roman"/>
                      <w:b/>
                      <w:bCs/>
                      <w:sz w:val="32"/>
                      <w:szCs w:val="32"/>
                      <w:lang w:eastAsia="cs-CZ"/>
                    </w:rPr>
                  </w:pPr>
                  <w:bookmarkStart w:id="61" w:name="timeliness_punct1651497095067"/>
                  <w:bookmarkStart w:id="62" w:name="timeliness_punct"/>
                  <w:bookmarkEnd w:id="61"/>
                  <w:bookmarkEnd w:id="62"/>
                  <w:r>
                    <w:rPr>
                      <w:rFonts w:ascii="Times New Roman" w:eastAsia="Times New Roman" w:hAnsi="Times New Roman" w:cs="Times New Roman"/>
                      <w:b/>
                      <w:bCs/>
                      <w:sz w:val="32"/>
                      <w:szCs w:val="32"/>
                      <w:lang w:eastAsia="cs-CZ"/>
                    </w:rPr>
                    <w:t>13</w:t>
                  </w:r>
                  <w:r w:rsidRPr="00170630">
                    <w:rPr>
                      <w:rFonts w:ascii="Times New Roman" w:eastAsia="Times New Roman" w:hAnsi="Times New Roman" w:cs="Times New Roman"/>
                      <w:b/>
                      <w:bCs/>
                      <w:sz w:val="32"/>
                      <w:szCs w:val="32"/>
                      <w:lang w:eastAsia="cs-CZ"/>
                    </w:rPr>
                    <w:t>. Timeliness and punctuality</w:t>
                  </w:r>
                </w:p>
              </w:tc>
            </w:tr>
          </w:tbl>
          <w:p w:rsidR="00170630" w:rsidRPr="00170630" w:rsidRDefault="00170630" w:rsidP="00170630">
            <w:pPr>
              <w:spacing w:after="0" w:line="240" w:lineRule="auto"/>
              <w:rPr>
                <w:rFonts w:ascii="Times New Roman" w:eastAsia="Times New Roman" w:hAnsi="Times New Roman" w:cs="Times New Roman"/>
                <w:b/>
                <w:bCs/>
                <w:color w:val="000000"/>
                <w:sz w:val="32"/>
                <w:szCs w:val="32"/>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1164FB" w:rsidP="00170630">
            <w:pPr>
              <w:spacing w:after="0" w:line="240" w:lineRule="auto"/>
              <w:rPr>
                <w:rFonts w:ascii="Times New Roman" w:eastAsia="Times New Roman" w:hAnsi="Times New Roman" w:cs="Times New Roman"/>
                <w:b/>
                <w:bCs/>
                <w:lang w:eastAsia="cs-CZ"/>
              </w:rPr>
            </w:pPr>
            <w:bookmarkStart w:id="63" w:name="timeliness"/>
            <w:bookmarkEnd w:id="63"/>
            <w:r>
              <w:rPr>
                <w:rFonts w:ascii="Times New Roman" w:eastAsia="Times New Roman" w:hAnsi="Times New Roman" w:cs="Times New Roman"/>
                <w:b/>
                <w:bCs/>
                <w:lang w:eastAsia="cs-CZ"/>
              </w:rPr>
              <w:t>13</w:t>
            </w:r>
            <w:r w:rsidR="00170630" w:rsidRPr="00170630">
              <w:rPr>
                <w:rFonts w:ascii="Times New Roman" w:eastAsia="Times New Roman" w:hAnsi="Times New Roman" w:cs="Times New Roman"/>
                <w:b/>
                <w:bCs/>
                <w:lang w:eastAsia="cs-CZ"/>
              </w:rPr>
              <w:t>.1. Timeliness</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Final frame is available 0 mon</w:t>
            </w:r>
            <w:r w:rsidR="00537831">
              <w:rPr>
                <w:rFonts w:ascii="Times New Roman" w:eastAsia="Times New Roman" w:hAnsi="Times New Roman" w:cs="Times New Roman"/>
                <w:lang w:eastAsia="cs-CZ"/>
              </w:rPr>
              <w:t>ths after the reference year T.</w:t>
            </w:r>
            <w:r w:rsidRPr="00170630">
              <w:rPr>
                <w:rFonts w:ascii="Times New Roman" w:eastAsia="Times New Roman" w:hAnsi="Times New Roman" w:cs="Times New Roman"/>
                <w:lang w:eastAsia="cs-CZ"/>
              </w:rPr>
              <w:t> </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1164FB" w:rsidP="00170630">
            <w:pPr>
              <w:spacing w:after="0" w:line="240" w:lineRule="auto"/>
              <w:rPr>
                <w:rFonts w:ascii="Times New Roman" w:eastAsia="Times New Roman" w:hAnsi="Times New Roman" w:cs="Times New Roman"/>
                <w:b/>
                <w:bCs/>
                <w:lang w:eastAsia="cs-CZ"/>
              </w:rPr>
            </w:pPr>
            <w:bookmarkStart w:id="64" w:name="punctuality"/>
            <w:bookmarkEnd w:id="64"/>
            <w:r>
              <w:rPr>
                <w:rFonts w:ascii="Times New Roman" w:eastAsia="Times New Roman" w:hAnsi="Times New Roman" w:cs="Times New Roman"/>
                <w:b/>
                <w:bCs/>
                <w:lang w:eastAsia="cs-CZ"/>
              </w:rPr>
              <w:t>13</w:t>
            </w:r>
            <w:r w:rsidR="00170630" w:rsidRPr="00170630">
              <w:rPr>
                <w:rFonts w:ascii="Times New Roman" w:eastAsia="Times New Roman" w:hAnsi="Times New Roman" w:cs="Times New Roman"/>
                <w:b/>
                <w:bCs/>
                <w:lang w:eastAsia="cs-CZ"/>
              </w:rPr>
              <w:t>.2. Punctuality</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Aggregated data for the SBR final frame are provided annually to Eurostat according the deadline agreed by the Statistical Business Registers Working Group.</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SBR frames are provided on time to statistical users with regard to their needs and the agreed time frame.</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 </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bl>
    <w:p w:rsidR="00170630" w:rsidRDefault="00170630" w:rsidP="00170630">
      <w:pPr>
        <w:spacing w:before="30" w:after="30" w:line="240" w:lineRule="auto"/>
        <w:rPr>
          <w:rFonts w:ascii="Times New Roman" w:eastAsia="Times New Roman" w:hAnsi="Times New Roman" w:cs="Times New Roman"/>
          <w:lang w:eastAsia="cs-CZ"/>
        </w:rPr>
      </w:pPr>
    </w:p>
    <w:p w:rsidR="00537831" w:rsidRDefault="00537831" w:rsidP="00170630">
      <w:pPr>
        <w:spacing w:before="30" w:after="30" w:line="240" w:lineRule="auto"/>
        <w:rPr>
          <w:rFonts w:ascii="Times New Roman" w:eastAsia="Times New Roman" w:hAnsi="Times New Roman" w:cs="Times New Roman"/>
          <w:lang w:eastAsia="cs-CZ"/>
        </w:rPr>
      </w:pPr>
    </w:p>
    <w:p w:rsidR="00537831" w:rsidRDefault="00537831" w:rsidP="00170630">
      <w:pPr>
        <w:spacing w:before="30" w:after="30" w:line="240" w:lineRule="auto"/>
        <w:rPr>
          <w:rFonts w:ascii="Times New Roman" w:eastAsia="Times New Roman" w:hAnsi="Times New Roman" w:cs="Times New Roman"/>
          <w:lang w:eastAsia="cs-CZ"/>
        </w:rPr>
      </w:pPr>
    </w:p>
    <w:p w:rsidR="00537831" w:rsidRPr="00170630" w:rsidRDefault="00537831" w:rsidP="00170630">
      <w:pPr>
        <w:spacing w:before="30" w:after="30" w:line="240" w:lineRule="auto"/>
        <w:rPr>
          <w:rFonts w:ascii="Times New Roman" w:eastAsia="Times New Roman" w:hAnsi="Times New Roman" w:cs="Times New Roman"/>
          <w:lang w:eastAsia="cs-CZ"/>
        </w:rPr>
      </w:pPr>
    </w:p>
    <w:tbl>
      <w:tblPr>
        <w:tblW w:w="4952" w:type="pct"/>
        <w:tblCellMar>
          <w:left w:w="0" w:type="dxa"/>
          <w:right w:w="0" w:type="dxa"/>
        </w:tblCellMar>
        <w:tblLook w:val="04A0" w:firstRow="1" w:lastRow="0" w:firstColumn="1" w:lastColumn="0" w:noHBand="0" w:noVBand="1"/>
      </w:tblPr>
      <w:tblGrid>
        <w:gridCol w:w="8945"/>
        <w:gridCol w:w="20"/>
      </w:tblGrid>
      <w:tr w:rsidR="00170630" w:rsidRPr="00170630" w:rsidTr="00130234">
        <w:trPr>
          <w:gridAfter w:val="1"/>
          <w:wAfter w:w="11" w:type="pct"/>
        </w:trPr>
        <w:tc>
          <w:tcPr>
            <w:tcW w:w="4989" w:type="pct"/>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4637" w:type="pct"/>
              <w:tblCellSpacing w:w="0" w:type="dxa"/>
              <w:tblCellMar>
                <w:left w:w="0" w:type="dxa"/>
                <w:right w:w="0" w:type="dxa"/>
              </w:tblCellMar>
              <w:tblLook w:val="04A0" w:firstRow="1" w:lastRow="0" w:firstColumn="1" w:lastColumn="0" w:noHBand="0" w:noVBand="1"/>
            </w:tblPr>
            <w:tblGrid>
              <w:gridCol w:w="8056"/>
            </w:tblGrid>
            <w:tr w:rsidR="001164FB" w:rsidRPr="00170630" w:rsidTr="001164FB">
              <w:trPr>
                <w:tblCellSpacing w:w="0" w:type="dxa"/>
              </w:trPr>
              <w:tc>
                <w:tcPr>
                  <w:tcW w:w="0" w:type="auto"/>
                  <w:vAlign w:val="center"/>
                  <w:hideMark/>
                </w:tcPr>
                <w:p w:rsidR="001164FB" w:rsidRPr="00170630" w:rsidRDefault="001164FB" w:rsidP="00170630">
                  <w:pPr>
                    <w:spacing w:after="0" w:line="240" w:lineRule="auto"/>
                    <w:rPr>
                      <w:rFonts w:ascii="Times New Roman" w:eastAsia="Times New Roman" w:hAnsi="Times New Roman" w:cs="Times New Roman"/>
                      <w:b/>
                      <w:bCs/>
                      <w:sz w:val="32"/>
                      <w:szCs w:val="32"/>
                      <w:lang w:eastAsia="cs-CZ"/>
                    </w:rPr>
                  </w:pPr>
                  <w:bookmarkStart w:id="65" w:name="coher_compar1651497095067"/>
                  <w:bookmarkStart w:id="66" w:name="coher_compar"/>
                  <w:bookmarkEnd w:id="65"/>
                  <w:bookmarkEnd w:id="66"/>
                  <w:r>
                    <w:rPr>
                      <w:rFonts w:ascii="Times New Roman" w:eastAsia="Times New Roman" w:hAnsi="Times New Roman" w:cs="Times New Roman"/>
                      <w:b/>
                      <w:bCs/>
                      <w:sz w:val="32"/>
                      <w:szCs w:val="32"/>
                      <w:lang w:eastAsia="cs-CZ"/>
                    </w:rPr>
                    <w:t>14</w:t>
                  </w:r>
                  <w:r w:rsidRPr="00170630">
                    <w:rPr>
                      <w:rFonts w:ascii="Times New Roman" w:eastAsia="Times New Roman" w:hAnsi="Times New Roman" w:cs="Times New Roman"/>
                      <w:b/>
                      <w:bCs/>
                      <w:sz w:val="32"/>
                      <w:szCs w:val="32"/>
                      <w:lang w:eastAsia="cs-CZ"/>
                    </w:rPr>
                    <w:t>. Coherence and comparability</w:t>
                  </w:r>
                </w:p>
              </w:tc>
            </w:tr>
          </w:tbl>
          <w:p w:rsidR="00170630" w:rsidRPr="00170630" w:rsidRDefault="00170630" w:rsidP="00170630">
            <w:pPr>
              <w:spacing w:after="0" w:line="240" w:lineRule="auto"/>
              <w:rPr>
                <w:rFonts w:ascii="Times New Roman" w:eastAsia="Times New Roman" w:hAnsi="Times New Roman" w:cs="Times New Roman"/>
                <w:b/>
                <w:bCs/>
                <w:color w:val="000000"/>
                <w:sz w:val="32"/>
                <w:szCs w:val="32"/>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1164FB" w:rsidP="00170630">
            <w:pPr>
              <w:spacing w:after="0" w:line="240" w:lineRule="auto"/>
              <w:rPr>
                <w:rFonts w:ascii="Times New Roman" w:eastAsia="Times New Roman" w:hAnsi="Times New Roman" w:cs="Times New Roman"/>
                <w:b/>
                <w:bCs/>
                <w:lang w:eastAsia="cs-CZ"/>
              </w:rPr>
            </w:pPr>
            <w:bookmarkStart w:id="67" w:name="compar_geo"/>
            <w:bookmarkEnd w:id="67"/>
            <w:r>
              <w:rPr>
                <w:rFonts w:ascii="Times New Roman" w:eastAsia="Times New Roman" w:hAnsi="Times New Roman" w:cs="Times New Roman"/>
                <w:b/>
                <w:bCs/>
                <w:lang w:eastAsia="cs-CZ"/>
              </w:rPr>
              <w:t>14</w:t>
            </w:r>
            <w:r w:rsidR="00170630" w:rsidRPr="00170630">
              <w:rPr>
                <w:rFonts w:ascii="Times New Roman" w:eastAsia="Times New Roman" w:hAnsi="Times New Roman" w:cs="Times New Roman"/>
                <w:b/>
                <w:bCs/>
                <w:lang w:eastAsia="cs-CZ"/>
              </w:rPr>
              <w:t xml:space="preserve">.1. Comparability </w:t>
            </w:r>
            <w:r w:rsidR="002B102D">
              <w:rPr>
                <w:rFonts w:ascii="Times New Roman" w:eastAsia="Times New Roman" w:hAnsi="Times New Roman" w:cs="Times New Roman"/>
                <w:b/>
                <w:bCs/>
                <w:lang w:eastAsia="cs-CZ"/>
              </w:rPr>
              <w:t>–</w:t>
            </w:r>
            <w:r w:rsidR="00170630" w:rsidRPr="00170630">
              <w:rPr>
                <w:rFonts w:ascii="Times New Roman" w:eastAsia="Times New Roman" w:hAnsi="Times New Roman" w:cs="Times New Roman"/>
                <w:b/>
                <w:bCs/>
                <w:lang w:eastAsia="cs-CZ"/>
              </w:rPr>
              <w:t xml:space="preserve"> geographical</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lastRenderedPageBreak/>
              <w:t>The geographical comparability of national statistical business registers is ensured by the application of common definitions of the statistical units laid down in the Council Regulation (EEC) No 696/93.</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SBR variables are harmonised and set up in accordance with the Annex VIII to the Commission Implementing Regulation (EU) 2020/1197 laying down technical specifications and arrangements pursuant to Regulation (EU) 2019/2152 on European business statistics. Further guidelines on the variables implementation in the national statistical business registers are given in the </w:t>
            </w:r>
            <w:hyperlink r:id="rId46" w:history="1">
              <w:r w:rsidRPr="00170630">
                <w:rPr>
                  <w:rFonts w:ascii="Times New Roman" w:eastAsia="Times New Roman" w:hAnsi="Times New Roman" w:cs="Times New Roman"/>
                  <w:color w:val="0F4BA0"/>
                  <w:u w:val="single"/>
                  <w:lang w:eastAsia="cs-CZ"/>
                </w:rPr>
                <w:t>EBS methodological manual for Statistical Business Registers (2021 edition)</w:t>
              </w:r>
            </w:hyperlink>
            <w:r w:rsidR="001164FB">
              <w:rPr>
                <w:rFonts w:ascii="Times New Roman" w:eastAsia="Times New Roman" w:hAnsi="Times New Roman" w:cs="Times New Roman"/>
                <w:lang w:eastAsia="cs-CZ"/>
              </w:rPr>
              <w:t>.</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1164FB" w:rsidP="00170630">
            <w:pPr>
              <w:spacing w:after="0" w:line="240" w:lineRule="auto"/>
              <w:rPr>
                <w:rFonts w:ascii="Times New Roman" w:eastAsia="Times New Roman" w:hAnsi="Times New Roman" w:cs="Times New Roman"/>
                <w:b/>
                <w:bCs/>
                <w:lang w:eastAsia="cs-CZ"/>
              </w:rPr>
            </w:pPr>
            <w:bookmarkStart w:id="68" w:name="compar_time"/>
            <w:bookmarkEnd w:id="68"/>
            <w:r>
              <w:rPr>
                <w:rFonts w:ascii="Times New Roman" w:eastAsia="Times New Roman" w:hAnsi="Times New Roman" w:cs="Times New Roman"/>
                <w:b/>
                <w:bCs/>
                <w:lang w:eastAsia="cs-CZ"/>
              </w:rPr>
              <w:t>14</w:t>
            </w:r>
            <w:r w:rsidR="00170630" w:rsidRPr="00170630">
              <w:rPr>
                <w:rFonts w:ascii="Times New Roman" w:eastAsia="Times New Roman" w:hAnsi="Times New Roman" w:cs="Times New Roman"/>
                <w:b/>
                <w:bCs/>
                <w:lang w:eastAsia="cs-CZ"/>
              </w:rPr>
              <w:t>.2. Comparability - over time</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comparability over time of the frames results from the information provided in concept 3.8.</w:t>
            </w:r>
          </w:p>
          <w:p w:rsidR="00170630" w:rsidRPr="00170630" w:rsidRDefault="00170630" w:rsidP="00170630">
            <w:pPr>
              <w:numPr>
                <w:ilvl w:val="0"/>
                <w:numId w:val="20"/>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years 1990 - 2012 are not comparable with the next years because of change in administrative sources.</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1164FB" w:rsidP="00170630">
            <w:pPr>
              <w:spacing w:after="0" w:line="240" w:lineRule="auto"/>
              <w:rPr>
                <w:rFonts w:ascii="Times New Roman" w:eastAsia="Times New Roman" w:hAnsi="Times New Roman" w:cs="Times New Roman"/>
                <w:b/>
                <w:bCs/>
                <w:lang w:eastAsia="cs-CZ"/>
              </w:rPr>
            </w:pPr>
            <w:bookmarkStart w:id="69" w:name="coher_x_dom"/>
            <w:bookmarkEnd w:id="69"/>
            <w:r>
              <w:rPr>
                <w:rFonts w:ascii="Times New Roman" w:eastAsia="Times New Roman" w:hAnsi="Times New Roman" w:cs="Times New Roman"/>
                <w:b/>
                <w:bCs/>
                <w:lang w:eastAsia="cs-CZ"/>
              </w:rPr>
              <w:t>14</w:t>
            </w:r>
            <w:r w:rsidR="00170630" w:rsidRPr="00170630">
              <w:rPr>
                <w:rFonts w:ascii="Times New Roman" w:eastAsia="Times New Roman" w:hAnsi="Times New Roman" w:cs="Times New Roman"/>
                <w:b/>
                <w:bCs/>
                <w:lang w:eastAsia="cs-CZ"/>
              </w:rPr>
              <w:t>.3. Coherence - cross domain</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NSBR frame provides information on the active population of enterprises carrying out economic activities which contribute to the gross domestic product (GDP), the legal units of which those enterprises consist of,  local units, kind of activity units and enterprise groups, incl. all-resident and multinational enterprise groups.</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 xml:space="preserve">The national statistical business register </w:t>
            </w:r>
            <w:proofErr w:type="gramStart"/>
            <w:r w:rsidRPr="00170630">
              <w:rPr>
                <w:rFonts w:ascii="Times New Roman" w:eastAsia="Times New Roman" w:hAnsi="Times New Roman" w:cs="Times New Roman"/>
                <w:lang w:eastAsia="cs-CZ"/>
              </w:rPr>
              <w:t>is used</w:t>
            </w:r>
            <w:proofErr w:type="gramEnd"/>
            <w:r w:rsidRPr="00170630">
              <w:rPr>
                <w:rFonts w:ascii="Times New Roman" w:eastAsia="Times New Roman" w:hAnsi="Times New Roman" w:cs="Times New Roman"/>
                <w:lang w:eastAsia="cs-CZ"/>
              </w:rPr>
              <w:t xml:space="preserve"> by statistical users as a coordinated frame population in order to derive consistent statistical output.</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reasons for lack of coherence with other statistical domains are as follows:</w:t>
            </w:r>
          </w:p>
          <w:p w:rsidR="00170630" w:rsidRPr="00170630" w:rsidRDefault="00170630" w:rsidP="00170630">
            <w:pPr>
              <w:numPr>
                <w:ilvl w:val="0"/>
                <w:numId w:val="21"/>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there are very small differences in number of enterprises in NACE sectors between BR and SBS due to NACE misclassifications.</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1164FB" w:rsidP="00170630">
            <w:pPr>
              <w:spacing w:after="0" w:line="240" w:lineRule="auto"/>
              <w:rPr>
                <w:rFonts w:ascii="Times New Roman" w:eastAsia="Times New Roman" w:hAnsi="Times New Roman" w:cs="Times New Roman"/>
                <w:b/>
                <w:bCs/>
                <w:lang w:eastAsia="cs-CZ"/>
              </w:rPr>
            </w:pPr>
            <w:bookmarkStart w:id="70" w:name="coher_internal"/>
            <w:bookmarkEnd w:id="70"/>
            <w:r>
              <w:rPr>
                <w:rFonts w:ascii="Times New Roman" w:eastAsia="Times New Roman" w:hAnsi="Times New Roman" w:cs="Times New Roman"/>
                <w:b/>
                <w:bCs/>
                <w:lang w:eastAsia="cs-CZ"/>
              </w:rPr>
              <w:t>14</w:t>
            </w:r>
            <w:r w:rsidR="00170630" w:rsidRPr="00170630">
              <w:rPr>
                <w:rFonts w:ascii="Times New Roman" w:eastAsia="Times New Roman" w:hAnsi="Times New Roman" w:cs="Times New Roman"/>
                <w:b/>
                <w:bCs/>
                <w:lang w:eastAsia="cs-CZ"/>
              </w:rPr>
              <w:t xml:space="preserve">.4. Coherence </w:t>
            </w:r>
            <w:r w:rsidR="00885691">
              <w:rPr>
                <w:rFonts w:ascii="Times New Roman" w:eastAsia="Times New Roman" w:hAnsi="Times New Roman" w:cs="Times New Roman"/>
                <w:b/>
                <w:bCs/>
                <w:lang w:eastAsia="cs-CZ"/>
              </w:rPr>
              <w:t>–</w:t>
            </w:r>
            <w:r w:rsidR="00170630" w:rsidRPr="00170630">
              <w:rPr>
                <w:rFonts w:ascii="Times New Roman" w:eastAsia="Times New Roman" w:hAnsi="Times New Roman" w:cs="Times New Roman"/>
                <w:b/>
                <w:bCs/>
                <w:lang w:eastAsia="cs-CZ"/>
              </w:rPr>
              <w:t xml:space="preserve"> internal</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SBR data included in the final frame </w:t>
            </w:r>
            <w:r w:rsidRPr="00170630">
              <w:rPr>
                <w:rFonts w:ascii="Times New Roman" w:eastAsia="Times New Roman" w:hAnsi="Times New Roman" w:cs="Times New Roman"/>
                <w:i/>
                <w:iCs/>
                <w:lang w:eastAsia="cs-CZ"/>
              </w:rPr>
              <w:t>are </w:t>
            </w:r>
            <w:r w:rsidR="00537831">
              <w:rPr>
                <w:rFonts w:ascii="Times New Roman" w:eastAsia="Times New Roman" w:hAnsi="Times New Roman" w:cs="Times New Roman"/>
                <w:lang w:eastAsia="cs-CZ"/>
              </w:rPr>
              <w:t> internally consistent.</w:t>
            </w:r>
            <w:r w:rsidRPr="00170630">
              <w:rPr>
                <w:rFonts w:ascii="Times New Roman" w:eastAsia="Times New Roman" w:hAnsi="Times New Roman" w:cs="Times New Roman"/>
                <w:lang w:eastAsia="cs-CZ"/>
              </w:rPr>
              <w:t> </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bl>
    <w:p w:rsidR="00170630" w:rsidRPr="00170630" w:rsidRDefault="00170630" w:rsidP="00170630">
      <w:pPr>
        <w:spacing w:before="30" w:after="30" w:line="240" w:lineRule="auto"/>
        <w:rPr>
          <w:rFonts w:ascii="Times New Roman" w:eastAsia="Times New Roman" w:hAnsi="Times New Roman" w:cs="Times New Roman"/>
          <w:lang w:eastAsia="cs-CZ"/>
        </w:rPr>
      </w:pPr>
      <w:bookmarkStart w:id="71" w:name="cost_burden1651497095067"/>
      <w:bookmarkStart w:id="72" w:name="cost_burden"/>
      <w:bookmarkEnd w:id="71"/>
      <w:bookmarkEnd w:id="72"/>
    </w:p>
    <w:tbl>
      <w:tblPr>
        <w:tblW w:w="4950" w:type="pct"/>
        <w:tblCellMar>
          <w:left w:w="0" w:type="dxa"/>
          <w:right w:w="0" w:type="dxa"/>
        </w:tblCellMar>
        <w:tblLook w:val="04A0" w:firstRow="1" w:lastRow="0" w:firstColumn="1" w:lastColumn="0" w:noHBand="0" w:noVBand="1"/>
      </w:tblPr>
      <w:tblGrid>
        <w:gridCol w:w="8938"/>
        <w:gridCol w:w="23"/>
      </w:tblGrid>
      <w:tr w:rsidR="00170630" w:rsidRPr="00170630" w:rsidTr="00130234">
        <w:trPr>
          <w:gridAfter w:val="1"/>
          <w:wAfter w:w="13" w:type="pct"/>
        </w:trPr>
        <w:tc>
          <w:tcPr>
            <w:tcW w:w="4987" w:type="pct"/>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4332" w:type="pct"/>
              <w:tblCellSpacing w:w="0" w:type="dxa"/>
              <w:tblCellMar>
                <w:left w:w="0" w:type="dxa"/>
                <w:right w:w="0" w:type="dxa"/>
              </w:tblCellMar>
              <w:tblLook w:val="04A0" w:firstRow="1" w:lastRow="0" w:firstColumn="1" w:lastColumn="0" w:noHBand="0" w:noVBand="1"/>
            </w:tblPr>
            <w:tblGrid>
              <w:gridCol w:w="7520"/>
            </w:tblGrid>
            <w:tr w:rsidR="00537831" w:rsidRPr="00170630" w:rsidTr="00537831">
              <w:trPr>
                <w:tblCellSpacing w:w="0" w:type="dxa"/>
              </w:trPr>
              <w:tc>
                <w:tcPr>
                  <w:tcW w:w="0" w:type="auto"/>
                  <w:vAlign w:val="center"/>
                  <w:hideMark/>
                </w:tcPr>
                <w:p w:rsidR="00537831" w:rsidRPr="00170630" w:rsidRDefault="00537831" w:rsidP="00170630">
                  <w:pPr>
                    <w:spacing w:after="0" w:line="240" w:lineRule="auto"/>
                    <w:rPr>
                      <w:rFonts w:ascii="Times New Roman" w:eastAsia="Times New Roman" w:hAnsi="Times New Roman" w:cs="Times New Roman"/>
                      <w:b/>
                      <w:bCs/>
                      <w:sz w:val="32"/>
                      <w:szCs w:val="32"/>
                      <w:lang w:eastAsia="cs-CZ"/>
                    </w:rPr>
                  </w:pPr>
                  <w:bookmarkStart w:id="73" w:name="data_rev1651497095067"/>
                  <w:bookmarkStart w:id="74" w:name="data_rev"/>
                  <w:bookmarkEnd w:id="73"/>
                  <w:bookmarkEnd w:id="74"/>
                  <w:r>
                    <w:rPr>
                      <w:rFonts w:ascii="Times New Roman" w:eastAsia="Times New Roman" w:hAnsi="Times New Roman" w:cs="Times New Roman"/>
                      <w:b/>
                      <w:bCs/>
                      <w:sz w:val="32"/>
                      <w:szCs w:val="32"/>
                      <w:lang w:eastAsia="cs-CZ"/>
                    </w:rPr>
                    <w:t>15</w:t>
                  </w:r>
                  <w:r w:rsidRPr="00170630">
                    <w:rPr>
                      <w:rFonts w:ascii="Times New Roman" w:eastAsia="Times New Roman" w:hAnsi="Times New Roman" w:cs="Times New Roman"/>
                      <w:b/>
                      <w:bCs/>
                      <w:sz w:val="32"/>
                      <w:szCs w:val="32"/>
                      <w:lang w:eastAsia="cs-CZ"/>
                    </w:rPr>
                    <w:t>. Data revision</w:t>
                  </w:r>
                </w:p>
              </w:tc>
            </w:tr>
          </w:tbl>
          <w:p w:rsidR="00170630" w:rsidRPr="00170630" w:rsidRDefault="00170630" w:rsidP="00170630">
            <w:pPr>
              <w:spacing w:after="0" w:line="240" w:lineRule="auto"/>
              <w:rPr>
                <w:rFonts w:ascii="Times New Roman" w:eastAsia="Times New Roman" w:hAnsi="Times New Roman" w:cs="Times New Roman"/>
                <w:b/>
                <w:bCs/>
                <w:color w:val="000000"/>
                <w:sz w:val="32"/>
                <w:szCs w:val="32"/>
                <w:lang w:eastAsia="cs-CZ"/>
              </w:rPr>
            </w:pPr>
          </w:p>
        </w:tc>
      </w:tr>
      <w:tr w:rsidR="00170630" w:rsidRPr="00170630" w:rsidTr="00130234">
        <w:tc>
          <w:tcPr>
            <w:tcW w:w="4987"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537831" w:rsidP="00170630">
            <w:pPr>
              <w:spacing w:after="0" w:line="240" w:lineRule="auto"/>
              <w:rPr>
                <w:rFonts w:ascii="Times New Roman" w:eastAsia="Times New Roman" w:hAnsi="Times New Roman" w:cs="Times New Roman"/>
                <w:b/>
                <w:bCs/>
                <w:lang w:eastAsia="cs-CZ"/>
              </w:rPr>
            </w:pPr>
            <w:bookmarkStart w:id="75" w:name="rev_policy"/>
            <w:bookmarkEnd w:id="75"/>
            <w:r>
              <w:rPr>
                <w:rFonts w:ascii="Times New Roman" w:eastAsia="Times New Roman" w:hAnsi="Times New Roman" w:cs="Times New Roman"/>
                <w:b/>
                <w:bCs/>
                <w:lang w:eastAsia="cs-CZ"/>
              </w:rPr>
              <w:t>15</w:t>
            </w:r>
            <w:r w:rsidR="00170630" w:rsidRPr="00170630">
              <w:rPr>
                <w:rFonts w:ascii="Times New Roman" w:eastAsia="Times New Roman" w:hAnsi="Times New Roman" w:cs="Times New Roman"/>
                <w:b/>
                <w:bCs/>
                <w:lang w:eastAsia="cs-CZ"/>
              </w:rPr>
              <w:t xml:space="preserve">.1. Data revision </w:t>
            </w:r>
            <w:r w:rsidR="00885691">
              <w:rPr>
                <w:rFonts w:ascii="Times New Roman" w:eastAsia="Times New Roman" w:hAnsi="Times New Roman" w:cs="Times New Roman"/>
                <w:b/>
                <w:bCs/>
                <w:lang w:eastAsia="cs-CZ"/>
              </w:rPr>
              <w:t>–</w:t>
            </w:r>
            <w:r w:rsidR="00170630" w:rsidRPr="00170630">
              <w:rPr>
                <w:rFonts w:ascii="Times New Roman" w:eastAsia="Times New Roman" w:hAnsi="Times New Roman" w:cs="Times New Roman"/>
                <w:b/>
                <w:bCs/>
                <w:lang w:eastAsia="cs-CZ"/>
              </w:rPr>
              <w:t xml:space="preserve"> policy</w:t>
            </w:r>
          </w:p>
        </w:tc>
        <w:tc>
          <w:tcPr>
            <w:tcW w:w="13"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7"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Data revisions are treated according to </w:t>
            </w:r>
            <w:hyperlink r:id="rId47" w:history="1">
              <w:r w:rsidRPr="00170630">
                <w:rPr>
                  <w:rFonts w:ascii="Times New Roman" w:eastAsia="Times New Roman" w:hAnsi="Times New Roman" w:cs="Times New Roman"/>
                  <w:color w:val="0F4BA0"/>
                  <w:u w:val="single"/>
                  <w:lang w:eastAsia="cs-CZ"/>
                </w:rPr>
                <w:t>CZSO data revision policy</w:t>
              </w:r>
            </w:hyperlink>
            <w:r w:rsidRPr="00170630">
              <w:rPr>
                <w:rFonts w:ascii="Times New Roman" w:eastAsia="Times New Roman" w:hAnsi="Times New Roman" w:cs="Times New Roman"/>
                <w:lang w:eastAsia="cs-CZ"/>
              </w:rPr>
              <w:t>.</w:t>
            </w:r>
          </w:p>
        </w:tc>
        <w:tc>
          <w:tcPr>
            <w:tcW w:w="13"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c>
          <w:tcPr>
            <w:tcW w:w="4987"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537831" w:rsidP="00170630">
            <w:pPr>
              <w:spacing w:after="0" w:line="240" w:lineRule="auto"/>
              <w:rPr>
                <w:rFonts w:ascii="Times New Roman" w:eastAsia="Times New Roman" w:hAnsi="Times New Roman" w:cs="Times New Roman"/>
                <w:b/>
                <w:bCs/>
                <w:lang w:eastAsia="cs-CZ"/>
              </w:rPr>
            </w:pPr>
            <w:bookmarkStart w:id="76" w:name="rev_practice"/>
            <w:bookmarkEnd w:id="76"/>
            <w:r>
              <w:rPr>
                <w:rFonts w:ascii="Times New Roman" w:eastAsia="Times New Roman" w:hAnsi="Times New Roman" w:cs="Times New Roman"/>
                <w:b/>
                <w:bCs/>
                <w:lang w:eastAsia="cs-CZ"/>
              </w:rPr>
              <w:t>15</w:t>
            </w:r>
            <w:r w:rsidR="00170630" w:rsidRPr="00170630">
              <w:rPr>
                <w:rFonts w:ascii="Times New Roman" w:eastAsia="Times New Roman" w:hAnsi="Times New Roman" w:cs="Times New Roman"/>
                <w:b/>
                <w:bCs/>
                <w:lang w:eastAsia="cs-CZ"/>
              </w:rPr>
              <w:t xml:space="preserve">.2. Data revision </w:t>
            </w:r>
            <w:r w:rsidR="00885691">
              <w:rPr>
                <w:rFonts w:ascii="Times New Roman" w:eastAsia="Times New Roman" w:hAnsi="Times New Roman" w:cs="Times New Roman"/>
                <w:b/>
                <w:bCs/>
                <w:lang w:eastAsia="cs-CZ"/>
              </w:rPr>
              <w:t>–</w:t>
            </w:r>
            <w:r w:rsidR="00170630" w:rsidRPr="00170630">
              <w:rPr>
                <w:rFonts w:ascii="Times New Roman" w:eastAsia="Times New Roman" w:hAnsi="Times New Roman" w:cs="Times New Roman"/>
                <w:b/>
                <w:bCs/>
                <w:lang w:eastAsia="cs-CZ"/>
              </w:rPr>
              <w:t xml:space="preserve"> practice</w:t>
            </w:r>
          </w:p>
        </w:tc>
        <w:tc>
          <w:tcPr>
            <w:tcW w:w="13"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7"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No revisions</w:t>
            </w:r>
          </w:p>
        </w:tc>
        <w:tc>
          <w:tcPr>
            <w:tcW w:w="13"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bl>
    <w:p w:rsidR="00170630" w:rsidRPr="00170630" w:rsidRDefault="00170630" w:rsidP="00170630">
      <w:pPr>
        <w:spacing w:before="30" w:after="30" w:line="240" w:lineRule="auto"/>
        <w:rPr>
          <w:rFonts w:ascii="Times New Roman" w:eastAsia="Times New Roman" w:hAnsi="Times New Roman" w:cs="Times New Roman"/>
          <w:lang w:eastAsia="cs-CZ"/>
        </w:rPr>
      </w:pPr>
    </w:p>
    <w:tbl>
      <w:tblPr>
        <w:tblW w:w="4952" w:type="pct"/>
        <w:tblCellMar>
          <w:left w:w="0" w:type="dxa"/>
          <w:right w:w="0" w:type="dxa"/>
        </w:tblCellMar>
        <w:tblLook w:val="04A0" w:firstRow="1" w:lastRow="0" w:firstColumn="1" w:lastColumn="0" w:noHBand="0" w:noVBand="1"/>
      </w:tblPr>
      <w:tblGrid>
        <w:gridCol w:w="8945"/>
        <w:gridCol w:w="20"/>
      </w:tblGrid>
      <w:tr w:rsidR="00170630" w:rsidRPr="00170630" w:rsidTr="00130234">
        <w:trPr>
          <w:gridAfter w:val="1"/>
          <w:wAfter w:w="11" w:type="pct"/>
        </w:trPr>
        <w:tc>
          <w:tcPr>
            <w:tcW w:w="4989" w:type="pct"/>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8671"/>
              <w:gridCol w:w="16"/>
            </w:tblGrid>
            <w:tr w:rsidR="00170630" w:rsidRPr="00170630">
              <w:trPr>
                <w:tblCellSpacing w:w="0" w:type="dxa"/>
              </w:trPr>
              <w:tc>
                <w:tcPr>
                  <w:tcW w:w="0" w:type="auto"/>
                  <w:vAlign w:val="center"/>
                  <w:hideMark/>
                </w:tcPr>
                <w:p w:rsidR="00170630" w:rsidRPr="00170630" w:rsidRDefault="00537831" w:rsidP="00170630">
                  <w:pPr>
                    <w:spacing w:after="0" w:line="240" w:lineRule="auto"/>
                    <w:rPr>
                      <w:rFonts w:ascii="Times New Roman" w:eastAsia="Times New Roman" w:hAnsi="Times New Roman" w:cs="Times New Roman"/>
                      <w:b/>
                      <w:bCs/>
                      <w:sz w:val="32"/>
                      <w:szCs w:val="32"/>
                      <w:lang w:eastAsia="cs-CZ"/>
                    </w:rPr>
                  </w:pPr>
                  <w:bookmarkStart w:id="77" w:name="stat_process1651497095067"/>
                  <w:bookmarkStart w:id="78" w:name="stat_process"/>
                  <w:bookmarkEnd w:id="77"/>
                  <w:bookmarkEnd w:id="78"/>
                  <w:r>
                    <w:rPr>
                      <w:rFonts w:ascii="Times New Roman" w:eastAsia="Times New Roman" w:hAnsi="Times New Roman" w:cs="Times New Roman"/>
                      <w:b/>
                      <w:bCs/>
                      <w:sz w:val="32"/>
                      <w:szCs w:val="32"/>
                      <w:lang w:eastAsia="cs-CZ"/>
                    </w:rPr>
                    <w:t>16</w:t>
                  </w:r>
                  <w:r w:rsidR="00170630" w:rsidRPr="00170630">
                    <w:rPr>
                      <w:rFonts w:ascii="Times New Roman" w:eastAsia="Times New Roman" w:hAnsi="Times New Roman" w:cs="Times New Roman"/>
                      <w:b/>
                      <w:bCs/>
                      <w:sz w:val="32"/>
                      <w:szCs w:val="32"/>
                      <w:lang w:eastAsia="cs-CZ"/>
                    </w:rPr>
                    <w:t>. Statistical processing</w:t>
                  </w:r>
                </w:p>
              </w:tc>
              <w:tc>
                <w:tcPr>
                  <w:tcW w:w="0" w:type="auto"/>
                  <w:vAlign w:val="center"/>
                  <w:hideMark/>
                </w:tcPr>
                <w:p w:rsidR="00170630" w:rsidRPr="00170630" w:rsidRDefault="00170630" w:rsidP="00170630">
                  <w:pPr>
                    <w:spacing w:after="0" w:line="240" w:lineRule="auto"/>
                    <w:jc w:val="right"/>
                    <w:rPr>
                      <w:rFonts w:ascii="Times New Roman" w:eastAsia="Times New Roman" w:hAnsi="Times New Roman" w:cs="Times New Roman"/>
                      <w:sz w:val="24"/>
                      <w:szCs w:val="24"/>
                      <w:lang w:eastAsia="cs-CZ"/>
                    </w:rPr>
                  </w:pPr>
                </w:p>
              </w:tc>
            </w:tr>
          </w:tbl>
          <w:p w:rsidR="00170630" w:rsidRPr="00170630" w:rsidRDefault="00170630" w:rsidP="00170630">
            <w:pPr>
              <w:spacing w:after="0" w:line="240" w:lineRule="auto"/>
              <w:rPr>
                <w:rFonts w:ascii="Times New Roman" w:eastAsia="Times New Roman" w:hAnsi="Times New Roman" w:cs="Times New Roman"/>
                <w:b/>
                <w:bCs/>
                <w:color w:val="000000"/>
                <w:sz w:val="32"/>
                <w:szCs w:val="32"/>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537831" w:rsidP="00170630">
            <w:pPr>
              <w:spacing w:after="0" w:line="240" w:lineRule="auto"/>
              <w:rPr>
                <w:rFonts w:ascii="Times New Roman" w:eastAsia="Times New Roman" w:hAnsi="Times New Roman" w:cs="Times New Roman"/>
                <w:b/>
                <w:bCs/>
                <w:lang w:eastAsia="cs-CZ"/>
              </w:rPr>
            </w:pPr>
            <w:bookmarkStart w:id="79" w:name="source_type"/>
            <w:bookmarkEnd w:id="79"/>
            <w:r>
              <w:rPr>
                <w:rFonts w:ascii="Times New Roman" w:eastAsia="Times New Roman" w:hAnsi="Times New Roman" w:cs="Times New Roman"/>
                <w:b/>
                <w:bCs/>
                <w:lang w:eastAsia="cs-CZ"/>
              </w:rPr>
              <w:t>16</w:t>
            </w:r>
            <w:r w:rsidR="00170630" w:rsidRPr="00170630">
              <w:rPr>
                <w:rFonts w:ascii="Times New Roman" w:eastAsia="Times New Roman" w:hAnsi="Times New Roman" w:cs="Times New Roman"/>
                <w:b/>
                <w:bCs/>
                <w:lang w:eastAsia="cs-CZ"/>
              </w:rPr>
              <w:t>.1. Source data</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national statistical business registers is set up in accordance with EBS Regulation (EU) 2019/2152 using any relevant data sources while avoiding excessive burden on respondents and taking due account of the cost effectiveness of the NSAs.</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NSI uses the following data sources, including a combination thereof for the national statistical business register:</w:t>
            </w:r>
          </w:p>
          <w:p w:rsidR="00170630" w:rsidRPr="00170630" w:rsidRDefault="00170630" w:rsidP="00170630">
            <w:pPr>
              <w:numPr>
                <w:ilvl w:val="0"/>
                <w:numId w:val="22"/>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Basic register of legal units</w:t>
            </w:r>
          </w:p>
          <w:p w:rsidR="00170630" w:rsidRPr="00170630" w:rsidRDefault="00170630" w:rsidP="00170630">
            <w:pPr>
              <w:numPr>
                <w:ilvl w:val="0"/>
                <w:numId w:val="22"/>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Ministry of Finance - information from accounting reports</w:t>
            </w:r>
          </w:p>
          <w:p w:rsidR="00170630" w:rsidRPr="00170630" w:rsidRDefault="00170630" w:rsidP="00170630">
            <w:pPr>
              <w:numPr>
                <w:ilvl w:val="0"/>
                <w:numId w:val="22"/>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Data from the Czech Social Security Administration</w:t>
            </w:r>
          </w:p>
          <w:p w:rsidR="00170630" w:rsidRPr="00170630" w:rsidRDefault="00170630" w:rsidP="00170630">
            <w:pPr>
              <w:numPr>
                <w:ilvl w:val="0"/>
                <w:numId w:val="22"/>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Trade licencing register</w:t>
            </w:r>
          </w:p>
          <w:p w:rsidR="00170630" w:rsidRPr="00170630" w:rsidRDefault="00170630" w:rsidP="00170630">
            <w:pPr>
              <w:numPr>
                <w:ilvl w:val="0"/>
                <w:numId w:val="22"/>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lastRenderedPageBreak/>
              <w:t>Commercial register</w:t>
            </w:r>
          </w:p>
          <w:p w:rsidR="00170630" w:rsidRPr="00170630" w:rsidRDefault="00170630" w:rsidP="00170630">
            <w:pPr>
              <w:numPr>
                <w:ilvl w:val="0"/>
                <w:numId w:val="22"/>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SBR statistical survey</w:t>
            </w:r>
          </w:p>
          <w:p w:rsidR="00170630" w:rsidRPr="00170630" w:rsidRDefault="00170630" w:rsidP="00170630">
            <w:pPr>
              <w:numPr>
                <w:ilvl w:val="0"/>
                <w:numId w:val="22"/>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Other statistical surveys</w:t>
            </w:r>
          </w:p>
          <w:p w:rsidR="00170630" w:rsidRPr="00170630" w:rsidRDefault="00170630" w:rsidP="00170630">
            <w:pPr>
              <w:numPr>
                <w:ilvl w:val="0"/>
                <w:numId w:val="22"/>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Farm register</w:t>
            </w:r>
          </w:p>
          <w:p w:rsidR="00170630" w:rsidRPr="00170630" w:rsidRDefault="00170630" w:rsidP="00170630">
            <w:pPr>
              <w:numPr>
                <w:ilvl w:val="0"/>
                <w:numId w:val="22"/>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VAT number</w:t>
            </w:r>
          </w:p>
          <w:p w:rsidR="00170630" w:rsidRPr="00170630" w:rsidRDefault="00170630" w:rsidP="00170630">
            <w:pPr>
              <w:numPr>
                <w:ilvl w:val="0"/>
                <w:numId w:val="22"/>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Private data provider</w:t>
            </w:r>
          </w:p>
          <w:p w:rsidR="00170630" w:rsidRPr="00170630" w:rsidRDefault="00170630" w:rsidP="00170630">
            <w:pPr>
              <w:numPr>
                <w:ilvl w:val="0"/>
                <w:numId w:val="22"/>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EGR</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537831" w:rsidP="00170630">
            <w:pPr>
              <w:spacing w:after="0" w:line="240" w:lineRule="auto"/>
              <w:rPr>
                <w:rFonts w:ascii="Times New Roman" w:eastAsia="Times New Roman" w:hAnsi="Times New Roman" w:cs="Times New Roman"/>
                <w:b/>
                <w:bCs/>
                <w:lang w:eastAsia="cs-CZ"/>
              </w:rPr>
            </w:pPr>
            <w:bookmarkStart w:id="80" w:name="freq_coll"/>
            <w:bookmarkEnd w:id="80"/>
            <w:r>
              <w:rPr>
                <w:rFonts w:ascii="Times New Roman" w:eastAsia="Times New Roman" w:hAnsi="Times New Roman" w:cs="Times New Roman"/>
                <w:b/>
                <w:bCs/>
                <w:lang w:eastAsia="cs-CZ"/>
              </w:rPr>
              <w:t>16</w:t>
            </w:r>
            <w:r w:rsidR="00170630" w:rsidRPr="00170630">
              <w:rPr>
                <w:rFonts w:ascii="Times New Roman" w:eastAsia="Times New Roman" w:hAnsi="Times New Roman" w:cs="Times New Roman"/>
                <w:b/>
                <w:bCs/>
                <w:lang w:eastAsia="cs-CZ"/>
              </w:rPr>
              <w:t>.2. Frequency of data collection</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national statistical business registers shall be updated by means of entries and removals at least annually. The frequency of updating shall depend on the kind of unit, the variable considered, the size of the unit and the source generally used for the update.</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The frequency of updating the units and variables in the national statistical business register is as follows:</w:t>
            </w:r>
          </w:p>
          <w:p w:rsidR="00170630" w:rsidRPr="00170630" w:rsidRDefault="00170630" w:rsidP="00170630">
            <w:pPr>
              <w:numPr>
                <w:ilvl w:val="0"/>
                <w:numId w:val="23"/>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Legal units - identification and demographic characteristics, relationship and activity information are updated on daily basis, employment is updated on monthly basis, monetary variables and information on links to other registers are updated on yearly basis. </w:t>
            </w:r>
          </w:p>
          <w:p w:rsidR="00170630" w:rsidRPr="00170630" w:rsidRDefault="00170630" w:rsidP="00170630">
            <w:pPr>
              <w:numPr>
                <w:ilvl w:val="0"/>
                <w:numId w:val="23"/>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Enterprises - identification characteristics and employment are updated on monthly basis, activity information is updated on quarterly basis, demographic characteristics and monetary variables are updated on yearly basis.</w:t>
            </w:r>
          </w:p>
          <w:p w:rsidR="00170630" w:rsidRPr="00170630" w:rsidRDefault="00170630" w:rsidP="00170630">
            <w:pPr>
              <w:numPr>
                <w:ilvl w:val="0"/>
                <w:numId w:val="23"/>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Local units - all characteristics are updated on yearly basis.</w:t>
            </w:r>
          </w:p>
          <w:p w:rsidR="00170630" w:rsidRPr="00170630" w:rsidRDefault="00170630" w:rsidP="00170630">
            <w:pPr>
              <w:numPr>
                <w:ilvl w:val="0"/>
                <w:numId w:val="23"/>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Kind of activity units - all characteristics are updated on yearly basis.</w:t>
            </w:r>
          </w:p>
          <w:p w:rsidR="00170630" w:rsidRPr="00170630" w:rsidRDefault="00170630" w:rsidP="00170630">
            <w:pPr>
              <w:numPr>
                <w:ilvl w:val="0"/>
                <w:numId w:val="23"/>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Enterprise groups - all characteristics are updated on yearly basis.</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2B102D" w:rsidP="00170630">
            <w:pPr>
              <w:spacing w:after="0" w:line="240" w:lineRule="auto"/>
              <w:rPr>
                <w:rFonts w:ascii="Times New Roman" w:eastAsia="Times New Roman" w:hAnsi="Times New Roman" w:cs="Times New Roman"/>
                <w:b/>
                <w:bCs/>
                <w:lang w:eastAsia="cs-CZ"/>
              </w:rPr>
            </w:pPr>
            <w:bookmarkStart w:id="81" w:name="coll_method"/>
            <w:bookmarkEnd w:id="81"/>
            <w:r>
              <w:rPr>
                <w:rFonts w:ascii="Times New Roman" w:eastAsia="Times New Roman" w:hAnsi="Times New Roman" w:cs="Times New Roman"/>
                <w:b/>
                <w:bCs/>
                <w:lang w:eastAsia="cs-CZ"/>
              </w:rPr>
              <w:t>16</w:t>
            </w:r>
            <w:r w:rsidR="00170630" w:rsidRPr="00170630">
              <w:rPr>
                <w:rFonts w:ascii="Times New Roman" w:eastAsia="Times New Roman" w:hAnsi="Times New Roman" w:cs="Times New Roman"/>
                <w:b/>
                <w:bCs/>
                <w:lang w:eastAsia="cs-CZ"/>
              </w:rPr>
              <w:t>.3. Data collection</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Statistical business registers use data from administrative and statistical data sources, and from any other relevant sources that are comparable and compliant with the applicable specific quality requirements. For more details please see 18.1.</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2B102D" w:rsidP="00170630">
            <w:pPr>
              <w:spacing w:after="0" w:line="240" w:lineRule="auto"/>
              <w:rPr>
                <w:rFonts w:ascii="Times New Roman" w:eastAsia="Times New Roman" w:hAnsi="Times New Roman" w:cs="Times New Roman"/>
                <w:b/>
                <w:bCs/>
                <w:lang w:eastAsia="cs-CZ"/>
              </w:rPr>
            </w:pPr>
            <w:bookmarkStart w:id="82" w:name="data_validation"/>
            <w:bookmarkEnd w:id="82"/>
            <w:r>
              <w:rPr>
                <w:rFonts w:ascii="Times New Roman" w:eastAsia="Times New Roman" w:hAnsi="Times New Roman" w:cs="Times New Roman"/>
                <w:b/>
                <w:bCs/>
                <w:lang w:eastAsia="cs-CZ"/>
              </w:rPr>
              <w:t>16</w:t>
            </w:r>
            <w:r w:rsidR="00170630" w:rsidRPr="00170630">
              <w:rPr>
                <w:rFonts w:ascii="Times New Roman" w:eastAsia="Times New Roman" w:hAnsi="Times New Roman" w:cs="Times New Roman"/>
                <w:b/>
                <w:bCs/>
                <w:lang w:eastAsia="cs-CZ"/>
              </w:rPr>
              <w:t>.4. Data validation</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Statistical analysis of the national statistical business register is carried out to ensure the quality of data and frame populations provided to users.</w:t>
            </w:r>
          </w:p>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Data validation procedures include:</w:t>
            </w:r>
          </w:p>
          <w:p w:rsidR="00170630" w:rsidRPr="00170630" w:rsidRDefault="00170630" w:rsidP="00170630">
            <w:pPr>
              <w:numPr>
                <w:ilvl w:val="0"/>
                <w:numId w:val="24"/>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format and file structure checks,</w:t>
            </w:r>
          </w:p>
          <w:p w:rsidR="00170630" w:rsidRPr="00170630" w:rsidRDefault="00170630" w:rsidP="00170630">
            <w:pPr>
              <w:numPr>
                <w:ilvl w:val="0"/>
                <w:numId w:val="24"/>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intra-file checks,</w:t>
            </w:r>
          </w:p>
          <w:p w:rsidR="00170630" w:rsidRPr="00170630" w:rsidRDefault="00170630" w:rsidP="00170630">
            <w:pPr>
              <w:numPr>
                <w:ilvl w:val="0"/>
                <w:numId w:val="24"/>
              </w:numPr>
              <w:spacing w:before="100" w:beforeAutospacing="1" w:after="100" w:afterAutospacing="1" w:line="240" w:lineRule="auto"/>
              <w:ind w:left="945"/>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 xml:space="preserve">Intra-domain, intra-source </w:t>
            </w:r>
            <w:proofErr w:type="gramStart"/>
            <w:r w:rsidRPr="00170630">
              <w:rPr>
                <w:rFonts w:ascii="Times New Roman" w:eastAsia="Times New Roman" w:hAnsi="Times New Roman" w:cs="Times New Roman"/>
                <w:lang w:eastAsia="cs-CZ"/>
              </w:rPr>
              <w:t>checks (e.g time</w:t>
            </w:r>
            <w:proofErr w:type="gramEnd"/>
            <w:r w:rsidRPr="00170630">
              <w:rPr>
                <w:rFonts w:ascii="Times New Roman" w:eastAsia="Times New Roman" w:hAnsi="Times New Roman" w:cs="Times New Roman"/>
                <w:lang w:eastAsia="cs-CZ"/>
              </w:rPr>
              <w:t xml:space="preserve"> series checks).</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c>
          <w:tcPr>
            <w:tcW w:w="4989" w:type="pct"/>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170630" w:rsidRPr="00170630" w:rsidRDefault="002B102D" w:rsidP="00170630">
            <w:pPr>
              <w:spacing w:after="0" w:line="240" w:lineRule="auto"/>
              <w:rPr>
                <w:rFonts w:ascii="Times New Roman" w:eastAsia="Times New Roman" w:hAnsi="Times New Roman" w:cs="Times New Roman"/>
                <w:b/>
                <w:bCs/>
                <w:lang w:eastAsia="cs-CZ"/>
              </w:rPr>
            </w:pPr>
            <w:bookmarkStart w:id="83" w:name="data_comp"/>
            <w:bookmarkStart w:id="84" w:name="adjustment"/>
            <w:bookmarkEnd w:id="83"/>
            <w:bookmarkEnd w:id="84"/>
            <w:r>
              <w:rPr>
                <w:rFonts w:ascii="Times New Roman" w:eastAsia="Times New Roman" w:hAnsi="Times New Roman" w:cs="Times New Roman"/>
                <w:b/>
                <w:bCs/>
                <w:lang w:eastAsia="cs-CZ"/>
              </w:rPr>
              <w:t>16.5</w:t>
            </w:r>
            <w:r w:rsidR="00170630" w:rsidRPr="00170630">
              <w:rPr>
                <w:rFonts w:ascii="Times New Roman" w:eastAsia="Times New Roman" w:hAnsi="Times New Roman" w:cs="Times New Roman"/>
                <w:b/>
                <w:bCs/>
                <w:lang w:eastAsia="cs-CZ"/>
              </w:rPr>
              <w:t>. Adjustment</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r w:rsidR="00170630" w:rsidRPr="00170630" w:rsidTr="00130234">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170630" w:rsidRPr="00170630" w:rsidRDefault="00170630" w:rsidP="00170630">
            <w:pPr>
              <w:spacing w:before="30" w:after="30" w:line="240" w:lineRule="auto"/>
              <w:rPr>
                <w:rFonts w:ascii="Times New Roman" w:eastAsia="Times New Roman" w:hAnsi="Times New Roman" w:cs="Times New Roman"/>
                <w:lang w:eastAsia="cs-CZ"/>
              </w:rPr>
            </w:pPr>
            <w:r w:rsidRPr="00170630">
              <w:rPr>
                <w:rFonts w:ascii="Times New Roman" w:eastAsia="Times New Roman" w:hAnsi="Times New Roman" w:cs="Times New Roman"/>
                <w:lang w:eastAsia="cs-CZ"/>
              </w:rPr>
              <w:t>Not applicable.</w:t>
            </w:r>
          </w:p>
        </w:tc>
        <w:tc>
          <w:tcPr>
            <w:tcW w:w="11" w:type="pct"/>
            <w:vAlign w:val="center"/>
            <w:hideMark/>
          </w:tcPr>
          <w:p w:rsidR="00170630" w:rsidRPr="00170630" w:rsidRDefault="00170630" w:rsidP="00170630">
            <w:pPr>
              <w:spacing w:after="0" w:line="240" w:lineRule="auto"/>
              <w:rPr>
                <w:rFonts w:ascii="Times New Roman" w:eastAsia="Times New Roman" w:hAnsi="Times New Roman" w:cs="Times New Roman"/>
                <w:sz w:val="20"/>
                <w:szCs w:val="20"/>
                <w:lang w:eastAsia="cs-CZ"/>
              </w:rPr>
            </w:pPr>
          </w:p>
        </w:tc>
      </w:tr>
    </w:tbl>
    <w:p w:rsidR="00170630" w:rsidRPr="00170630" w:rsidRDefault="00170630" w:rsidP="00170630">
      <w:pPr>
        <w:spacing w:before="30" w:after="30" w:line="240" w:lineRule="auto"/>
        <w:rPr>
          <w:rFonts w:ascii="Times New Roman" w:eastAsia="Times New Roman" w:hAnsi="Times New Roman" w:cs="Times New Roman"/>
          <w:lang w:eastAsia="cs-CZ"/>
        </w:rPr>
      </w:pPr>
    </w:p>
    <w:p w:rsidR="00170630" w:rsidRPr="00170630" w:rsidRDefault="00170630" w:rsidP="00170630">
      <w:pPr>
        <w:spacing w:before="30" w:after="30" w:line="240" w:lineRule="auto"/>
        <w:rPr>
          <w:rFonts w:ascii="Times New Roman" w:eastAsia="Times New Roman" w:hAnsi="Times New Roman" w:cs="Times New Roman"/>
          <w:lang w:eastAsia="cs-CZ"/>
        </w:rPr>
      </w:pPr>
      <w:bookmarkStart w:id="85" w:name="comment_dset1651497095067"/>
      <w:bookmarkStart w:id="86" w:name="comment_dset"/>
      <w:bookmarkEnd w:id="85"/>
      <w:bookmarkEnd w:id="86"/>
    </w:p>
    <w:p w:rsidR="00170630" w:rsidRPr="00170630" w:rsidRDefault="00170630" w:rsidP="00170630">
      <w:pPr>
        <w:spacing w:before="30" w:after="30" w:line="240" w:lineRule="auto"/>
        <w:rPr>
          <w:rFonts w:ascii="Times New Roman" w:eastAsia="Times New Roman" w:hAnsi="Times New Roman" w:cs="Times New Roman"/>
          <w:lang w:eastAsia="cs-CZ"/>
        </w:rPr>
      </w:pPr>
      <w:bookmarkStart w:id="87" w:name="relatedmd1651497095067"/>
      <w:bookmarkStart w:id="88" w:name="relatedmd"/>
      <w:bookmarkEnd w:id="87"/>
      <w:bookmarkEnd w:id="88"/>
    </w:p>
    <w:p w:rsidR="0067701B" w:rsidRDefault="0067701B">
      <w:bookmarkStart w:id="89" w:name="annex1651497095067"/>
      <w:bookmarkStart w:id="90" w:name="annex"/>
      <w:bookmarkEnd w:id="89"/>
      <w:bookmarkEnd w:id="90"/>
    </w:p>
    <w:sectPr w:rsidR="00677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6304"/>
    <w:multiLevelType w:val="multilevel"/>
    <w:tmpl w:val="C22C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04769"/>
    <w:multiLevelType w:val="multilevel"/>
    <w:tmpl w:val="8592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B04FA"/>
    <w:multiLevelType w:val="multilevel"/>
    <w:tmpl w:val="29C6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773D8"/>
    <w:multiLevelType w:val="multilevel"/>
    <w:tmpl w:val="DA98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11C3F"/>
    <w:multiLevelType w:val="multilevel"/>
    <w:tmpl w:val="9834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9137A"/>
    <w:multiLevelType w:val="multilevel"/>
    <w:tmpl w:val="AC20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97158"/>
    <w:multiLevelType w:val="multilevel"/>
    <w:tmpl w:val="1F5C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142EDF"/>
    <w:multiLevelType w:val="multilevel"/>
    <w:tmpl w:val="D76E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E69F0"/>
    <w:multiLevelType w:val="multilevel"/>
    <w:tmpl w:val="D62C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77964"/>
    <w:multiLevelType w:val="multilevel"/>
    <w:tmpl w:val="840A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0451A7"/>
    <w:multiLevelType w:val="multilevel"/>
    <w:tmpl w:val="5976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413612"/>
    <w:multiLevelType w:val="multilevel"/>
    <w:tmpl w:val="1B9C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5B5BE2"/>
    <w:multiLevelType w:val="multilevel"/>
    <w:tmpl w:val="5C44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C6AFA"/>
    <w:multiLevelType w:val="multilevel"/>
    <w:tmpl w:val="7042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F25279"/>
    <w:multiLevelType w:val="multilevel"/>
    <w:tmpl w:val="4AF2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627113"/>
    <w:multiLevelType w:val="multilevel"/>
    <w:tmpl w:val="562A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B37F9C"/>
    <w:multiLevelType w:val="multilevel"/>
    <w:tmpl w:val="99D2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5A17E8"/>
    <w:multiLevelType w:val="multilevel"/>
    <w:tmpl w:val="BC16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CA532D"/>
    <w:multiLevelType w:val="multilevel"/>
    <w:tmpl w:val="74D8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80AF6"/>
    <w:multiLevelType w:val="multilevel"/>
    <w:tmpl w:val="8592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847AC1"/>
    <w:multiLevelType w:val="multilevel"/>
    <w:tmpl w:val="1DC0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F970C9"/>
    <w:multiLevelType w:val="multilevel"/>
    <w:tmpl w:val="22DA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974248"/>
    <w:multiLevelType w:val="multilevel"/>
    <w:tmpl w:val="2604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6D401F"/>
    <w:multiLevelType w:val="multilevel"/>
    <w:tmpl w:val="708E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835240"/>
    <w:multiLevelType w:val="multilevel"/>
    <w:tmpl w:val="45EA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10769E"/>
    <w:multiLevelType w:val="multilevel"/>
    <w:tmpl w:val="B742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4"/>
  </w:num>
  <w:num w:numId="3">
    <w:abstractNumId w:val="15"/>
  </w:num>
  <w:num w:numId="4">
    <w:abstractNumId w:val="6"/>
  </w:num>
  <w:num w:numId="5">
    <w:abstractNumId w:val="16"/>
  </w:num>
  <w:num w:numId="6">
    <w:abstractNumId w:val="23"/>
  </w:num>
  <w:num w:numId="7">
    <w:abstractNumId w:val="20"/>
  </w:num>
  <w:num w:numId="8">
    <w:abstractNumId w:val="0"/>
  </w:num>
  <w:num w:numId="9">
    <w:abstractNumId w:val="3"/>
  </w:num>
  <w:num w:numId="10">
    <w:abstractNumId w:val="4"/>
  </w:num>
  <w:num w:numId="11">
    <w:abstractNumId w:val="22"/>
  </w:num>
  <w:num w:numId="12">
    <w:abstractNumId w:val="19"/>
  </w:num>
  <w:num w:numId="13">
    <w:abstractNumId w:val="13"/>
  </w:num>
  <w:num w:numId="14">
    <w:abstractNumId w:val="11"/>
  </w:num>
  <w:num w:numId="15">
    <w:abstractNumId w:val="25"/>
  </w:num>
  <w:num w:numId="16">
    <w:abstractNumId w:val="18"/>
  </w:num>
  <w:num w:numId="17">
    <w:abstractNumId w:val="10"/>
  </w:num>
  <w:num w:numId="18">
    <w:abstractNumId w:val="17"/>
  </w:num>
  <w:num w:numId="19">
    <w:abstractNumId w:val="5"/>
  </w:num>
  <w:num w:numId="20">
    <w:abstractNumId w:val="1"/>
  </w:num>
  <w:num w:numId="21">
    <w:abstractNumId w:val="7"/>
  </w:num>
  <w:num w:numId="22">
    <w:abstractNumId w:val="9"/>
  </w:num>
  <w:num w:numId="23">
    <w:abstractNumId w:val="12"/>
  </w:num>
  <w:num w:numId="24">
    <w:abstractNumId w:val="14"/>
  </w:num>
  <w:num w:numId="25">
    <w:abstractNumId w:val="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D67"/>
    <w:rsid w:val="001164FB"/>
    <w:rsid w:val="00130234"/>
    <w:rsid w:val="00170630"/>
    <w:rsid w:val="00280A29"/>
    <w:rsid w:val="002832E0"/>
    <w:rsid w:val="002B102D"/>
    <w:rsid w:val="002F5A3D"/>
    <w:rsid w:val="00537831"/>
    <w:rsid w:val="00544D77"/>
    <w:rsid w:val="00582142"/>
    <w:rsid w:val="0067701B"/>
    <w:rsid w:val="00692114"/>
    <w:rsid w:val="007C491A"/>
    <w:rsid w:val="00885691"/>
    <w:rsid w:val="00940951"/>
    <w:rsid w:val="00A83D39"/>
    <w:rsid w:val="00C44D67"/>
    <w:rsid w:val="00CB1028"/>
    <w:rsid w:val="00DF27AA"/>
    <w:rsid w:val="00DF344F"/>
    <w:rsid w:val="00E912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791B"/>
  <w15:chartTrackingRefBased/>
  <w15:docId w15:val="{BC040536-34B8-4345-B16B-6B71010A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rsid w:val="001706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eading">
    <w:name w:val="heading"/>
    <w:basedOn w:val="Normln"/>
    <w:rsid w:val="0017063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170630"/>
    <w:rPr>
      <w:i/>
      <w:iCs/>
    </w:rPr>
  </w:style>
  <w:style w:type="paragraph" w:customStyle="1" w:styleId="doccommon">
    <w:name w:val="doccommon"/>
    <w:basedOn w:val="Normln"/>
    <w:rsid w:val="0017063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70630"/>
    <w:rPr>
      <w:color w:val="0000FF"/>
      <w:u w:val="single"/>
    </w:rPr>
  </w:style>
  <w:style w:type="paragraph" w:styleId="Normlnweb">
    <w:name w:val="Normal (Web)"/>
    <w:basedOn w:val="Normln"/>
    <w:uiPriority w:val="99"/>
    <w:semiHidden/>
    <w:unhideWhenUsed/>
    <w:rsid w:val="0017063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ui-icon">
    <w:name w:val="ui-icon"/>
    <w:basedOn w:val="Standardnpsmoodstavce"/>
    <w:rsid w:val="00170630"/>
  </w:style>
  <w:style w:type="character" w:styleId="Siln">
    <w:name w:val="Strong"/>
    <w:basedOn w:val="Standardnpsmoodstavce"/>
    <w:uiPriority w:val="22"/>
    <w:qFormat/>
    <w:rsid w:val="00170630"/>
    <w:rPr>
      <w:b/>
      <w:bCs/>
    </w:rPr>
  </w:style>
  <w:style w:type="character" w:customStyle="1" w:styleId="annexeshead">
    <w:name w:val="annexeshead"/>
    <w:basedOn w:val="Standardnpsmoodstavce"/>
    <w:rsid w:val="00170630"/>
  </w:style>
  <w:style w:type="character" w:customStyle="1" w:styleId="odkaz-style-wrapper">
    <w:name w:val="odkaz-style-wrapper"/>
    <w:basedOn w:val="Standardnpsmoodstavce"/>
    <w:rsid w:val="00170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356287">
      <w:bodyDiv w:val="1"/>
      <w:marLeft w:val="0"/>
      <w:marRight w:val="0"/>
      <w:marTop w:val="0"/>
      <w:marBottom w:val="0"/>
      <w:divBdr>
        <w:top w:val="none" w:sz="0" w:space="0" w:color="auto"/>
        <w:left w:val="none" w:sz="0" w:space="0" w:color="auto"/>
        <w:bottom w:val="none" w:sz="0" w:space="0" w:color="auto"/>
        <w:right w:val="none" w:sz="0" w:space="0" w:color="auto"/>
      </w:divBdr>
      <w:divsChild>
        <w:div w:id="1415972636">
          <w:marLeft w:val="0"/>
          <w:marRight w:val="0"/>
          <w:marTop w:val="0"/>
          <w:marBottom w:val="0"/>
          <w:divBdr>
            <w:top w:val="none" w:sz="0" w:space="0" w:color="auto"/>
            <w:left w:val="none" w:sz="0" w:space="0" w:color="auto"/>
            <w:bottom w:val="none" w:sz="0" w:space="0" w:color="auto"/>
            <w:right w:val="none" w:sz="0" w:space="0" w:color="auto"/>
          </w:divBdr>
        </w:div>
        <w:div w:id="521435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l.czso.cz/iSMS/en/klasstru.jsp?kodcis=80009" TargetMode="External"/><Relationship Id="rId18" Type="http://schemas.openxmlformats.org/officeDocument/2006/relationships/hyperlink" Target="https://eur-lex.europa.eu/legal-content/EN/TXT/PDF/?uri=CELEX:31993R0696&amp;qid=1644413538099&amp;from=EN" TargetMode="External"/><Relationship Id="rId26" Type="http://schemas.openxmlformats.org/officeDocument/2006/relationships/hyperlink" Target="https://www.czso.cz/documents/10180/23164307/act_89_1995_en.pdf/77eb601c-6ee9-4dcb-b4b2-6a0aba29468b?version=1.0" TargetMode="External"/><Relationship Id="rId39" Type="http://schemas.openxmlformats.org/officeDocument/2006/relationships/hyperlink" Target="https://www.czso.cz/csu/czso/registr-ekonomickych-subjektu-otevrena-data" TargetMode="External"/><Relationship Id="rId21" Type="http://schemas.openxmlformats.org/officeDocument/2006/relationships/hyperlink" Target="https://www.czso.cz/documents/10180/23164307/act_89_1995_en.pdf/77eb601c-6ee9-4dcb-b4b2-6a0aba29468b?version=1.0" TargetMode="External"/><Relationship Id="rId34" Type="http://schemas.openxmlformats.org/officeDocument/2006/relationships/hyperlink" Target="https://www.czso.cz/csu/czso/ceska-republika-od-roku-1989-v-cislech-aktualizovano-9122021" TargetMode="External"/><Relationship Id="rId42" Type="http://schemas.openxmlformats.org/officeDocument/2006/relationships/hyperlink" Target="https://circabc.europa.eu/w/browse/36604544-81a4-4328-954c-f4d42554b861" TargetMode="External"/><Relationship Id="rId47" Type="http://schemas.openxmlformats.org/officeDocument/2006/relationships/hyperlink" Target="https://www.czso.cz/documents/10180/23183847/czso_data_revision_policy_2020_en.pdf/e1e4ed71-bba5-4aaa-a313-9ee17b4d2922?version=1.3" TargetMode="External"/><Relationship Id="rId7" Type="http://schemas.openxmlformats.org/officeDocument/2006/relationships/hyperlink" Target="https://ec.europa.eu/eurostat/web/products-manuals-and-guidelines/-/ks-02-21-009" TargetMode="External"/><Relationship Id="rId2" Type="http://schemas.openxmlformats.org/officeDocument/2006/relationships/styles" Target="styles.xml"/><Relationship Id="rId16" Type="http://schemas.openxmlformats.org/officeDocument/2006/relationships/hyperlink" Target="https://eur-lex.europa.eu/legal-content/EN/TXT/PDF/?uri=CELEX:32019R2152&amp;qid=1644413434699&amp;from=EN" TargetMode="External"/><Relationship Id="rId29" Type="http://schemas.openxmlformats.org/officeDocument/2006/relationships/hyperlink" Target="https://www.czso.cz/csu/czso/organizacni-statistika-1-ctvrtleti-2022" TargetMode="External"/><Relationship Id="rId11" Type="http://schemas.openxmlformats.org/officeDocument/2006/relationships/hyperlink" Target="https://apl.czso.cz/iSMS/en/cisdet.jsp?kodcis=579&amp;strana=2" TargetMode="External"/><Relationship Id="rId24" Type="http://schemas.openxmlformats.org/officeDocument/2006/relationships/hyperlink" Target="file:///C:\Users\dimidenkova35238\AppData\Local\Microsoft\Windows\INetCache\Content.Outlook\G7474QQE\Act%20No.%2089\1995%20Coll.,%20on%20the%20State%20Statistical%20Service" TargetMode="External"/><Relationship Id="rId32" Type="http://schemas.openxmlformats.org/officeDocument/2006/relationships/hyperlink" Target="https://www.czso.cz/csu/czso/res_cr" TargetMode="External"/><Relationship Id="rId37" Type="http://schemas.openxmlformats.org/officeDocument/2006/relationships/hyperlink" Target="http://apl.czso.cz/irsw/" TargetMode="External"/><Relationship Id="rId40" Type="http://schemas.openxmlformats.org/officeDocument/2006/relationships/hyperlink" Target="https://www.czso.cz/csu/res/poskytovani_udaju_z_res" TargetMode="External"/><Relationship Id="rId45" Type="http://schemas.openxmlformats.org/officeDocument/2006/relationships/hyperlink" Target="https://circabc.europa.eu/sd/a/89ff7452-188b-42e4-944f-96cae06beed0/Final%20Results%20SBR%20User%20Survey%202020.pdf" TargetMode="External"/><Relationship Id="rId5" Type="http://schemas.openxmlformats.org/officeDocument/2006/relationships/hyperlink" Target="https://ec.europa.eu/eurostat/web/quality/european-quality-standards/european-statistics-code-of-practice" TargetMode="External"/><Relationship Id="rId15" Type="http://schemas.openxmlformats.org/officeDocument/2006/relationships/hyperlink" Target="https://apl.czso.cz/iSMS/cislist.jsp?fnazev=nuts" TargetMode="External"/><Relationship Id="rId23" Type="http://schemas.openxmlformats.org/officeDocument/2006/relationships/hyperlink" Target="https://eur-lex.europa.eu/legal-content/EN/TXT/PDF/?uri=CELEX:32020R1197&amp;qid=1642431569368&amp;from=EN" TargetMode="External"/><Relationship Id="rId28" Type="http://schemas.openxmlformats.org/officeDocument/2006/relationships/hyperlink" Target="https://www.czso.cz/documents/10180/23183847/the_czso_framework_security_policy.pdf/01e0bcd7-f817-4d2d-a7b6-c688247ccf25?version=1.0" TargetMode="External"/><Relationship Id="rId36" Type="http://schemas.openxmlformats.org/officeDocument/2006/relationships/hyperlink" Target="https://vdb.czso.cz/vdbvo2/faces/en/index.jsf?page=statistiky" TargetMode="External"/><Relationship Id="rId49" Type="http://schemas.openxmlformats.org/officeDocument/2006/relationships/theme" Target="theme/theme1.xml"/><Relationship Id="rId10" Type="http://schemas.openxmlformats.org/officeDocument/2006/relationships/hyperlink" Target="https://apl.czso.cz/iSMS/en/cisdet.jsp?kodcis=86&amp;strana=1" TargetMode="External"/><Relationship Id="rId19" Type="http://schemas.openxmlformats.org/officeDocument/2006/relationships/hyperlink" Target="https://eur-lex.europa.eu/legal-content/EN/TXT/PDF/?uri=CELEX:32019R2152&amp;qid=1643641936437&amp;from=EN" TargetMode="External"/><Relationship Id="rId31" Type="http://schemas.openxmlformats.org/officeDocument/2006/relationships/hyperlink" Target="https://www.czso.cz/csu/czso/regional-yearbooks" TargetMode="External"/><Relationship Id="rId44" Type="http://schemas.openxmlformats.org/officeDocument/2006/relationships/hyperlink" Target="file:///C:\Users\dimidenkova35238\AppData\Local\Microsoft\Windows\INetCache\Content.Outlook\G7474QQE\%20https:\www.czso.cz\documents\10180\23183847\quality_commitment.pdf\849dd6f1-d50d-4474-bb6c-79000e38c664?version=1.0" TargetMode="External"/><Relationship Id="rId4" Type="http://schemas.openxmlformats.org/officeDocument/2006/relationships/webSettings" Target="webSettings.xml"/><Relationship Id="rId9" Type="http://schemas.openxmlformats.org/officeDocument/2006/relationships/hyperlink" Target="http://apl.czso.cz/iSMS/en/cisdet.jsp?kodcis=56&amp;strana=7" TargetMode="External"/><Relationship Id="rId14" Type="http://schemas.openxmlformats.org/officeDocument/2006/relationships/hyperlink" Target="https://apl.czso.cz/iSMS/cisdet.jsp?kodcis=51" TargetMode="External"/><Relationship Id="rId22" Type="http://schemas.openxmlformats.org/officeDocument/2006/relationships/hyperlink" Target="https://eur-lex.europa.eu/legal-content/EN/TXT/PDF/?uri=CELEX:32019R2152&amp;qid=1642431513964&amp;from=EN" TargetMode="External"/><Relationship Id="rId27" Type="http://schemas.openxmlformats.org/officeDocument/2006/relationships/hyperlink" Target="https://www.czso.cz/documents/10180/23164307/diseminace+csu_aj.pdf/f6a7f0df-01ad-4c3c-9d82-61fe51f1fb77?version=1.0" TargetMode="External"/><Relationship Id="rId30" Type="http://schemas.openxmlformats.org/officeDocument/2006/relationships/hyperlink" Target="https://www.czso.cz/csu/czso/statistical-yearbook-of-the-czech-republic-rtnih2q42g" TargetMode="External"/><Relationship Id="rId35" Type="http://schemas.openxmlformats.org/officeDocument/2006/relationships/hyperlink" Target="https://www.czso.cz/csu/czso/comparison-of-regions-in-the-czech-republic-2020-uls2jrzzf1" TargetMode="External"/><Relationship Id="rId43" Type="http://schemas.openxmlformats.org/officeDocument/2006/relationships/hyperlink" Target="file:///C:\Users\dimidenkova35238\AppData\Local\Microsoft\Windows\INetCache\Content.Outlook\G7474QQE\%20https:\www.czso.cz\documents\10180\23183847\quality_policy_en.pdf\01cf4a5e-42b8-4e82-b1ad-2e9f243e7c90?version=1.0" TargetMode="External"/><Relationship Id="rId48" Type="http://schemas.openxmlformats.org/officeDocument/2006/relationships/fontTable" Target="fontTable.xml"/><Relationship Id="rId8" Type="http://schemas.openxmlformats.org/officeDocument/2006/relationships/hyperlink" Target="https://ec.europa.eu/eurostat/web/nuts/background" TargetMode="External"/><Relationship Id="rId3" Type="http://schemas.openxmlformats.org/officeDocument/2006/relationships/settings" Target="settings.xml"/><Relationship Id="rId12" Type="http://schemas.openxmlformats.org/officeDocument/2006/relationships/hyperlink" Target="https://apl.czso.cz/iSMS/en/klasstru.jsp?kodcis=80015" TargetMode="External"/><Relationship Id="rId17" Type="http://schemas.openxmlformats.org/officeDocument/2006/relationships/hyperlink" Target="https://ec.europa.eu/eurostat/web/products-manuals-and-guidelines/-/ks-gq-20-006" TargetMode="External"/><Relationship Id="rId25" Type="http://schemas.openxmlformats.org/officeDocument/2006/relationships/hyperlink" Target="https://eur-lex.europa.eu/LexUriServ/LexUriServ.do?uri=OJ:L:2009:087:0164:0173:En:PDF" TargetMode="External"/><Relationship Id="rId33" Type="http://schemas.openxmlformats.org/officeDocument/2006/relationships/hyperlink" Target="https://www.czso.cz/csu/czso/cesko-v-cislech-2021" TargetMode="External"/><Relationship Id="rId38" Type="http://schemas.openxmlformats.org/officeDocument/2006/relationships/hyperlink" Target="http://apl.czso.cz/irsw/" TargetMode="External"/><Relationship Id="rId46" Type="http://schemas.openxmlformats.org/officeDocument/2006/relationships/hyperlink" Target="https://ec.europa.eu/eurostat/web/products-manuals-and-guidelines/-/ks-gq-20-006" TargetMode="External"/><Relationship Id="rId20" Type="http://schemas.openxmlformats.org/officeDocument/2006/relationships/hyperlink" Target="https://eur-lex.europa.eu/legal-content/EN/TXT/PDF/?uri=CELEX:32020R1197&amp;qid=1643642043499&amp;from=EN" TargetMode="External"/><Relationship Id="rId41" Type="http://schemas.openxmlformats.org/officeDocument/2006/relationships/hyperlink" Target="https://ec.europa.eu/eurostat/documents/3859598/12433023/KS-GQ-20-006-EN-N.pdf/0c31c77a-5d20-9954-9223-2b856fdb93c9?t=1613481618625" TargetMode="External"/><Relationship Id="rId1" Type="http://schemas.openxmlformats.org/officeDocument/2006/relationships/numbering" Target="numbering.xml"/><Relationship Id="rId6" Type="http://schemas.openxmlformats.org/officeDocument/2006/relationships/hyperlink" Target="https://ec.europa.eu/eurostat/web/nace-rev2"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11</Pages>
  <Words>4760</Words>
  <Characters>28085</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Dimiděnková Alžběta</dc:creator>
  <cp:keywords/>
  <dc:description/>
  <cp:lastModifiedBy>Čigáš Michal</cp:lastModifiedBy>
  <cp:revision>12</cp:revision>
  <dcterms:created xsi:type="dcterms:W3CDTF">2022-09-30T09:33:00Z</dcterms:created>
  <dcterms:modified xsi:type="dcterms:W3CDTF">2022-12-02T12:36:00Z</dcterms:modified>
</cp:coreProperties>
</file>