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5588E248" w:rsidR="00867569" w:rsidRDefault="00255BC3" w:rsidP="00270F84">
      <w:pPr>
        <w:pStyle w:val="Datum"/>
      </w:pPr>
      <w:r>
        <w:t>1</w:t>
      </w:r>
      <w:r w:rsidR="00304176">
        <w:t>.</w:t>
      </w:r>
      <w:r w:rsidR="00915A3B">
        <w:t xml:space="preserve"> </w:t>
      </w:r>
      <w:r w:rsidR="00407901">
        <w:t>7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20</w:t>
      </w:r>
    </w:p>
    <w:p w14:paraId="57EAE61A" w14:textId="7F277F7F" w:rsidR="00542EBD" w:rsidRDefault="00F376C1" w:rsidP="00542EBD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Saldo h</w:t>
      </w:r>
      <w:r w:rsidR="000078FA">
        <w:rPr>
          <w:color w:val="BD1B21"/>
          <w:sz w:val="32"/>
          <w:szCs w:val="32"/>
        </w:rPr>
        <w:t>ospodaření skončilo v deficitu</w:t>
      </w:r>
    </w:p>
    <w:p w14:paraId="698A55A3" w14:textId="67422833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407901">
        <w:t>1. čtvrtletí 2020</w:t>
      </w:r>
    </w:p>
    <w:p w14:paraId="7B043CCE" w14:textId="7CFDD1BC" w:rsidR="00053474" w:rsidRDefault="00053474" w:rsidP="00053474">
      <w:pPr>
        <w:rPr>
          <w:b/>
        </w:rPr>
      </w:pPr>
      <w:r w:rsidRPr="002A63D2">
        <w:rPr>
          <w:b/>
        </w:rPr>
        <w:t xml:space="preserve">Saldo hospodaření sektoru vládních institucí dosáhlo v </w:t>
      </w:r>
      <w:r w:rsidR="00CD4356">
        <w:rPr>
          <w:b/>
        </w:rPr>
        <w:t>prvním čtvrtletí 2020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CD4356">
        <w:rPr>
          <w:b/>
        </w:rPr>
        <w:t>65,4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CD4356">
        <w:rPr>
          <w:b/>
        </w:rPr>
        <w:t>4,83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CD4356">
        <w:rPr>
          <w:b/>
        </w:rPr>
        <w:t>40,22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6D6BFF">
        <w:rPr>
          <w:b/>
        </w:rPr>
        <w:t>4</w:t>
      </w:r>
      <w:r w:rsidR="00CD4356">
        <w:rPr>
          <w:b/>
        </w:rPr>
        <w:t>5,06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CD4356">
        <w:rPr>
          <w:b/>
        </w:rPr>
        <w:t>klesla</w:t>
      </w:r>
      <w:r w:rsidRPr="00811BF3">
        <w:rPr>
          <w:b/>
        </w:rPr>
        <w:t xml:space="preserve"> meziročně o </w:t>
      </w:r>
      <w:r w:rsidR="00171765">
        <w:rPr>
          <w:b/>
        </w:rPr>
        <w:t>0,64</w:t>
      </w:r>
      <w:r w:rsidRPr="00811BF3">
        <w:rPr>
          <w:b/>
        </w:rPr>
        <w:t xml:space="preserve"> p. b. </w:t>
      </w:r>
      <w:proofErr w:type="gramStart"/>
      <w:r w:rsidRPr="00811BF3">
        <w:rPr>
          <w:b/>
        </w:rPr>
        <w:t>na</w:t>
      </w:r>
      <w:proofErr w:type="gramEnd"/>
      <w:r w:rsidRPr="00811BF3">
        <w:rPr>
          <w:b/>
        </w:rPr>
        <w:t xml:space="preserve"> 3</w:t>
      </w:r>
      <w:r w:rsidR="00171765">
        <w:rPr>
          <w:b/>
        </w:rPr>
        <w:t>2</w:t>
      </w:r>
      <w:r w:rsidR="009E79CE" w:rsidRPr="00811BF3">
        <w:rPr>
          <w:b/>
        </w:rPr>
        <w:t>,</w:t>
      </w:r>
      <w:r w:rsidR="00171765">
        <w:rPr>
          <w:b/>
        </w:rPr>
        <w:t>80</w:t>
      </w:r>
      <w:r w:rsidRPr="00811BF3">
        <w:rPr>
          <w:b/>
        </w:rPr>
        <w:t xml:space="preserve"> % HDP.</w:t>
      </w:r>
    </w:p>
    <w:p w14:paraId="6C9DAEEF" w14:textId="77777777" w:rsidR="00A94B28" w:rsidRDefault="00A94B28" w:rsidP="00043BF4"/>
    <w:p w14:paraId="784CE9A7" w14:textId="670FD507" w:rsidR="00053474" w:rsidRDefault="003C7864" w:rsidP="00053474">
      <w:r>
        <w:t xml:space="preserve">V </w:t>
      </w:r>
      <w:r w:rsidR="003C039E">
        <w:t>prvním</w:t>
      </w:r>
      <w:r>
        <w:t xml:space="preserve"> čtvrtletí</w:t>
      </w:r>
      <w:r w:rsidR="007E04BF">
        <w:t xml:space="preserve"> 20</w:t>
      </w:r>
      <w:r w:rsidR="003C039E">
        <w:t>20</w:t>
      </w:r>
      <w:r>
        <w:t xml:space="preserve"> došlo meziročně ke </w:t>
      </w:r>
      <w:r w:rsidR="003C039E">
        <w:t>zhoršení</w:t>
      </w:r>
      <w:r>
        <w:t xml:space="preserve"> salda</w:t>
      </w:r>
      <w:r w:rsidR="00053474">
        <w:t xml:space="preserve"> hospodaření vládních institucí o</w:t>
      </w:r>
      <w:r w:rsidR="00E92D16">
        <w:t> </w:t>
      </w:r>
      <w:r w:rsidR="003C039E">
        <w:t>62,</w:t>
      </w:r>
      <w:r w:rsidR="006A1F09">
        <w:t>5</w:t>
      </w:r>
      <w:r w:rsidR="009906E9">
        <w:t> </w:t>
      </w:r>
      <w:r>
        <w:t xml:space="preserve">mld. Kč., </w:t>
      </w:r>
      <w:r w:rsidR="00060E33">
        <w:t xml:space="preserve">k čemuž přispěly zejména ústřední vládní instituce, jejichž saldo hospodaření se zhoršilo o 49,1 mld. Kč a skončilo v deficitu 75,9 mld. Kč. </w:t>
      </w:r>
      <w:r w:rsidR="00EB6243">
        <w:t>M</w:t>
      </w:r>
      <w:r>
        <w:t>ístní vládní</w:t>
      </w:r>
      <w:r w:rsidR="00EB6243">
        <w:t xml:space="preserve"> instituce hospodař</w:t>
      </w:r>
      <w:r w:rsidR="00E92D16">
        <w:t>ily s </w:t>
      </w:r>
      <w:bookmarkStart w:id="0" w:name="_GoBack"/>
      <w:bookmarkEnd w:id="0"/>
      <w:r w:rsidR="00136D80">
        <w:t>přebytkem</w:t>
      </w:r>
      <w:r w:rsidR="0036612E">
        <w:t xml:space="preserve"> 1</w:t>
      </w:r>
      <w:r w:rsidR="00136D80">
        <w:t>1</w:t>
      </w:r>
      <w:r w:rsidR="0036612E">
        <w:t>,</w:t>
      </w:r>
      <w:r w:rsidR="00136D80">
        <w:t>7</w:t>
      </w:r>
      <w:r w:rsidR="0036612E">
        <w:t xml:space="preserve"> m</w:t>
      </w:r>
      <w:r w:rsidR="00136D80">
        <w:t>ld. Kč, který byl meziročně o 8</w:t>
      </w:r>
      <w:r w:rsidR="0036612E">
        <w:t xml:space="preserve">,8 mld. </w:t>
      </w:r>
      <w:r w:rsidR="00660D90">
        <w:t>n</w:t>
      </w:r>
      <w:r w:rsidR="0036612E">
        <w:t>ižší</w:t>
      </w:r>
      <w:r w:rsidR="00660D90">
        <w:t>.</w:t>
      </w:r>
      <w:r w:rsidR="000933DC">
        <w:t xml:space="preserve"> </w:t>
      </w:r>
      <w:r w:rsidR="00660D90">
        <w:t xml:space="preserve">Hospodaření fondů sociálního zabezpečení se meziročně zhoršilo o </w:t>
      </w:r>
      <w:r w:rsidR="002E510B">
        <w:t>4,5</w:t>
      </w:r>
      <w:r w:rsidR="00660D90">
        <w:t xml:space="preserve"> mld. Kč </w:t>
      </w:r>
      <w:r w:rsidR="009906E9">
        <w:t xml:space="preserve">a </w:t>
      </w:r>
      <w:r w:rsidR="00660D90">
        <w:t xml:space="preserve">dosáhlo schodku </w:t>
      </w:r>
      <w:r w:rsidR="002E510B">
        <w:t>1</w:t>
      </w:r>
      <w:r w:rsidR="00660D90">
        <w:t>,</w:t>
      </w:r>
      <w:r w:rsidR="002E510B">
        <w:t>2</w:t>
      </w:r>
      <w:r w:rsidR="00660D90">
        <w:t xml:space="preserve"> mld. Kč.</w:t>
      </w:r>
    </w:p>
    <w:p w14:paraId="39AC9BFC" w14:textId="77777777" w:rsidR="00053474" w:rsidRDefault="00053474" w:rsidP="00043BF4"/>
    <w:p w14:paraId="2DE8F72D" w14:textId="609CA845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4060DD">
        <w:t>1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201</w:t>
      </w:r>
      <w:r w:rsidR="004060DD">
        <w:t>8</w:t>
      </w:r>
      <w:r w:rsidR="00B85D5E" w:rsidRPr="0037782A">
        <w:t xml:space="preserve"> </w:t>
      </w:r>
      <w:r w:rsidR="000A2AF1" w:rsidRPr="0037782A">
        <w:t xml:space="preserve">– </w:t>
      </w:r>
      <w:r w:rsidR="004060DD">
        <w:t>1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20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80469D" w:rsidRPr="0037782A" w14:paraId="6F02BBDD" w14:textId="77777777" w:rsidTr="00753F6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80469D" w:rsidRPr="0037782A" w:rsidRDefault="0080469D" w:rsidP="008046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DDC" w14:textId="03675223" w:rsidR="0080469D" w:rsidRPr="0037782A" w:rsidRDefault="0080469D" w:rsidP="0080469D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EBC" w14:textId="3E002086" w:rsidR="0080469D" w:rsidRPr="0037782A" w:rsidRDefault="0080469D" w:rsidP="008046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5A9" w14:textId="7CC2F167" w:rsidR="0080469D" w:rsidRPr="0037782A" w:rsidRDefault="0080469D" w:rsidP="008046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232E" w14:textId="5B908149" w:rsidR="0080469D" w:rsidRPr="0037782A" w:rsidRDefault="0080469D" w:rsidP="008046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428" w14:textId="4F0293DC" w:rsidR="0080469D" w:rsidRPr="0037782A" w:rsidRDefault="0080469D" w:rsidP="008046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387" w14:textId="63788CFC" w:rsidR="0080469D" w:rsidRPr="0037782A" w:rsidRDefault="0080469D" w:rsidP="008046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1972" w14:textId="10C54EFD" w:rsidR="0080469D" w:rsidRPr="0037782A" w:rsidRDefault="0080469D" w:rsidP="008046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75D" w14:textId="07B18A1D" w:rsidR="0080469D" w:rsidRPr="0037782A" w:rsidRDefault="0080469D" w:rsidP="0080469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9987" w14:textId="0CA12B81" w:rsidR="0080469D" w:rsidRPr="0037782A" w:rsidRDefault="0080469D" w:rsidP="0080469D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2020</w:t>
            </w:r>
            <w:proofErr w:type="gramEnd"/>
          </w:p>
        </w:tc>
      </w:tr>
      <w:tr w:rsidR="0080469D" w:rsidRPr="0037782A" w14:paraId="32ABB801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80469D" w:rsidRPr="0037782A" w:rsidRDefault="0080469D" w:rsidP="008046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35027196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6F9998BD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07DC95A8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495D1E00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12EBA5CC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5602DDBF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2D6D4FBD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627E5D4B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0D0E5025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-65,4</w:t>
            </w:r>
          </w:p>
        </w:tc>
      </w:tr>
      <w:tr w:rsidR="0080469D" w:rsidRPr="0037782A" w14:paraId="52B163B8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80469D" w:rsidRPr="0037782A" w:rsidRDefault="0080469D" w:rsidP="0080469D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28541368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12149071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2D881E25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495CF6C3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7ED04835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191712F3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6EAB14CF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20CF2784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1496B062" w:rsidR="0080469D" w:rsidRPr="0037782A" w:rsidRDefault="0080469D" w:rsidP="0080469D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-4,83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764CC1BB" w:rsidR="00E225DE" w:rsidRDefault="00601F81" w:rsidP="00601F81">
      <w:r w:rsidRPr="00E736BE">
        <w:t xml:space="preserve">Celkové příjmy sektoru vládních institucí </w:t>
      </w:r>
      <w:r w:rsidR="002C529C">
        <w:t>klesly</w:t>
      </w:r>
      <w:r w:rsidRPr="00E736BE">
        <w:t xml:space="preserve"> meziročně o </w:t>
      </w:r>
      <w:r w:rsidR="002C529C">
        <w:t>1,5</w:t>
      </w:r>
      <w:r w:rsidRPr="00E736BE">
        <w:t xml:space="preserve"> %. Na meziročním </w:t>
      </w:r>
      <w:r w:rsidR="0062459A">
        <w:t>poklesu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62459A">
        <w:t>snížení</w:t>
      </w:r>
      <w:r w:rsidRPr="00E736BE">
        <w:t xml:space="preserve"> příjmů </w:t>
      </w:r>
      <w:r w:rsidR="000C2F30" w:rsidRPr="00E736BE">
        <w:t>z</w:t>
      </w:r>
      <w:r w:rsidR="00E225DE">
        <w:t xml:space="preserve"> objemově významných </w:t>
      </w:r>
      <w:r w:rsidR="0062459A">
        <w:t>daní</w:t>
      </w:r>
      <w:r w:rsidR="00E225DE">
        <w:t>: daně</w:t>
      </w:r>
      <w:r w:rsidR="0062459A">
        <w:t xml:space="preserve"> z příjmu </w:t>
      </w:r>
      <w:r w:rsidR="00E736BE">
        <w:t>(</w:t>
      </w:r>
      <w:r w:rsidR="0062459A">
        <w:t>-6,1</w:t>
      </w:r>
      <w:r w:rsidR="000C2F30" w:rsidRPr="00E736BE">
        <w:t xml:space="preserve"> % n</w:t>
      </w:r>
      <w:r w:rsidR="00B35C47" w:rsidRPr="00E736BE">
        <w:t xml:space="preserve">a </w:t>
      </w:r>
      <w:r w:rsidR="0062459A">
        <w:t>103,7</w:t>
      </w:r>
      <w:r w:rsidR="004D07BE">
        <w:t xml:space="preserve"> mld. Kč), daní</w:t>
      </w:r>
      <w:r w:rsidR="00B35C47" w:rsidRPr="00E736BE">
        <w:t xml:space="preserve"> z</w:t>
      </w:r>
      <w:r w:rsidR="00E736BE">
        <w:t xml:space="preserve"> výroby a dovozu </w:t>
      </w:r>
      <w:r w:rsidR="001D0297">
        <w:t>(</w:t>
      </w:r>
      <w:r w:rsidR="0062459A">
        <w:t>-4,4</w:t>
      </w:r>
      <w:r w:rsidR="000C2F30" w:rsidRPr="00E736BE">
        <w:t xml:space="preserve"> % na </w:t>
      </w:r>
      <w:r w:rsidR="0062459A">
        <w:t>146,5</w:t>
      </w:r>
      <w:r w:rsidR="000C2F30" w:rsidRPr="00E736BE">
        <w:t xml:space="preserve"> mld. Kč)</w:t>
      </w:r>
      <w:r w:rsidR="00E736BE">
        <w:t xml:space="preserve">. </w:t>
      </w:r>
      <w:r w:rsidR="00E225DE">
        <w:t>Naopak nejvíce vzrostly příjmy z kapitálových transferů (+17,8 % na 9,2 mld. Kč) a běžných transferů (+14,7 % na 13,6 mld. Kč).</w:t>
      </w:r>
    </w:p>
    <w:p w14:paraId="0F87F324" w14:textId="77777777" w:rsidR="00E225DE" w:rsidRDefault="00E225DE" w:rsidP="00601F81"/>
    <w:p w14:paraId="2EA608BE" w14:textId="16D08650" w:rsidR="00601F81" w:rsidRDefault="00E706EA" w:rsidP="00A94B28">
      <w:r w:rsidRPr="00E736BE">
        <w:t xml:space="preserve">Celkové výdaje vládních institucí vzrostly meziročně o </w:t>
      </w:r>
      <w:r w:rsidR="00E225DE">
        <w:t>9,8</w:t>
      </w:r>
      <w:r w:rsidRPr="00E736BE">
        <w:t xml:space="preserve"> %. </w:t>
      </w:r>
      <w:r w:rsidR="00E225DE">
        <w:t xml:space="preserve">Nejvíce vzrostla </w:t>
      </w:r>
      <w:r w:rsidR="00E74FAA">
        <w:t>hrubá tvorba kapitálu (+22,</w:t>
      </w:r>
      <w:r w:rsidR="006A1F09">
        <w:t>6</w:t>
      </w:r>
      <w:r w:rsidR="00E74FAA">
        <w:t xml:space="preserve"> % na 66,2 mld. Kč), kapitálové transfery (+17,3 % na 3,4 mld. Kč), </w:t>
      </w:r>
      <w:proofErr w:type="spellStart"/>
      <w:r w:rsidR="00E225DE">
        <w:t>mezispotřeba</w:t>
      </w:r>
      <w:proofErr w:type="spellEnd"/>
      <w:r w:rsidR="00E225DE">
        <w:t xml:space="preserve"> zahrnující i nákupy zdravotnických pomůcek (+10,7 % na 72,7 mld. Kč.), </w:t>
      </w:r>
      <w:r w:rsidR="00E96CC6">
        <w:t>dotace (+</w:t>
      </w:r>
      <w:r w:rsidR="00194EA9">
        <w:t>10,7</w:t>
      </w:r>
      <w:r w:rsidR="00E96CC6" w:rsidRPr="00E736BE">
        <w:t xml:space="preserve"> % na </w:t>
      </w:r>
      <w:r w:rsidR="00E96CC6">
        <w:t>3</w:t>
      </w:r>
      <w:r w:rsidR="00194EA9">
        <w:t>4,8</w:t>
      </w:r>
      <w:r w:rsidR="00E96CC6">
        <w:t xml:space="preserve"> </w:t>
      </w:r>
      <w:r w:rsidR="00E96CC6" w:rsidRPr="00E736BE">
        <w:t>mld</w:t>
      </w:r>
      <w:r w:rsidR="00B5095F">
        <w:t>. Kč) a sociální dávky (+9,9 % na 194,2 mld. Kč).</w:t>
      </w:r>
      <w:r w:rsidR="003F5DB2">
        <w:t xml:space="preserve"> Pokles byl zaznamenán u zaplacených vlastnických důchodů zahrnujících zejména úroky (-3,8 % na 11,0 mld. Kč).</w:t>
      </w:r>
    </w:p>
    <w:p w14:paraId="4D6C7360" w14:textId="77777777" w:rsidR="00B81175" w:rsidRDefault="00B81175" w:rsidP="00A94B28"/>
    <w:p w14:paraId="4D31A60A" w14:textId="3152533E" w:rsidR="00AF42B6" w:rsidRDefault="00425ADB" w:rsidP="00425ADB">
      <w:r w:rsidRPr="00EF5A70">
        <w:t xml:space="preserve">Míra zadlužení sektoru vládních institucí meziročně poklesla </w:t>
      </w:r>
      <w:r w:rsidR="00006D9A" w:rsidRPr="00EF5A70">
        <w:t>z</w:t>
      </w:r>
      <w:r w:rsidR="00ED1573">
        <w:t> </w:t>
      </w:r>
      <w:r w:rsidRPr="00EF5A70">
        <w:t>3</w:t>
      </w:r>
      <w:r w:rsidR="00ED1573">
        <w:t>3,44</w:t>
      </w:r>
      <w:r w:rsidRPr="00EF5A70">
        <w:t xml:space="preserve"> </w:t>
      </w:r>
      <w:r w:rsidR="00823594">
        <w:t xml:space="preserve">% </w:t>
      </w:r>
      <w:r w:rsidRPr="00EF5A70">
        <w:t xml:space="preserve">na </w:t>
      </w:r>
      <w:r w:rsidR="00ED1573">
        <w:t>32,80</w:t>
      </w:r>
      <w:r w:rsidR="00696FCF" w:rsidRPr="00EF5A70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Pr="00EF5A70">
        <w:t xml:space="preserve">rostoucí </w:t>
      </w:r>
      <w:r w:rsidR="00322825" w:rsidRPr="00EF5A70">
        <w:t xml:space="preserve">nominální </w:t>
      </w:r>
      <w:r w:rsidRPr="00EF5A70">
        <w:t xml:space="preserve">HDP </w:t>
      </w:r>
      <w:r w:rsidR="00CD21CC" w:rsidRPr="00EF5A70">
        <w:t>přispěl k poklesu</w:t>
      </w:r>
      <w:r w:rsidRPr="00EF5A70">
        <w:t xml:space="preserve"> zadlužení o </w:t>
      </w:r>
      <w:r w:rsidR="00AA6667" w:rsidRPr="00EF5A70">
        <w:t>1,</w:t>
      </w:r>
      <w:r w:rsidR="00ED1573">
        <w:t>65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FA1B2C" w:rsidRPr="00EF5A70">
        <w:t xml:space="preserve">Nominální dluh vládních institucí meziročně vzrostl o </w:t>
      </w:r>
      <w:r w:rsidR="00ED1573">
        <w:t>58,2</w:t>
      </w:r>
      <w:r w:rsidR="001D1A8D" w:rsidRPr="00EF5A70">
        <w:t xml:space="preserve"> mld. na 1</w:t>
      </w:r>
      <w:r w:rsidR="00ED1573">
        <w:t> 893,8</w:t>
      </w:r>
      <w:r w:rsidR="00FA1B2C" w:rsidRPr="00EF5A70">
        <w:t xml:space="preserve"> mld. a jeho příspěvek činil +</w:t>
      </w:r>
      <w:r w:rsidR="00ED1573">
        <w:t>1,01</w:t>
      </w:r>
      <w:r w:rsidR="00FA1B2C" w:rsidRPr="00EF5A70">
        <w:t xml:space="preserve"> p. b. </w:t>
      </w:r>
      <w:proofErr w:type="spellStart"/>
      <w:r w:rsidR="00ED1573">
        <w:t>Mezičtvrtletně</w:t>
      </w:r>
      <w:proofErr w:type="spellEnd"/>
      <w:r w:rsidR="00ED1573">
        <w:t xml:space="preserve"> došlo k nárůstu</w:t>
      </w:r>
      <w:r w:rsidRPr="00EF5A70">
        <w:t xml:space="preserve"> míry zadlužení o </w:t>
      </w:r>
      <w:r w:rsidR="00ED1573">
        <w:t>2,56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40272A" w:rsidRPr="00EF5A70">
        <w:t>N</w:t>
      </w:r>
      <w:r w:rsidR="003577F6" w:rsidRPr="00EF5A70">
        <w:t>ominální</w:t>
      </w:r>
      <w:r w:rsidR="0040272A" w:rsidRPr="00EF5A70">
        <w:t xml:space="preserve"> dluh </w:t>
      </w:r>
      <w:r w:rsidR="00ED1573">
        <w:t>vzrostl</w:t>
      </w:r>
      <w:r w:rsidR="0080678E">
        <w:t xml:space="preserve"> </w:t>
      </w:r>
      <w:proofErr w:type="spellStart"/>
      <w:r w:rsidR="0080678E">
        <w:t>mezičtvrtletně</w:t>
      </w:r>
      <w:proofErr w:type="spellEnd"/>
      <w:r w:rsidR="0040272A" w:rsidRPr="00EF5A70">
        <w:t xml:space="preserve"> o </w:t>
      </w:r>
      <w:r w:rsidR="003577F6" w:rsidRPr="00EF5A70">
        <w:t xml:space="preserve"> </w:t>
      </w:r>
      <w:r w:rsidR="00ED1573">
        <w:t>155,1</w:t>
      </w:r>
      <w:r w:rsidR="00EF5A70" w:rsidRPr="00EF5A70">
        <w:t xml:space="preserve"> mld. Kč</w:t>
      </w:r>
      <w:r w:rsidR="00AF42B6">
        <w:t>, přičemž se zároveň zvýšila hodnota aktiv</w:t>
      </w:r>
      <w:r w:rsidR="00EF2155">
        <w:t xml:space="preserve"> držených vládními institucemi</w:t>
      </w:r>
      <w:r w:rsidR="00AF42B6">
        <w:t xml:space="preserve"> </w:t>
      </w:r>
      <w:r w:rsidR="00EF2155">
        <w:t xml:space="preserve">o </w:t>
      </w:r>
      <w:r w:rsidR="004A1435">
        <w:t>téměř 90 mld. Kč</w:t>
      </w:r>
      <w:r w:rsidR="00D86B7D">
        <w:t>. Příspěvek nominálního dluhu k</w:t>
      </w:r>
      <w:r w:rsidR="00AE3EE0">
        <w:t xml:space="preserve"> nárůstu míry zadlužení činil </w:t>
      </w:r>
      <w:r w:rsidR="00641B4A">
        <w:t xml:space="preserve">2,70 p. b., zatímco </w:t>
      </w:r>
      <w:r w:rsidR="00641B4A" w:rsidRPr="00EF5A70">
        <w:t xml:space="preserve">rostoucí nominální HDP </w:t>
      </w:r>
      <w:r w:rsidR="00345AA2">
        <w:t>působil opačným směrem k</w:t>
      </w:r>
      <w:r w:rsidR="00641B4A" w:rsidRPr="00EF5A70">
        <w:t xml:space="preserve"> poklesu o </w:t>
      </w:r>
      <w:r w:rsidR="00641B4A">
        <w:t>0,14</w:t>
      </w:r>
      <w:r w:rsidR="00641B4A" w:rsidRPr="00EF5A70">
        <w:t xml:space="preserve"> p. b</w:t>
      </w:r>
      <w:r w:rsidR="00B31B71">
        <w:t>.</w:t>
      </w:r>
    </w:p>
    <w:p w14:paraId="507A9302" w14:textId="77777777" w:rsidR="00AF42B6" w:rsidRDefault="00AF42B6" w:rsidP="00425ADB"/>
    <w:p w14:paraId="471CC7E8" w14:textId="18FF54AE" w:rsidR="009336F8" w:rsidRPr="00417673" w:rsidRDefault="0040272A" w:rsidP="00425ADB">
      <w:pPr>
        <w:rPr>
          <w:highlight w:val="yellow"/>
        </w:rPr>
      </w:pPr>
      <w:r w:rsidRPr="00EF5A70">
        <w:t xml:space="preserve"> </w:t>
      </w:r>
    </w:p>
    <w:p w14:paraId="5CEBB18B" w14:textId="74A63DBD" w:rsidR="00607E62" w:rsidRDefault="009336F8" w:rsidP="00D95B91">
      <w:r w:rsidRPr="0075058C">
        <w:lastRenderedPageBreak/>
        <w:t>Z hlediska jednotlivých komponent dluhu byl meziroční nárůst</w:t>
      </w:r>
      <w:r w:rsidR="00607E62">
        <w:t xml:space="preserve"> zaznamenán u všech hlavních složek. Objem přijatých úvěrů vzrostl o 4,2 mld. Kč, vkladů o 6,3 mld. Kč a emitovaných cenných papírů o 47,7 mld. Kč, které s podílem 90,7 %</w:t>
      </w:r>
      <w:r w:rsidR="006C4DDE">
        <w:t xml:space="preserve"> </w:t>
      </w:r>
      <w:r w:rsidR="00607E62">
        <w:t>zůstávají hlavní komponentou dluhu.</w:t>
      </w:r>
      <w:r w:rsidR="008C6D93">
        <w:t xml:space="preserve"> V mezičtvrtletním srovnání vzrostla hodnota přijatých vkladů o 6,7 mld. Kč, úvěrů o 25,8 mld. Kč a emitovaných cenných papírů o 122,6 mld. Kč.</w:t>
      </w:r>
    </w:p>
    <w:p w14:paraId="19EDA098" w14:textId="77777777" w:rsidR="00E6431E" w:rsidRPr="00270F84" w:rsidRDefault="00E6431E" w:rsidP="00A94B28"/>
    <w:p w14:paraId="4C369526" w14:textId="2C0AFFE5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8C6D93">
        <w:t>1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8C6D93">
        <w:t>8</w:t>
      </w:r>
      <w:r w:rsidR="00B85D5E" w:rsidRPr="00270F84">
        <w:t xml:space="preserve"> </w:t>
      </w:r>
      <w:r w:rsidR="000A2AF1" w:rsidRPr="00270F84">
        <w:t xml:space="preserve">– </w:t>
      </w:r>
      <w:r w:rsidR="008C6D93">
        <w:t>1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2020</w:t>
      </w:r>
    </w:p>
    <w:p w14:paraId="6504B9E7" w14:textId="3ED968CC" w:rsidR="00DB5168" w:rsidRDefault="007E146B" w:rsidP="007D7C61">
      <w:r w:rsidRPr="007E146B">
        <w:rPr>
          <w:noProof/>
          <w:sz w:val="16"/>
          <w:szCs w:val="16"/>
          <w:lang w:eastAsia="cs-CZ"/>
        </w:rPr>
        <w:drawing>
          <wp:inline distT="0" distB="0" distL="0" distR="0" wp14:anchorId="35962E8E" wp14:editId="326F8DF1">
            <wp:extent cx="5343525" cy="3086100"/>
            <wp:effectExtent l="0" t="0" r="9525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030E73AF" w:rsidR="005A7C66" w:rsidRDefault="005A7C66" w:rsidP="005A7C66">
      <w:r w:rsidRPr="0004366C">
        <w:t>Saldo hospodaření vládních institucí po očištění o sezónní a kalendářní vlivy skončilo v </w:t>
      </w:r>
      <w:r w:rsidR="0004366C" w:rsidRPr="0004366C">
        <w:t xml:space="preserve">deficitu </w:t>
      </w:r>
      <w:r w:rsidR="002773CD">
        <w:t>27,5</w:t>
      </w:r>
      <w:r w:rsidR="0004366C" w:rsidRPr="0004366C">
        <w:t xml:space="preserve"> mld. Kč, který odpovídal </w:t>
      </w:r>
      <w:r w:rsidR="002773CD">
        <w:t>1,91</w:t>
      </w:r>
      <w:r w:rsidRPr="0004366C">
        <w:t xml:space="preserve"> % HDP. </w:t>
      </w:r>
      <w:proofErr w:type="spellStart"/>
      <w:r w:rsidRPr="0004366C">
        <w:t>Mezičtvrtletně</w:t>
      </w:r>
      <w:proofErr w:type="spellEnd"/>
      <w:r w:rsidRPr="0004366C">
        <w:t xml:space="preserve"> klesl</w:t>
      </w:r>
      <w:r w:rsidR="00823594">
        <w:t>o očištěné</w:t>
      </w:r>
      <w:r w:rsidRPr="0004366C">
        <w:t xml:space="preserve"> </w:t>
      </w:r>
      <w:r w:rsidR="00823594">
        <w:t>saldo</w:t>
      </w:r>
      <w:r w:rsidRPr="0004366C">
        <w:t xml:space="preserve"> hospodaření o </w:t>
      </w:r>
      <w:r w:rsidR="00F83F8C">
        <w:t>20</w:t>
      </w:r>
      <w:r w:rsidR="0004366C" w:rsidRPr="0004366C">
        <w:t>,0</w:t>
      </w:r>
      <w:r w:rsidR="00CF138C">
        <w:t> </w:t>
      </w:r>
      <w:r w:rsidRPr="0004366C">
        <w:t>mld.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65EA9DC2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DE6A49">
        <w:t>1. čtvrtletí 2018</w:t>
      </w:r>
      <w:r w:rsidRPr="00706DBC">
        <w:t xml:space="preserve"> – </w:t>
      </w:r>
      <w:r w:rsidR="00DE6A49">
        <w:t>1. čtvrtletí 2020</w:t>
      </w:r>
    </w:p>
    <w:p w14:paraId="1F0B046A" w14:textId="3A9923ED" w:rsidR="005A7C66" w:rsidRDefault="00DE6A49" w:rsidP="005A7C66">
      <w:r>
        <w:rPr>
          <w:noProof/>
          <w:lang w:eastAsia="cs-CZ"/>
        </w:rPr>
        <w:drawing>
          <wp:inline distT="0" distB="0" distL="0" distR="0" wp14:anchorId="200419E2" wp14:editId="66832E11">
            <wp:extent cx="5400040" cy="1980565"/>
            <wp:effectExtent l="0" t="0" r="10160" b="63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5F29DE" w14:textId="77777777" w:rsidR="005A7C66" w:rsidRPr="004920AD" w:rsidRDefault="005A7C66" w:rsidP="005A7C66">
      <w:pPr>
        <w:pStyle w:val="Poznmky0"/>
      </w:pPr>
      <w:r>
        <w:lastRenderedPageBreak/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BCEA379" w14:textId="77777777" w:rsidR="007674A6" w:rsidRDefault="007674A6" w:rsidP="005A7C66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 w:rsidR="00F20640"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tel.: </w:t>
            </w:r>
            <w:r w:rsidR="005A7C66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242A34"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06DE8B21" w14:textId="77777777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2047F7D4" w:rsidR="007674A6" w:rsidRPr="007F7CB9" w:rsidRDefault="005A7C66" w:rsidP="00170F6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170F69">
              <w:rPr>
                <w:i/>
                <w:iCs/>
                <w:sz w:val="18"/>
                <w:szCs w:val="18"/>
              </w:rPr>
              <w:t>10</w:t>
            </w:r>
            <w:r w:rsidR="00760DE0">
              <w:rPr>
                <w:i/>
                <w:iCs/>
                <w:sz w:val="18"/>
                <w:szCs w:val="18"/>
              </w:rPr>
              <w:t>. 20</w:t>
            </w:r>
            <w:r>
              <w:rPr>
                <w:i/>
                <w:iCs/>
                <w:sz w:val="18"/>
                <w:szCs w:val="18"/>
              </w:rPr>
              <w:t>20</w:t>
            </w:r>
          </w:p>
        </w:tc>
      </w:tr>
    </w:tbl>
    <w:p w14:paraId="74766383" w14:textId="77777777" w:rsidR="007674A6" w:rsidRDefault="007674A6" w:rsidP="007674A6">
      <w:pPr>
        <w:rPr>
          <w:i/>
          <w:iCs/>
          <w:sz w:val="18"/>
          <w:szCs w:val="18"/>
        </w:rPr>
      </w:pPr>
    </w:p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46D7E" w14:textId="77777777" w:rsidR="003F5AA6" w:rsidRDefault="003F5AA6" w:rsidP="00BA6370">
      <w:r>
        <w:separator/>
      </w:r>
    </w:p>
  </w:endnote>
  <w:endnote w:type="continuationSeparator" w:id="0">
    <w:p w14:paraId="00B00225" w14:textId="77777777" w:rsidR="003F5AA6" w:rsidRDefault="003F5A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27699D59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E92D16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27699D59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E92D16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285B" w14:textId="77777777" w:rsidR="003F5AA6" w:rsidRDefault="003F5AA6" w:rsidP="00BA6370">
      <w:r>
        <w:separator/>
      </w:r>
    </w:p>
  </w:footnote>
  <w:footnote w:type="continuationSeparator" w:id="0">
    <w:p w14:paraId="52214E69" w14:textId="77777777" w:rsidR="003F5AA6" w:rsidRDefault="003F5A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D9A"/>
    <w:rsid w:val="000078FA"/>
    <w:rsid w:val="00022194"/>
    <w:rsid w:val="00024DDA"/>
    <w:rsid w:val="00031874"/>
    <w:rsid w:val="00031E89"/>
    <w:rsid w:val="0004366C"/>
    <w:rsid w:val="00043BF4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B2CAC"/>
    <w:rsid w:val="000B6F63"/>
    <w:rsid w:val="000C2F30"/>
    <w:rsid w:val="000D093F"/>
    <w:rsid w:val="000D3CE2"/>
    <w:rsid w:val="000E2FF8"/>
    <w:rsid w:val="000E43CC"/>
    <w:rsid w:val="000F5D76"/>
    <w:rsid w:val="00113C55"/>
    <w:rsid w:val="00130DF5"/>
    <w:rsid w:val="00136D80"/>
    <w:rsid w:val="001373DB"/>
    <w:rsid w:val="001404AB"/>
    <w:rsid w:val="00143CB1"/>
    <w:rsid w:val="00150F5D"/>
    <w:rsid w:val="00151F49"/>
    <w:rsid w:val="0015543C"/>
    <w:rsid w:val="00156857"/>
    <w:rsid w:val="001570D9"/>
    <w:rsid w:val="001614B5"/>
    <w:rsid w:val="00164ABA"/>
    <w:rsid w:val="00167288"/>
    <w:rsid w:val="00170F69"/>
    <w:rsid w:val="00171765"/>
    <w:rsid w:val="00171CC7"/>
    <w:rsid w:val="0017231D"/>
    <w:rsid w:val="001810DC"/>
    <w:rsid w:val="00194EA9"/>
    <w:rsid w:val="001B13D2"/>
    <w:rsid w:val="001B1F6A"/>
    <w:rsid w:val="001B607F"/>
    <w:rsid w:val="001B7272"/>
    <w:rsid w:val="001C30B0"/>
    <w:rsid w:val="001D0297"/>
    <w:rsid w:val="001D1A8D"/>
    <w:rsid w:val="001D291B"/>
    <w:rsid w:val="001D369A"/>
    <w:rsid w:val="001D7AFB"/>
    <w:rsid w:val="001F08B3"/>
    <w:rsid w:val="001F2FE0"/>
    <w:rsid w:val="00200854"/>
    <w:rsid w:val="00201FAF"/>
    <w:rsid w:val="002070FB"/>
    <w:rsid w:val="00210C77"/>
    <w:rsid w:val="00213729"/>
    <w:rsid w:val="00233976"/>
    <w:rsid w:val="002406FA"/>
    <w:rsid w:val="002419EE"/>
    <w:rsid w:val="00242A34"/>
    <w:rsid w:val="00255BC3"/>
    <w:rsid w:val="0026107B"/>
    <w:rsid w:val="00264DAF"/>
    <w:rsid w:val="00270F84"/>
    <w:rsid w:val="002733DB"/>
    <w:rsid w:val="00275EEB"/>
    <w:rsid w:val="002773CD"/>
    <w:rsid w:val="002819BE"/>
    <w:rsid w:val="00281B97"/>
    <w:rsid w:val="00292BC3"/>
    <w:rsid w:val="00295A12"/>
    <w:rsid w:val="002A56D6"/>
    <w:rsid w:val="002A6B48"/>
    <w:rsid w:val="002B2E47"/>
    <w:rsid w:val="002C48E6"/>
    <w:rsid w:val="002C529C"/>
    <w:rsid w:val="002D06AA"/>
    <w:rsid w:val="002E510B"/>
    <w:rsid w:val="002E7C61"/>
    <w:rsid w:val="00304176"/>
    <w:rsid w:val="00312263"/>
    <w:rsid w:val="00322825"/>
    <w:rsid w:val="00323131"/>
    <w:rsid w:val="003301A3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64A5"/>
    <w:rsid w:val="00397580"/>
    <w:rsid w:val="003A45C8"/>
    <w:rsid w:val="003B416A"/>
    <w:rsid w:val="003C039E"/>
    <w:rsid w:val="003C2DCF"/>
    <w:rsid w:val="003C7864"/>
    <w:rsid w:val="003C7FE7"/>
    <w:rsid w:val="003D0499"/>
    <w:rsid w:val="003D3576"/>
    <w:rsid w:val="003F4BD3"/>
    <w:rsid w:val="003F526A"/>
    <w:rsid w:val="003F5AA6"/>
    <w:rsid w:val="003F5DB2"/>
    <w:rsid w:val="004011F6"/>
    <w:rsid w:val="0040272A"/>
    <w:rsid w:val="00405244"/>
    <w:rsid w:val="004060DD"/>
    <w:rsid w:val="004060E2"/>
    <w:rsid w:val="00407901"/>
    <w:rsid w:val="004154C7"/>
    <w:rsid w:val="00417673"/>
    <w:rsid w:val="00423779"/>
    <w:rsid w:val="00425ADB"/>
    <w:rsid w:val="00425F10"/>
    <w:rsid w:val="00432C93"/>
    <w:rsid w:val="00441019"/>
    <w:rsid w:val="004436EE"/>
    <w:rsid w:val="00447B75"/>
    <w:rsid w:val="0045547F"/>
    <w:rsid w:val="00471DEF"/>
    <w:rsid w:val="00474A48"/>
    <w:rsid w:val="004920AD"/>
    <w:rsid w:val="004A1435"/>
    <w:rsid w:val="004A2FD5"/>
    <w:rsid w:val="004A5D0D"/>
    <w:rsid w:val="004D05B3"/>
    <w:rsid w:val="004D07BE"/>
    <w:rsid w:val="004D3C79"/>
    <w:rsid w:val="004D7CFA"/>
    <w:rsid w:val="004E479E"/>
    <w:rsid w:val="004E785E"/>
    <w:rsid w:val="004F686C"/>
    <w:rsid w:val="004F78E6"/>
    <w:rsid w:val="0050191A"/>
    <w:rsid w:val="0050420E"/>
    <w:rsid w:val="00506867"/>
    <w:rsid w:val="00511B4C"/>
    <w:rsid w:val="00512D99"/>
    <w:rsid w:val="00514205"/>
    <w:rsid w:val="00526E0E"/>
    <w:rsid w:val="00531DBB"/>
    <w:rsid w:val="00542EBD"/>
    <w:rsid w:val="00545931"/>
    <w:rsid w:val="00546A7F"/>
    <w:rsid w:val="005543FD"/>
    <w:rsid w:val="00560372"/>
    <w:rsid w:val="005652F3"/>
    <w:rsid w:val="00573994"/>
    <w:rsid w:val="0057429D"/>
    <w:rsid w:val="005A5773"/>
    <w:rsid w:val="005A7C66"/>
    <w:rsid w:val="005B0489"/>
    <w:rsid w:val="005B2684"/>
    <w:rsid w:val="005D0C9E"/>
    <w:rsid w:val="005E1A31"/>
    <w:rsid w:val="005F0EFC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22B80"/>
    <w:rsid w:val="0062459A"/>
    <w:rsid w:val="0062466F"/>
    <w:rsid w:val="00627388"/>
    <w:rsid w:val="00635BB1"/>
    <w:rsid w:val="0064139A"/>
    <w:rsid w:val="00641B4A"/>
    <w:rsid w:val="00642760"/>
    <w:rsid w:val="0064756E"/>
    <w:rsid w:val="00660D90"/>
    <w:rsid w:val="00667CB5"/>
    <w:rsid w:val="00672348"/>
    <w:rsid w:val="00681750"/>
    <w:rsid w:val="006931CF"/>
    <w:rsid w:val="00696FCF"/>
    <w:rsid w:val="006A1F09"/>
    <w:rsid w:val="006A28A6"/>
    <w:rsid w:val="006A7EAB"/>
    <w:rsid w:val="006C4DDE"/>
    <w:rsid w:val="006D2075"/>
    <w:rsid w:val="006D6BFF"/>
    <w:rsid w:val="006E024F"/>
    <w:rsid w:val="006E4E81"/>
    <w:rsid w:val="006E5508"/>
    <w:rsid w:val="006F2D3A"/>
    <w:rsid w:val="00705916"/>
    <w:rsid w:val="0070617B"/>
    <w:rsid w:val="00707F7D"/>
    <w:rsid w:val="00712924"/>
    <w:rsid w:val="00717EC5"/>
    <w:rsid w:val="00720C71"/>
    <w:rsid w:val="00724DB5"/>
    <w:rsid w:val="00724DF1"/>
    <w:rsid w:val="00747707"/>
    <w:rsid w:val="0075058C"/>
    <w:rsid w:val="00754C20"/>
    <w:rsid w:val="00760DE0"/>
    <w:rsid w:val="00765873"/>
    <w:rsid w:val="007674A6"/>
    <w:rsid w:val="00770F10"/>
    <w:rsid w:val="00795F3F"/>
    <w:rsid w:val="007A0CE9"/>
    <w:rsid w:val="007A2048"/>
    <w:rsid w:val="007A57F2"/>
    <w:rsid w:val="007B0AAF"/>
    <w:rsid w:val="007B1333"/>
    <w:rsid w:val="007B3BC2"/>
    <w:rsid w:val="007C435E"/>
    <w:rsid w:val="007C565C"/>
    <w:rsid w:val="007D44DD"/>
    <w:rsid w:val="007D624A"/>
    <w:rsid w:val="007D7C61"/>
    <w:rsid w:val="007E04BF"/>
    <w:rsid w:val="007E146B"/>
    <w:rsid w:val="007E5A52"/>
    <w:rsid w:val="007F4AEB"/>
    <w:rsid w:val="007F712A"/>
    <w:rsid w:val="007F75B2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50C26"/>
    <w:rsid w:val="0085371B"/>
    <w:rsid w:val="00855FB3"/>
    <w:rsid w:val="0085684F"/>
    <w:rsid w:val="00861D0E"/>
    <w:rsid w:val="008662BB"/>
    <w:rsid w:val="00867569"/>
    <w:rsid w:val="00883641"/>
    <w:rsid w:val="00884CF1"/>
    <w:rsid w:val="00885B92"/>
    <w:rsid w:val="008A750A"/>
    <w:rsid w:val="008B3970"/>
    <w:rsid w:val="008C384C"/>
    <w:rsid w:val="008C6D93"/>
    <w:rsid w:val="008D0F11"/>
    <w:rsid w:val="008D1041"/>
    <w:rsid w:val="008D7FDA"/>
    <w:rsid w:val="008E728B"/>
    <w:rsid w:val="008F31E9"/>
    <w:rsid w:val="008F38CA"/>
    <w:rsid w:val="008F7147"/>
    <w:rsid w:val="008F73B4"/>
    <w:rsid w:val="009005B6"/>
    <w:rsid w:val="00906F17"/>
    <w:rsid w:val="00910009"/>
    <w:rsid w:val="00915A3B"/>
    <w:rsid w:val="00917C75"/>
    <w:rsid w:val="00927342"/>
    <w:rsid w:val="00927EFE"/>
    <w:rsid w:val="009336F8"/>
    <w:rsid w:val="00936855"/>
    <w:rsid w:val="00961DC3"/>
    <w:rsid w:val="009828B5"/>
    <w:rsid w:val="00982CA8"/>
    <w:rsid w:val="00986DD7"/>
    <w:rsid w:val="009906E9"/>
    <w:rsid w:val="00990C86"/>
    <w:rsid w:val="00995ACC"/>
    <w:rsid w:val="00996553"/>
    <w:rsid w:val="009B026E"/>
    <w:rsid w:val="009B55B1"/>
    <w:rsid w:val="009B5605"/>
    <w:rsid w:val="009C406F"/>
    <w:rsid w:val="009E79CE"/>
    <w:rsid w:val="00A075A1"/>
    <w:rsid w:val="00A0762A"/>
    <w:rsid w:val="00A11EBE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70A83"/>
    <w:rsid w:val="00A76D07"/>
    <w:rsid w:val="00A81EB3"/>
    <w:rsid w:val="00A86C04"/>
    <w:rsid w:val="00A927E3"/>
    <w:rsid w:val="00A93DE1"/>
    <w:rsid w:val="00A94B28"/>
    <w:rsid w:val="00AA28C8"/>
    <w:rsid w:val="00AA4564"/>
    <w:rsid w:val="00AA5204"/>
    <w:rsid w:val="00AA6667"/>
    <w:rsid w:val="00AA66CB"/>
    <w:rsid w:val="00AB3410"/>
    <w:rsid w:val="00AC7D51"/>
    <w:rsid w:val="00AD1D04"/>
    <w:rsid w:val="00AD3DFB"/>
    <w:rsid w:val="00AD450F"/>
    <w:rsid w:val="00AD5011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6A45"/>
    <w:rsid w:val="00B30687"/>
    <w:rsid w:val="00B31B71"/>
    <w:rsid w:val="00B3245E"/>
    <w:rsid w:val="00B330E1"/>
    <w:rsid w:val="00B35C47"/>
    <w:rsid w:val="00B5095F"/>
    <w:rsid w:val="00B55375"/>
    <w:rsid w:val="00B56382"/>
    <w:rsid w:val="00B632CC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A0154"/>
    <w:rsid w:val="00BA12F1"/>
    <w:rsid w:val="00BA33CC"/>
    <w:rsid w:val="00BA439F"/>
    <w:rsid w:val="00BA6370"/>
    <w:rsid w:val="00BB2C9A"/>
    <w:rsid w:val="00BD39ED"/>
    <w:rsid w:val="00BD66E4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3546B"/>
    <w:rsid w:val="00C37ADB"/>
    <w:rsid w:val="00C4160D"/>
    <w:rsid w:val="00C45D98"/>
    <w:rsid w:val="00C60D47"/>
    <w:rsid w:val="00C65A6E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21CC"/>
    <w:rsid w:val="00CD4356"/>
    <w:rsid w:val="00CE0B66"/>
    <w:rsid w:val="00CE228C"/>
    <w:rsid w:val="00CE5BC2"/>
    <w:rsid w:val="00CE6D97"/>
    <w:rsid w:val="00CE71D9"/>
    <w:rsid w:val="00CF138C"/>
    <w:rsid w:val="00CF5155"/>
    <w:rsid w:val="00CF545B"/>
    <w:rsid w:val="00D208F1"/>
    <w:rsid w:val="00D209A7"/>
    <w:rsid w:val="00D2309A"/>
    <w:rsid w:val="00D27D69"/>
    <w:rsid w:val="00D31861"/>
    <w:rsid w:val="00D33658"/>
    <w:rsid w:val="00D34C7D"/>
    <w:rsid w:val="00D448C2"/>
    <w:rsid w:val="00D666C3"/>
    <w:rsid w:val="00D77FB9"/>
    <w:rsid w:val="00D86B7D"/>
    <w:rsid w:val="00D914A9"/>
    <w:rsid w:val="00D9189F"/>
    <w:rsid w:val="00D95B91"/>
    <w:rsid w:val="00DA6CD7"/>
    <w:rsid w:val="00DB33D4"/>
    <w:rsid w:val="00DB3D52"/>
    <w:rsid w:val="00DB5168"/>
    <w:rsid w:val="00DB67B3"/>
    <w:rsid w:val="00DB7DDE"/>
    <w:rsid w:val="00DD2AC3"/>
    <w:rsid w:val="00DD43D0"/>
    <w:rsid w:val="00DD56E4"/>
    <w:rsid w:val="00DE4D61"/>
    <w:rsid w:val="00DE6A49"/>
    <w:rsid w:val="00DF14D2"/>
    <w:rsid w:val="00DF1723"/>
    <w:rsid w:val="00DF1DBF"/>
    <w:rsid w:val="00DF2A26"/>
    <w:rsid w:val="00DF47FE"/>
    <w:rsid w:val="00DF50CE"/>
    <w:rsid w:val="00E00AFE"/>
    <w:rsid w:val="00E0156A"/>
    <w:rsid w:val="00E12E8F"/>
    <w:rsid w:val="00E14573"/>
    <w:rsid w:val="00E16796"/>
    <w:rsid w:val="00E16F11"/>
    <w:rsid w:val="00E225DE"/>
    <w:rsid w:val="00E22A62"/>
    <w:rsid w:val="00E26704"/>
    <w:rsid w:val="00E30385"/>
    <w:rsid w:val="00E30E72"/>
    <w:rsid w:val="00E31980"/>
    <w:rsid w:val="00E3211D"/>
    <w:rsid w:val="00E63083"/>
    <w:rsid w:val="00E6423C"/>
    <w:rsid w:val="00E6431E"/>
    <w:rsid w:val="00E706EA"/>
    <w:rsid w:val="00E736BE"/>
    <w:rsid w:val="00E74FAA"/>
    <w:rsid w:val="00E92B87"/>
    <w:rsid w:val="00E92D16"/>
    <w:rsid w:val="00E93830"/>
    <w:rsid w:val="00E93E0E"/>
    <w:rsid w:val="00E96CC6"/>
    <w:rsid w:val="00EA08B8"/>
    <w:rsid w:val="00EA2DE9"/>
    <w:rsid w:val="00EB1ED3"/>
    <w:rsid w:val="00EB44BC"/>
    <w:rsid w:val="00EB6243"/>
    <w:rsid w:val="00ED1573"/>
    <w:rsid w:val="00ED5CEB"/>
    <w:rsid w:val="00EE06E6"/>
    <w:rsid w:val="00EE2655"/>
    <w:rsid w:val="00EE43EB"/>
    <w:rsid w:val="00EF2155"/>
    <w:rsid w:val="00EF38A3"/>
    <w:rsid w:val="00EF3BAA"/>
    <w:rsid w:val="00EF5A70"/>
    <w:rsid w:val="00EF7CD7"/>
    <w:rsid w:val="00F02061"/>
    <w:rsid w:val="00F07627"/>
    <w:rsid w:val="00F158FD"/>
    <w:rsid w:val="00F20640"/>
    <w:rsid w:val="00F214B3"/>
    <w:rsid w:val="00F26CDA"/>
    <w:rsid w:val="00F376C1"/>
    <w:rsid w:val="00F54EB0"/>
    <w:rsid w:val="00F64D73"/>
    <w:rsid w:val="00F75711"/>
    <w:rsid w:val="00F75BD5"/>
    <w:rsid w:val="00F75F2A"/>
    <w:rsid w:val="00F83F8C"/>
    <w:rsid w:val="00FA1B2C"/>
    <w:rsid w:val="00FA3792"/>
    <w:rsid w:val="00FA5B92"/>
    <w:rsid w:val="00FB1DDD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musil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1Q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1Q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085472604694462"/>
          <c:h val="0.7433236123262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-6.1756986259070558E-6"/>
                  <c:y val="-9.02077055182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D89-412B-9079-47AF8C2DBC93}"/>
                </c:ext>
              </c:extLst>
            </c:dLbl>
            <c:dLbl>
              <c:idx val="1"/>
              <c:layout>
                <c:manualLayout>
                  <c:x val="2.7841172259884628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D89-412B-9079-47AF8C2DBC93}"/>
                </c:ext>
              </c:extLst>
            </c:dLbl>
            <c:dLbl>
              <c:idx val="2"/>
              <c:layout>
                <c:manualLayout>
                  <c:x val="-2.7777543849799523E-3"/>
                  <c:y val="-6.1728395061728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D89-412B-9079-47AF8C2DBC93}"/>
                </c:ext>
              </c:extLst>
            </c:dLbl>
            <c:dLbl>
              <c:idx val="3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D89-412B-9079-47AF8C2DBC9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graf!$I$2:$Q$2</c:f>
              <c:strCache>
                <c:ptCount val="9"/>
                <c:pt idx="0">
                  <c:v>1.Q 2018</c:v>
                </c:pt>
                <c:pt idx="1">
                  <c:v>2.Q 2018</c:v>
                </c:pt>
                <c:pt idx="2">
                  <c:v>3.Q 2018</c:v>
                </c:pt>
                <c:pt idx="3">
                  <c:v>4.Q 2018</c:v>
                </c:pt>
                <c:pt idx="4">
                  <c:v>1.Q 2019</c:v>
                </c:pt>
                <c:pt idx="5">
                  <c:v>2.Q 2019</c:v>
                </c:pt>
                <c:pt idx="6">
                  <c:v>3.Q 2019</c:v>
                </c:pt>
                <c:pt idx="7">
                  <c:v>4.Q 2019</c:v>
                </c:pt>
                <c:pt idx="8">
                  <c:v>1.Q 2020</c:v>
                </c:pt>
              </c:strCache>
            </c:strRef>
          </c:cat>
          <c:val>
            <c:numRef>
              <c:f>graf!$I$3:$Q$3</c:f>
              <c:numCache>
                <c:formatCode>#,##0</c:formatCode>
                <c:ptCount val="9"/>
                <c:pt idx="0">
                  <c:v>1833.587</c:v>
                </c:pt>
                <c:pt idx="1">
                  <c:v>1829.8330000000001</c:v>
                </c:pt>
                <c:pt idx="2">
                  <c:v>1778.9159999999999</c:v>
                </c:pt>
                <c:pt idx="3">
                  <c:v>1734.6020000000001</c:v>
                </c:pt>
                <c:pt idx="4">
                  <c:v>1835.6489999999999</c:v>
                </c:pt>
                <c:pt idx="5">
                  <c:v>1816.462</c:v>
                </c:pt>
                <c:pt idx="6">
                  <c:v>1782.9349999999999</c:v>
                </c:pt>
                <c:pt idx="7">
                  <c:v>1738.723</c:v>
                </c:pt>
                <c:pt idx="8">
                  <c:v>1893.8130000000001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89-412B-9079-47AF8C2DB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4207581226645436E-2"/>
                  <c:y val="9.7673884514435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454119500839811E-2"/>
                      <c:h val="4.25696267133275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D89-412B-9079-47AF8C2DBC93}"/>
                </c:ext>
              </c:extLst>
            </c:dLbl>
            <c:dLbl>
              <c:idx val="1"/>
              <c:layout>
                <c:manualLayout>
                  <c:x val="-5.4323316537304496E-2"/>
                  <c:y val="4.4433103269498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D89-412B-9079-47AF8C2DBC93}"/>
                </c:ext>
              </c:extLst>
            </c:dLbl>
            <c:dLbl>
              <c:idx val="2"/>
              <c:layout>
                <c:manualLayout>
                  <c:x val="-4.6670315943127427E-2"/>
                  <c:y val="4.4433103269498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D89-412B-9079-47AF8C2DBC93}"/>
                </c:ext>
              </c:extLst>
            </c:dLbl>
            <c:dLbl>
              <c:idx val="3"/>
              <c:layout>
                <c:manualLayout>
                  <c:x val="-4.7071362069046226E-2"/>
                  <c:y val="4.4433103269498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0D89-412B-9079-47AF8C2DBC93}"/>
                </c:ext>
              </c:extLst>
            </c:dLbl>
            <c:dLbl>
              <c:idx val="4"/>
              <c:layout>
                <c:manualLayout>
                  <c:x val="-4.9569900019182093E-2"/>
                  <c:y val="4.4433103269498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D89-412B-9079-47AF8C2DBC93}"/>
                </c:ext>
              </c:extLst>
            </c:dLbl>
            <c:dLbl>
              <c:idx val="5"/>
              <c:layout>
                <c:manualLayout>
                  <c:x val="-4.8119359411624346E-2"/>
                  <c:y val="4.2141213829752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0D89-412B-9079-47AF8C2DBC93}"/>
                </c:ext>
              </c:extLst>
            </c:dLbl>
            <c:dLbl>
              <c:idx val="6"/>
              <c:layout>
                <c:manualLayout>
                  <c:x val="-5.0489891972059643E-2"/>
                  <c:y val="4.67710054761673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D89-412B-9079-47AF8C2DBC93}"/>
                </c:ext>
              </c:extLst>
            </c:dLbl>
            <c:dLbl>
              <c:idx val="7"/>
              <c:layout>
                <c:manualLayout>
                  <c:x val="-4.9569900019182267E-2"/>
                  <c:y val="-4.0957843232558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0D89-412B-9079-47AF8C2DBC93}"/>
                </c:ext>
              </c:extLst>
            </c:dLbl>
            <c:dLbl>
              <c:idx val="8"/>
              <c:layout>
                <c:manualLayout>
                  <c:x val="-5.246536696281949E-2"/>
                  <c:y val="5.1400473089011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0D89-412B-9079-47AF8C2DBC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graf!$I$2:$Q$2</c:f>
              <c:strCache>
                <c:ptCount val="9"/>
                <c:pt idx="0">
                  <c:v>1.Q 2018</c:v>
                </c:pt>
                <c:pt idx="1">
                  <c:v>2.Q 2018</c:v>
                </c:pt>
                <c:pt idx="2">
                  <c:v>3.Q 2018</c:v>
                </c:pt>
                <c:pt idx="3">
                  <c:v>4.Q 2018</c:v>
                </c:pt>
                <c:pt idx="4">
                  <c:v>1.Q 2019</c:v>
                </c:pt>
                <c:pt idx="5">
                  <c:v>2.Q 2019</c:v>
                </c:pt>
                <c:pt idx="6">
                  <c:v>3.Q 2019</c:v>
                </c:pt>
                <c:pt idx="7">
                  <c:v>4.Q 2019</c:v>
                </c:pt>
                <c:pt idx="8">
                  <c:v>1.Q 2020</c:v>
                </c:pt>
              </c:strCache>
            </c:strRef>
          </c:xVal>
          <c:yVal>
            <c:numRef>
              <c:f>graf!$I$4:$Q$4</c:f>
              <c:numCache>
                <c:formatCode>0.00</c:formatCode>
                <c:ptCount val="9"/>
                <c:pt idx="0">
                  <c:v>35.33</c:v>
                </c:pt>
                <c:pt idx="1">
                  <c:v>34.770000000000003</c:v>
                </c:pt>
                <c:pt idx="2">
                  <c:v>33.369999999999997</c:v>
                </c:pt>
                <c:pt idx="3">
                  <c:v>32.07</c:v>
                </c:pt>
                <c:pt idx="4">
                  <c:v>33.44</c:v>
                </c:pt>
                <c:pt idx="5">
                  <c:v>32.6</c:v>
                </c:pt>
                <c:pt idx="6">
                  <c:v>31.45</c:v>
                </c:pt>
                <c:pt idx="7">
                  <c:v>30.25</c:v>
                </c:pt>
                <c:pt idx="8">
                  <c:v>32.799999999999997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0D89-412B-9079-47AF8C2DB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3847678435006567"/>
        </c:manualLayout>
      </c:layout>
      <c:lineChart>
        <c:grouping val="standard"/>
        <c:varyColors val="0"/>
        <c:ser>
          <c:idx val="0"/>
          <c:order val="0"/>
          <c:tx>
            <c:strRef>
              <c:f>SEZ!$A$4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65F-45B0-9434-7143B7F8CB9C}"/>
                </c:ext>
              </c:extLst>
            </c:dLbl>
            <c:dLbl>
              <c:idx val="1"/>
              <c:layout>
                <c:manualLayout>
                  <c:x val="-7.4906378086404849E-3"/>
                  <c:y val="-3.039155828357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65F-45B0-9434-7143B7F8CB9C}"/>
                </c:ext>
              </c:extLst>
            </c:dLbl>
            <c:dLbl>
              <c:idx val="2"/>
              <c:layout>
                <c:manualLayout>
                  <c:x val="-2.8898304457004021E-2"/>
                  <c:y val="-7.14306271190291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21733913082125E-2"/>
                      <c:h val="7.476048501311494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C65F-45B0-9434-7143B7F8CB9C}"/>
                </c:ext>
              </c:extLst>
            </c:dLbl>
            <c:dLbl>
              <c:idx val="4"/>
              <c:layout>
                <c:manualLayout>
                  <c:x val="-3.8137660403349217E-3"/>
                  <c:y val="-8.09754555498910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65F-45B0-9434-7143B7F8CB9C}"/>
                </c:ext>
              </c:extLst>
            </c:dLbl>
            <c:dLbl>
              <c:idx val="5"/>
              <c:layout>
                <c:manualLayout>
                  <c:x val="-2.8295174836559987E-2"/>
                  <c:y val="-6.396061482770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65F-45B0-9434-7143B7F8CB9C}"/>
                </c:ext>
              </c:extLst>
            </c:dLbl>
            <c:dLbl>
              <c:idx val="6"/>
              <c:layout>
                <c:manualLayout>
                  <c:x val="-2.7268888903411208E-2"/>
                  <c:y val="-6.396061482770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65F-45B0-9434-7143B7F8CB9C}"/>
                </c:ext>
              </c:extLst>
            </c:dLbl>
            <c:dLbl>
              <c:idx val="7"/>
              <c:layout>
                <c:manualLayout>
                  <c:x val="-5.7045873734268636E-2"/>
                  <c:y val="8.3640779272581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65F-45B0-9434-7143B7F8CB9C}"/>
                </c:ext>
              </c:extLst>
            </c:dLbl>
            <c:dLbl>
              <c:idx val="8"/>
              <c:layout>
                <c:manualLayout>
                  <c:x val="-2.6312357454367771E-2"/>
                  <c:y val="-4.16666020991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65F-45B0-9434-7143B7F8CB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SEZ!$F$1:$N$1</c:f>
              <c:strCache>
                <c:ptCount val="9"/>
                <c:pt idx="0">
                  <c:v>1.Q 2018</c:v>
                </c:pt>
                <c:pt idx="1">
                  <c:v>2.Q 2018</c:v>
                </c:pt>
                <c:pt idx="2">
                  <c:v>3.Q 2018</c:v>
                </c:pt>
                <c:pt idx="3">
                  <c:v>4.Q 2018</c:v>
                </c:pt>
                <c:pt idx="4">
                  <c:v>1.Q 2019</c:v>
                </c:pt>
                <c:pt idx="5">
                  <c:v>2.Q 2019</c:v>
                </c:pt>
                <c:pt idx="6">
                  <c:v>3.Q 2019</c:v>
                </c:pt>
                <c:pt idx="7">
                  <c:v>4.Q 2019</c:v>
                </c:pt>
                <c:pt idx="8">
                  <c:v>1.Q 2020</c:v>
                </c:pt>
              </c:strCache>
            </c:strRef>
          </c:cat>
          <c:val>
            <c:numRef>
              <c:f>SEZ!$F$4:$N$4</c:f>
              <c:numCache>
                <c:formatCode>#,##0.00</c:formatCode>
                <c:ptCount val="9"/>
                <c:pt idx="0">
                  <c:v>1.4147600843123891</c:v>
                </c:pt>
                <c:pt idx="1">
                  <c:v>1.3605978889892054</c:v>
                </c:pt>
                <c:pt idx="2">
                  <c:v>0.2807193819766699</c:v>
                </c:pt>
                <c:pt idx="3">
                  <c:v>0.58967816901306425</c:v>
                </c:pt>
                <c:pt idx="4">
                  <c:v>1.5419185258388615</c:v>
                </c:pt>
                <c:pt idx="5">
                  <c:v>0.17004021419615636</c:v>
                </c:pt>
                <c:pt idx="6">
                  <c:v>-0.10449971625904858</c:v>
                </c:pt>
                <c:pt idx="7">
                  <c:v>-0.5146602475136971</c:v>
                </c:pt>
                <c:pt idx="8">
                  <c:v>-1.9100202225171823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65F-45B0-9434-7143B7F8C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in val="-2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538A-6CD9-41B1-9C35-DB8F9ACE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Petr Musil</cp:lastModifiedBy>
  <cp:revision>4</cp:revision>
  <cp:lastPrinted>2019-01-11T07:42:00Z</cp:lastPrinted>
  <dcterms:created xsi:type="dcterms:W3CDTF">2020-06-28T19:01:00Z</dcterms:created>
  <dcterms:modified xsi:type="dcterms:W3CDTF">2020-06-30T08:55:00Z</dcterms:modified>
</cp:coreProperties>
</file>