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70066" w:rsidP="00867569">
      <w:pPr>
        <w:pStyle w:val="Datum"/>
      </w:pPr>
      <w:r>
        <w:t>7</w:t>
      </w:r>
      <w:r w:rsidR="00870CBD">
        <w:t xml:space="preserve">. </w:t>
      </w:r>
      <w:r>
        <w:t>7</w:t>
      </w:r>
      <w:r w:rsidR="00870CBD">
        <w:t>. 2020</w:t>
      </w:r>
    </w:p>
    <w:p w:rsidR="00CF23CD" w:rsidRPr="00415613" w:rsidRDefault="002A7A6E" w:rsidP="00CF23CD">
      <w:pPr>
        <w:pStyle w:val="Nzev"/>
      </w:pPr>
      <w:r>
        <w:t>Průmyslová produkce klesla o čtvrtinu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CB1546">
        <w:t>květen</w:t>
      </w:r>
      <w:r w:rsidR="00632CF6">
        <w:t xml:space="preserve">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CB1546">
        <w:rPr>
          <w:rFonts w:cs="Arial"/>
          <w:lang w:eastAsia="cs-CZ"/>
        </w:rPr>
        <w:t>květnu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2230AC">
        <w:rPr>
          <w:rFonts w:cs="Arial"/>
          <w:lang w:eastAsia="cs-CZ"/>
        </w:rPr>
        <w:t xml:space="preserve">klesla </w:t>
      </w:r>
      <w:r w:rsidR="00670CE4" w:rsidRPr="002230AC">
        <w:rPr>
          <w:rFonts w:cs="Arial"/>
          <w:lang w:eastAsia="cs-CZ"/>
        </w:rPr>
        <w:t xml:space="preserve">o </w:t>
      </w:r>
      <w:r w:rsidR="00F5375F" w:rsidRPr="00F5375F">
        <w:rPr>
          <w:rFonts w:cs="Arial"/>
          <w:lang w:eastAsia="cs-CZ"/>
        </w:rPr>
        <w:t>25,7</w:t>
      </w:r>
      <w:r w:rsidRPr="00F5375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="00F5375F">
        <w:rPr>
          <w:rFonts w:cs="Arial"/>
          <w:lang w:eastAsia="cs-CZ"/>
        </w:rPr>
        <w:t>vyšší</w:t>
      </w:r>
      <w:r w:rsidRPr="00B45EF2">
        <w:rPr>
          <w:rFonts w:cs="Arial"/>
          <w:lang w:eastAsia="cs-CZ"/>
        </w:rPr>
        <w:t xml:space="preserve"> o </w:t>
      </w:r>
      <w:r w:rsidR="00F5375F" w:rsidRPr="00F5375F">
        <w:rPr>
          <w:rFonts w:cs="Arial"/>
          <w:lang w:eastAsia="cs-CZ"/>
        </w:rPr>
        <w:t>13,8</w:t>
      </w:r>
      <w:r w:rsidRPr="00F5375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>
        <w:t>snížila</w:t>
      </w:r>
      <w:r w:rsidRPr="00E4421D">
        <w:t xml:space="preserve"> o </w:t>
      </w:r>
      <w:r w:rsidR="00F5375F" w:rsidRPr="00F5375F">
        <w:t>34,7</w:t>
      </w:r>
      <w:r w:rsidRPr="00F5375F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CB1546">
        <w:rPr>
          <w:rFonts w:cs="Arial"/>
          <w:b w:val="0"/>
          <w:lang w:eastAsia="cs-CZ"/>
        </w:rPr>
        <w:t>květnu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547BDA">
        <w:rPr>
          <w:b w:val="0"/>
        </w:rPr>
        <w:t>vy</w:t>
      </w:r>
      <w:r w:rsidR="00F5375F">
        <w:rPr>
          <w:b w:val="0"/>
        </w:rPr>
        <w:t>š</w:t>
      </w:r>
      <w:r w:rsidR="00B45EF2" w:rsidRPr="00B45EF2">
        <w:rPr>
          <w:b w:val="0"/>
        </w:rPr>
        <w:t xml:space="preserve">ší </w:t>
      </w:r>
      <w:r w:rsidRPr="00D8587E">
        <w:rPr>
          <w:b w:val="0"/>
        </w:rPr>
        <w:t>o </w:t>
      </w:r>
      <w:r w:rsidR="00F5375F" w:rsidRPr="00F5375F">
        <w:rPr>
          <w:b w:val="0"/>
        </w:rPr>
        <w:t>13,8</w:t>
      </w:r>
      <w:r w:rsidRPr="00F5375F">
        <w:rPr>
          <w:b w:val="0"/>
        </w:rPr>
        <w:t xml:space="preserve"> 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 xml:space="preserve">klesla </w:t>
      </w:r>
      <w:r w:rsidR="006432E8" w:rsidRPr="00B45EF2">
        <w:rPr>
          <w:b w:val="0"/>
        </w:rPr>
        <w:t>o </w:t>
      </w:r>
      <w:r w:rsidR="00F5375F" w:rsidRPr="00F5375F">
        <w:rPr>
          <w:b w:val="0"/>
        </w:rPr>
        <w:t>25,7</w:t>
      </w:r>
      <w:r w:rsidR="006432E8" w:rsidRPr="00F5375F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="00EE328A">
        <w:rPr>
          <w:b w:val="0"/>
        </w:rPr>
        <w:t>Nejvyšší pokles byl zaznamenán u</w:t>
      </w:r>
      <w:r w:rsidRPr="009772A3">
        <w:rPr>
          <w:b w:val="0"/>
        </w:rPr>
        <w:t xml:space="preserve"> odvětví </w:t>
      </w:r>
      <w:r w:rsidR="00EB6EAF" w:rsidRPr="009772A3">
        <w:rPr>
          <w:b w:val="0"/>
        </w:rPr>
        <w:t xml:space="preserve">výroba </w:t>
      </w:r>
      <w:r w:rsidR="00EB6EAF">
        <w:rPr>
          <w:b w:val="0"/>
        </w:rPr>
        <w:t xml:space="preserve">motorových vozidel, přívěsů a návěsů </w:t>
      </w:r>
      <w:r w:rsidRPr="009772A3">
        <w:rPr>
          <w:b w:val="0"/>
        </w:rPr>
        <w:t>(příspěvek -</w:t>
      </w:r>
      <w:r w:rsidR="00F5375F">
        <w:rPr>
          <w:b w:val="0"/>
        </w:rPr>
        <w:t>8,9</w:t>
      </w:r>
      <w:r w:rsidRPr="009772A3">
        <w:rPr>
          <w:b w:val="0"/>
        </w:rPr>
        <w:t> procentního bodu, pokles o </w:t>
      </w:r>
      <w:r w:rsidR="00F5375F">
        <w:rPr>
          <w:b w:val="0"/>
        </w:rPr>
        <w:t>45,2</w:t>
      </w:r>
      <w:r w:rsidRPr="009772A3">
        <w:rPr>
          <w:b w:val="0"/>
        </w:rPr>
        <w:t xml:space="preserve"> %), </w:t>
      </w:r>
      <w:r w:rsidR="00B45EF2">
        <w:rPr>
          <w:b w:val="0"/>
        </w:rPr>
        <w:t xml:space="preserve">výroba </w:t>
      </w:r>
      <w:r w:rsidR="006E078E">
        <w:rPr>
          <w:b w:val="0"/>
        </w:rPr>
        <w:t>pryžových a plastových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F5375F">
        <w:rPr>
          <w:b w:val="0"/>
        </w:rPr>
        <w:t>2,8</w:t>
      </w:r>
      <w:r w:rsidRPr="009772A3">
        <w:rPr>
          <w:b w:val="0"/>
        </w:rPr>
        <w:t> p. b., pokles o </w:t>
      </w:r>
      <w:r w:rsidR="00F5375F">
        <w:rPr>
          <w:b w:val="0"/>
        </w:rPr>
        <w:t>38,6</w:t>
      </w:r>
      <w:r w:rsidRPr="009772A3">
        <w:rPr>
          <w:b w:val="0"/>
        </w:rPr>
        <w:t> %) a </w:t>
      </w:r>
      <w:r w:rsidR="002820BA" w:rsidRPr="009772A3">
        <w:rPr>
          <w:b w:val="0"/>
        </w:rPr>
        <w:t xml:space="preserve"> </w:t>
      </w:r>
      <w:r w:rsidR="00B45EF2" w:rsidRPr="009772A3">
        <w:rPr>
          <w:b w:val="0"/>
        </w:rPr>
        <w:t xml:space="preserve">výroba </w:t>
      </w:r>
      <w:r w:rsidR="00B45EF2">
        <w:rPr>
          <w:b w:val="0"/>
        </w:rPr>
        <w:t>kovových konstrukcí a</w:t>
      </w:r>
      <w:r w:rsidR="00EB6EAF">
        <w:rPr>
          <w:b w:val="0"/>
        </w:rPr>
        <w:t> </w:t>
      </w:r>
      <w:r w:rsidR="00B45EF2">
        <w:rPr>
          <w:b w:val="0"/>
        </w:rPr>
        <w:t>kovodělných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 -</w:t>
      </w:r>
      <w:r w:rsidR="006E078E">
        <w:rPr>
          <w:b w:val="0"/>
        </w:rPr>
        <w:t>2,</w:t>
      </w:r>
      <w:r w:rsidR="00F5375F">
        <w:rPr>
          <w:b w:val="0"/>
        </w:rPr>
        <w:t>6</w:t>
      </w:r>
      <w:r w:rsidRPr="009772A3">
        <w:rPr>
          <w:b w:val="0"/>
        </w:rPr>
        <w:t xml:space="preserve"> p. b., pokles o </w:t>
      </w:r>
      <w:r w:rsidR="00F5375F">
        <w:rPr>
          <w:b w:val="0"/>
        </w:rPr>
        <w:t>24,6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CB1546">
        <w:rPr>
          <w:rFonts w:cs="Arial"/>
          <w:lang w:eastAsia="cs-CZ"/>
        </w:rPr>
        <w:t>květnu</w:t>
      </w:r>
      <w:r w:rsidR="000E2651">
        <w:rPr>
          <w:rFonts w:cs="Arial"/>
        </w:rPr>
        <w:t xml:space="preserve"> 2020</w:t>
      </w:r>
      <w:r w:rsidRPr="0044686C">
        <w:rPr>
          <w:rFonts w:cs="Arial"/>
        </w:rPr>
        <w:t xml:space="preserve"> meziročně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</w:t>
      </w:r>
      <w:r w:rsidR="00511313" w:rsidRPr="00511313">
        <w:rPr>
          <w:rFonts w:cs="Arial"/>
        </w:rPr>
        <w:t xml:space="preserve"> </w:t>
      </w:r>
      <w:r w:rsidR="00095769">
        <w:rPr>
          <w:rFonts w:cs="Arial"/>
        </w:rPr>
        <w:t>28,8</w:t>
      </w:r>
      <w:r w:rsidRPr="00511313">
        <w:rPr>
          <w:rFonts w:cs="Arial"/>
        </w:rPr>
        <w:t> </w:t>
      </w:r>
      <w:r w:rsidRPr="00944023">
        <w:rPr>
          <w:rFonts w:cs="Arial"/>
        </w:rPr>
        <w:t>%. Tržby z přímého vývozu průmyslových podniků se snížily v běžných cenách o </w:t>
      </w:r>
      <w:r w:rsidR="00095769">
        <w:rPr>
          <w:rFonts w:cs="Arial"/>
        </w:rPr>
        <w:t>32,7</w:t>
      </w:r>
      <w:r w:rsidR="00E82C91" w:rsidRPr="00511313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 </w:t>
      </w:r>
      <w:r w:rsidR="00095769">
        <w:rPr>
          <w:rFonts w:cs="Arial"/>
        </w:rPr>
        <w:t>23,5</w:t>
      </w:r>
      <w:r w:rsidRPr="00511313">
        <w:rPr>
          <w:rFonts w:cs="Arial"/>
        </w:rPr>
        <w:t> </w:t>
      </w:r>
      <w:r w:rsidRPr="00944023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CB1546">
        <w:rPr>
          <w:rFonts w:cs="Arial"/>
          <w:b w:val="0"/>
          <w:lang w:eastAsia="cs-CZ"/>
        </w:rPr>
        <w:t>květnu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095769">
        <w:rPr>
          <w:rFonts w:cs="Arial"/>
          <w:b w:val="0"/>
        </w:rPr>
        <w:t>34,7</w:t>
      </w:r>
      <w:r w:rsidRPr="003C4FEB">
        <w:rPr>
          <w:rFonts w:cs="Arial"/>
          <w:b w:val="0"/>
        </w:rPr>
        <w:t> </w:t>
      </w:r>
      <w:r w:rsidRPr="00341071">
        <w:rPr>
          <w:rFonts w:cs="Arial"/>
          <w:b w:val="0"/>
        </w:rPr>
        <w:t>%. Nové zakázky ze zahraničí se snížily o </w:t>
      </w:r>
      <w:r w:rsidR="00095769">
        <w:rPr>
          <w:rFonts w:cs="Arial"/>
          <w:b w:val="0"/>
        </w:rPr>
        <w:t>36,8</w:t>
      </w:r>
      <w:r w:rsidRPr="00341071">
        <w:rPr>
          <w:rFonts w:cs="Arial"/>
          <w:b w:val="0"/>
        </w:rPr>
        <w:t xml:space="preserve"> %, zatímco tuzemské nové zakázky </w:t>
      </w:r>
      <w:r w:rsidR="00511313">
        <w:rPr>
          <w:rFonts w:cs="Arial"/>
          <w:b w:val="0"/>
        </w:rPr>
        <w:t>klesly</w:t>
      </w:r>
      <w:r w:rsidR="003A0ABD">
        <w:rPr>
          <w:rFonts w:cs="Arial"/>
          <w:b w:val="0"/>
        </w:rPr>
        <w:t> </w:t>
      </w:r>
      <w:r w:rsidRPr="00341071">
        <w:rPr>
          <w:rFonts w:cs="Arial"/>
          <w:b w:val="0"/>
        </w:rPr>
        <w:t>o </w:t>
      </w:r>
      <w:r w:rsidR="00095769">
        <w:rPr>
          <w:rFonts w:cs="Arial"/>
          <w:b w:val="0"/>
        </w:rPr>
        <w:t>29,7</w:t>
      </w:r>
      <w:r w:rsidRPr="00341071">
        <w:rPr>
          <w:rFonts w:cs="Arial"/>
          <w:b w:val="0"/>
        </w:rPr>
        <w:t xml:space="preserve"> %. </w:t>
      </w:r>
      <w:r w:rsidR="00EE328A">
        <w:rPr>
          <w:rFonts w:cs="Arial"/>
          <w:b w:val="0"/>
          <w:szCs w:val="16"/>
        </w:rPr>
        <w:t>Nejvíce se propadly nové zakáz</w:t>
      </w:r>
      <w:r w:rsidR="00F23F90" w:rsidRPr="0044686C">
        <w:rPr>
          <w:rFonts w:cs="Arial"/>
          <w:b w:val="0"/>
          <w:szCs w:val="16"/>
        </w:rPr>
        <w:t>k</w:t>
      </w:r>
      <w:r w:rsidR="00EE328A">
        <w:rPr>
          <w:rFonts w:cs="Arial"/>
          <w:b w:val="0"/>
          <w:szCs w:val="16"/>
        </w:rPr>
        <w:t>y u</w:t>
      </w:r>
      <w:r w:rsidR="003A0ABD">
        <w:rPr>
          <w:rFonts w:cs="Arial"/>
          <w:b w:val="0"/>
          <w:szCs w:val="16"/>
        </w:rPr>
        <w:t> </w:t>
      </w:r>
      <w:r w:rsidR="00F23F90" w:rsidRPr="0044686C">
        <w:rPr>
          <w:rFonts w:cs="Arial"/>
          <w:b w:val="0"/>
          <w:szCs w:val="16"/>
        </w:rPr>
        <w:t>odvětví</w:t>
      </w:r>
      <w:r w:rsidR="00F23F90">
        <w:rPr>
          <w:rFonts w:cs="Arial"/>
          <w:b w:val="0"/>
          <w:szCs w:val="16"/>
        </w:rPr>
        <w:t xml:space="preserve"> </w:t>
      </w:r>
      <w:r w:rsidR="00511313" w:rsidRPr="004335C1">
        <w:rPr>
          <w:b w:val="0"/>
        </w:rPr>
        <w:t xml:space="preserve">výroba </w:t>
      </w:r>
      <w:r w:rsidR="00511313">
        <w:rPr>
          <w:b w:val="0"/>
        </w:rPr>
        <w:t>motorových vozidel, přívěsů a</w:t>
      </w:r>
      <w:r w:rsidR="004D02A5">
        <w:rPr>
          <w:b w:val="0"/>
        </w:rPr>
        <w:t> </w:t>
      </w:r>
      <w:r w:rsidR="00511313">
        <w:rPr>
          <w:b w:val="0"/>
        </w:rPr>
        <w:t>návěsů</w:t>
      </w:r>
      <w:r w:rsidR="00511313" w:rsidRPr="004335C1">
        <w:rPr>
          <w:b w:val="0"/>
        </w:rPr>
        <w:t xml:space="preserve"> </w:t>
      </w:r>
      <w:r w:rsidR="00F23F90" w:rsidRPr="00CB17C0">
        <w:rPr>
          <w:b w:val="0"/>
        </w:rPr>
        <w:t>(příspěvek -</w:t>
      </w:r>
      <w:r w:rsidR="00095769">
        <w:rPr>
          <w:b w:val="0"/>
        </w:rPr>
        <w:t>20,4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095769">
        <w:rPr>
          <w:b w:val="0"/>
        </w:rPr>
        <w:t>48,4</w:t>
      </w:r>
      <w:r w:rsidR="00F23F90" w:rsidRPr="00CB17C0">
        <w:rPr>
          <w:b w:val="0"/>
        </w:rPr>
        <w:t xml:space="preserve"> %), </w:t>
      </w:r>
      <w:r w:rsidR="00731271" w:rsidRPr="009772A3">
        <w:rPr>
          <w:b w:val="0"/>
        </w:rPr>
        <w:t xml:space="preserve">výroba </w:t>
      </w:r>
      <w:r w:rsidR="00731271">
        <w:rPr>
          <w:b w:val="0"/>
        </w:rPr>
        <w:t>kovových konstrukcí a kovodělných výrobků</w:t>
      </w:r>
      <w:r w:rsidR="00731271" w:rsidRPr="0044686C">
        <w:rPr>
          <w:b w:val="0"/>
        </w:rPr>
        <w:t xml:space="preserve"> </w:t>
      </w:r>
      <w:r w:rsidR="00F23F90" w:rsidRPr="0044686C">
        <w:rPr>
          <w:b w:val="0"/>
        </w:rPr>
        <w:t xml:space="preserve">(příspěvek </w:t>
      </w:r>
      <w:r w:rsidR="00F23F90">
        <w:rPr>
          <w:b w:val="0"/>
        </w:rPr>
        <w:t>-</w:t>
      </w:r>
      <w:r w:rsidR="00731271">
        <w:rPr>
          <w:b w:val="0"/>
        </w:rPr>
        <w:t>2,</w:t>
      </w:r>
      <w:r w:rsidR="00095769">
        <w:rPr>
          <w:b w:val="0"/>
        </w:rPr>
        <w:t>88</w:t>
      </w:r>
      <w:r w:rsidR="00F23F90">
        <w:rPr>
          <w:b w:val="0"/>
        </w:rPr>
        <w:t xml:space="preserve"> </w:t>
      </w:r>
      <w:r w:rsidR="00F23F90" w:rsidRPr="0044686C">
        <w:rPr>
          <w:b w:val="0"/>
        </w:rPr>
        <w:t>p.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095769">
        <w:rPr>
          <w:b w:val="0"/>
        </w:rPr>
        <w:t>26,0</w:t>
      </w:r>
      <w:r w:rsidR="00F23F90">
        <w:rPr>
          <w:b w:val="0"/>
        </w:rPr>
        <w:t>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> </w:t>
      </w:r>
      <w:r w:rsidR="00511313">
        <w:rPr>
          <w:b w:val="0"/>
        </w:rPr>
        <w:t>výroba strojů a</w:t>
      </w:r>
      <w:r w:rsidR="00B35A04">
        <w:rPr>
          <w:b w:val="0"/>
        </w:rPr>
        <w:t> </w:t>
      </w:r>
      <w:r w:rsidR="00511313">
        <w:rPr>
          <w:b w:val="0"/>
        </w:rPr>
        <w:t>zařízení</w:t>
      </w:r>
      <w:r w:rsidR="003A0ABD">
        <w:rPr>
          <w:b w:val="0"/>
        </w:rPr>
        <w:t xml:space="preserve"> </w:t>
      </w:r>
      <w:r w:rsidR="00F23F90" w:rsidRPr="0044686C">
        <w:rPr>
          <w:b w:val="0"/>
        </w:rPr>
        <w:t>(příspěvek</w:t>
      </w:r>
      <w:r w:rsidR="003A0ABD">
        <w:rPr>
          <w:b w:val="0"/>
        </w:rPr>
        <w:t xml:space="preserve"> </w:t>
      </w:r>
      <w:r w:rsidR="00F23F90">
        <w:rPr>
          <w:b w:val="0"/>
        </w:rPr>
        <w:t>-</w:t>
      </w:r>
      <w:r w:rsidR="00731271">
        <w:rPr>
          <w:b w:val="0"/>
        </w:rPr>
        <w:t>2,8</w:t>
      </w:r>
      <w:r w:rsidR="00095769">
        <w:rPr>
          <w:b w:val="0"/>
        </w:rPr>
        <w:t>6 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731271">
        <w:rPr>
          <w:b w:val="0"/>
        </w:rPr>
        <w:t>2</w:t>
      </w:r>
      <w:r w:rsidR="00095769">
        <w:rPr>
          <w:b w:val="0"/>
        </w:rPr>
        <w:t>7,4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CB1546">
        <w:rPr>
          <w:rFonts w:cs="Arial"/>
          <w:lang w:eastAsia="cs-CZ"/>
        </w:rPr>
        <w:t>květnu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731271">
        <w:rPr>
          <w:iCs/>
          <w:szCs w:val="18"/>
        </w:rPr>
        <w:t>3,</w:t>
      </w:r>
      <w:r w:rsidR="00DC1626">
        <w:rPr>
          <w:iCs/>
          <w:szCs w:val="18"/>
        </w:rPr>
        <w:t>6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0E2651">
        <w:rPr>
          <w:iCs/>
        </w:rPr>
        <w:t> </w:t>
      </w:r>
      <w:r w:rsidR="00CB1546">
        <w:rPr>
          <w:rFonts w:cs="Arial"/>
          <w:lang w:eastAsia="cs-CZ"/>
        </w:rPr>
        <w:t>květnu</w:t>
      </w:r>
      <w:r w:rsidR="000E2651">
        <w:rPr>
          <w:iCs/>
        </w:rPr>
        <w:t xml:space="preserve"> 2020</w:t>
      </w:r>
      <w:r w:rsidRPr="00574601">
        <w:rPr>
          <w:iCs/>
        </w:rPr>
        <w:t xml:space="preserve"> meziročně </w:t>
      </w:r>
      <w:r w:rsidR="00731271">
        <w:rPr>
          <w:iCs/>
        </w:rPr>
        <w:t>klesla</w:t>
      </w:r>
      <w:r w:rsidRPr="00574601">
        <w:rPr>
          <w:iCs/>
        </w:rPr>
        <w:t xml:space="preserve"> o </w:t>
      </w:r>
      <w:r w:rsidR="00DC1626">
        <w:rPr>
          <w:iCs/>
        </w:rPr>
        <w:t>6,1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CB1546">
        <w:rPr>
          <w:bCs/>
          <w:sz w:val="20"/>
          <w:szCs w:val="20"/>
        </w:rPr>
        <w:t>dubnu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CB1546">
        <w:rPr>
          <w:b w:val="0"/>
          <w:sz w:val="20"/>
          <w:szCs w:val="20"/>
        </w:rPr>
        <w:t>27,2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025128">
        <w:rPr>
          <w:b w:val="0"/>
          <w:bCs/>
          <w:sz w:val="20"/>
          <w:szCs w:val="20"/>
        </w:rPr>
        <w:t>květen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1</w:t>
      </w:r>
      <w:r w:rsidR="00025128">
        <w:rPr>
          <w:b w:val="0"/>
          <w:bCs/>
          <w:sz w:val="20"/>
          <w:szCs w:val="20"/>
        </w:rPr>
        <w:t>4</w:t>
      </w:r>
      <w:r w:rsidRPr="00D83F08">
        <w:rPr>
          <w:b w:val="0"/>
          <w:bCs/>
          <w:sz w:val="20"/>
          <w:szCs w:val="20"/>
        </w:rPr>
        <w:t>. </w:t>
      </w:r>
      <w:r w:rsidR="00025128">
        <w:rPr>
          <w:b w:val="0"/>
          <w:bCs/>
          <w:sz w:val="20"/>
          <w:szCs w:val="20"/>
        </w:rPr>
        <w:t>7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136400" w:rsidRDefault="00136400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4D02A5" w:rsidRPr="004D02A5" w:rsidRDefault="001F1725" w:rsidP="00870CBD">
      <w:pPr>
        <w:pStyle w:val="Poznmky0"/>
        <w:spacing w:before="0"/>
        <w:rPr>
          <w:iCs/>
        </w:rPr>
      </w:pPr>
      <w:r w:rsidRPr="004D02A5">
        <w:rPr>
          <w:iCs/>
        </w:rPr>
        <w:t xml:space="preserve">Výsledky za </w:t>
      </w:r>
      <w:r w:rsidR="00025128">
        <w:rPr>
          <w:iCs/>
        </w:rPr>
        <w:t>květen</w:t>
      </w:r>
      <w:r w:rsidRPr="004D02A5">
        <w:rPr>
          <w:iCs/>
        </w:rPr>
        <w:t xml:space="preserve"> 2020 byly sestaveny standardně na základě zpracování měsíčního výkazu Prům 1-12 a s využitím administrativních zdrojů dat. Děkujeme všem podnikům, které nám data i v současné nelehké situaci poskytly, a ČS</w:t>
      </w:r>
      <w:r w:rsidR="0058623E" w:rsidRPr="004D02A5">
        <w:rPr>
          <w:iCs/>
        </w:rPr>
        <w:t xml:space="preserve">Ú </w:t>
      </w:r>
      <w:r w:rsidRPr="004D02A5">
        <w:rPr>
          <w:iCs/>
        </w:rPr>
        <w:t>tak mohl zpracovat výsledky v plném rozsahu.</w:t>
      </w:r>
    </w:p>
    <w:p w:rsidR="00870CBD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0E2651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lastRenderedPageBreak/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48676F" w:rsidRDefault="0048676F" w:rsidP="0048676F">
      <w:pPr>
        <w:pStyle w:val="Poznmky0"/>
        <w:spacing w:before="0"/>
      </w:pP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130</w:t>
      </w:r>
      <w:r w:rsidR="00230D99">
        <w:rPr>
          <w:rFonts w:cs="Arial"/>
          <w:i/>
        </w:rPr>
        <w:t> </w:t>
      </w:r>
      <w:bookmarkStart w:id="0" w:name="_GoBack"/>
      <w:bookmarkEnd w:id="0"/>
      <w:r w:rsidR="001D6F94" w:rsidRPr="001D6F94">
        <w:rPr>
          <w:rFonts w:cs="Arial"/>
          <w:i/>
        </w:rPr>
        <w:t>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5375F" w:rsidRPr="00F5375F">
        <w:rPr>
          <w:i/>
          <w:color w:val="auto"/>
        </w:rPr>
        <w:t>30</w:t>
      </w:r>
      <w:r w:rsidR="00C8596C" w:rsidRPr="00F5375F">
        <w:rPr>
          <w:i/>
          <w:color w:val="auto"/>
        </w:rPr>
        <w:t>.</w:t>
      </w:r>
      <w:r w:rsidR="001343C9" w:rsidRPr="00F5375F">
        <w:rPr>
          <w:i/>
          <w:color w:val="auto"/>
        </w:rPr>
        <w:t xml:space="preserve"> </w:t>
      </w:r>
      <w:r w:rsidR="000B6715" w:rsidRPr="00F5375F">
        <w:rPr>
          <w:i/>
          <w:color w:val="auto"/>
        </w:rPr>
        <w:t>6</w:t>
      </w:r>
      <w:r w:rsidRPr="00F5375F">
        <w:rPr>
          <w:i/>
          <w:color w:val="auto"/>
        </w:rPr>
        <w:t xml:space="preserve">. </w:t>
      </w:r>
      <w:r w:rsidRPr="000B6715">
        <w:rPr>
          <w:i/>
          <w:color w:val="auto"/>
        </w:rPr>
        <w:t>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25128">
        <w:rPr>
          <w:i/>
          <w:color w:val="auto"/>
        </w:rPr>
        <w:t>6</w:t>
      </w:r>
      <w:r w:rsidRPr="002A5F42">
        <w:rPr>
          <w:i/>
          <w:color w:val="auto"/>
        </w:rPr>
        <w:t xml:space="preserve">. </w:t>
      </w:r>
      <w:r w:rsidR="00025128">
        <w:rPr>
          <w:i/>
          <w:color w:val="auto"/>
        </w:rPr>
        <w:t>8</w:t>
      </w:r>
      <w:r w:rsidR="00994359" w:rsidRPr="002A5F42">
        <w:rPr>
          <w:i/>
          <w:color w:val="auto"/>
        </w:rPr>
        <w:t>.</w:t>
      </w:r>
      <w:r w:rsidRPr="002A5F42">
        <w:rPr>
          <w:i/>
          <w:color w:val="auto"/>
        </w:rPr>
        <w:t xml:space="preserve"> 2020</w:t>
      </w:r>
    </w:p>
    <w:p w:rsidR="00870CBD" w:rsidRPr="002A5F42" w:rsidRDefault="00870CBD" w:rsidP="00870CBD"/>
    <w:p w:rsidR="00870CBD" w:rsidRDefault="00870CBD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47" w:rsidRDefault="00861C47" w:rsidP="00BA6370">
      <w:r>
        <w:separator/>
      </w:r>
    </w:p>
  </w:endnote>
  <w:endnote w:type="continuationSeparator" w:id="0">
    <w:p w:rsidR="00861C47" w:rsidRDefault="00861C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0D9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0D9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47" w:rsidRDefault="00861C47" w:rsidP="00BA6370">
      <w:r>
        <w:separator/>
      </w:r>
    </w:p>
  </w:footnote>
  <w:footnote w:type="continuationSeparator" w:id="0">
    <w:p w:rsidR="00861C47" w:rsidRDefault="00861C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25128"/>
    <w:rsid w:val="00043BF4"/>
    <w:rsid w:val="000572B2"/>
    <w:rsid w:val="00057F42"/>
    <w:rsid w:val="00064D20"/>
    <w:rsid w:val="00080C60"/>
    <w:rsid w:val="000843A5"/>
    <w:rsid w:val="000910DA"/>
    <w:rsid w:val="00094CB5"/>
    <w:rsid w:val="00095769"/>
    <w:rsid w:val="00096D6C"/>
    <w:rsid w:val="000B6715"/>
    <w:rsid w:val="000B6F63"/>
    <w:rsid w:val="000C11FE"/>
    <w:rsid w:val="000D093F"/>
    <w:rsid w:val="000E2651"/>
    <w:rsid w:val="000E43CC"/>
    <w:rsid w:val="000F3B21"/>
    <w:rsid w:val="00124726"/>
    <w:rsid w:val="00126C22"/>
    <w:rsid w:val="001343C9"/>
    <w:rsid w:val="00136400"/>
    <w:rsid w:val="001404AB"/>
    <w:rsid w:val="0017231D"/>
    <w:rsid w:val="001738B3"/>
    <w:rsid w:val="001810DC"/>
    <w:rsid w:val="001A6C11"/>
    <w:rsid w:val="001B607F"/>
    <w:rsid w:val="001D369A"/>
    <w:rsid w:val="001D6F94"/>
    <w:rsid w:val="001F08B3"/>
    <w:rsid w:val="001F1725"/>
    <w:rsid w:val="001F2FE0"/>
    <w:rsid w:val="00200854"/>
    <w:rsid w:val="00201D1E"/>
    <w:rsid w:val="002070FB"/>
    <w:rsid w:val="00213729"/>
    <w:rsid w:val="002230AC"/>
    <w:rsid w:val="00230D99"/>
    <w:rsid w:val="002357AF"/>
    <w:rsid w:val="0023710F"/>
    <w:rsid w:val="002406FA"/>
    <w:rsid w:val="0026107B"/>
    <w:rsid w:val="002633E0"/>
    <w:rsid w:val="002668D5"/>
    <w:rsid w:val="00280FB9"/>
    <w:rsid w:val="002820BA"/>
    <w:rsid w:val="002A5F42"/>
    <w:rsid w:val="002A7A6E"/>
    <w:rsid w:val="002B2E47"/>
    <w:rsid w:val="002D703B"/>
    <w:rsid w:val="003176F5"/>
    <w:rsid w:val="00324FD6"/>
    <w:rsid w:val="003301A3"/>
    <w:rsid w:val="00341071"/>
    <w:rsid w:val="00353965"/>
    <w:rsid w:val="00353D78"/>
    <w:rsid w:val="0036777B"/>
    <w:rsid w:val="00367BC0"/>
    <w:rsid w:val="00372AF3"/>
    <w:rsid w:val="00377503"/>
    <w:rsid w:val="0038282A"/>
    <w:rsid w:val="00387EAA"/>
    <w:rsid w:val="00397580"/>
    <w:rsid w:val="003A0ABD"/>
    <w:rsid w:val="003A45C8"/>
    <w:rsid w:val="003B1F97"/>
    <w:rsid w:val="003C2DCF"/>
    <w:rsid w:val="003C4FEB"/>
    <w:rsid w:val="003C720B"/>
    <w:rsid w:val="003C7FE7"/>
    <w:rsid w:val="003D0499"/>
    <w:rsid w:val="003D3576"/>
    <w:rsid w:val="003F526A"/>
    <w:rsid w:val="00405244"/>
    <w:rsid w:val="004154C7"/>
    <w:rsid w:val="00415613"/>
    <w:rsid w:val="004275CC"/>
    <w:rsid w:val="004436EE"/>
    <w:rsid w:val="00454CD8"/>
    <w:rsid w:val="0045547F"/>
    <w:rsid w:val="00471DEF"/>
    <w:rsid w:val="0048078C"/>
    <w:rsid w:val="0048676F"/>
    <w:rsid w:val="004901D2"/>
    <w:rsid w:val="004920AD"/>
    <w:rsid w:val="004A1411"/>
    <w:rsid w:val="004A32FC"/>
    <w:rsid w:val="004B28F1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420E"/>
    <w:rsid w:val="00511313"/>
    <w:rsid w:val="00512D99"/>
    <w:rsid w:val="005211D8"/>
    <w:rsid w:val="00523536"/>
    <w:rsid w:val="00524F25"/>
    <w:rsid w:val="00531DBB"/>
    <w:rsid w:val="00533FD3"/>
    <w:rsid w:val="0054622C"/>
    <w:rsid w:val="00546520"/>
    <w:rsid w:val="00547BDA"/>
    <w:rsid w:val="00555CD0"/>
    <w:rsid w:val="005565DD"/>
    <w:rsid w:val="005569A8"/>
    <w:rsid w:val="0056645B"/>
    <w:rsid w:val="00573994"/>
    <w:rsid w:val="00574601"/>
    <w:rsid w:val="0058623E"/>
    <w:rsid w:val="005A198E"/>
    <w:rsid w:val="005C36BD"/>
    <w:rsid w:val="005C734F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931CF"/>
    <w:rsid w:val="006C6F67"/>
    <w:rsid w:val="006D1FCC"/>
    <w:rsid w:val="006E024F"/>
    <w:rsid w:val="006E078E"/>
    <w:rsid w:val="006E4E81"/>
    <w:rsid w:val="00707F7D"/>
    <w:rsid w:val="00717EC5"/>
    <w:rsid w:val="00731271"/>
    <w:rsid w:val="007434C8"/>
    <w:rsid w:val="0075173B"/>
    <w:rsid w:val="00754C20"/>
    <w:rsid w:val="00755C9F"/>
    <w:rsid w:val="0077681B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3993"/>
    <w:rsid w:val="008043C4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A2ED7"/>
    <w:rsid w:val="008A750A"/>
    <w:rsid w:val="008A7FE3"/>
    <w:rsid w:val="008B3970"/>
    <w:rsid w:val="008C384C"/>
    <w:rsid w:val="008D0F11"/>
    <w:rsid w:val="008E31D3"/>
    <w:rsid w:val="008E75CD"/>
    <w:rsid w:val="008F73B4"/>
    <w:rsid w:val="00914ABF"/>
    <w:rsid w:val="00921147"/>
    <w:rsid w:val="00986DD7"/>
    <w:rsid w:val="00994359"/>
    <w:rsid w:val="00996B5C"/>
    <w:rsid w:val="009B2EC0"/>
    <w:rsid w:val="009B55B1"/>
    <w:rsid w:val="009D5825"/>
    <w:rsid w:val="009F75A5"/>
    <w:rsid w:val="00A0654C"/>
    <w:rsid w:val="00A0762A"/>
    <w:rsid w:val="00A23640"/>
    <w:rsid w:val="00A304AE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D568A"/>
    <w:rsid w:val="00AE6BDC"/>
    <w:rsid w:val="00B00C1D"/>
    <w:rsid w:val="00B165AE"/>
    <w:rsid w:val="00B25FB6"/>
    <w:rsid w:val="00B35881"/>
    <w:rsid w:val="00B35A04"/>
    <w:rsid w:val="00B45EF2"/>
    <w:rsid w:val="00B55375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67C0B"/>
    <w:rsid w:val="00C70066"/>
    <w:rsid w:val="00C8406E"/>
    <w:rsid w:val="00C8596C"/>
    <w:rsid w:val="00C912FB"/>
    <w:rsid w:val="00CA5A29"/>
    <w:rsid w:val="00CB1546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48C2"/>
    <w:rsid w:val="00D625C7"/>
    <w:rsid w:val="00D666C3"/>
    <w:rsid w:val="00D8587E"/>
    <w:rsid w:val="00D9189F"/>
    <w:rsid w:val="00DA5C27"/>
    <w:rsid w:val="00DB0FE8"/>
    <w:rsid w:val="00DC1626"/>
    <w:rsid w:val="00DF47FE"/>
    <w:rsid w:val="00E001FC"/>
    <w:rsid w:val="00E0156A"/>
    <w:rsid w:val="00E13CAD"/>
    <w:rsid w:val="00E26704"/>
    <w:rsid w:val="00E31980"/>
    <w:rsid w:val="00E41D4D"/>
    <w:rsid w:val="00E46371"/>
    <w:rsid w:val="00E6423C"/>
    <w:rsid w:val="00E82C91"/>
    <w:rsid w:val="00E90EEE"/>
    <w:rsid w:val="00E90F10"/>
    <w:rsid w:val="00E93830"/>
    <w:rsid w:val="00E93E0E"/>
    <w:rsid w:val="00EA6B26"/>
    <w:rsid w:val="00EB1ED3"/>
    <w:rsid w:val="00EB56ED"/>
    <w:rsid w:val="00EB6EAF"/>
    <w:rsid w:val="00ED078D"/>
    <w:rsid w:val="00ED3AEA"/>
    <w:rsid w:val="00EE328A"/>
    <w:rsid w:val="00EF4740"/>
    <w:rsid w:val="00F17D99"/>
    <w:rsid w:val="00F23F90"/>
    <w:rsid w:val="00F31042"/>
    <w:rsid w:val="00F4727D"/>
    <w:rsid w:val="00F5375F"/>
    <w:rsid w:val="00F75F2A"/>
    <w:rsid w:val="00FB0E68"/>
    <w:rsid w:val="00FB488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A8F-12AE-4F4D-94CC-7D2C61D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184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21</cp:revision>
  <cp:lastPrinted>2020-07-02T12:03:00Z</cp:lastPrinted>
  <dcterms:created xsi:type="dcterms:W3CDTF">2020-06-02T07:39:00Z</dcterms:created>
  <dcterms:modified xsi:type="dcterms:W3CDTF">2020-07-02T12:50:00Z</dcterms:modified>
</cp:coreProperties>
</file>