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C723C" w:rsidP="00AE6D5B">
      <w:pPr>
        <w:pStyle w:val="Datum"/>
      </w:pPr>
      <w:r>
        <w:t>10. listopadu</w:t>
      </w:r>
      <w:r w:rsidR="0033176A">
        <w:t xml:space="preserve"> </w:t>
      </w:r>
      <w:r w:rsidR="00860AEA">
        <w:t>2020</w:t>
      </w:r>
    </w:p>
    <w:p w:rsidR="004809CA" w:rsidRPr="00491F10" w:rsidRDefault="00CC723C" w:rsidP="004809CA">
      <w:pPr>
        <w:pStyle w:val="Nzev"/>
      </w:pPr>
      <w:bookmarkStart w:id="0" w:name="_GoBack"/>
      <w:r w:rsidRPr="00CC723C">
        <w:t>Meziroční růst cen zpomalil</w:t>
      </w:r>
    </w:p>
    <w:bookmarkEnd w:id="0"/>
    <w:p w:rsidR="004809CA" w:rsidRDefault="00CC723C" w:rsidP="007B24AD">
      <w:pPr>
        <w:pStyle w:val="Perex"/>
        <w:spacing w:after="0"/>
        <w:jc w:val="left"/>
      </w:pPr>
      <w:r w:rsidRPr="00CC723C">
        <w:t>Spotřebitelské ceny vzrostly v říjnu proti září o 0,2 %. Tento vývoj byl ovlivněn zejména růstem cen v oddíle potraviny a nealkoholické nápoje a v oddíle odívání a obuv, který byl částečně kompenzován poklesem cen v oddíle bydlení. Meziročně vzrostly spotřebitelské ceny v říjnu o 2,9 %, což bylo o 0,3 procentního bodu méně než v září.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CC723C" w:rsidRPr="00CC723C">
        <w:rPr>
          <w:rFonts w:cs="Arial"/>
          <w:i/>
          <w:szCs w:val="20"/>
          <w:lang w:eastAsia="cs-CZ"/>
        </w:rPr>
        <w:t>Meziročně vzrostly spotřebitelské ceny v říjnu o 2,9 %, což bylo o 0,3 procentního bodu méně než v září. Na tento vývoj mělo největší vliv zpomalení růstu cen v oddíle bydlení. Ceny elektřiny oproti loňskému říjnu zmírnily svůj růst na zhruba 5 % a ceny z</w:t>
      </w:r>
      <w:r w:rsidR="00CC723C">
        <w:rPr>
          <w:rFonts w:cs="Arial"/>
          <w:i/>
          <w:szCs w:val="20"/>
          <w:lang w:eastAsia="cs-CZ"/>
        </w:rPr>
        <w:t xml:space="preserve">emního plynu klesly </w:t>
      </w:r>
      <w:r w:rsidR="00CC723C">
        <w:rPr>
          <w:rFonts w:cs="Arial"/>
          <w:i/>
          <w:szCs w:val="20"/>
          <w:lang w:eastAsia="cs-CZ"/>
        </w:rPr>
        <w:br/>
        <w:t>o téměř 4 %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CC723C" w:rsidP="00B678CD">
      <w:pPr>
        <w:jc w:val="left"/>
        <w:rPr>
          <w:rFonts w:cs="Arial"/>
        </w:rPr>
      </w:pPr>
      <w:hyperlink r:id="rId7" w:history="1">
        <w:r w:rsidR="00D230A5" w:rsidRPr="00CC723C">
          <w:rPr>
            <w:rStyle w:val="Hypertextovodkaz"/>
          </w:rPr>
          <w:t>https://www.czso.cz/csu/czso/cri/indexy-spo</w:t>
        </w:r>
        <w:r w:rsidR="007B24AD" w:rsidRPr="00CC723C">
          <w:rPr>
            <w:rStyle w:val="Hypertextovodkaz"/>
          </w:rPr>
          <w:t>trebitelskych-c</w:t>
        </w:r>
        <w:r w:rsidRPr="00CC723C">
          <w:rPr>
            <w:rStyle w:val="Hypertextovodkaz"/>
          </w:rPr>
          <w:t>en-inflace-rijen</w:t>
        </w:r>
        <w:r w:rsidR="00D230A5" w:rsidRPr="00CC723C">
          <w:rPr>
            <w:rStyle w:val="Hypertextovodkaz"/>
          </w:rPr>
          <w:t>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D0" w:rsidRDefault="000C69D0" w:rsidP="00BA6370">
      <w:r>
        <w:separator/>
      </w:r>
    </w:p>
  </w:endnote>
  <w:endnote w:type="continuationSeparator" w:id="0">
    <w:p w:rsidR="000C69D0" w:rsidRDefault="000C69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C723C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C723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C723C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C723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D0" w:rsidRDefault="000C69D0" w:rsidP="00BA6370">
      <w:r>
        <w:separator/>
      </w:r>
    </w:p>
  </w:footnote>
  <w:footnote w:type="continuationSeparator" w:id="0">
    <w:p w:rsidR="000C69D0" w:rsidRDefault="000C69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C69D0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C723C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866EE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1810-7D1D-4CC4-93D7-5B5BEF5A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2020-11-09T10:53:00Z</dcterms:created>
  <dcterms:modified xsi:type="dcterms:W3CDTF">2020-11-09T10:53:00Z</dcterms:modified>
</cp:coreProperties>
</file>