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575358" w:rsidP="00D75F5F">
      <w:pPr>
        <w:pStyle w:val="Datum"/>
        <w:spacing w:line="360" w:lineRule="auto"/>
      </w:pPr>
      <w:r>
        <w:t>1</w:t>
      </w:r>
      <w:r w:rsidR="00645994">
        <w:t>. </w:t>
      </w:r>
      <w:r w:rsidR="009922D8">
        <w:t>10</w:t>
      </w:r>
      <w:r w:rsidR="00D15313">
        <w:t>.</w:t>
      </w:r>
      <w:r w:rsidR="00645994">
        <w:t xml:space="preserve"> 20</w:t>
      </w:r>
      <w:r>
        <w:t>20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</w:t>
      </w:r>
      <w:r w:rsidR="00281845">
        <w:rPr>
          <w:color w:val="BD1B21"/>
          <w:sz w:val="32"/>
          <w:szCs w:val="32"/>
        </w:rPr>
        <w:t xml:space="preserve">skončilo </w:t>
      </w:r>
      <w:r w:rsidRPr="00D75F5F">
        <w:rPr>
          <w:color w:val="BD1B21"/>
          <w:sz w:val="32"/>
          <w:szCs w:val="32"/>
        </w:rPr>
        <w:t>v</w:t>
      </w:r>
      <w:r w:rsidR="00FD165A">
        <w:rPr>
          <w:color w:val="BD1B21"/>
          <w:sz w:val="32"/>
          <w:szCs w:val="32"/>
        </w:rPr>
        <w:t> </w:t>
      </w:r>
      <w:r w:rsidRPr="00D75F5F">
        <w:rPr>
          <w:color w:val="BD1B21"/>
          <w:sz w:val="32"/>
          <w:szCs w:val="32"/>
        </w:rPr>
        <w:t>přebytku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575358">
        <w:rPr>
          <w:color w:val="auto"/>
          <w:sz w:val="28"/>
          <w:szCs w:val="28"/>
        </w:rPr>
        <w:t>9</w:t>
      </w:r>
    </w:p>
    <w:p w:rsidR="00D75F5F" w:rsidRDefault="00D75F5F" w:rsidP="00645994"/>
    <w:p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201</w:t>
      </w:r>
      <w:r w:rsidR="005871B4" w:rsidRPr="001227FF">
        <w:rPr>
          <w:b/>
        </w:rPr>
        <w:t>9</w:t>
      </w:r>
      <w:r w:rsidRPr="001227FF">
        <w:rPr>
          <w:b/>
        </w:rPr>
        <w:t xml:space="preserve"> přebytkem ve výši </w:t>
      </w:r>
      <w:r w:rsidRPr="001227FF">
        <w:rPr>
          <w:b/>
        </w:rPr>
        <w:br/>
      </w:r>
      <w:r w:rsidR="001D32E6" w:rsidRPr="001227FF">
        <w:rPr>
          <w:b/>
        </w:rPr>
        <w:t>15,</w:t>
      </w:r>
      <w:r w:rsidR="00F176D9">
        <w:rPr>
          <w:b/>
        </w:rPr>
        <w:t>3</w:t>
      </w:r>
      <w:r w:rsidRPr="001227FF">
        <w:rPr>
          <w:b/>
        </w:rPr>
        <w:t xml:space="preserve"> miliard</w:t>
      </w:r>
      <w:r w:rsidR="00EB313B" w:rsidRPr="001227FF">
        <w:rPr>
          <w:b/>
        </w:rPr>
        <w:t>y</w:t>
      </w:r>
      <w:r w:rsidRPr="001227FF">
        <w:rPr>
          <w:b/>
        </w:rPr>
        <w:t xml:space="preserve"> Kč, jenž v relativním vyjádření odpovídá </w:t>
      </w:r>
      <w:r w:rsidR="001D32E6" w:rsidRPr="001227FF">
        <w:rPr>
          <w:b/>
        </w:rPr>
        <w:t>0,27</w:t>
      </w:r>
      <w:r w:rsidRPr="001227FF">
        <w:rPr>
          <w:b/>
        </w:rPr>
        <w:t xml:space="preserve"> % HDP. </w:t>
      </w:r>
      <w:r w:rsidR="00F176D9">
        <w:rPr>
          <w:b/>
        </w:rPr>
        <w:t xml:space="preserve">Oproti prvním notifikacím poklesl přebytek o 0,1 mld. Kč. </w:t>
      </w:r>
      <w:r w:rsidRPr="001227FF">
        <w:rPr>
          <w:b/>
        </w:rPr>
        <w:t>Výše zadlužení sektoru dosáhla na konci roku 201</w:t>
      </w:r>
      <w:r w:rsidR="001D32E6" w:rsidRPr="001227FF">
        <w:rPr>
          <w:b/>
        </w:rPr>
        <w:t>9</w:t>
      </w:r>
      <w:r w:rsidRPr="001227FF">
        <w:rPr>
          <w:b/>
        </w:rPr>
        <w:t xml:space="preserve"> úrovně </w:t>
      </w:r>
      <w:r w:rsidR="00F176D9">
        <w:rPr>
          <w:b/>
        </w:rPr>
        <w:t>30,21</w:t>
      </w:r>
      <w:r w:rsidRPr="001227FF">
        <w:rPr>
          <w:b/>
        </w:rPr>
        <w:t xml:space="preserve"> % HDP, při meziročním poklesu o </w:t>
      </w:r>
      <w:r w:rsidR="0033580D" w:rsidRPr="001227FF">
        <w:rPr>
          <w:b/>
        </w:rPr>
        <w:t>1,</w:t>
      </w:r>
      <w:r w:rsidR="00F176D9">
        <w:rPr>
          <w:b/>
        </w:rPr>
        <w:t>85</w:t>
      </w:r>
      <w:r w:rsidRPr="001227FF">
        <w:rPr>
          <w:b/>
        </w:rPr>
        <w:t xml:space="preserve"> 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Uvedené fiskální údaje sloužící k hodnocení plnění maastrichtských konvergenčních kritérií byly zaslány Evropské komisi v rámci </w:t>
      </w:r>
      <w:r w:rsidR="009922D8">
        <w:rPr>
          <w:b/>
        </w:rPr>
        <w:t>druhých</w:t>
      </w:r>
      <w:r w:rsidR="001D32E6" w:rsidRPr="001227FF">
        <w:rPr>
          <w:b/>
        </w:rPr>
        <w:t xml:space="preserve"> notifikací v roce 2020</w:t>
      </w:r>
      <w:r w:rsidRPr="001227FF">
        <w:rPr>
          <w:b/>
        </w:rPr>
        <w:t>.</w:t>
      </w:r>
    </w:p>
    <w:p w:rsidR="00645994" w:rsidRPr="001227FF" w:rsidRDefault="00645994" w:rsidP="00645994"/>
    <w:p w:rsidR="00A35B9F" w:rsidRDefault="00A35B9F" w:rsidP="00A35B9F">
      <w:pPr>
        <w:rPr>
          <w:rFonts w:cs="Arial"/>
          <w:szCs w:val="20"/>
        </w:rPr>
      </w:pPr>
      <w:r>
        <w:rPr>
          <w:rFonts w:cs="Arial"/>
          <w:szCs w:val="20"/>
        </w:rPr>
        <w:t xml:space="preserve">Saldo </w:t>
      </w:r>
      <w:r w:rsidRPr="00C678D9">
        <w:rPr>
          <w:rFonts w:cs="Arial"/>
          <w:szCs w:val="20"/>
        </w:rPr>
        <w:t>hospodařen</w:t>
      </w:r>
      <w:r>
        <w:rPr>
          <w:rFonts w:cs="Arial"/>
          <w:szCs w:val="20"/>
        </w:rPr>
        <w:t>í vládních institucí v roce 2019</w:t>
      </w:r>
      <w:r w:rsidRPr="00C678D9">
        <w:rPr>
          <w:rFonts w:cs="Arial"/>
          <w:szCs w:val="20"/>
        </w:rPr>
        <w:t xml:space="preserve"> bylo revidováno oproti prvním notifikacím o</w:t>
      </w:r>
      <w:r>
        <w:rPr>
          <w:rFonts w:cs="Arial"/>
          <w:szCs w:val="20"/>
        </w:rPr>
        <w:t> 0,1 </w:t>
      </w:r>
      <w:r w:rsidR="00773B14">
        <w:rPr>
          <w:rFonts w:cs="Arial"/>
          <w:szCs w:val="20"/>
        </w:rPr>
        <w:t>mld. Kč. Na revizi salda se podílely zejména aktualizované údaje o daních (+2,0 mld.)</w:t>
      </w:r>
      <w:r w:rsidR="00235F59">
        <w:rPr>
          <w:rFonts w:cs="Arial"/>
          <w:szCs w:val="20"/>
        </w:rPr>
        <w:t xml:space="preserve"> a</w:t>
      </w:r>
      <w:r w:rsidR="00C82035">
        <w:rPr>
          <w:rFonts w:cs="Arial"/>
          <w:szCs w:val="20"/>
        </w:rPr>
        <w:t> </w:t>
      </w:r>
      <w:r w:rsidR="00773B14">
        <w:rPr>
          <w:rFonts w:cs="Arial"/>
          <w:szCs w:val="20"/>
        </w:rPr>
        <w:t xml:space="preserve">výdajích </w:t>
      </w:r>
      <w:r w:rsidR="006221E6">
        <w:rPr>
          <w:rFonts w:cs="Arial"/>
          <w:szCs w:val="20"/>
        </w:rPr>
        <w:t>na projekty neproplacené</w:t>
      </w:r>
      <w:r w:rsidR="00BD18C0">
        <w:rPr>
          <w:rFonts w:cs="Arial"/>
          <w:szCs w:val="20"/>
        </w:rPr>
        <w:t xml:space="preserve"> z EU fondů (</w:t>
      </w:r>
      <w:r w:rsidR="00255E40">
        <w:rPr>
          <w:rFonts w:cs="Arial"/>
          <w:szCs w:val="20"/>
        </w:rPr>
        <w:t>-</w:t>
      </w:r>
      <w:bookmarkStart w:id="0" w:name="_GoBack"/>
      <w:bookmarkEnd w:id="0"/>
      <w:r w:rsidR="00BD18C0">
        <w:rPr>
          <w:rFonts w:cs="Arial"/>
          <w:szCs w:val="20"/>
        </w:rPr>
        <w:t>1,1 mld. Kč)</w:t>
      </w:r>
      <w:r w:rsidR="0044385C">
        <w:rPr>
          <w:rFonts w:cs="Arial"/>
          <w:szCs w:val="20"/>
        </w:rPr>
        <w:t>.</w:t>
      </w:r>
      <w:r w:rsidR="00650993">
        <w:rPr>
          <w:rFonts w:cs="Arial"/>
          <w:szCs w:val="20"/>
        </w:rPr>
        <w:t xml:space="preserve"> </w:t>
      </w:r>
      <w:r w:rsidR="0044385C">
        <w:rPr>
          <w:rFonts w:cs="Arial"/>
          <w:szCs w:val="20"/>
        </w:rPr>
        <w:t>K revizi přebytku dále přispěly aktuální údaje z ročních statistických zjišťování u vládních institucí (-1,1 mld. Kč).</w:t>
      </w:r>
      <w:r w:rsidR="001555DF">
        <w:rPr>
          <w:rFonts w:cs="Arial"/>
          <w:szCs w:val="20"/>
        </w:rPr>
        <w:t xml:space="preserve"> V návaznosti na mimořádnou revizi národních účtů byly revidovány údaje i za roky 2016 až </w:t>
      </w:r>
      <w:r w:rsidR="0023484D">
        <w:rPr>
          <w:rFonts w:cs="Arial"/>
          <w:szCs w:val="20"/>
        </w:rPr>
        <w:t xml:space="preserve">2018, přičemž změna </w:t>
      </w:r>
      <w:r w:rsidR="006A40E7">
        <w:rPr>
          <w:rFonts w:cs="Arial"/>
          <w:szCs w:val="20"/>
        </w:rPr>
        <w:t>maastrichtských konvergenčních kritérií</w:t>
      </w:r>
      <w:r w:rsidR="0023484D">
        <w:rPr>
          <w:rFonts w:cs="Arial"/>
          <w:szCs w:val="20"/>
        </w:rPr>
        <w:t xml:space="preserve"> je způsobena zejména revizí nominálního hrubého domácího produktu.</w:t>
      </w:r>
    </w:p>
    <w:p w:rsidR="00A35B9F" w:rsidRDefault="00A35B9F" w:rsidP="00A35B9F">
      <w:pPr>
        <w:rPr>
          <w:rFonts w:cs="Arial"/>
          <w:szCs w:val="20"/>
        </w:rPr>
      </w:pPr>
    </w:p>
    <w:p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5871B4">
        <w:t>6</w:t>
      </w:r>
      <w:r w:rsidR="00645994" w:rsidRPr="00556B2C">
        <w:t>-201</w:t>
      </w:r>
      <w:r w:rsidR="00132653">
        <w:t>9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5871B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5871B4" w:rsidRPr="00556B2C" w:rsidRDefault="005871B4" w:rsidP="005871B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5871B4" w:rsidRPr="00556B2C" w:rsidRDefault="005871B4" w:rsidP="005871B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</w:tr>
      <w:tr w:rsidR="00235F59" w:rsidRPr="00556B2C" w:rsidTr="00C57C62">
        <w:tc>
          <w:tcPr>
            <w:tcW w:w="3261" w:type="dxa"/>
            <w:vAlign w:val="center"/>
          </w:tcPr>
          <w:p w:rsidR="00235F59" w:rsidRPr="00556B2C" w:rsidRDefault="00235F59" w:rsidP="00235F5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235F59" w:rsidRPr="00556B2C" w:rsidRDefault="00235F59" w:rsidP="00235F5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34 143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49 382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15 267</w:t>
            </w:r>
          </w:p>
        </w:tc>
      </w:tr>
      <w:tr w:rsidR="00235F59" w:rsidRPr="00556B2C" w:rsidTr="00C57C62">
        <w:tc>
          <w:tcPr>
            <w:tcW w:w="3261" w:type="dxa"/>
            <w:vAlign w:val="center"/>
          </w:tcPr>
          <w:p w:rsidR="00235F59" w:rsidRPr="00556B2C" w:rsidRDefault="00235F59" w:rsidP="00235F5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235F59" w:rsidRPr="00556B2C" w:rsidRDefault="00235F59" w:rsidP="00235F5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1 754 737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1 738 453</w:t>
            </w:r>
          </w:p>
        </w:tc>
      </w:tr>
      <w:tr w:rsidR="00235F59" w:rsidRPr="00556B2C" w:rsidTr="00C57C62">
        <w:tc>
          <w:tcPr>
            <w:tcW w:w="3261" w:type="dxa"/>
            <w:vAlign w:val="center"/>
          </w:tcPr>
          <w:p w:rsidR="00235F59" w:rsidRPr="00556B2C" w:rsidRDefault="00235F59" w:rsidP="00235F5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235F59" w:rsidRPr="00556B2C" w:rsidRDefault="00235F59" w:rsidP="00235F5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4 796 873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5 410 813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5 754 711</w:t>
            </w:r>
          </w:p>
        </w:tc>
      </w:tr>
      <w:tr w:rsidR="00235F59" w:rsidRPr="00556B2C" w:rsidTr="00C57C62">
        <w:tc>
          <w:tcPr>
            <w:tcW w:w="3261" w:type="dxa"/>
            <w:vAlign w:val="center"/>
          </w:tcPr>
          <w:p w:rsidR="00235F59" w:rsidRPr="00556B2C" w:rsidRDefault="00235F59" w:rsidP="00235F5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235F59" w:rsidRPr="00556B2C" w:rsidRDefault="00235F59" w:rsidP="00235F5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0,71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1,50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0,91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0,27</w:t>
            </w:r>
          </w:p>
        </w:tc>
      </w:tr>
      <w:tr w:rsidR="00235F59" w:rsidRPr="00AB45CA" w:rsidTr="00C57C62">
        <w:tc>
          <w:tcPr>
            <w:tcW w:w="3261" w:type="dxa"/>
            <w:vAlign w:val="center"/>
          </w:tcPr>
          <w:p w:rsidR="00235F59" w:rsidRPr="00556B2C" w:rsidRDefault="00235F59" w:rsidP="00235F5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235F59" w:rsidRPr="00556B2C" w:rsidRDefault="00235F59" w:rsidP="00235F5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36,58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34,24</w:t>
            </w:r>
          </w:p>
        </w:tc>
        <w:tc>
          <w:tcPr>
            <w:tcW w:w="1042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32,06</w:t>
            </w:r>
          </w:p>
        </w:tc>
        <w:tc>
          <w:tcPr>
            <w:tcW w:w="1043" w:type="dxa"/>
            <w:vAlign w:val="center"/>
          </w:tcPr>
          <w:p w:rsidR="00235F59" w:rsidRDefault="00235F59" w:rsidP="0023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30,21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482F48" w:rsidRPr="00C071C3" w:rsidRDefault="0034385F" w:rsidP="00482F48">
      <w:pPr>
        <w:rPr>
          <w:rFonts w:cs="Arial"/>
          <w:szCs w:val="20"/>
        </w:rPr>
      </w:pPr>
      <w:r>
        <w:rPr>
          <w:rFonts w:cs="Arial"/>
          <w:szCs w:val="20"/>
        </w:rPr>
        <w:t>Dle revidovaných údajů vzrostly c</w:t>
      </w:r>
      <w:r w:rsidR="00482F48" w:rsidRPr="00C071C3">
        <w:rPr>
          <w:rFonts w:cs="Arial"/>
          <w:szCs w:val="20"/>
        </w:rPr>
        <w:t>elkové příjmy sektoru vládních institucí v roce 2019</w:t>
      </w:r>
      <w:r w:rsidR="00DC62D6" w:rsidRPr="00C071C3">
        <w:rPr>
          <w:rFonts w:cs="Arial"/>
          <w:szCs w:val="20"/>
        </w:rPr>
        <w:t xml:space="preserve"> meziročně o 6</w:t>
      </w:r>
      <w:r>
        <w:rPr>
          <w:rFonts w:cs="Arial"/>
          <w:szCs w:val="20"/>
        </w:rPr>
        <w:t>,4</w:t>
      </w:r>
      <w:r w:rsidR="00482F48" w:rsidRPr="00C071C3">
        <w:rPr>
          <w:rFonts w:cs="Arial"/>
          <w:szCs w:val="20"/>
        </w:rPr>
        <w:t xml:space="preserve"> %, což představovalo absolutní nárůst o 1</w:t>
      </w:r>
      <w:r>
        <w:rPr>
          <w:rFonts w:cs="Arial"/>
          <w:szCs w:val="20"/>
        </w:rPr>
        <w:t>44,0</w:t>
      </w:r>
      <w:r w:rsidR="00482F48" w:rsidRPr="00C071C3">
        <w:rPr>
          <w:rFonts w:cs="Arial"/>
          <w:szCs w:val="20"/>
        </w:rPr>
        <w:t xml:space="preserve"> mld. Kč. Vzrostly všechny druhy příjmů</w:t>
      </w:r>
      <w:r w:rsidR="00DC62D6" w:rsidRPr="00C071C3">
        <w:rPr>
          <w:rFonts w:cs="Arial"/>
          <w:szCs w:val="20"/>
        </w:rPr>
        <w:t xml:space="preserve"> s výjimkou důchodů z vlastnictví, které klesly o 2,</w:t>
      </w:r>
      <w:r>
        <w:rPr>
          <w:rFonts w:cs="Arial"/>
          <w:szCs w:val="20"/>
        </w:rPr>
        <w:t>6 mld. Kč (-7,4</w:t>
      </w:r>
      <w:r w:rsidR="00DC62D6" w:rsidRPr="00C071C3">
        <w:rPr>
          <w:rFonts w:cs="Arial"/>
          <w:szCs w:val="20"/>
        </w:rPr>
        <w:t xml:space="preserve"> %). N</w:t>
      </w:r>
      <w:r w:rsidR="00482F48" w:rsidRPr="00C071C3">
        <w:rPr>
          <w:rFonts w:cs="Arial"/>
          <w:szCs w:val="20"/>
        </w:rPr>
        <w:t xml:space="preserve">ejvíce </w:t>
      </w:r>
      <w:r w:rsidR="001716F1" w:rsidRPr="00C071C3">
        <w:rPr>
          <w:rFonts w:cs="Arial"/>
          <w:szCs w:val="20"/>
        </w:rPr>
        <w:t xml:space="preserve">vzrostly příjmy ze </w:t>
      </w:r>
      <w:r w:rsidR="00482F48" w:rsidRPr="00C071C3">
        <w:rPr>
          <w:rFonts w:cs="Arial"/>
          <w:szCs w:val="20"/>
        </w:rPr>
        <w:t>sociální</w:t>
      </w:r>
      <w:r w:rsidR="001716F1" w:rsidRPr="00C071C3">
        <w:rPr>
          <w:rFonts w:cs="Arial"/>
          <w:szCs w:val="20"/>
        </w:rPr>
        <w:t>ch příspěvků (+61,2</w:t>
      </w:r>
      <w:r w:rsidR="00482F48" w:rsidRPr="00C071C3">
        <w:rPr>
          <w:rFonts w:cs="Arial"/>
          <w:szCs w:val="20"/>
        </w:rPr>
        <w:t xml:space="preserve"> mld., resp. </w:t>
      </w:r>
      <w:r w:rsidR="001716F1" w:rsidRPr="00C071C3">
        <w:rPr>
          <w:rFonts w:cs="Arial"/>
          <w:szCs w:val="20"/>
        </w:rPr>
        <w:t>7,3 %), daní</w:t>
      </w:r>
      <w:r w:rsidR="00482F48" w:rsidRPr="00C071C3">
        <w:rPr>
          <w:rFonts w:cs="Arial"/>
          <w:szCs w:val="20"/>
        </w:rPr>
        <w:t xml:space="preserve"> z výroby a dovozu (+</w:t>
      </w:r>
      <w:r w:rsidR="001716F1" w:rsidRPr="00C071C3">
        <w:rPr>
          <w:rFonts w:cs="Arial"/>
          <w:szCs w:val="20"/>
        </w:rPr>
        <w:t>41,2</w:t>
      </w:r>
      <w:r w:rsidR="00482F48" w:rsidRPr="00C071C3">
        <w:rPr>
          <w:rFonts w:cs="Arial"/>
          <w:szCs w:val="20"/>
        </w:rPr>
        <w:t xml:space="preserve"> mld., resp. </w:t>
      </w:r>
      <w:r w:rsidR="001716F1" w:rsidRPr="00C071C3">
        <w:rPr>
          <w:rFonts w:cs="Arial"/>
          <w:szCs w:val="20"/>
        </w:rPr>
        <w:t>6,</w:t>
      </w:r>
      <w:r>
        <w:rPr>
          <w:rFonts w:cs="Arial"/>
          <w:szCs w:val="20"/>
        </w:rPr>
        <w:t>4</w:t>
      </w:r>
      <w:r w:rsidR="00482F48" w:rsidRPr="00C071C3">
        <w:rPr>
          <w:rFonts w:cs="Arial"/>
          <w:szCs w:val="20"/>
        </w:rPr>
        <w:t xml:space="preserve"> %), </w:t>
      </w:r>
      <w:r w:rsidR="001716F1" w:rsidRPr="00C071C3">
        <w:rPr>
          <w:rFonts w:cs="Arial"/>
          <w:szCs w:val="20"/>
        </w:rPr>
        <w:t>a </w:t>
      </w:r>
      <w:r w:rsidR="00482F48" w:rsidRPr="00C071C3">
        <w:rPr>
          <w:rFonts w:cs="Arial"/>
          <w:szCs w:val="20"/>
        </w:rPr>
        <w:t>důchodov</w:t>
      </w:r>
      <w:r w:rsidR="001716F1" w:rsidRPr="00C071C3">
        <w:rPr>
          <w:rFonts w:cs="Arial"/>
          <w:szCs w:val="20"/>
        </w:rPr>
        <w:t>ých daní</w:t>
      </w:r>
      <w:r w:rsidR="00482F48" w:rsidRPr="00C071C3">
        <w:rPr>
          <w:rFonts w:cs="Arial"/>
          <w:szCs w:val="20"/>
        </w:rPr>
        <w:t xml:space="preserve"> (+2</w:t>
      </w:r>
      <w:r>
        <w:rPr>
          <w:rFonts w:cs="Arial"/>
          <w:szCs w:val="20"/>
        </w:rPr>
        <w:t>6,2</w:t>
      </w:r>
      <w:r w:rsidR="00482F48" w:rsidRPr="00C071C3">
        <w:rPr>
          <w:rFonts w:cs="Arial"/>
          <w:szCs w:val="20"/>
        </w:rPr>
        <w:t xml:space="preserve"> mld., resp. </w:t>
      </w:r>
      <w:r>
        <w:rPr>
          <w:rFonts w:cs="Arial"/>
          <w:szCs w:val="20"/>
        </w:rPr>
        <w:t>5,7</w:t>
      </w:r>
      <w:r w:rsidR="00482F48" w:rsidRPr="00C071C3">
        <w:rPr>
          <w:rFonts w:cs="Arial"/>
          <w:szCs w:val="20"/>
        </w:rPr>
        <w:t xml:space="preserve"> %)</w:t>
      </w:r>
      <w:r w:rsidR="001716F1" w:rsidRPr="00C071C3">
        <w:rPr>
          <w:rFonts w:cs="Arial"/>
          <w:szCs w:val="20"/>
        </w:rPr>
        <w:t>.</w:t>
      </w:r>
      <w:r w:rsidR="00482F48" w:rsidRPr="00C071C3">
        <w:rPr>
          <w:rFonts w:cs="Arial"/>
          <w:szCs w:val="20"/>
        </w:rPr>
        <w:t xml:space="preserve"> </w:t>
      </w:r>
    </w:p>
    <w:p w:rsidR="00482F48" w:rsidRPr="00C071C3" w:rsidRDefault="00482F48" w:rsidP="00482F48">
      <w:pPr>
        <w:rPr>
          <w:rFonts w:cs="Arial"/>
          <w:szCs w:val="20"/>
        </w:rPr>
      </w:pPr>
    </w:p>
    <w:p w:rsidR="00482F48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výdaje sektoru vládních institucí meziročně vzrostly v roce 2019 o </w:t>
      </w:r>
      <w:r w:rsidR="005A18A1">
        <w:rPr>
          <w:rFonts w:cs="Arial"/>
          <w:szCs w:val="20"/>
        </w:rPr>
        <w:t>8,1 %, resp. 178,1</w:t>
      </w:r>
      <w:r w:rsidRPr="00C071C3">
        <w:rPr>
          <w:rFonts w:cs="Arial"/>
          <w:szCs w:val="20"/>
        </w:rPr>
        <w:t xml:space="preserve"> mld. Kč. Nejvíce vzrostly </w:t>
      </w:r>
      <w:r w:rsidR="00437CEB" w:rsidRPr="00C071C3">
        <w:rPr>
          <w:rFonts w:cs="Arial"/>
          <w:szCs w:val="20"/>
        </w:rPr>
        <w:t>sociální dávky (+6</w:t>
      </w:r>
      <w:r w:rsidR="005A18A1">
        <w:rPr>
          <w:rFonts w:cs="Arial"/>
          <w:szCs w:val="20"/>
        </w:rPr>
        <w:t>6,4 mld., resp. 8,1</w:t>
      </w:r>
      <w:r w:rsidR="00437CEB" w:rsidRPr="00C071C3">
        <w:rPr>
          <w:rFonts w:cs="Arial"/>
          <w:szCs w:val="20"/>
        </w:rPr>
        <w:t xml:space="preserve"> %), zaplacené náhrady </w:t>
      </w:r>
      <w:r w:rsidR="00057C77">
        <w:rPr>
          <w:rFonts w:cs="Arial"/>
          <w:szCs w:val="20"/>
        </w:rPr>
        <w:lastRenderedPageBreak/>
        <w:t>zaměstnancům (+54,9</w:t>
      </w:r>
      <w:r w:rsidRPr="00C071C3">
        <w:rPr>
          <w:rFonts w:cs="Arial"/>
          <w:szCs w:val="20"/>
        </w:rPr>
        <w:t xml:space="preserve"> mld., resp. 1</w:t>
      </w:r>
      <w:r w:rsidR="00057C77">
        <w:rPr>
          <w:rFonts w:cs="Arial"/>
          <w:szCs w:val="20"/>
        </w:rPr>
        <w:t>0,5</w:t>
      </w:r>
      <w:r w:rsidR="008262BE" w:rsidRPr="00C071C3">
        <w:rPr>
          <w:rFonts w:cs="Arial"/>
          <w:szCs w:val="20"/>
        </w:rPr>
        <w:t xml:space="preserve"> %) a</w:t>
      </w:r>
      <w:r w:rsidRPr="00C071C3">
        <w:rPr>
          <w:rFonts w:cs="Arial"/>
          <w:szCs w:val="20"/>
        </w:rPr>
        <w:t xml:space="preserve"> výdaje </w:t>
      </w:r>
      <w:r w:rsidR="00057C77">
        <w:rPr>
          <w:rFonts w:cs="Arial"/>
          <w:szCs w:val="20"/>
        </w:rPr>
        <w:t>na hrubou tvorbu kapitálu (+30,7</w:t>
      </w:r>
      <w:r w:rsidRPr="00C071C3">
        <w:rPr>
          <w:rFonts w:cs="Arial"/>
          <w:szCs w:val="20"/>
        </w:rPr>
        <w:t xml:space="preserve"> mld., resp. </w:t>
      </w:r>
      <w:r w:rsidR="00057C77">
        <w:rPr>
          <w:rFonts w:cs="Arial"/>
          <w:szCs w:val="20"/>
        </w:rPr>
        <w:t>13,4</w:t>
      </w:r>
      <w:r w:rsidR="008262BE" w:rsidRPr="00C071C3">
        <w:rPr>
          <w:rFonts w:cs="Arial"/>
          <w:szCs w:val="20"/>
        </w:rPr>
        <w:t xml:space="preserve"> %).</w:t>
      </w:r>
      <w:r>
        <w:rPr>
          <w:rFonts w:cs="Arial"/>
          <w:szCs w:val="20"/>
        </w:rPr>
        <w:t xml:space="preserve"> </w:t>
      </w:r>
    </w:p>
    <w:p w:rsidR="00AE68C2" w:rsidRPr="00677437" w:rsidRDefault="00AE68C2" w:rsidP="00556B2C">
      <w:pPr>
        <w:rPr>
          <w:rFonts w:cs="Arial"/>
          <w:szCs w:val="20"/>
          <w:highlight w:val="yellow"/>
        </w:rPr>
      </w:pPr>
    </w:p>
    <w:p w:rsidR="007F42AB" w:rsidRPr="000F2C04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Relativní výše dluhu vládních institucí na konc</w:t>
      </w:r>
      <w:r w:rsidR="005D18C0">
        <w:rPr>
          <w:rFonts w:cs="Arial"/>
          <w:szCs w:val="20"/>
        </w:rPr>
        <w:t>i roku 2019 dosáhla úrovně 30,21</w:t>
      </w:r>
      <w:r w:rsidRPr="000F2C04">
        <w:rPr>
          <w:rFonts w:cs="Arial"/>
          <w:szCs w:val="20"/>
        </w:rPr>
        <w:t xml:space="preserve"> % HDP. Meziročně došlo k poklesu výše relativní zadluženosti o 1,</w:t>
      </w:r>
      <w:r w:rsidR="005D18C0">
        <w:rPr>
          <w:rFonts w:cs="Arial"/>
          <w:szCs w:val="20"/>
        </w:rPr>
        <w:t>85</w:t>
      </w:r>
      <w:r w:rsidRPr="000F2C04">
        <w:rPr>
          <w:rFonts w:cs="Arial"/>
          <w:szCs w:val="20"/>
        </w:rPr>
        <w:t xml:space="preserve"> p. b. Ke snížení relativní výše zadlužení přispěl pouze rostoucí nominální HDP (1,9</w:t>
      </w:r>
      <w:r w:rsidR="005D18C0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p. b.), zatímco nominální výše dluhu vzrostla o </w:t>
      </w:r>
      <w:r w:rsidR="005D18C0">
        <w:rPr>
          <w:rFonts w:cs="Arial"/>
          <w:szCs w:val="20"/>
        </w:rPr>
        <w:t>3,9</w:t>
      </w:r>
      <w:r w:rsidRPr="000F2C04">
        <w:rPr>
          <w:rFonts w:cs="Arial"/>
          <w:szCs w:val="20"/>
        </w:rPr>
        <w:t xml:space="preserve"> mld. Kč. Dluh na konci roku 2019 dosáhl 1</w:t>
      </w:r>
      <w:r w:rsidR="005D18C0">
        <w:rPr>
          <w:rFonts w:cs="Arial"/>
          <w:szCs w:val="20"/>
        </w:rPr>
        <w:t> 738,5</w:t>
      </w:r>
      <w:r w:rsidRPr="000F2C04">
        <w:rPr>
          <w:rFonts w:cs="Arial"/>
          <w:szCs w:val="20"/>
        </w:rPr>
        <w:t xml:space="preserve"> mld. </w:t>
      </w:r>
      <w:r w:rsidRPr="00D77E5C">
        <w:rPr>
          <w:rFonts w:cs="Arial"/>
          <w:szCs w:val="20"/>
        </w:rPr>
        <w:t xml:space="preserve">Kč, z čehož 91,8 % bylo tvořeno emitovanými dluhovými cennými papíry, jejichž objem meziročně vzrostl o </w:t>
      </w:r>
      <w:r w:rsidR="00227185" w:rsidRPr="00D77E5C">
        <w:rPr>
          <w:rFonts w:cs="Arial"/>
          <w:szCs w:val="20"/>
        </w:rPr>
        <w:t>41,8</w:t>
      </w:r>
      <w:r w:rsidRPr="00D77E5C">
        <w:rPr>
          <w:rFonts w:cs="Arial"/>
          <w:szCs w:val="20"/>
        </w:rPr>
        <w:t xml:space="preserve"> mld. Kč, zatímco hodnota přijatých půjček poklesla o </w:t>
      </w:r>
      <w:r w:rsidR="00227185" w:rsidRPr="00D77E5C">
        <w:rPr>
          <w:rFonts w:cs="Arial"/>
          <w:szCs w:val="20"/>
        </w:rPr>
        <w:t>34,4</w:t>
      </w:r>
      <w:r w:rsidRPr="00D77E5C">
        <w:rPr>
          <w:rFonts w:cs="Arial"/>
          <w:szCs w:val="20"/>
        </w:rPr>
        <w:t xml:space="preserve"> mld. Kč. Objem přijatých vkladů </w:t>
      </w:r>
      <w:r w:rsidR="00227185" w:rsidRPr="00D77E5C">
        <w:rPr>
          <w:rFonts w:cs="Arial"/>
          <w:szCs w:val="20"/>
        </w:rPr>
        <w:t>klesl o 3,5</w:t>
      </w:r>
      <w:r w:rsidR="00C87A51" w:rsidRPr="00D77E5C">
        <w:rPr>
          <w:rFonts w:cs="Arial"/>
          <w:szCs w:val="20"/>
        </w:rPr>
        <w:t> </w:t>
      </w:r>
      <w:r w:rsidRPr="00D77E5C">
        <w:rPr>
          <w:rFonts w:cs="Arial"/>
          <w:szCs w:val="20"/>
        </w:rPr>
        <w:t>mld. Kč na 5,1 mld. Kč.</w:t>
      </w:r>
    </w:p>
    <w:p w:rsidR="002422E4" w:rsidRDefault="002422E4" w:rsidP="00FA290B">
      <w:pPr>
        <w:rPr>
          <w:rFonts w:cs="Arial"/>
          <w:szCs w:val="20"/>
          <w:highlight w:val="yellow"/>
        </w:rPr>
      </w:pPr>
    </w:p>
    <w:p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</w:t>
      </w:r>
      <w:r w:rsidR="009446C7">
        <w:rPr>
          <w:rFonts w:cs="Arial"/>
          <w:szCs w:val="20"/>
        </w:rPr>
        <w:t>0</w:t>
      </w:r>
      <w:r w:rsidRPr="00FA08BC">
        <w:rPr>
          <w:rFonts w:cs="Arial"/>
          <w:szCs w:val="20"/>
        </w:rPr>
        <w:t xml:space="preserve">. </w:t>
      </w:r>
      <w:r w:rsidR="009446C7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Eurostatu.</w:t>
      </w: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611533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</w:t>
            </w:r>
            <w:r w:rsidR="00611533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3303B1" w:rsidP="009446C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 w:rsidR="009446C7"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</w:t>
            </w:r>
            <w:r w:rsidR="006E053D"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255E4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55E40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255E4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43BF4"/>
    <w:rsid w:val="00057C77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227FF"/>
    <w:rsid w:val="00132653"/>
    <w:rsid w:val="001404AB"/>
    <w:rsid w:val="001555DF"/>
    <w:rsid w:val="001716F1"/>
    <w:rsid w:val="0017231D"/>
    <w:rsid w:val="00180AA1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7185"/>
    <w:rsid w:val="00227706"/>
    <w:rsid w:val="0023387E"/>
    <w:rsid w:val="0023484D"/>
    <w:rsid w:val="00235F59"/>
    <w:rsid w:val="002406FA"/>
    <w:rsid w:val="00241133"/>
    <w:rsid w:val="002422E4"/>
    <w:rsid w:val="00255E40"/>
    <w:rsid w:val="0026107B"/>
    <w:rsid w:val="00261650"/>
    <w:rsid w:val="00271439"/>
    <w:rsid w:val="00275D2D"/>
    <w:rsid w:val="00276E77"/>
    <w:rsid w:val="00281845"/>
    <w:rsid w:val="00284F52"/>
    <w:rsid w:val="00285C5F"/>
    <w:rsid w:val="0029704E"/>
    <w:rsid w:val="002B2E47"/>
    <w:rsid w:val="003301A3"/>
    <w:rsid w:val="003303B1"/>
    <w:rsid w:val="0033580D"/>
    <w:rsid w:val="0034385F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4385C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71B4"/>
    <w:rsid w:val="005A1616"/>
    <w:rsid w:val="005A18A1"/>
    <w:rsid w:val="005D18C0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1E6"/>
    <w:rsid w:val="00622B80"/>
    <w:rsid w:val="0064139A"/>
    <w:rsid w:val="00645994"/>
    <w:rsid w:val="00650993"/>
    <w:rsid w:val="006931CF"/>
    <w:rsid w:val="006A2A76"/>
    <w:rsid w:val="006A40E7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3B14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4827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446C7"/>
    <w:rsid w:val="00967D65"/>
    <w:rsid w:val="00986DD7"/>
    <w:rsid w:val="009922D8"/>
    <w:rsid w:val="009B55B1"/>
    <w:rsid w:val="009C14C8"/>
    <w:rsid w:val="009E4BBD"/>
    <w:rsid w:val="00A0762A"/>
    <w:rsid w:val="00A30E97"/>
    <w:rsid w:val="00A352EC"/>
    <w:rsid w:val="00A35B9F"/>
    <w:rsid w:val="00A361E6"/>
    <w:rsid w:val="00A4343D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BD18C0"/>
    <w:rsid w:val="00C038F2"/>
    <w:rsid w:val="00C071C3"/>
    <w:rsid w:val="00C269D4"/>
    <w:rsid w:val="00C37ADB"/>
    <w:rsid w:val="00C4160D"/>
    <w:rsid w:val="00C57C62"/>
    <w:rsid w:val="00C62738"/>
    <w:rsid w:val="00C82035"/>
    <w:rsid w:val="00C8406E"/>
    <w:rsid w:val="00C87A51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77E5C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6423C"/>
    <w:rsid w:val="00E83005"/>
    <w:rsid w:val="00E848B3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176D9"/>
    <w:rsid w:val="00F2386D"/>
    <w:rsid w:val="00F4408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1A74F2E3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1043-8DCE-4B73-B7E0-A5218D8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2110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148</cp:revision>
  <cp:lastPrinted>2020-03-31T09:50:00Z</cp:lastPrinted>
  <dcterms:created xsi:type="dcterms:W3CDTF">2016-09-30T07:31:00Z</dcterms:created>
  <dcterms:modified xsi:type="dcterms:W3CDTF">2020-09-29T10:07:00Z</dcterms:modified>
</cp:coreProperties>
</file>