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CB" w:rsidRPr="000533DD" w:rsidRDefault="004E5633" w:rsidP="00D640CB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D640CB" w:rsidRPr="000533DD">
        <w:rPr>
          <w:lang w:val="cs-CZ"/>
        </w:rPr>
        <w:t xml:space="preserve">. </w:t>
      </w:r>
      <w:r w:rsidR="008F0FD3">
        <w:rPr>
          <w:lang w:val="cs-CZ"/>
        </w:rPr>
        <w:t>2</w:t>
      </w:r>
      <w:r w:rsidR="00D640CB" w:rsidRPr="000533DD">
        <w:rPr>
          <w:lang w:val="cs-CZ"/>
        </w:rPr>
        <w:t>. 202</w:t>
      </w:r>
      <w:r w:rsidR="00372D7D">
        <w:rPr>
          <w:lang w:val="cs-CZ"/>
        </w:rPr>
        <w:t>2</w:t>
      </w:r>
    </w:p>
    <w:p w:rsidR="00422BEF" w:rsidRPr="00612547" w:rsidRDefault="00390B6A" w:rsidP="00422BEF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>Stavební p</w:t>
      </w:r>
      <w:r w:rsidR="00E124B7" w:rsidRPr="00861472">
        <w:rPr>
          <w:color w:val="BD1B21"/>
          <w:sz w:val="32"/>
          <w:szCs w:val="32"/>
        </w:rPr>
        <w:t xml:space="preserve">rodukce </w:t>
      </w:r>
      <w:r>
        <w:rPr>
          <w:color w:val="BD1B21"/>
          <w:sz w:val="32"/>
          <w:szCs w:val="32"/>
        </w:rPr>
        <w:t>v roce 2021 vzrostla o 1,4 %</w:t>
      </w:r>
      <w:r w:rsidR="00E124B7">
        <w:rPr>
          <w:color w:val="BD1B21"/>
          <w:sz w:val="32"/>
          <w:szCs w:val="32"/>
        </w:rPr>
        <w:t xml:space="preserve"> </w:t>
      </w:r>
    </w:p>
    <w:p w:rsidR="00D640CB" w:rsidRPr="000533DD" w:rsidRDefault="00D640CB" w:rsidP="00D640CB">
      <w:pPr>
        <w:pStyle w:val="Nadpis2"/>
        <w:spacing w:before="80" w:after="280" w:line="320" w:lineRule="exact"/>
      </w:pPr>
      <w:r w:rsidRPr="000533DD">
        <w:t xml:space="preserve">Stavebnictví – </w:t>
      </w:r>
      <w:r w:rsidR="008F0FD3">
        <w:t>prosinec</w:t>
      </w:r>
      <w:r w:rsidRPr="000533DD">
        <w:t> 20</w:t>
      </w:r>
      <w:r w:rsidR="00652471" w:rsidRPr="000533DD">
        <w:t>2</w:t>
      </w:r>
      <w:r w:rsidR="00422BEF" w:rsidRPr="000533DD">
        <w:t>1</w:t>
      </w:r>
      <w:r w:rsidRPr="000533DD">
        <w:t xml:space="preserve"> </w:t>
      </w:r>
    </w:p>
    <w:p w:rsidR="00D640CB" w:rsidRDefault="00D640CB" w:rsidP="00F333AE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>Stavební produkce v </w:t>
      </w:r>
      <w:r w:rsidR="00FB2D67" w:rsidRPr="00E40673">
        <w:rPr>
          <w:rFonts w:cs="Arial"/>
        </w:rPr>
        <w:t>prosinci</w:t>
      </w:r>
      <w:r w:rsidRPr="000533DD">
        <w:rPr>
          <w:rFonts w:cs="Arial"/>
        </w:rPr>
        <w:t xml:space="preserve"> reálně meziročně </w:t>
      </w:r>
      <w:r w:rsidR="00E9531E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FA303E">
        <w:rPr>
          <w:rFonts w:cs="Arial"/>
        </w:rPr>
        <w:t>8</w:t>
      </w:r>
      <w:r w:rsidR="002713E0">
        <w:rPr>
          <w:rFonts w:cs="Arial"/>
        </w:rPr>
        <w:t>,</w:t>
      </w:r>
      <w:r w:rsidR="00FA303E">
        <w:rPr>
          <w:rFonts w:cs="Arial"/>
        </w:rPr>
        <w:t>1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</w:t>
      </w:r>
      <w:r w:rsidR="00825B25" w:rsidRPr="000533DD">
        <w:rPr>
          <w:rFonts w:cs="Arial"/>
        </w:rPr>
        <w:t xml:space="preserve">Meziměsíčně </w:t>
      </w:r>
      <w:r w:rsidR="00737754" w:rsidRPr="000533DD">
        <w:rPr>
          <w:rFonts w:cs="Arial"/>
        </w:rPr>
        <w:t xml:space="preserve">byla </w:t>
      </w:r>
      <w:r w:rsidR="00737754">
        <w:rPr>
          <w:rFonts w:cs="Arial"/>
        </w:rPr>
        <w:t>vyšší</w:t>
      </w:r>
      <w:r w:rsidR="00737754" w:rsidRPr="000533DD">
        <w:rPr>
          <w:rFonts w:cs="Arial"/>
        </w:rPr>
        <w:t xml:space="preserve"> o </w:t>
      </w:r>
      <w:r w:rsidR="00FA303E">
        <w:rPr>
          <w:rFonts w:cs="Arial"/>
        </w:rPr>
        <w:t>1</w:t>
      </w:r>
      <w:r w:rsidR="00737754">
        <w:rPr>
          <w:rFonts w:cs="Arial"/>
        </w:rPr>
        <w:t>,</w:t>
      </w:r>
      <w:r w:rsidR="00FA303E">
        <w:rPr>
          <w:rFonts w:cs="Arial"/>
        </w:rPr>
        <w:t>8</w:t>
      </w:r>
      <w:r w:rsidR="00737754" w:rsidRPr="000533DD">
        <w:rPr>
          <w:rFonts w:cs="Arial"/>
        </w:rPr>
        <w:t> %</w:t>
      </w:r>
      <w:r w:rsidR="00825B25" w:rsidRPr="000533DD">
        <w:rPr>
          <w:rFonts w:cs="Arial"/>
        </w:rPr>
        <w:t>.</w:t>
      </w:r>
      <w:r w:rsidRPr="000533DD">
        <w:rPr>
          <w:rFonts w:cs="Arial"/>
        </w:rPr>
        <w:t xml:space="preserve"> Stavební úřady vydaly meziročně o </w:t>
      </w:r>
      <w:r w:rsidR="00F32E06">
        <w:rPr>
          <w:rFonts w:cs="Arial"/>
        </w:rPr>
        <w:t>8</w:t>
      </w:r>
      <w:r w:rsidRPr="000533DD">
        <w:rPr>
          <w:rFonts w:cs="Arial"/>
        </w:rPr>
        <w:t>,</w:t>
      </w:r>
      <w:r w:rsidR="00F32E06">
        <w:rPr>
          <w:rFonts w:cs="Arial"/>
        </w:rPr>
        <w:t>3</w:t>
      </w:r>
      <w:r w:rsidRPr="000533DD">
        <w:rPr>
          <w:rFonts w:cs="Arial"/>
        </w:rPr>
        <w:t xml:space="preserve"> % stavebních povolení </w:t>
      </w:r>
      <w:r w:rsidR="00F12027">
        <w:rPr>
          <w:rFonts w:cs="Arial"/>
        </w:rPr>
        <w:t>více</w:t>
      </w:r>
      <w:r w:rsidRPr="000533DD">
        <w:rPr>
          <w:rFonts w:cs="Arial"/>
        </w:rPr>
        <w:t xml:space="preserve"> a</w:t>
      </w:r>
      <w:r w:rsidR="009B2727"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431C5E" w:rsidRPr="000533DD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F32E06">
        <w:rPr>
          <w:rFonts w:cs="Arial"/>
        </w:rPr>
        <w:t>52</w:t>
      </w:r>
      <w:r w:rsidRPr="000533DD">
        <w:rPr>
          <w:rFonts w:cs="Arial"/>
        </w:rPr>
        <w:t>,</w:t>
      </w:r>
      <w:r w:rsidR="00F32E06">
        <w:rPr>
          <w:rFonts w:cs="Arial"/>
        </w:rPr>
        <w:t>8</w:t>
      </w:r>
      <w:r w:rsidRPr="000533DD">
        <w:rPr>
          <w:rFonts w:cs="Arial"/>
        </w:rPr>
        <w:t> %. Meziročně bylo zahájeno o</w:t>
      </w:r>
      <w:r w:rsidR="001D1ACB" w:rsidRPr="000533DD">
        <w:rPr>
          <w:rFonts w:cs="Arial"/>
        </w:rPr>
        <w:t xml:space="preserve"> </w:t>
      </w:r>
      <w:r w:rsidR="00A742FC">
        <w:rPr>
          <w:rFonts w:cs="Arial"/>
        </w:rPr>
        <w:t>120</w:t>
      </w:r>
      <w:r w:rsidR="003E7B03" w:rsidRPr="000533DD">
        <w:rPr>
          <w:rFonts w:cs="Arial"/>
        </w:rPr>
        <w:t>,</w:t>
      </w:r>
      <w:r w:rsidR="00A742FC">
        <w:rPr>
          <w:rFonts w:cs="Arial"/>
        </w:rPr>
        <w:t>8</w:t>
      </w:r>
      <w:r w:rsidR="003E7B03" w:rsidRPr="000533DD">
        <w:rPr>
          <w:rFonts w:cs="Arial"/>
        </w:rPr>
        <w:t xml:space="preserve"> </w:t>
      </w:r>
      <w:r w:rsidRPr="000533DD">
        <w:rPr>
          <w:rFonts w:cs="Arial"/>
        </w:rPr>
        <w:t xml:space="preserve">% bytů </w:t>
      </w:r>
      <w:r w:rsidR="00E41B61">
        <w:rPr>
          <w:rFonts w:cs="Arial"/>
        </w:rPr>
        <w:t>více</w:t>
      </w:r>
      <w:r w:rsidRPr="000533DD">
        <w:rPr>
          <w:rFonts w:cs="Arial"/>
        </w:rPr>
        <w:t>. Dokončeno bylo o </w:t>
      </w:r>
      <w:r w:rsidR="00A742FC">
        <w:rPr>
          <w:rFonts w:cs="Arial"/>
        </w:rPr>
        <w:t>18</w:t>
      </w:r>
      <w:r w:rsidR="008D44AA">
        <w:rPr>
          <w:rFonts w:cs="Arial"/>
        </w:rPr>
        <w:t>,</w:t>
      </w:r>
      <w:r w:rsidR="00A742FC">
        <w:rPr>
          <w:rFonts w:cs="Arial"/>
        </w:rPr>
        <w:t>7</w:t>
      </w:r>
      <w:r w:rsidR="007E7126" w:rsidRPr="000533DD">
        <w:rPr>
          <w:rFonts w:cs="Arial"/>
        </w:rPr>
        <w:t xml:space="preserve"> </w:t>
      </w:r>
      <w:r w:rsidRPr="000533DD">
        <w:rPr>
          <w:rFonts w:cs="Arial"/>
        </w:rPr>
        <w:t xml:space="preserve">% bytů </w:t>
      </w:r>
      <w:r w:rsidR="005F6F25">
        <w:rPr>
          <w:rFonts w:cs="Arial"/>
        </w:rPr>
        <w:t>méně</w:t>
      </w:r>
      <w:r w:rsidRPr="000533DD">
        <w:rPr>
          <w:rFonts w:cs="Arial"/>
        </w:rPr>
        <w:t>.</w:t>
      </w:r>
    </w:p>
    <w:p w:rsidR="00D25FFD" w:rsidRDefault="00D25FFD" w:rsidP="00724BF8">
      <w:pPr>
        <w:spacing w:before="120"/>
        <w:rPr>
          <w:rFonts w:cs="Arial"/>
          <w:i/>
          <w:szCs w:val="20"/>
        </w:rPr>
      </w:pPr>
      <w:r w:rsidRPr="00D25FFD">
        <w:rPr>
          <w:rFonts w:cs="Arial"/>
          <w:i/>
          <w:szCs w:val="20"/>
        </w:rPr>
        <w:t>„Celková stavební produkce v roce 2021 po předchozím poklesu mírně vzrostla, a to jak v pozemním, tak inženýrském stavitelství. Stavebnictví se v průběhu roku potýkalo s mimořádným růstem cen a nedostatkem stavebních kapacit,“</w:t>
      </w:r>
      <w:r>
        <w:rPr>
          <w:rFonts w:cs="Arial"/>
          <w:szCs w:val="20"/>
        </w:rPr>
        <w:t xml:space="preserve"> říká</w:t>
      </w:r>
      <w:r w:rsidRPr="00D25FFD">
        <w:t xml:space="preserve"> </w:t>
      </w:r>
      <w:r w:rsidRPr="0061646C">
        <w:t>Radek Matějka, ředitel odboru statistiky zemědělství a lesnictví, průmyslu, stavebnictví a energetiky.</w:t>
      </w:r>
    </w:p>
    <w:p w:rsidR="00362CD7" w:rsidRDefault="00362CD7" w:rsidP="00724BF8">
      <w:pPr>
        <w:spacing w:before="120"/>
        <w:rPr>
          <w:rFonts w:cs="Arial"/>
          <w:b/>
          <w:bCs/>
          <w:szCs w:val="20"/>
        </w:rPr>
      </w:pPr>
      <w:r w:rsidRPr="00362CD7">
        <w:rPr>
          <w:rFonts w:cs="Arial"/>
          <w:i/>
          <w:szCs w:val="20"/>
        </w:rPr>
        <w:t xml:space="preserve">„Prosinec byl z hlediska meziročních indexů nejúspěšnějším měsícem roku 2021. Produkce vzrostla především díky pozemnímu stavitelství. Nutno dodat, že základna z předchozího roku byla velmi nízká. Po třech měsících poklesů meziročně rostlo také inženýrské stavitelství a oba segmenty stouply </w:t>
      </w:r>
      <w:r w:rsidR="00F529F5">
        <w:rPr>
          <w:rFonts w:cs="Arial"/>
          <w:i/>
          <w:szCs w:val="20"/>
        </w:rPr>
        <w:t>i</w:t>
      </w:r>
      <w:r w:rsidRPr="00362CD7">
        <w:rPr>
          <w:rFonts w:cs="Arial"/>
          <w:i/>
          <w:szCs w:val="20"/>
        </w:rPr>
        <w:t xml:space="preserve"> meziměsíčně, což jsou pozitivní zprávy,“</w:t>
      </w:r>
      <w:r>
        <w:rPr>
          <w:rFonts w:cs="Arial"/>
          <w:szCs w:val="20"/>
        </w:rPr>
        <w:t xml:space="preserve"> </w:t>
      </w:r>
      <w:r w:rsidR="00D25FFD" w:rsidRPr="0061646C">
        <w:rPr>
          <w:rFonts w:cs="Arial"/>
          <w:szCs w:val="20"/>
        </w:rPr>
        <w:t xml:space="preserve">vysvětluje </w:t>
      </w:r>
      <w:r w:rsidRPr="00832796">
        <w:rPr>
          <w:rFonts w:cs="Arial"/>
          <w:szCs w:val="20"/>
        </w:rPr>
        <w:t>Petra Cuřínová, vedoucí oddělení statistiky stavebnictví a bytové výstavby.</w:t>
      </w:r>
    </w:p>
    <w:p w:rsidR="0015171B" w:rsidRPr="00920054" w:rsidRDefault="00D640CB" w:rsidP="00724BF8">
      <w:pPr>
        <w:spacing w:before="12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Stavební produkce</w:t>
      </w:r>
      <w:r w:rsidRPr="00F612FE">
        <w:rPr>
          <w:rFonts w:cs="Arial"/>
          <w:b/>
          <w:bCs/>
          <w:szCs w:val="20"/>
          <w:vertAlign w:val="superscript"/>
        </w:rPr>
        <w:t>1</w:t>
      </w:r>
      <w:r w:rsidRPr="00F612FE">
        <w:rPr>
          <w:rFonts w:cs="Arial"/>
          <w:szCs w:val="20"/>
        </w:rPr>
        <w:t xml:space="preserve"> </w:t>
      </w:r>
      <w:r w:rsidR="00D56DEF" w:rsidRPr="000533DD">
        <w:rPr>
          <w:rFonts w:cs="Arial"/>
        </w:rPr>
        <w:t>v </w:t>
      </w:r>
      <w:r w:rsidR="00FB2D67" w:rsidRPr="00E40673">
        <w:rPr>
          <w:rFonts w:cs="Arial"/>
        </w:rPr>
        <w:t>prosinci</w:t>
      </w:r>
      <w:r w:rsidRPr="00F612FE">
        <w:rPr>
          <w:rFonts w:cs="Arial"/>
          <w:szCs w:val="20"/>
        </w:rPr>
        <w:t xml:space="preserve"> 20</w:t>
      </w:r>
      <w:r w:rsidR="00CD0626" w:rsidRPr="00F612FE">
        <w:rPr>
          <w:rFonts w:cs="Arial"/>
          <w:szCs w:val="20"/>
        </w:rPr>
        <w:t>2</w:t>
      </w:r>
      <w:r w:rsidR="00CE5893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</w:t>
      </w:r>
      <w:r w:rsidR="00737754">
        <w:rPr>
          <w:rFonts w:cs="Arial"/>
          <w:szCs w:val="20"/>
        </w:rPr>
        <w:t>by</w:t>
      </w:r>
      <w:r w:rsidR="004D4C5E">
        <w:rPr>
          <w:rFonts w:cs="Arial"/>
          <w:szCs w:val="20"/>
        </w:rPr>
        <w:t>la</w:t>
      </w:r>
      <w:r w:rsidR="00123164" w:rsidRPr="00F612FE">
        <w:rPr>
          <w:rFonts w:cs="Arial"/>
          <w:szCs w:val="20"/>
        </w:rPr>
        <w:t xml:space="preserve"> reálně meziměsíčně </w:t>
      </w:r>
      <w:r w:rsidR="00737754">
        <w:rPr>
          <w:rFonts w:cs="Arial"/>
          <w:szCs w:val="20"/>
        </w:rPr>
        <w:t>vyšší</w:t>
      </w:r>
      <w:r w:rsidR="00737754" w:rsidRPr="00F612FE">
        <w:rPr>
          <w:rFonts w:cs="Arial"/>
          <w:szCs w:val="20"/>
        </w:rPr>
        <w:t xml:space="preserve"> o </w:t>
      </w:r>
      <w:r w:rsidR="002D1520">
        <w:rPr>
          <w:rFonts w:cs="Arial"/>
          <w:szCs w:val="20"/>
        </w:rPr>
        <w:t>1</w:t>
      </w:r>
      <w:r w:rsidR="00737754">
        <w:rPr>
          <w:rFonts w:cs="Arial"/>
          <w:szCs w:val="20"/>
        </w:rPr>
        <w:t>,</w:t>
      </w:r>
      <w:r w:rsidR="002D1520">
        <w:rPr>
          <w:rFonts w:cs="Arial"/>
          <w:szCs w:val="20"/>
        </w:rPr>
        <w:t>8</w:t>
      </w:r>
      <w:r w:rsidR="00737754" w:rsidRPr="00F612FE">
        <w:rPr>
          <w:rFonts w:cs="Arial"/>
          <w:szCs w:val="20"/>
        </w:rPr>
        <w:t> %</w:t>
      </w:r>
      <w:r w:rsidR="00C31724" w:rsidRPr="00F612FE">
        <w:rPr>
          <w:rFonts w:cs="Arial"/>
          <w:szCs w:val="20"/>
        </w:rPr>
        <w:t>.</w:t>
      </w:r>
      <w:r w:rsidRPr="00F612FE">
        <w:rPr>
          <w:rFonts w:cs="Arial"/>
          <w:szCs w:val="20"/>
        </w:rPr>
        <w:t xml:space="preserve"> </w:t>
      </w:r>
      <w:r w:rsidR="004815EC" w:rsidRPr="0039150C">
        <w:rPr>
          <w:rFonts w:cs="Arial"/>
          <w:szCs w:val="20"/>
        </w:rPr>
        <w:t xml:space="preserve">Meziročně </w:t>
      </w:r>
      <w:r w:rsidR="00E9531E">
        <w:rPr>
          <w:rFonts w:cs="Arial"/>
          <w:szCs w:val="20"/>
        </w:rPr>
        <w:t>vzrostla</w:t>
      </w:r>
      <w:r w:rsidR="004815EC" w:rsidRPr="0039150C">
        <w:rPr>
          <w:rFonts w:cs="Arial"/>
          <w:szCs w:val="20"/>
        </w:rPr>
        <w:t xml:space="preserve"> o </w:t>
      </w:r>
      <w:r w:rsidR="002D1520">
        <w:rPr>
          <w:rFonts w:cs="Arial"/>
          <w:szCs w:val="20"/>
        </w:rPr>
        <w:t>8</w:t>
      </w:r>
      <w:r w:rsidR="002713E0">
        <w:rPr>
          <w:rFonts w:cs="Arial"/>
          <w:szCs w:val="20"/>
        </w:rPr>
        <w:t>,</w:t>
      </w:r>
      <w:r w:rsidR="002D1520">
        <w:rPr>
          <w:rFonts w:cs="Arial"/>
          <w:szCs w:val="20"/>
        </w:rPr>
        <w:t>1</w:t>
      </w:r>
      <w:r w:rsidR="004815EC" w:rsidRPr="0039150C">
        <w:rPr>
          <w:rFonts w:cs="Arial"/>
          <w:szCs w:val="20"/>
        </w:rPr>
        <w:t> %.</w:t>
      </w:r>
      <w:r w:rsidR="006E5FF1">
        <w:rPr>
          <w:rFonts w:cs="Arial"/>
          <w:szCs w:val="20"/>
        </w:rPr>
        <w:t xml:space="preserve"> </w:t>
      </w:r>
      <w:r w:rsidRPr="00F612FE">
        <w:rPr>
          <w:rFonts w:cs="Arial"/>
          <w:szCs w:val="20"/>
        </w:rPr>
        <w:t xml:space="preserve">Produkce v pozemním stavitelství se ve srovnání se stejným měsícem minulého roku </w:t>
      </w:r>
      <w:r w:rsidR="002713E0">
        <w:rPr>
          <w:rFonts w:cs="Arial"/>
          <w:szCs w:val="20"/>
        </w:rPr>
        <w:t>zvýšila</w:t>
      </w:r>
      <w:r w:rsidRPr="00F612FE">
        <w:rPr>
          <w:rFonts w:cs="Arial"/>
          <w:szCs w:val="20"/>
        </w:rPr>
        <w:t xml:space="preserve"> o </w:t>
      </w:r>
      <w:r w:rsidR="002D1520">
        <w:rPr>
          <w:rFonts w:cs="Arial"/>
          <w:szCs w:val="20"/>
        </w:rPr>
        <w:t>10</w:t>
      </w:r>
      <w:r w:rsidR="002713E0">
        <w:rPr>
          <w:rFonts w:cs="Arial"/>
          <w:szCs w:val="20"/>
        </w:rPr>
        <w:t>,</w:t>
      </w:r>
      <w:r w:rsidR="002D1520">
        <w:rPr>
          <w:rFonts w:cs="Arial"/>
          <w:szCs w:val="20"/>
        </w:rPr>
        <w:t>5</w:t>
      </w:r>
      <w:r w:rsidRPr="00F612FE">
        <w:rPr>
          <w:rFonts w:cs="Arial"/>
          <w:szCs w:val="20"/>
        </w:rPr>
        <w:t xml:space="preserve"> % (příspěvek </w:t>
      </w:r>
      <w:r w:rsidR="002713E0">
        <w:rPr>
          <w:rFonts w:cs="Arial"/>
          <w:szCs w:val="20"/>
        </w:rPr>
        <w:t>+</w:t>
      </w:r>
      <w:r w:rsidR="002D1520">
        <w:rPr>
          <w:rFonts w:cs="Arial"/>
          <w:szCs w:val="20"/>
        </w:rPr>
        <w:t>7</w:t>
      </w:r>
      <w:r w:rsidR="002713E0">
        <w:rPr>
          <w:rFonts w:cs="Arial"/>
          <w:szCs w:val="20"/>
        </w:rPr>
        <w:t>,</w:t>
      </w:r>
      <w:r w:rsidR="002D1520">
        <w:rPr>
          <w:rFonts w:cs="Arial"/>
          <w:szCs w:val="20"/>
        </w:rPr>
        <w:t>4</w:t>
      </w:r>
      <w:r w:rsidRPr="00F612FE">
        <w:rPr>
          <w:rFonts w:cs="Arial"/>
          <w:szCs w:val="20"/>
        </w:rPr>
        <w:t xml:space="preserve"> procentního bodu). Produkce inženýrského stavitelství meziročně </w:t>
      </w:r>
      <w:r w:rsidR="002D1520">
        <w:rPr>
          <w:rFonts w:cs="Arial"/>
          <w:szCs w:val="20"/>
        </w:rPr>
        <w:t>vzrost</w:t>
      </w:r>
      <w:r w:rsidR="004E22B7">
        <w:rPr>
          <w:rFonts w:cs="Arial"/>
          <w:szCs w:val="20"/>
        </w:rPr>
        <w:t>la</w:t>
      </w:r>
      <w:r w:rsidR="00CE5893" w:rsidRPr="00F612FE">
        <w:rPr>
          <w:rFonts w:cs="Arial"/>
          <w:szCs w:val="20"/>
        </w:rPr>
        <w:t xml:space="preserve"> o </w:t>
      </w:r>
      <w:r w:rsidR="002D1520">
        <w:rPr>
          <w:rFonts w:cs="Arial"/>
          <w:szCs w:val="20"/>
        </w:rPr>
        <w:t>2</w:t>
      </w:r>
      <w:r w:rsidR="002713E0">
        <w:rPr>
          <w:rFonts w:cs="Arial"/>
          <w:szCs w:val="20"/>
        </w:rPr>
        <w:t>,</w:t>
      </w:r>
      <w:r w:rsidR="002D1520">
        <w:rPr>
          <w:rFonts w:cs="Arial"/>
          <w:szCs w:val="20"/>
        </w:rPr>
        <w:t>2</w:t>
      </w:r>
      <w:r w:rsidR="00CE5893" w:rsidRPr="00F612FE">
        <w:rPr>
          <w:rFonts w:cs="Arial"/>
          <w:szCs w:val="20"/>
        </w:rPr>
        <w:t xml:space="preserve"> % </w:t>
      </w:r>
      <w:r w:rsidRPr="00F612FE">
        <w:rPr>
          <w:rFonts w:cs="Arial"/>
          <w:szCs w:val="20"/>
        </w:rPr>
        <w:t>(příspěvek</w:t>
      </w:r>
      <w:r w:rsidR="003A69F3" w:rsidRPr="00F612FE">
        <w:rPr>
          <w:rFonts w:cs="Arial"/>
          <w:szCs w:val="20"/>
        </w:rPr>
        <w:t xml:space="preserve"> </w:t>
      </w:r>
      <w:r w:rsidR="002D1520">
        <w:t>+0</w:t>
      </w:r>
      <w:r w:rsidR="002713E0">
        <w:t>,</w:t>
      </w:r>
      <w:r w:rsidR="002D1520">
        <w:t>7</w:t>
      </w:r>
      <w:r w:rsidR="00E41B61">
        <w:rPr>
          <w:rFonts w:cs="Arial"/>
          <w:szCs w:val="20"/>
        </w:rPr>
        <w:t xml:space="preserve"> p. b.). </w:t>
      </w:r>
    </w:p>
    <w:p w:rsidR="00D640CB" w:rsidRPr="00F612FE" w:rsidRDefault="00D640CB" w:rsidP="00724BF8">
      <w:pPr>
        <w:spacing w:before="12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Průměrný evidenční počet zaměstnanců</w:t>
      </w:r>
      <w:r w:rsidRPr="00F612FE">
        <w:rPr>
          <w:rFonts w:cs="Arial"/>
          <w:b/>
          <w:bCs/>
          <w:szCs w:val="20"/>
          <w:vertAlign w:val="superscript"/>
        </w:rPr>
        <w:t>2</w:t>
      </w:r>
      <w:r w:rsidRPr="00F612FE">
        <w:rPr>
          <w:rFonts w:cs="Arial"/>
          <w:szCs w:val="20"/>
        </w:rPr>
        <w:t xml:space="preserve"> ve stavebnictví se </w:t>
      </w:r>
      <w:r w:rsidR="004815EC" w:rsidRPr="0039150C">
        <w:rPr>
          <w:rFonts w:cs="Arial"/>
          <w:szCs w:val="20"/>
        </w:rPr>
        <w:t>v </w:t>
      </w:r>
      <w:r w:rsidR="00FB2D67" w:rsidRPr="00E40673">
        <w:rPr>
          <w:rFonts w:cs="Arial"/>
        </w:rPr>
        <w:t>prosinci</w:t>
      </w:r>
      <w:r w:rsidR="00B84D3B" w:rsidRPr="00F612FE">
        <w:rPr>
          <w:rFonts w:cs="Arial"/>
          <w:szCs w:val="20"/>
        </w:rPr>
        <w:t xml:space="preserve"> 202</w:t>
      </w:r>
      <w:r w:rsidR="009E136A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meziročně</w:t>
      </w:r>
      <w:r w:rsidRPr="00F612FE">
        <w:rPr>
          <w:rFonts w:cs="Arial"/>
          <w:b/>
          <w:bCs/>
          <w:szCs w:val="20"/>
        </w:rPr>
        <w:t xml:space="preserve"> </w:t>
      </w:r>
      <w:r w:rsidR="00E86BA4" w:rsidRPr="00F612FE">
        <w:rPr>
          <w:rFonts w:cs="Arial"/>
          <w:bCs/>
          <w:szCs w:val="20"/>
        </w:rPr>
        <w:t>sníž</w:t>
      </w:r>
      <w:r w:rsidR="00C12B85" w:rsidRPr="00F612FE">
        <w:rPr>
          <w:rFonts w:cs="Arial"/>
          <w:bCs/>
          <w:szCs w:val="20"/>
        </w:rPr>
        <w:t>il</w:t>
      </w:r>
      <w:r w:rsidRPr="00F612FE">
        <w:rPr>
          <w:rFonts w:cs="Arial"/>
          <w:szCs w:val="20"/>
        </w:rPr>
        <w:t xml:space="preserve"> o </w:t>
      </w:r>
      <w:r w:rsidR="00AC6D7B">
        <w:rPr>
          <w:rFonts w:cs="Arial"/>
          <w:szCs w:val="20"/>
        </w:rPr>
        <w:t>1</w:t>
      </w:r>
      <w:r w:rsidR="00113AC7">
        <w:rPr>
          <w:rFonts w:cs="Arial"/>
          <w:szCs w:val="20"/>
        </w:rPr>
        <w:t>,</w:t>
      </w:r>
      <w:r w:rsidR="00AC6D7B">
        <w:rPr>
          <w:rFonts w:cs="Arial"/>
          <w:szCs w:val="20"/>
        </w:rPr>
        <w:t>5</w:t>
      </w:r>
      <w:r w:rsidRPr="00F612FE">
        <w:rPr>
          <w:rFonts w:cs="Arial"/>
          <w:szCs w:val="20"/>
        </w:rPr>
        <w:t xml:space="preserve"> %. </w:t>
      </w:r>
      <w:r w:rsidRPr="00F612FE">
        <w:rPr>
          <w:rFonts w:cs="Arial"/>
          <w:b/>
          <w:bCs/>
          <w:szCs w:val="20"/>
        </w:rPr>
        <w:t>Průměrná hrubá měsíční nominální mzda</w:t>
      </w:r>
      <w:r w:rsidRPr="00F612FE">
        <w:rPr>
          <w:rFonts w:cs="Arial"/>
          <w:szCs w:val="20"/>
        </w:rPr>
        <w:t xml:space="preserve"> těchto zaměstnanců </w:t>
      </w:r>
      <w:r w:rsidR="004815EC" w:rsidRPr="0039150C">
        <w:rPr>
          <w:rFonts w:cs="Arial"/>
          <w:szCs w:val="20"/>
        </w:rPr>
        <w:t>v </w:t>
      </w:r>
      <w:r w:rsidR="00FB2D67" w:rsidRPr="00E40673">
        <w:rPr>
          <w:rFonts w:cs="Arial"/>
        </w:rPr>
        <w:t>prosinci</w:t>
      </w:r>
      <w:r w:rsidR="00B84D3B" w:rsidRPr="00F612FE">
        <w:rPr>
          <w:rFonts w:cs="Arial"/>
          <w:szCs w:val="20"/>
        </w:rPr>
        <w:t xml:space="preserve"> 202</w:t>
      </w:r>
      <w:r w:rsidR="009E136A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meziročně </w:t>
      </w:r>
      <w:r w:rsidR="008174B6" w:rsidRPr="00F612FE">
        <w:rPr>
          <w:rFonts w:cs="Arial"/>
          <w:szCs w:val="20"/>
        </w:rPr>
        <w:t>vzrostla</w:t>
      </w:r>
      <w:r w:rsidRPr="00F612FE">
        <w:rPr>
          <w:rFonts w:cs="Arial"/>
          <w:szCs w:val="20"/>
        </w:rPr>
        <w:t xml:space="preserve"> o </w:t>
      </w:r>
      <w:r w:rsidR="00AC6D7B">
        <w:rPr>
          <w:rFonts w:cs="Arial"/>
          <w:szCs w:val="20"/>
        </w:rPr>
        <w:t>4</w:t>
      </w:r>
      <w:r w:rsidR="00113AC7">
        <w:rPr>
          <w:rFonts w:cs="Arial"/>
          <w:szCs w:val="20"/>
        </w:rPr>
        <w:t>,</w:t>
      </w:r>
      <w:r w:rsidR="00AC6D7B">
        <w:rPr>
          <w:rFonts w:cs="Arial"/>
          <w:szCs w:val="20"/>
        </w:rPr>
        <w:t>4</w:t>
      </w:r>
      <w:r w:rsidRPr="00F612FE">
        <w:rPr>
          <w:rFonts w:cs="Arial"/>
          <w:szCs w:val="20"/>
        </w:rPr>
        <w:t> %</w:t>
      </w:r>
      <w:r w:rsidR="008A7F10" w:rsidRPr="00F612FE">
        <w:rPr>
          <w:rFonts w:cs="Arial"/>
          <w:szCs w:val="20"/>
        </w:rPr>
        <w:t>.</w:t>
      </w:r>
      <w:r w:rsidR="00070CD9">
        <w:rPr>
          <w:rFonts w:cs="Arial"/>
          <w:szCs w:val="20"/>
        </w:rPr>
        <w:t xml:space="preserve"> </w:t>
      </w:r>
    </w:p>
    <w:p w:rsidR="00B74A4E" w:rsidRPr="00C65EAA" w:rsidRDefault="00D640CB" w:rsidP="00724BF8">
      <w:pPr>
        <w:spacing w:before="120"/>
        <w:rPr>
          <w:rFonts w:cs="Arial"/>
          <w:i/>
          <w:szCs w:val="20"/>
        </w:rPr>
      </w:pPr>
      <w:r w:rsidRPr="00C05D5D">
        <w:rPr>
          <w:rFonts w:cs="Arial"/>
          <w:bCs/>
          <w:szCs w:val="20"/>
        </w:rPr>
        <w:t xml:space="preserve">Stavební úřady </w:t>
      </w:r>
      <w:r w:rsidR="004815EC" w:rsidRPr="0039150C">
        <w:rPr>
          <w:rFonts w:cs="Arial"/>
          <w:szCs w:val="20"/>
        </w:rPr>
        <w:t>v </w:t>
      </w:r>
      <w:r w:rsidR="00FB2D67" w:rsidRPr="00E40673">
        <w:rPr>
          <w:rFonts w:cs="Arial"/>
        </w:rPr>
        <w:t>prosinci</w:t>
      </w:r>
      <w:r w:rsidR="00B84D3B" w:rsidRPr="00C05D5D">
        <w:rPr>
          <w:rFonts w:cs="Arial"/>
          <w:szCs w:val="20"/>
        </w:rPr>
        <w:t xml:space="preserve"> 202</w:t>
      </w:r>
      <w:r w:rsidR="009E136A" w:rsidRPr="00C05D5D">
        <w:rPr>
          <w:rFonts w:cs="Arial"/>
          <w:szCs w:val="20"/>
        </w:rPr>
        <w:t>1</w:t>
      </w:r>
      <w:r w:rsidRPr="00C05D5D">
        <w:rPr>
          <w:rFonts w:cs="Arial"/>
          <w:bCs/>
          <w:szCs w:val="20"/>
        </w:rPr>
        <w:t xml:space="preserve"> vydaly </w:t>
      </w:r>
      <w:r w:rsidR="002F7A42">
        <w:rPr>
          <w:rFonts w:cs="Arial"/>
          <w:szCs w:val="20"/>
        </w:rPr>
        <w:t>7 919</w:t>
      </w:r>
      <w:r w:rsidRPr="00C05D5D">
        <w:rPr>
          <w:rFonts w:cs="Arial"/>
          <w:b/>
          <w:bCs/>
          <w:szCs w:val="20"/>
        </w:rPr>
        <w:t xml:space="preserve"> stavebních povolení</w:t>
      </w:r>
      <w:r w:rsidRPr="00C05D5D">
        <w:rPr>
          <w:rFonts w:cs="Arial"/>
          <w:szCs w:val="20"/>
        </w:rPr>
        <w:t>, meziročně o </w:t>
      </w:r>
      <w:r w:rsidR="002F7A42">
        <w:rPr>
          <w:rFonts w:cs="Arial"/>
          <w:szCs w:val="20"/>
        </w:rPr>
        <w:t>8</w:t>
      </w:r>
      <w:r w:rsidRPr="00C05D5D">
        <w:rPr>
          <w:rFonts w:cs="Arial"/>
          <w:szCs w:val="20"/>
        </w:rPr>
        <w:t>,</w:t>
      </w:r>
      <w:r w:rsidR="002F7A42">
        <w:rPr>
          <w:rFonts w:cs="Arial"/>
          <w:szCs w:val="20"/>
        </w:rPr>
        <w:t>3</w:t>
      </w:r>
      <w:r w:rsidRPr="00C05D5D">
        <w:rPr>
          <w:rFonts w:cs="Arial"/>
          <w:szCs w:val="20"/>
        </w:rPr>
        <w:t xml:space="preserve"> % </w:t>
      </w:r>
      <w:r w:rsidR="00EB1773">
        <w:rPr>
          <w:rFonts w:cs="Arial"/>
          <w:szCs w:val="20"/>
        </w:rPr>
        <w:t>více</w:t>
      </w:r>
      <w:r w:rsidRPr="00C05D5D">
        <w:rPr>
          <w:rFonts w:cs="Arial"/>
          <w:szCs w:val="20"/>
        </w:rPr>
        <w:t xml:space="preserve">. </w:t>
      </w:r>
      <w:r w:rsidRPr="00C05D5D">
        <w:rPr>
          <w:rFonts w:cs="Arial"/>
          <w:b/>
          <w:bCs/>
          <w:szCs w:val="20"/>
        </w:rPr>
        <w:t>Orientační hodnota</w:t>
      </w:r>
      <w:r w:rsidRPr="00C05D5D">
        <w:rPr>
          <w:rFonts w:cs="Arial"/>
          <w:szCs w:val="20"/>
        </w:rPr>
        <w:t xml:space="preserve"> těchto staveb dosáhla </w:t>
      </w:r>
      <w:r w:rsidR="002F7A42">
        <w:rPr>
          <w:rFonts w:cs="Arial"/>
          <w:szCs w:val="20"/>
        </w:rPr>
        <w:t>51</w:t>
      </w:r>
      <w:r w:rsidRPr="00C05D5D">
        <w:rPr>
          <w:rFonts w:cs="Arial"/>
          <w:szCs w:val="20"/>
        </w:rPr>
        <w:t>,</w:t>
      </w:r>
      <w:r w:rsidR="002F7A42">
        <w:rPr>
          <w:rFonts w:cs="Arial"/>
          <w:szCs w:val="20"/>
        </w:rPr>
        <w:t>4</w:t>
      </w:r>
      <w:r w:rsidRPr="00C05D5D">
        <w:rPr>
          <w:rFonts w:cs="Arial"/>
          <w:szCs w:val="20"/>
        </w:rPr>
        <w:t> mld. Kč a ve srovnání se stejným obdobím roku 20</w:t>
      </w:r>
      <w:r w:rsidR="009E136A" w:rsidRPr="00C05D5D">
        <w:rPr>
          <w:rFonts w:cs="Arial"/>
          <w:szCs w:val="20"/>
        </w:rPr>
        <w:t>20</w:t>
      </w:r>
      <w:r w:rsidRPr="00C05D5D">
        <w:rPr>
          <w:rFonts w:cs="Arial"/>
          <w:szCs w:val="20"/>
        </w:rPr>
        <w:t xml:space="preserve"> </w:t>
      </w:r>
      <w:r w:rsidR="00C514EA" w:rsidRPr="00C05D5D">
        <w:rPr>
          <w:rFonts w:cs="Arial"/>
          <w:szCs w:val="20"/>
        </w:rPr>
        <w:t>vzrostla</w:t>
      </w:r>
      <w:r w:rsidRPr="00C05D5D">
        <w:rPr>
          <w:rFonts w:cs="Arial"/>
          <w:szCs w:val="20"/>
        </w:rPr>
        <w:t xml:space="preserve"> o </w:t>
      </w:r>
      <w:r w:rsidR="002F7A42">
        <w:rPr>
          <w:rFonts w:cs="Arial"/>
          <w:szCs w:val="20"/>
        </w:rPr>
        <w:t>52</w:t>
      </w:r>
      <w:r w:rsidR="00000929">
        <w:rPr>
          <w:rFonts w:cs="Arial"/>
          <w:szCs w:val="20"/>
        </w:rPr>
        <w:t>,</w:t>
      </w:r>
      <w:r w:rsidR="002F7A42">
        <w:rPr>
          <w:rFonts w:cs="Arial"/>
          <w:szCs w:val="20"/>
        </w:rPr>
        <w:t>8</w:t>
      </w:r>
      <w:r w:rsidRPr="00C05D5D">
        <w:rPr>
          <w:rFonts w:cs="Arial"/>
          <w:szCs w:val="20"/>
        </w:rPr>
        <w:t> %.</w:t>
      </w:r>
    </w:p>
    <w:p w:rsidR="00534F4C" w:rsidRPr="003C25B0" w:rsidRDefault="00D640CB" w:rsidP="00724BF8">
      <w:pPr>
        <w:spacing w:before="120"/>
        <w:rPr>
          <w:rFonts w:cs="Arial"/>
          <w:szCs w:val="20"/>
        </w:rPr>
      </w:pPr>
      <w:r w:rsidRPr="00C05D5D">
        <w:rPr>
          <w:rFonts w:cs="Arial"/>
          <w:b/>
          <w:bCs/>
          <w:szCs w:val="20"/>
        </w:rPr>
        <w:t>Počet zahájených bytů</w:t>
      </w:r>
      <w:r w:rsidRPr="00C05D5D">
        <w:rPr>
          <w:rFonts w:cs="Arial"/>
          <w:szCs w:val="20"/>
        </w:rPr>
        <w:t xml:space="preserve"> </w:t>
      </w:r>
      <w:r w:rsidR="004815EC" w:rsidRPr="0039150C">
        <w:rPr>
          <w:rFonts w:cs="Arial"/>
          <w:szCs w:val="20"/>
        </w:rPr>
        <w:t>v </w:t>
      </w:r>
      <w:r w:rsidR="00FB2D67" w:rsidRPr="00E40673">
        <w:rPr>
          <w:rFonts w:cs="Arial"/>
        </w:rPr>
        <w:t>prosinci</w:t>
      </w:r>
      <w:r w:rsidR="00B84D3B" w:rsidRPr="00C05D5D">
        <w:rPr>
          <w:rFonts w:cs="Arial"/>
          <w:szCs w:val="20"/>
        </w:rPr>
        <w:t xml:space="preserve"> 202</w:t>
      </w:r>
      <w:r w:rsidR="009E136A" w:rsidRPr="00C05D5D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 meziročně </w:t>
      </w:r>
      <w:r w:rsidR="00E41B61" w:rsidRPr="00F612FE">
        <w:rPr>
          <w:rFonts w:cs="Arial"/>
          <w:szCs w:val="20"/>
        </w:rPr>
        <w:t>vzrostl</w:t>
      </w:r>
      <w:r w:rsidRPr="00C05D5D">
        <w:rPr>
          <w:rFonts w:cs="Arial"/>
          <w:szCs w:val="20"/>
        </w:rPr>
        <w:t xml:space="preserve"> o</w:t>
      </w:r>
      <w:r w:rsidR="001D1ACB" w:rsidRPr="00C05D5D">
        <w:rPr>
          <w:rFonts w:cs="Arial"/>
          <w:szCs w:val="20"/>
        </w:rPr>
        <w:t xml:space="preserve"> </w:t>
      </w:r>
      <w:r w:rsidR="00DD7A72">
        <w:rPr>
          <w:rFonts w:cs="Arial"/>
          <w:szCs w:val="20"/>
        </w:rPr>
        <w:t>120</w:t>
      </w:r>
      <w:r w:rsidR="004014FD">
        <w:rPr>
          <w:rFonts w:cs="Arial"/>
          <w:szCs w:val="20"/>
        </w:rPr>
        <w:t>,</w:t>
      </w:r>
      <w:r w:rsidR="00DD7A72">
        <w:rPr>
          <w:rFonts w:cs="Arial"/>
          <w:szCs w:val="20"/>
        </w:rPr>
        <w:t>8</w:t>
      </w:r>
      <w:r w:rsidRPr="00C05D5D">
        <w:rPr>
          <w:rFonts w:cs="Arial"/>
          <w:szCs w:val="20"/>
        </w:rPr>
        <w:t xml:space="preserve"> % a dosáhl hodnoty </w:t>
      </w:r>
      <w:r w:rsidR="00DD7A72">
        <w:rPr>
          <w:rFonts w:cs="Arial"/>
          <w:szCs w:val="20"/>
        </w:rPr>
        <w:t>6</w:t>
      </w:r>
      <w:r w:rsidR="00CB342F" w:rsidRPr="00C05D5D">
        <w:rPr>
          <w:rFonts w:cs="Arial"/>
          <w:szCs w:val="20"/>
        </w:rPr>
        <w:t> </w:t>
      </w:r>
      <w:r w:rsidR="00DD7A72">
        <w:rPr>
          <w:rFonts w:cs="Arial"/>
          <w:szCs w:val="20"/>
        </w:rPr>
        <w:t>024</w:t>
      </w:r>
      <w:r w:rsidRPr="00C05D5D">
        <w:rPr>
          <w:rFonts w:cs="Arial"/>
          <w:szCs w:val="20"/>
        </w:rPr>
        <w:t xml:space="preserve"> bytů. V rodinných domech došlo k </w:t>
      </w:r>
      <w:r w:rsidR="004014FD">
        <w:rPr>
          <w:rFonts w:cs="Arial"/>
          <w:szCs w:val="20"/>
        </w:rPr>
        <w:t>růstu</w:t>
      </w:r>
      <w:r w:rsidRPr="00C05D5D">
        <w:rPr>
          <w:rFonts w:cs="Arial"/>
          <w:szCs w:val="20"/>
        </w:rPr>
        <w:t xml:space="preserve"> počtu bytů o</w:t>
      </w:r>
      <w:r w:rsidR="001D1ACB" w:rsidRPr="00C05D5D">
        <w:rPr>
          <w:rFonts w:cs="Arial"/>
          <w:szCs w:val="20"/>
        </w:rPr>
        <w:t xml:space="preserve"> </w:t>
      </w:r>
      <w:r w:rsidR="00DD7A72">
        <w:rPr>
          <w:rFonts w:cs="Arial"/>
          <w:szCs w:val="20"/>
        </w:rPr>
        <w:t>55</w:t>
      </w:r>
      <w:r w:rsidR="001D1ACB" w:rsidRPr="00C05D5D">
        <w:rPr>
          <w:rFonts w:cs="Arial"/>
          <w:szCs w:val="20"/>
        </w:rPr>
        <w:t>,</w:t>
      </w:r>
      <w:r w:rsidR="00DD7A72">
        <w:rPr>
          <w:rFonts w:cs="Arial"/>
          <w:szCs w:val="20"/>
        </w:rPr>
        <w:t>8</w:t>
      </w:r>
      <w:r w:rsidRPr="00C05D5D">
        <w:rPr>
          <w:rFonts w:cs="Arial"/>
          <w:szCs w:val="20"/>
        </w:rPr>
        <w:t xml:space="preserve"> %. </w:t>
      </w:r>
      <w:r w:rsidR="00123164" w:rsidRPr="00C05D5D">
        <w:t>V </w:t>
      </w:r>
      <w:r w:rsidR="00123164" w:rsidRPr="00C05D5D">
        <w:rPr>
          <w:rFonts w:cs="Arial"/>
          <w:szCs w:val="20"/>
        </w:rPr>
        <w:t xml:space="preserve">bytových domech </w:t>
      </w:r>
      <w:r w:rsidR="00D25FFD">
        <w:rPr>
          <w:rFonts w:cs="Arial"/>
          <w:szCs w:val="20"/>
        </w:rPr>
        <w:t>vzrostl počet zahájených bytů více n</w:t>
      </w:r>
      <w:r w:rsidR="003563D1">
        <w:rPr>
          <w:rFonts w:cs="Arial"/>
          <w:szCs w:val="20"/>
        </w:rPr>
        <w:t>ež pětkrát</w:t>
      </w:r>
      <w:r w:rsidR="00D25FFD">
        <w:rPr>
          <w:rFonts w:cs="Arial"/>
          <w:szCs w:val="20"/>
        </w:rPr>
        <w:t>. Meziroční růst byl ovlivněn také nízkou srovnávací základnou.</w:t>
      </w:r>
    </w:p>
    <w:p w:rsidR="00D640CB" w:rsidRPr="008A361E" w:rsidRDefault="00D640CB" w:rsidP="00724BF8">
      <w:pPr>
        <w:spacing w:before="120"/>
        <w:rPr>
          <w:rFonts w:cs="Arial"/>
          <w:szCs w:val="20"/>
        </w:rPr>
      </w:pPr>
      <w:r w:rsidRPr="00C05D5D">
        <w:rPr>
          <w:b/>
          <w:bCs/>
        </w:rPr>
        <w:t>Počet dokončených bytů</w:t>
      </w:r>
      <w:r w:rsidRPr="00C05D5D">
        <w:t xml:space="preserve"> </w:t>
      </w:r>
      <w:r w:rsidR="004815EC" w:rsidRPr="0039150C">
        <w:t>v </w:t>
      </w:r>
      <w:r w:rsidR="00FB2D67" w:rsidRPr="00E40673">
        <w:rPr>
          <w:rFonts w:cs="Arial"/>
        </w:rPr>
        <w:t>prosinci</w:t>
      </w:r>
      <w:r w:rsidR="00B84D3B" w:rsidRPr="00C05D5D">
        <w:t xml:space="preserve"> 202</w:t>
      </w:r>
      <w:r w:rsidR="002856BB" w:rsidRPr="00C05D5D">
        <w:t>1</w:t>
      </w:r>
      <w:r w:rsidRPr="00C05D5D">
        <w:t xml:space="preserve"> meziročně </w:t>
      </w:r>
      <w:r w:rsidR="009D6947">
        <w:rPr>
          <w:rFonts w:cs="Arial"/>
          <w:szCs w:val="20"/>
        </w:rPr>
        <w:t>klesl</w:t>
      </w:r>
      <w:r w:rsidRPr="00C05D5D">
        <w:t xml:space="preserve"> o</w:t>
      </w:r>
      <w:r w:rsidR="008A361E">
        <w:t> </w:t>
      </w:r>
      <w:r w:rsidR="006B72D2">
        <w:t>18</w:t>
      </w:r>
      <w:r w:rsidR="003E7B03" w:rsidRPr="00C05D5D">
        <w:t>,</w:t>
      </w:r>
      <w:r w:rsidR="006B72D2">
        <w:t>7</w:t>
      </w:r>
      <w:r w:rsidR="0004440A" w:rsidRPr="00C05D5D">
        <w:t> </w:t>
      </w:r>
      <w:r w:rsidRPr="00C05D5D">
        <w:t>% a činil</w:t>
      </w:r>
      <w:r w:rsidR="00C217D4" w:rsidRPr="00C05D5D">
        <w:t xml:space="preserve"> </w:t>
      </w:r>
      <w:r w:rsidR="006B72D2">
        <w:t>3</w:t>
      </w:r>
      <w:r w:rsidR="00CB342F" w:rsidRPr="00C05D5D">
        <w:t> </w:t>
      </w:r>
      <w:r w:rsidR="006B72D2">
        <w:t>647</w:t>
      </w:r>
      <w:r w:rsidR="00C217D4" w:rsidRPr="00C05D5D">
        <w:t xml:space="preserve"> </w:t>
      </w:r>
      <w:r w:rsidRPr="00C05D5D">
        <w:t>bytů. V rodinných domech došlo k </w:t>
      </w:r>
      <w:r w:rsidR="009D6947">
        <w:t>poklesu</w:t>
      </w:r>
      <w:r w:rsidRPr="00C05D5D">
        <w:t xml:space="preserve"> o </w:t>
      </w:r>
      <w:r w:rsidR="006B72D2">
        <w:t>4</w:t>
      </w:r>
      <w:r w:rsidR="005B50F6" w:rsidRPr="00C05D5D">
        <w:t>,</w:t>
      </w:r>
      <w:r w:rsidR="006B72D2">
        <w:t>2</w:t>
      </w:r>
      <w:r w:rsidR="004374BB">
        <w:t> </w:t>
      </w:r>
      <w:r w:rsidRPr="00C05D5D">
        <w:t xml:space="preserve">%, v bytových domech </w:t>
      </w:r>
      <w:r w:rsidR="00840AEC">
        <w:t xml:space="preserve">se </w:t>
      </w:r>
      <w:r w:rsidRPr="00C05D5D">
        <w:t>počet dokončených bytů</w:t>
      </w:r>
      <w:r w:rsidR="00A530E9">
        <w:t xml:space="preserve"> snížil</w:t>
      </w:r>
      <w:r w:rsidR="00C217D4" w:rsidRPr="00C05D5D">
        <w:t xml:space="preserve"> </w:t>
      </w:r>
      <w:r w:rsidRPr="00C05D5D">
        <w:t>o </w:t>
      </w:r>
      <w:r w:rsidR="006B72D2">
        <w:t>38</w:t>
      </w:r>
      <w:r w:rsidR="003E7B03" w:rsidRPr="00C05D5D">
        <w:t>,</w:t>
      </w:r>
      <w:r w:rsidR="006B72D2">
        <w:t>8</w:t>
      </w:r>
      <w:r w:rsidR="004374BB">
        <w:t> </w:t>
      </w:r>
      <w:r w:rsidRPr="005B24A0">
        <w:t xml:space="preserve">%. </w:t>
      </w:r>
    </w:p>
    <w:p w:rsidR="00D640CB" w:rsidRDefault="00D640CB" w:rsidP="00724BF8">
      <w:pPr>
        <w:spacing w:before="120"/>
        <w:rPr>
          <w:rFonts w:cs="Arial"/>
          <w:szCs w:val="20"/>
        </w:rPr>
      </w:pPr>
      <w:r w:rsidRPr="00C05D5D">
        <w:rPr>
          <w:rFonts w:cs="Arial"/>
          <w:b/>
          <w:bCs/>
          <w:szCs w:val="20"/>
        </w:rPr>
        <w:t>Stavební produkce</w:t>
      </w:r>
      <w:r w:rsidRPr="00C05D5D">
        <w:rPr>
          <w:rFonts w:cs="Arial"/>
          <w:szCs w:val="20"/>
        </w:rPr>
        <w:t xml:space="preserve"> podle údajů </w:t>
      </w:r>
      <w:proofErr w:type="spellStart"/>
      <w:r w:rsidRPr="00C05D5D">
        <w:rPr>
          <w:rFonts w:cs="Arial"/>
          <w:szCs w:val="20"/>
        </w:rPr>
        <w:t>Eurostatu</w:t>
      </w:r>
      <w:proofErr w:type="spellEnd"/>
      <w:r w:rsidRPr="00C05D5D">
        <w:rPr>
          <w:rFonts w:cs="Arial"/>
          <w:b/>
          <w:bCs/>
          <w:szCs w:val="20"/>
        </w:rPr>
        <w:t xml:space="preserve"> v </w:t>
      </w:r>
      <w:r w:rsidR="00FB2D67" w:rsidRPr="00C45848">
        <w:rPr>
          <w:rFonts w:cs="Arial"/>
          <w:b/>
          <w:szCs w:val="20"/>
        </w:rPr>
        <w:t>listopad</w:t>
      </w:r>
      <w:r w:rsidR="00FB2D67" w:rsidRPr="00C45848">
        <w:rPr>
          <w:rFonts w:cs="Arial"/>
          <w:b/>
          <w:bCs/>
          <w:szCs w:val="20"/>
        </w:rPr>
        <w:t>u</w:t>
      </w:r>
      <w:r w:rsidRPr="00C05D5D">
        <w:rPr>
          <w:rFonts w:cs="Arial"/>
          <w:b/>
          <w:bCs/>
          <w:szCs w:val="20"/>
        </w:rPr>
        <w:t xml:space="preserve"> 20</w:t>
      </w:r>
      <w:r w:rsidR="00DA26A1" w:rsidRPr="00C05D5D">
        <w:rPr>
          <w:rFonts w:cs="Arial"/>
          <w:b/>
          <w:bCs/>
          <w:szCs w:val="20"/>
        </w:rPr>
        <w:t>2</w:t>
      </w:r>
      <w:r w:rsidR="00E30070" w:rsidRPr="00C05D5D">
        <w:rPr>
          <w:rFonts w:cs="Arial"/>
          <w:b/>
          <w:bCs/>
          <w:szCs w:val="20"/>
        </w:rPr>
        <w:t>1</w:t>
      </w:r>
      <w:r w:rsidRPr="00C05D5D">
        <w:rPr>
          <w:rFonts w:cs="Arial"/>
          <w:b/>
          <w:bCs/>
          <w:szCs w:val="20"/>
        </w:rPr>
        <w:t xml:space="preserve"> v EU2</w:t>
      </w:r>
      <w:r w:rsidR="00683C2F" w:rsidRPr="00C05D5D">
        <w:rPr>
          <w:rFonts w:cs="Arial"/>
          <w:b/>
          <w:bCs/>
          <w:szCs w:val="20"/>
        </w:rPr>
        <w:t>7</w:t>
      </w:r>
      <w:r w:rsidRPr="00C05D5D">
        <w:rPr>
          <w:rFonts w:cs="Arial"/>
          <w:b/>
          <w:bCs/>
          <w:szCs w:val="20"/>
        </w:rPr>
        <w:t xml:space="preserve"> </w:t>
      </w:r>
      <w:r w:rsidRPr="00C05D5D">
        <w:rPr>
          <w:rFonts w:cs="Arial"/>
          <w:szCs w:val="20"/>
        </w:rPr>
        <w:t xml:space="preserve">meziročně </w:t>
      </w:r>
      <w:r w:rsidR="00604EC6">
        <w:rPr>
          <w:rFonts w:cs="Arial"/>
          <w:szCs w:val="20"/>
        </w:rPr>
        <w:t>vzrostla</w:t>
      </w:r>
      <w:r w:rsidRPr="00C05D5D">
        <w:rPr>
          <w:rFonts w:cs="Arial"/>
          <w:szCs w:val="20"/>
        </w:rPr>
        <w:t xml:space="preserve"> o </w:t>
      </w:r>
      <w:r w:rsidR="00C309EC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>,</w:t>
      </w:r>
      <w:r w:rsidR="00C309EC">
        <w:rPr>
          <w:rFonts w:cs="Arial"/>
          <w:szCs w:val="20"/>
        </w:rPr>
        <w:t>3</w:t>
      </w:r>
      <w:r w:rsidRPr="00C05D5D">
        <w:rPr>
          <w:rFonts w:cs="Arial"/>
          <w:szCs w:val="20"/>
        </w:rPr>
        <w:t xml:space="preserve"> %. Pozemní stavitelství se </w:t>
      </w:r>
      <w:r w:rsidR="00604EC6">
        <w:rPr>
          <w:rFonts w:cs="Arial"/>
          <w:szCs w:val="20"/>
        </w:rPr>
        <w:t>zvýš</w:t>
      </w:r>
      <w:r w:rsidR="00237126">
        <w:rPr>
          <w:rFonts w:cs="Arial"/>
          <w:szCs w:val="20"/>
        </w:rPr>
        <w:t>i</w:t>
      </w:r>
      <w:r w:rsidR="00554397" w:rsidRPr="00C05D5D">
        <w:rPr>
          <w:rFonts w:cs="Arial"/>
          <w:szCs w:val="20"/>
        </w:rPr>
        <w:t>lo</w:t>
      </w:r>
      <w:r w:rsidRPr="00C05D5D">
        <w:rPr>
          <w:rFonts w:cs="Arial"/>
          <w:szCs w:val="20"/>
        </w:rPr>
        <w:t xml:space="preserve"> o </w:t>
      </w:r>
      <w:r w:rsidR="00C309EC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>,</w:t>
      </w:r>
      <w:r w:rsidR="00C309EC">
        <w:rPr>
          <w:rFonts w:cs="Arial"/>
          <w:szCs w:val="20"/>
        </w:rPr>
        <w:t>2</w:t>
      </w:r>
      <w:r w:rsidRPr="00C05D5D">
        <w:rPr>
          <w:rFonts w:cs="Arial"/>
          <w:szCs w:val="20"/>
        </w:rPr>
        <w:t xml:space="preserve"> % a inženýrské stavitelství </w:t>
      </w:r>
      <w:r w:rsidR="00604EC6">
        <w:rPr>
          <w:rFonts w:cs="Arial"/>
          <w:szCs w:val="20"/>
        </w:rPr>
        <w:t>vzrostlo</w:t>
      </w:r>
      <w:r w:rsidRPr="00C05D5D">
        <w:rPr>
          <w:rFonts w:cs="Arial"/>
          <w:szCs w:val="20"/>
        </w:rPr>
        <w:t xml:space="preserve"> o </w:t>
      </w:r>
      <w:r w:rsidR="00C309EC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>,</w:t>
      </w:r>
      <w:r w:rsidR="00C309EC">
        <w:rPr>
          <w:rFonts w:cs="Arial"/>
          <w:szCs w:val="20"/>
        </w:rPr>
        <w:t>5</w:t>
      </w:r>
      <w:r w:rsidRPr="00C05D5D">
        <w:rPr>
          <w:rFonts w:cs="Arial"/>
          <w:szCs w:val="20"/>
        </w:rPr>
        <w:t xml:space="preserve"> %. Údaje za </w:t>
      </w:r>
      <w:r w:rsidR="002E5294" w:rsidRPr="00E65DFB">
        <w:t>prosinec</w:t>
      </w:r>
      <w:r w:rsidRPr="00C05D5D">
        <w:rPr>
          <w:rFonts w:cs="Arial"/>
          <w:szCs w:val="20"/>
        </w:rPr>
        <w:t xml:space="preserve"> 20</w:t>
      </w:r>
      <w:r w:rsidR="00B84D3B" w:rsidRPr="00C05D5D">
        <w:rPr>
          <w:rFonts w:cs="Arial"/>
          <w:szCs w:val="20"/>
        </w:rPr>
        <w:t>2</w:t>
      </w:r>
      <w:r w:rsidR="002856BB" w:rsidRPr="00C05D5D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 </w:t>
      </w:r>
      <w:proofErr w:type="spellStart"/>
      <w:r w:rsidRPr="00C05D5D">
        <w:rPr>
          <w:rFonts w:cs="Arial"/>
          <w:szCs w:val="20"/>
        </w:rPr>
        <w:t>Eurostat</w:t>
      </w:r>
      <w:proofErr w:type="spellEnd"/>
      <w:r w:rsidRPr="00C05D5D">
        <w:rPr>
          <w:rFonts w:cs="Arial"/>
          <w:szCs w:val="20"/>
        </w:rPr>
        <w:t xml:space="preserve"> zveřejní podle předběžného harmonogramu dne </w:t>
      </w:r>
      <w:r w:rsidR="00226705" w:rsidRPr="00C309EC">
        <w:rPr>
          <w:rFonts w:cs="Arial"/>
          <w:szCs w:val="20"/>
        </w:rPr>
        <w:t>1</w:t>
      </w:r>
      <w:r w:rsidR="00C309EC" w:rsidRPr="00C309EC">
        <w:rPr>
          <w:rFonts w:cs="Arial"/>
          <w:szCs w:val="20"/>
        </w:rPr>
        <w:t>8</w:t>
      </w:r>
      <w:r w:rsidRPr="00C309EC">
        <w:rPr>
          <w:rFonts w:cs="Arial"/>
          <w:szCs w:val="20"/>
        </w:rPr>
        <w:t>. </w:t>
      </w:r>
      <w:r w:rsidR="009964DA" w:rsidRPr="00C309EC">
        <w:rPr>
          <w:rFonts w:cs="Arial"/>
          <w:szCs w:val="20"/>
        </w:rPr>
        <w:t>0</w:t>
      </w:r>
      <w:r w:rsidR="00737754" w:rsidRPr="00C309EC">
        <w:rPr>
          <w:rFonts w:cs="Arial"/>
          <w:szCs w:val="20"/>
        </w:rPr>
        <w:t>2</w:t>
      </w:r>
      <w:r w:rsidRPr="00C309EC">
        <w:rPr>
          <w:rFonts w:cs="Arial"/>
          <w:szCs w:val="20"/>
        </w:rPr>
        <w:t>. 202</w:t>
      </w:r>
      <w:r w:rsidR="00B0777C" w:rsidRPr="00C309EC">
        <w:rPr>
          <w:rFonts w:cs="Arial"/>
          <w:szCs w:val="20"/>
        </w:rPr>
        <w:t>2</w:t>
      </w:r>
      <w:r w:rsidRPr="00C309EC">
        <w:rPr>
          <w:rFonts w:cs="Arial"/>
          <w:szCs w:val="20"/>
        </w:rPr>
        <w:t>.</w:t>
      </w:r>
    </w:p>
    <w:p w:rsidR="000E2C0A" w:rsidRDefault="000E2C0A" w:rsidP="00724BF8">
      <w:pPr>
        <w:spacing w:before="120"/>
        <w:rPr>
          <w:b/>
          <w:bCs/>
        </w:rPr>
      </w:pPr>
      <w:r>
        <w:rPr>
          <w:b/>
          <w:bCs/>
        </w:rPr>
        <w:t>Stavebnictví ve </w:t>
      </w:r>
      <w:r w:rsidR="00AD06DB">
        <w:rPr>
          <w:b/>
          <w:bCs/>
        </w:rPr>
        <w:t>4</w:t>
      </w:r>
      <w:r>
        <w:rPr>
          <w:b/>
          <w:bCs/>
        </w:rPr>
        <w:t>. čtvrtletí 2021</w:t>
      </w:r>
    </w:p>
    <w:p w:rsidR="000E2C0A" w:rsidRPr="0019372E" w:rsidRDefault="000E2C0A" w:rsidP="00724BF8">
      <w:pPr>
        <w:rPr>
          <w:b/>
          <w:bCs/>
        </w:rPr>
      </w:pPr>
      <w:r w:rsidRPr="004725CA">
        <w:rPr>
          <w:rFonts w:cs="Arial"/>
          <w:b/>
        </w:rPr>
        <w:t xml:space="preserve">Stavební produkce </w:t>
      </w:r>
      <w:r w:rsidRPr="004725CA">
        <w:rPr>
          <w:rFonts w:cs="Arial"/>
        </w:rPr>
        <w:t>v</w:t>
      </w:r>
      <w:r>
        <w:rPr>
          <w:rFonts w:cs="Arial"/>
        </w:rPr>
        <w:t>e</w:t>
      </w:r>
      <w:r w:rsidRPr="004725CA">
        <w:rPr>
          <w:rFonts w:cs="Arial"/>
        </w:rPr>
        <w:t xml:space="preserve"> </w:t>
      </w:r>
      <w:r w:rsidR="00AD06DB">
        <w:rPr>
          <w:rFonts w:cs="Arial"/>
        </w:rPr>
        <w:t>4</w:t>
      </w:r>
      <w:r w:rsidRPr="004725CA">
        <w:rPr>
          <w:rFonts w:cs="Arial"/>
        </w:rPr>
        <w:t>. čtvrtletí 20</w:t>
      </w:r>
      <w:r>
        <w:rPr>
          <w:rFonts w:cs="Arial"/>
        </w:rPr>
        <w:t>21</w:t>
      </w:r>
      <w:r w:rsidRPr="004725CA">
        <w:rPr>
          <w:rFonts w:cs="Arial"/>
        </w:rPr>
        <w:t xml:space="preserve"> byla reálně v porovnání s </w:t>
      </w:r>
      <w:r w:rsidR="00AD06DB">
        <w:rPr>
          <w:rFonts w:cs="Arial"/>
        </w:rPr>
        <w:t>3</w:t>
      </w:r>
      <w:r w:rsidRPr="004725CA">
        <w:rPr>
          <w:rFonts w:cs="Arial"/>
        </w:rPr>
        <w:t>.</w:t>
      </w:r>
      <w:r>
        <w:rPr>
          <w:rFonts w:cs="Arial"/>
        </w:rPr>
        <w:t> </w:t>
      </w:r>
      <w:r w:rsidRPr="004725CA">
        <w:rPr>
          <w:rFonts w:cs="Arial"/>
        </w:rPr>
        <w:t>čtvrtletím 20</w:t>
      </w:r>
      <w:r>
        <w:rPr>
          <w:rFonts w:cs="Arial"/>
        </w:rPr>
        <w:t>21</w:t>
      </w:r>
      <w:r w:rsidRPr="004725CA">
        <w:rPr>
          <w:rFonts w:cs="Arial"/>
        </w:rPr>
        <w:t xml:space="preserve"> </w:t>
      </w:r>
      <w:r w:rsidR="00D26AA6">
        <w:rPr>
          <w:rFonts w:cs="Arial"/>
        </w:rPr>
        <w:t>vyšší</w:t>
      </w:r>
      <w:r w:rsidRPr="004725CA">
        <w:rPr>
          <w:rFonts w:cs="Arial"/>
        </w:rPr>
        <w:t xml:space="preserve"> o</w:t>
      </w:r>
      <w:r>
        <w:rPr>
          <w:rFonts w:cs="Arial"/>
        </w:rPr>
        <w:t> </w:t>
      </w:r>
      <w:r w:rsidR="00D26AA6">
        <w:rPr>
          <w:rFonts w:cs="Arial"/>
        </w:rPr>
        <w:t>1</w:t>
      </w:r>
      <w:r>
        <w:rPr>
          <w:rFonts w:cs="Arial"/>
        </w:rPr>
        <w:t>,</w:t>
      </w:r>
      <w:r w:rsidR="00D26AA6">
        <w:rPr>
          <w:rFonts w:cs="Arial"/>
        </w:rPr>
        <w:t>9</w:t>
      </w:r>
      <w:r w:rsidRPr="004725CA">
        <w:rPr>
          <w:rFonts w:cs="Arial"/>
        </w:rPr>
        <w:t xml:space="preserve"> %. </w:t>
      </w:r>
      <w:r w:rsidRPr="00B6560E">
        <w:rPr>
          <w:rFonts w:cs="Arial"/>
        </w:rPr>
        <w:t>Meziročně</w:t>
      </w:r>
      <w:r w:rsidRPr="00B6560E">
        <w:rPr>
          <w:rStyle w:val="Zdraznn"/>
          <w:rFonts w:ascii="Arial" w:hAnsi="Arial" w:cs="Arial"/>
          <w:szCs w:val="20"/>
        </w:rPr>
        <w:t xml:space="preserve"> </w:t>
      </w:r>
      <w:r w:rsidRPr="00B6560E">
        <w:rPr>
          <w:rStyle w:val="Zdraznn"/>
          <w:rFonts w:ascii="Arial" w:hAnsi="Arial" w:cs="Arial"/>
          <w:i w:val="0"/>
          <w:szCs w:val="20"/>
        </w:rPr>
        <w:t xml:space="preserve">produkce </w:t>
      </w:r>
      <w:r>
        <w:rPr>
          <w:rStyle w:val="Zdraznn"/>
          <w:rFonts w:ascii="Arial" w:hAnsi="Arial" w:cs="Arial"/>
          <w:i w:val="0"/>
          <w:szCs w:val="20"/>
        </w:rPr>
        <w:t>vzrostla</w:t>
      </w:r>
      <w:r w:rsidRPr="004725CA">
        <w:rPr>
          <w:rStyle w:val="Zdraznn"/>
          <w:rFonts w:ascii="Arial" w:hAnsi="Arial" w:cs="Arial"/>
          <w:i w:val="0"/>
          <w:szCs w:val="20"/>
        </w:rPr>
        <w:t xml:space="preserve"> o </w:t>
      </w:r>
      <w:r w:rsidR="00785753">
        <w:rPr>
          <w:rStyle w:val="Zdraznn"/>
          <w:rFonts w:ascii="Arial" w:hAnsi="Arial" w:cs="Arial"/>
          <w:i w:val="0"/>
          <w:szCs w:val="20"/>
        </w:rPr>
        <w:t>4</w:t>
      </w:r>
      <w:r w:rsidRPr="004725CA">
        <w:rPr>
          <w:rStyle w:val="Zdraznn"/>
          <w:rFonts w:ascii="Arial" w:hAnsi="Arial" w:cs="Arial"/>
          <w:i w:val="0"/>
          <w:szCs w:val="20"/>
        </w:rPr>
        <w:t>,</w:t>
      </w:r>
      <w:r w:rsidR="00785753">
        <w:rPr>
          <w:rStyle w:val="Zdraznn"/>
          <w:rFonts w:ascii="Arial" w:hAnsi="Arial" w:cs="Arial"/>
          <w:i w:val="0"/>
          <w:szCs w:val="20"/>
        </w:rPr>
        <w:t>3</w:t>
      </w:r>
      <w:r w:rsidRPr="004725CA">
        <w:rPr>
          <w:rStyle w:val="Zdraznn"/>
          <w:rFonts w:ascii="Arial" w:hAnsi="Arial" w:cs="Arial"/>
          <w:i w:val="0"/>
          <w:szCs w:val="20"/>
        </w:rPr>
        <w:t> %</w:t>
      </w:r>
      <w:r w:rsidRPr="004725CA">
        <w:rPr>
          <w:rFonts w:cs="Arial"/>
          <w:i/>
          <w:szCs w:val="20"/>
        </w:rPr>
        <w:t>.</w:t>
      </w:r>
      <w:r>
        <w:rPr>
          <w:rFonts w:cs="Arial"/>
          <w:szCs w:val="20"/>
        </w:rPr>
        <w:t xml:space="preserve"> </w:t>
      </w:r>
      <w:r w:rsidRPr="004725CA">
        <w:rPr>
          <w:rFonts w:cs="Arial"/>
        </w:rPr>
        <w:t>Produkce pozemního stavitelství</w:t>
      </w:r>
      <w:r>
        <w:rPr>
          <w:rFonts w:cs="Arial"/>
        </w:rPr>
        <w:t xml:space="preserve"> se</w:t>
      </w:r>
      <w:r w:rsidRPr="004725CA">
        <w:rPr>
          <w:rFonts w:cs="Arial"/>
        </w:rPr>
        <w:t xml:space="preserve"> meziročně </w:t>
      </w:r>
      <w:r>
        <w:rPr>
          <w:rFonts w:cs="Arial"/>
        </w:rPr>
        <w:lastRenderedPageBreak/>
        <w:t>zvýšila</w:t>
      </w:r>
      <w:r w:rsidRPr="004725CA">
        <w:rPr>
          <w:rFonts w:cs="Arial"/>
        </w:rPr>
        <w:t xml:space="preserve"> o </w:t>
      </w:r>
      <w:r w:rsidR="00785753">
        <w:rPr>
          <w:rFonts w:cs="Arial"/>
        </w:rPr>
        <w:t>7</w:t>
      </w:r>
      <w:r w:rsidRPr="004725CA">
        <w:rPr>
          <w:rFonts w:cs="Arial"/>
        </w:rPr>
        <w:t>,</w:t>
      </w:r>
      <w:r w:rsidR="00785753">
        <w:rPr>
          <w:rFonts w:cs="Arial"/>
        </w:rPr>
        <w:t>4</w:t>
      </w:r>
      <w:r w:rsidRPr="004725CA">
        <w:rPr>
          <w:rFonts w:cs="Arial"/>
        </w:rPr>
        <w:t xml:space="preserve"> % (příspěvek </w:t>
      </w:r>
      <w:r>
        <w:rPr>
          <w:rFonts w:cs="Arial"/>
        </w:rPr>
        <w:t>+</w:t>
      </w:r>
      <w:r w:rsidR="00785753">
        <w:rPr>
          <w:rFonts w:cs="Arial"/>
        </w:rPr>
        <w:t>5</w:t>
      </w:r>
      <w:r w:rsidRPr="004725CA">
        <w:rPr>
          <w:rFonts w:cs="Arial"/>
        </w:rPr>
        <w:t>,</w:t>
      </w:r>
      <w:r w:rsidR="00785753">
        <w:rPr>
          <w:rFonts w:cs="Arial"/>
        </w:rPr>
        <w:t>0</w:t>
      </w:r>
      <w:r w:rsidRPr="004725CA">
        <w:rPr>
          <w:rFonts w:cs="Arial"/>
        </w:rPr>
        <w:t xml:space="preserve"> p. b.) a inženýrské stavitelství zaznamenalo meziroční </w:t>
      </w:r>
      <w:r w:rsidR="00785753">
        <w:rPr>
          <w:rFonts w:cs="Arial"/>
        </w:rPr>
        <w:t>pokles</w:t>
      </w:r>
      <w:r w:rsidRPr="004725CA">
        <w:rPr>
          <w:rFonts w:cs="Arial"/>
        </w:rPr>
        <w:t xml:space="preserve"> o </w:t>
      </w:r>
      <w:r w:rsidR="00785753">
        <w:rPr>
          <w:rFonts w:cs="Arial"/>
        </w:rPr>
        <w:t>2</w:t>
      </w:r>
      <w:r>
        <w:rPr>
          <w:rFonts w:cs="Arial"/>
        </w:rPr>
        <w:t>,</w:t>
      </w:r>
      <w:r w:rsidR="00785753">
        <w:rPr>
          <w:rFonts w:cs="Arial"/>
        </w:rPr>
        <w:t>1</w:t>
      </w:r>
      <w:r w:rsidRPr="004725CA">
        <w:rPr>
          <w:rFonts w:cs="Arial"/>
        </w:rPr>
        <w:t xml:space="preserve"> % (příspěvek </w:t>
      </w:r>
      <w:r w:rsidR="00785753">
        <w:rPr>
          <w:rFonts w:cs="Arial"/>
        </w:rPr>
        <w:t>-0</w:t>
      </w:r>
      <w:r w:rsidRPr="004725CA">
        <w:rPr>
          <w:rFonts w:cs="Arial"/>
        </w:rPr>
        <w:t>,</w:t>
      </w:r>
      <w:r w:rsidR="00785753">
        <w:rPr>
          <w:rFonts w:cs="Arial"/>
        </w:rPr>
        <w:t>7</w:t>
      </w:r>
      <w:r w:rsidRPr="004725CA">
        <w:rPr>
          <w:rFonts w:cs="Arial"/>
        </w:rPr>
        <w:t> p. b.).</w:t>
      </w:r>
      <w:r>
        <w:rPr>
          <w:rFonts w:cs="Arial"/>
        </w:rPr>
        <w:t xml:space="preserve"> </w:t>
      </w:r>
    </w:p>
    <w:p w:rsidR="000E2C0A" w:rsidRDefault="000E2C0A" w:rsidP="00724BF8">
      <w:pPr>
        <w:spacing w:before="120"/>
        <w:rPr>
          <w:color w:val="FF0000"/>
        </w:rPr>
      </w:pPr>
      <w:r>
        <w:rPr>
          <w:b/>
          <w:bCs/>
        </w:rPr>
        <w:t>Průměrný evidenční počet zaměstnanců</w:t>
      </w:r>
      <w:r>
        <w:rPr>
          <w:rFonts w:cs="Arial"/>
          <w:b/>
          <w:bCs/>
          <w:szCs w:val="20"/>
          <w:vertAlign w:val="superscript"/>
        </w:rPr>
        <w:t xml:space="preserve"> </w:t>
      </w:r>
      <w:r>
        <w:t>ve stavebnictví se ve </w:t>
      </w:r>
      <w:r w:rsidR="00AD06DB">
        <w:t>4</w:t>
      </w:r>
      <w:r>
        <w:t>. čtvrtletí 2021 meziročně</w:t>
      </w:r>
      <w:r>
        <w:rPr>
          <w:bCs/>
        </w:rPr>
        <w:t xml:space="preserve"> </w:t>
      </w:r>
      <w:r>
        <w:t>snížil o </w:t>
      </w:r>
      <w:r w:rsidR="00785753">
        <w:t>1</w:t>
      </w:r>
      <w:r>
        <w:t>,</w:t>
      </w:r>
      <w:r w:rsidR="00785753">
        <w:t>1</w:t>
      </w:r>
      <w:r>
        <w:t xml:space="preserve"> %. </w:t>
      </w:r>
      <w:r>
        <w:rPr>
          <w:b/>
        </w:rPr>
        <w:t>Průměrná hrubá měsíční nominální mzda</w:t>
      </w:r>
      <w:r>
        <w:t xml:space="preserve"> těchto zaměstnanců ve </w:t>
      </w:r>
      <w:r w:rsidR="00AD06DB">
        <w:t>4</w:t>
      </w:r>
      <w:r>
        <w:t>. čtvrtletí 2021 meziročně vzrostla o </w:t>
      </w:r>
      <w:r w:rsidR="00785753">
        <w:t>6</w:t>
      </w:r>
      <w:r>
        <w:t>,</w:t>
      </w:r>
      <w:r w:rsidR="00785753">
        <w:t>3</w:t>
      </w:r>
      <w:r>
        <w:t> %.</w:t>
      </w:r>
    </w:p>
    <w:p w:rsidR="000E2C0A" w:rsidRPr="00AF5276" w:rsidRDefault="000E2C0A" w:rsidP="00724BF8">
      <w:pPr>
        <w:spacing w:before="120"/>
        <w:rPr>
          <w:rFonts w:cs="Arial"/>
          <w:b/>
          <w:bCs/>
          <w:szCs w:val="20"/>
          <w:highlight w:val="yellow"/>
        </w:rPr>
      </w:pPr>
      <w:r>
        <w:t>Stavební podniky s 50 a více zaměstnanci ve </w:t>
      </w:r>
      <w:r w:rsidR="00AD06DB">
        <w:t>4</w:t>
      </w:r>
      <w:r>
        <w:t>. čtvrtletí 2021</w:t>
      </w:r>
      <w:r w:rsidRPr="001A6501">
        <w:t xml:space="preserve"> </w:t>
      </w:r>
      <w:r>
        <w:t xml:space="preserve">v tuzemsku uzavřely </w:t>
      </w:r>
      <w:r w:rsidR="000E2DAC">
        <w:t>20</w:t>
      </w:r>
      <w:r w:rsidRPr="001A6501">
        <w:t> </w:t>
      </w:r>
      <w:r w:rsidR="000E2DAC">
        <w:t>812</w:t>
      </w:r>
      <w:r>
        <w:rPr>
          <w:b/>
        </w:rPr>
        <w:t xml:space="preserve"> stavebních zakázek </w:t>
      </w:r>
      <w:r w:rsidRPr="00D3634B">
        <w:t>a</w:t>
      </w:r>
      <w:r w:rsidRPr="00D3634B">
        <w:rPr>
          <w:bCs/>
        </w:rPr>
        <w:t xml:space="preserve"> </w:t>
      </w:r>
      <w:r>
        <w:t>meziročně tento počet vzrostl o </w:t>
      </w:r>
      <w:r w:rsidR="000E2DAC">
        <w:t>16</w:t>
      </w:r>
      <w:r w:rsidRPr="001A6501">
        <w:t>,</w:t>
      </w:r>
      <w:r w:rsidR="000E2DAC">
        <w:t>4</w:t>
      </w:r>
      <w:r w:rsidRPr="001A6501">
        <w:t> %</w:t>
      </w:r>
      <w:r>
        <w:t xml:space="preserve">. </w:t>
      </w:r>
      <w:r w:rsidRPr="001A6501">
        <w:rPr>
          <w:b/>
          <w:bCs/>
        </w:rPr>
        <w:t>Celková hodnota</w:t>
      </w:r>
      <w:r w:rsidRPr="001A6501">
        <w:t xml:space="preserve"> těchto zakázek </w:t>
      </w:r>
      <w:r>
        <w:t xml:space="preserve">se </w:t>
      </w:r>
      <w:r w:rsidRPr="001A6501">
        <w:t xml:space="preserve">meziročně </w:t>
      </w:r>
      <w:r>
        <w:t>zvýšila</w:t>
      </w:r>
      <w:r w:rsidRPr="001A6501">
        <w:t xml:space="preserve"> o </w:t>
      </w:r>
      <w:r w:rsidR="000E2DAC">
        <w:t>2</w:t>
      </w:r>
      <w:r w:rsidRPr="001A6501">
        <w:t>,</w:t>
      </w:r>
      <w:r w:rsidR="000E2DAC">
        <w:t>1</w:t>
      </w:r>
      <w:r w:rsidRPr="001A6501">
        <w:t xml:space="preserve"> % a činila </w:t>
      </w:r>
      <w:r w:rsidR="000E2DAC">
        <w:t>69</w:t>
      </w:r>
      <w:r w:rsidRPr="001A6501">
        <w:t>,</w:t>
      </w:r>
      <w:r w:rsidR="000E2DAC">
        <w:t>4</w:t>
      </w:r>
      <w:r w:rsidRPr="001A6501">
        <w:t xml:space="preserve"> mld. Kč, na pozemním stavitelství </w:t>
      </w:r>
      <w:r w:rsidR="000E2DAC">
        <w:t>31</w:t>
      </w:r>
      <w:r w:rsidRPr="001A6501">
        <w:t>,</w:t>
      </w:r>
      <w:r w:rsidR="000E2DAC">
        <w:t>0</w:t>
      </w:r>
      <w:r w:rsidRPr="001A6501">
        <w:t> mld. Kč (</w:t>
      </w:r>
      <w:r w:rsidR="000E2DAC">
        <w:t>pokles</w:t>
      </w:r>
      <w:r w:rsidRPr="001A6501">
        <w:t xml:space="preserve"> o </w:t>
      </w:r>
      <w:r w:rsidR="000E2DAC">
        <w:t>5</w:t>
      </w:r>
      <w:r w:rsidRPr="001A6501">
        <w:t>,</w:t>
      </w:r>
      <w:r w:rsidR="000E2DAC">
        <w:t>1</w:t>
      </w:r>
      <w:r w:rsidRPr="001A6501">
        <w:t xml:space="preserve"> %) </w:t>
      </w:r>
      <w:r w:rsidRPr="00AB2126">
        <w:t xml:space="preserve">a na inženýrském stavitelství </w:t>
      </w:r>
      <w:r w:rsidR="000E2DAC">
        <w:t>38</w:t>
      </w:r>
      <w:r w:rsidRPr="00AB2126">
        <w:t>,</w:t>
      </w:r>
      <w:r w:rsidR="000E2DAC">
        <w:t>4</w:t>
      </w:r>
      <w:r w:rsidRPr="00AB2126">
        <w:t> mld. Kč (</w:t>
      </w:r>
      <w:r>
        <w:t>růst</w:t>
      </w:r>
      <w:r w:rsidRPr="00AB2126">
        <w:t xml:space="preserve"> o </w:t>
      </w:r>
      <w:r w:rsidR="000E2DAC">
        <w:t>8</w:t>
      </w:r>
      <w:r w:rsidRPr="00AB2126">
        <w:t>,</w:t>
      </w:r>
      <w:r w:rsidR="000E2DAC">
        <w:t>6</w:t>
      </w:r>
      <w:r w:rsidRPr="00AB2126">
        <w:t xml:space="preserve"> %). Průměrná hodnota nově uzavřené stavební zakázky činila </w:t>
      </w:r>
      <w:r w:rsidR="005505F9">
        <w:t>3</w:t>
      </w:r>
      <w:r w:rsidRPr="00AB2126">
        <w:t>,</w:t>
      </w:r>
      <w:r w:rsidR="005505F9">
        <w:t>3</w:t>
      </w:r>
      <w:r w:rsidRPr="00AB2126">
        <w:t> mil. Kč a byla meziročně o </w:t>
      </w:r>
      <w:r w:rsidR="005505F9">
        <w:t>12</w:t>
      </w:r>
      <w:r w:rsidRPr="00AB2126">
        <w:t>,</w:t>
      </w:r>
      <w:r w:rsidR="005505F9">
        <w:t>3</w:t>
      </w:r>
      <w:r w:rsidRPr="00AB2126">
        <w:t xml:space="preserve"> % </w:t>
      </w:r>
      <w:r>
        <w:t>nižší</w:t>
      </w:r>
      <w:r w:rsidRPr="00AB2126">
        <w:t>.</w:t>
      </w:r>
      <w:r>
        <w:t xml:space="preserve"> </w:t>
      </w:r>
    </w:p>
    <w:p w:rsidR="000E2C0A" w:rsidRDefault="000E2C0A" w:rsidP="00724BF8">
      <w:pPr>
        <w:spacing w:before="120"/>
      </w:pPr>
      <w:r w:rsidRPr="0035008E">
        <w:rPr>
          <w:rFonts w:cs="Arial"/>
          <w:bCs/>
          <w:szCs w:val="20"/>
        </w:rPr>
        <w:t xml:space="preserve">Stavební úřady </w:t>
      </w:r>
      <w:r>
        <w:t>ve </w:t>
      </w:r>
      <w:r w:rsidR="00AD06DB">
        <w:t>4</w:t>
      </w:r>
      <w:r>
        <w:t xml:space="preserve">. čtvrtletí 2021 </w:t>
      </w:r>
      <w:r w:rsidRPr="0035008E">
        <w:rPr>
          <w:rFonts w:cs="Arial"/>
          <w:bCs/>
          <w:szCs w:val="20"/>
        </w:rPr>
        <w:t xml:space="preserve">vydaly </w:t>
      </w:r>
      <w:r w:rsidR="004468BF">
        <w:t>23</w:t>
      </w:r>
      <w:r>
        <w:t> </w:t>
      </w:r>
      <w:r w:rsidR="004468BF">
        <w:t>036</w:t>
      </w:r>
      <w:r>
        <w:rPr>
          <w:rFonts w:cs="Arial"/>
          <w:b/>
          <w:bCs/>
          <w:szCs w:val="20"/>
        </w:rPr>
        <w:t xml:space="preserve"> stavebních povolení, </w:t>
      </w:r>
      <w:r>
        <w:rPr>
          <w:rFonts w:cs="Arial"/>
          <w:szCs w:val="20"/>
        </w:rPr>
        <w:t>meziročně o </w:t>
      </w:r>
      <w:r w:rsidR="004468BF">
        <w:rPr>
          <w:rFonts w:cs="Arial"/>
          <w:szCs w:val="20"/>
        </w:rPr>
        <w:t>6</w:t>
      </w:r>
      <w:r>
        <w:rPr>
          <w:rFonts w:cs="Arial"/>
          <w:szCs w:val="20"/>
        </w:rPr>
        <w:t>,</w:t>
      </w:r>
      <w:r w:rsidR="004F71D5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 více.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4468BF">
        <w:t>137</w:t>
      </w:r>
      <w:r>
        <w:t>,</w:t>
      </w:r>
      <w:r w:rsidR="004468BF">
        <w:t>8</w:t>
      </w:r>
      <w:r>
        <w:t xml:space="preserve"> mld. Kč a ve srovnání se stejným obdobím roku 2020 </w:t>
      </w:r>
      <w:r w:rsidRPr="00F612FE">
        <w:rPr>
          <w:rFonts w:cs="Arial"/>
          <w:szCs w:val="20"/>
        </w:rPr>
        <w:t>vzrostl</w:t>
      </w:r>
      <w:r>
        <w:rPr>
          <w:rFonts w:cs="Arial"/>
          <w:szCs w:val="20"/>
        </w:rPr>
        <w:t>a</w:t>
      </w:r>
      <w:r>
        <w:t xml:space="preserve"> o </w:t>
      </w:r>
      <w:r w:rsidR="004468BF">
        <w:t>33</w:t>
      </w:r>
      <w:r>
        <w:t>,</w:t>
      </w:r>
      <w:r w:rsidR="004468BF">
        <w:t>5</w:t>
      </w:r>
      <w:r>
        <w:t> %.</w:t>
      </w:r>
    </w:p>
    <w:p w:rsidR="00AD06DB" w:rsidRDefault="000E2C0A" w:rsidP="00724BF8">
      <w:pPr>
        <w:spacing w:before="120"/>
      </w:pPr>
      <w:r>
        <w:rPr>
          <w:b/>
        </w:rPr>
        <w:t>Počet zahájených bytů</w:t>
      </w:r>
      <w:r>
        <w:t xml:space="preserve"> ve </w:t>
      </w:r>
      <w:r w:rsidR="00AD06DB">
        <w:t>4</w:t>
      </w:r>
      <w:r>
        <w:t xml:space="preserve">. čtvrtletí 2021 meziročně </w:t>
      </w:r>
      <w:r>
        <w:rPr>
          <w:rFonts w:cs="Arial"/>
          <w:szCs w:val="20"/>
        </w:rPr>
        <w:t>vzrostl</w:t>
      </w:r>
      <w:r>
        <w:t xml:space="preserve"> o </w:t>
      </w:r>
      <w:r w:rsidR="00744E08">
        <w:t>58</w:t>
      </w:r>
      <w:r>
        <w:t>,</w:t>
      </w:r>
      <w:r w:rsidR="00744E08">
        <w:t>1</w:t>
      </w:r>
      <w:r>
        <w:t xml:space="preserve"> % a činil </w:t>
      </w:r>
      <w:r w:rsidR="00744E08">
        <w:t>12</w:t>
      </w:r>
      <w:r>
        <w:t> </w:t>
      </w:r>
      <w:r w:rsidR="00744E08">
        <w:t>809</w:t>
      </w:r>
      <w:r>
        <w:t xml:space="preserve"> bytů. Počet zahájených bytů v rodinných domech </w:t>
      </w:r>
      <w:r>
        <w:rPr>
          <w:rFonts w:cs="Arial"/>
          <w:szCs w:val="20"/>
        </w:rPr>
        <w:t>rostl</w:t>
      </w:r>
      <w:r>
        <w:t xml:space="preserve"> o </w:t>
      </w:r>
      <w:r w:rsidR="00744E08">
        <w:t>29</w:t>
      </w:r>
      <w:r>
        <w:t>,</w:t>
      </w:r>
      <w:r w:rsidR="00744E08">
        <w:t>0</w:t>
      </w:r>
      <w:r>
        <w:t> %, u bytů v bytových domech byl zaznamenán růst o </w:t>
      </w:r>
      <w:r w:rsidR="00CD3128">
        <w:t>1</w:t>
      </w:r>
      <w:r w:rsidR="00744E08">
        <w:t>57</w:t>
      </w:r>
      <w:r>
        <w:t>,</w:t>
      </w:r>
      <w:r w:rsidR="00744E08">
        <w:t>8</w:t>
      </w:r>
      <w:r>
        <w:t xml:space="preserve"> %. </w:t>
      </w:r>
    </w:p>
    <w:p w:rsidR="000E2C0A" w:rsidRDefault="000E2C0A" w:rsidP="00724BF8">
      <w:pPr>
        <w:spacing w:before="120"/>
      </w:pPr>
      <w:r>
        <w:rPr>
          <w:b/>
          <w:bCs/>
        </w:rPr>
        <w:t>Počet dokončených bytů</w:t>
      </w:r>
      <w:r>
        <w:t xml:space="preserve"> ve </w:t>
      </w:r>
      <w:r w:rsidR="00297C0A">
        <w:t>4</w:t>
      </w:r>
      <w:r>
        <w:t xml:space="preserve">. čtvrtletí 2021 meziročně </w:t>
      </w:r>
      <w:r>
        <w:rPr>
          <w:rFonts w:cs="Arial"/>
          <w:szCs w:val="20"/>
        </w:rPr>
        <w:t>klesl</w:t>
      </w:r>
      <w:r>
        <w:t xml:space="preserve"> o </w:t>
      </w:r>
      <w:r w:rsidR="00060B81">
        <w:t>6</w:t>
      </w:r>
      <w:r>
        <w:t>,</w:t>
      </w:r>
      <w:r w:rsidR="00060B81">
        <w:t>7</w:t>
      </w:r>
      <w:r>
        <w:t xml:space="preserve"> % a činil </w:t>
      </w:r>
      <w:r w:rsidR="00060B81">
        <w:t>10</w:t>
      </w:r>
      <w:r>
        <w:t> </w:t>
      </w:r>
      <w:r w:rsidR="00060B81">
        <w:t>368</w:t>
      </w:r>
      <w:r>
        <w:t xml:space="preserve"> bytů. Počet dokončených bytů v rodinných domech klesl o </w:t>
      </w:r>
      <w:r w:rsidR="00060B81">
        <w:t>0</w:t>
      </w:r>
      <w:r>
        <w:t>,</w:t>
      </w:r>
      <w:r w:rsidR="00060B81">
        <w:t>9</w:t>
      </w:r>
      <w:r>
        <w:t> %,</w:t>
      </w:r>
      <w:r w:rsidRPr="00DB54B5">
        <w:t xml:space="preserve"> </w:t>
      </w:r>
      <w:r>
        <w:t xml:space="preserve">u bytových domů byl </w:t>
      </w:r>
      <w:r w:rsidR="00060B81">
        <w:t>pokles</w:t>
      </w:r>
      <w:r>
        <w:t xml:space="preserve"> o </w:t>
      </w:r>
      <w:r w:rsidR="00060B81">
        <w:t>23</w:t>
      </w:r>
      <w:r>
        <w:t>,</w:t>
      </w:r>
      <w:r w:rsidR="00060B81">
        <w:t>1</w:t>
      </w:r>
      <w:r>
        <w:t> %.</w:t>
      </w:r>
    </w:p>
    <w:p w:rsidR="00AD06DB" w:rsidRPr="0045300C" w:rsidRDefault="00AD06DB" w:rsidP="00724BF8">
      <w:pPr>
        <w:spacing w:before="120"/>
        <w:rPr>
          <w:rFonts w:cs="Arial"/>
          <w:b/>
          <w:bCs/>
          <w:szCs w:val="20"/>
        </w:rPr>
      </w:pPr>
      <w:r w:rsidRPr="0045300C">
        <w:rPr>
          <w:rFonts w:cs="Arial"/>
          <w:b/>
          <w:bCs/>
          <w:szCs w:val="20"/>
        </w:rPr>
        <w:t>Stavebnictví v roce 20</w:t>
      </w:r>
      <w:r>
        <w:rPr>
          <w:rFonts w:cs="Arial"/>
          <w:b/>
          <w:bCs/>
          <w:szCs w:val="20"/>
        </w:rPr>
        <w:t>2</w:t>
      </w:r>
      <w:r w:rsidR="00297C0A">
        <w:rPr>
          <w:rFonts w:cs="Arial"/>
          <w:b/>
          <w:bCs/>
          <w:szCs w:val="20"/>
        </w:rPr>
        <w:t>1</w:t>
      </w:r>
    </w:p>
    <w:p w:rsidR="00AD06DB" w:rsidRPr="009778B3" w:rsidRDefault="00AD06DB" w:rsidP="00724BF8">
      <w:pPr>
        <w:rPr>
          <w:b/>
          <w:bCs/>
        </w:rPr>
      </w:pPr>
      <w:r w:rsidRPr="0045300C">
        <w:rPr>
          <w:rFonts w:cs="Arial"/>
          <w:b/>
          <w:szCs w:val="20"/>
        </w:rPr>
        <w:t xml:space="preserve">Stavební produkce </w:t>
      </w:r>
      <w:r w:rsidRPr="0045300C">
        <w:rPr>
          <w:rFonts w:cs="Arial"/>
          <w:szCs w:val="20"/>
        </w:rPr>
        <w:t>v roce 20</w:t>
      </w:r>
      <w:r>
        <w:rPr>
          <w:rFonts w:cs="Arial"/>
          <w:szCs w:val="20"/>
        </w:rPr>
        <w:t>2</w:t>
      </w:r>
      <w:r w:rsidR="00297C0A">
        <w:rPr>
          <w:rFonts w:cs="Arial"/>
          <w:szCs w:val="20"/>
        </w:rPr>
        <w:t>1</w:t>
      </w:r>
      <w:r w:rsidRPr="0045300C">
        <w:rPr>
          <w:rFonts w:cs="Arial"/>
          <w:szCs w:val="20"/>
        </w:rPr>
        <w:t xml:space="preserve"> reálně meziročně </w:t>
      </w:r>
      <w:r w:rsidR="00080B19">
        <w:rPr>
          <w:rFonts w:cs="Arial"/>
          <w:szCs w:val="20"/>
        </w:rPr>
        <w:t>vzrostla</w:t>
      </w:r>
      <w:r w:rsidRPr="0045300C">
        <w:rPr>
          <w:rFonts w:cs="Arial"/>
          <w:szCs w:val="20"/>
        </w:rPr>
        <w:t xml:space="preserve"> o </w:t>
      </w:r>
      <w:r w:rsidR="00080B19">
        <w:rPr>
          <w:rFonts w:cs="Arial"/>
          <w:szCs w:val="20"/>
        </w:rPr>
        <w:t>1</w:t>
      </w:r>
      <w:r w:rsidRPr="0045300C">
        <w:rPr>
          <w:rFonts w:cs="Arial"/>
          <w:szCs w:val="20"/>
        </w:rPr>
        <w:t>,</w:t>
      </w:r>
      <w:r w:rsidR="00080B19">
        <w:rPr>
          <w:rFonts w:cs="Arial"/>
          <w:szCs w:val="20"/>
        </w:rPr>
        <w:t>4</w:t>
      </w:r>
      <w:r w:rsidRPr="0045300C">
        <w:rPr>
          <w:rFonts w:cs="Arial"/>
          <w:szCs w:val="20"/>
        </w:rPr>
        <w:t xml:space="preserve"> %. </w:t>
      </w:r>
      <w:r w:rsidRPr="00486DF5">
        <w:rPr>
          <w:rFonts w:cs="Arial"/>
          <w:szCs w:val="20"/>
        </w:rPr>
        <w:t xml:space="preserve">Produkce pozemního stavitelství </w:t>
      </w:r>
      <w:r>
        <w:rPr>
          <w:rFonts w:cs="Arial"/>
          <w:szCs w:val="20"/>
        </w:rPr>
        <w:t xml:space="preserve">se </w:t>
      </w:r>
      <w:r w:rsidRPr="00486DF5">
        <w:rPr>
          <w:rFonts w:cs="Arial"/>
          <w:szCs w:val="20"/>
        </w:rPr>
        <w:t xml:space="preserve">meziročně </w:t>
      </w:r>
      <w:r w:rsidR="00080B19">
        <w:rPr>
          <w:rFonts w:cs="Arial"/>
          <w:szCs w:val="20"/>
        </w:rPr>
        <w:t>zvýšila</w:t>
      </w:r>
      <w:r w:rsidRPr="00486DF5">
        <w:rPr>
          <w:rFonts w:cs="Arial"/>
          <w:szCs w:val="20"/>
        </w:rPr>
        <w:t xml:space="preserve"> o </w:t>
      </w:r>
      <w:r w:rsidR="00080B19">
        <w:rPr>
          <w:rFonts w:cs="Arial"/>
          <w:szCs w:val="20"/>
        </w:rPr>
        <w:t>1</w:t>
      </w:r>
      <w:r w:rsidRPr="00486DF5">
        <w:rPr>
          <w:rFonts w:cs="Arial"/>
          <w:szCs w:val="20"/>
        </w:rPr>
        <w:t>,</w:t>
      </w:r>
      <w:r w:rsidR="00080B19">
        <w:rPr>
          <w:rFonts w:cs="Arial"/>
          <w:szCs w:val="20"/>
        </w:rPr>
        <w:t>5</w:t>
      </w:r>
      <w:r w:rsidRPr="00486DF5">
        <w:rPr>
          <w:rFonts w:cs="Arial"/>
          <w:szCs w:val="20"/>
        </w:rPr>
        <w:t xml:space="preserve"> % (příspěvek </w:t>
      </w:r>
      <w:r w:rsidR="00080B19">
        <w:rPr>
          <w:rFonts w:cs="Arial"/>
          <w:szCs w:val="20"/>
        </w:rPr>
        <w:t>+1</w:t>
      </w:r>
      <w:r w:rsidRPr="00486DF5">
        <w:rPr>
          <w:rFonts w:cs="Arial"/>
          <w:szCs w:val="20"/>
        </w:rPr>
        <w:t>,</w:t>
      </w:r>
      <w:r w:rsidR="00080B19">
        <w:rPr>
          <w:rFonts w:cs="Arial"/>
          <w:szCs w:val="20"/>
        </w:rPr>
        <w:t>1</w:t>
      </w:r>
      <w:r w:rsidRPr="00486DF5">
        <w:rPr>
          <w:rFonts w:cs="Arial"/>
          <w:szCs w:val="20"/>
        </w:rPr>
        <w:t xml:space="preserve"> p. b.) a inženýrské stavitelství zaznamenalo meziroční </w:t>
      </w:r>
      <w:r w:rsidR="00080B19">
        <w:rPr>
          <w:rFonts w:cs="Arial"/>
          <w:szCs w:val="20"/>
        </w:rPr>
        <w:t>růst</w:t>
      </w:r>
      <w:r w:rsidRPr="00486DF5">
        <w:rPr>
          <w:rFonts w:cs="Arial"/>
          <w:szCs w:val="20"/>
        </w:rPr>
        <w:t xml:space="preserve"> stavební produkce o </w:t>
      </w:r>
      <w:r w:rsidR="00080B19">
        <w:rPr>
          <w:rFonts w:cs="Arial"/>
          <w:szCs w:val="20"/>
        </w:rPr>
        <w:t>1</w:t>
      </w:r>
      <w:r w:rsidRPr="00486DF5">
        <w:rPr>
          <w:rFonts w:cs="Arial"/>
          <w:szCs w:val="20"/>
        </w:rPr>
        <w:t>,</w:t>
      </w:r>
      <w:r w:rsidR="00080B19">
        <w:rPr>
          <w:rFonts w:cs="Arial"/>
          <w:szCs w:val="20"/>
        </w:rPr>
        <w:t>0</w:t>
      </w:r>
      <w:r w:rsidRPr="00486DF5">
        <w:rPr>
          <w:rFonts w:cs="Arial"/>
          <w:szCs w:val="20"/>
        </w:rPr>
        <w:t xml:space="preserve"> % (příspěvek </w:t>
      </w:r>
      <w:r w:rsidR="00080B19">
        <w:rPr>
          <w:rFonts w:cs="Arial"/>
          <w:szCs w:val="20"/>
        </w:rPr>
        <w:t>+0</w:t>
      </w:r>
      <w:r w:rsidRPr="00486DF5">
        <w:rPr>
          <w:rFonts w:cs="Arial"/>
          <w:szCs w:val="20"/>
        </w:rPr>
        <w:t>,</w:t>
      </w:r>
      <w:r w:rsidR="00080B19">
        <w:rPr>
          <w:rFonts w:cs="Arial"/>
          <w:szCs w:val="20"/>
        </w:rPr>
        <w:t>3</w:t>
      </w:r>
      <w:r w:rsidRPr="00486DF5">
        <w:rPr>
          <w:rFonts w:cs="Arial"/>
          <w:szCs w:val="20"/>
        </w:rPr>
        <w:t> p. b.).</w:t>
      </w:r>
      <w:r>
        <w:rPr>
          <w:rFonts w:cs="Arial"/>
          <w:szCs w:val="20"/>
        </w:rPr>
        <w:t xml:space="preserve"> </w:t>
      </w:r>
    </w:p>
    <w:p w:rsidR="00AD06DB" w:rsidRPr="00D91A34" w:rsidRDefault="00AD06DB" w:rsidP="00724BF8">
      <w:pPr>
        <w:spacing w:before="120"/>
        <w:rPr>
          <w:rFonts w:cs="Arial"/>
          <w:color w:val="FF0000"/>
          <w:szCs w:val="20"/>
        </w:rPr>
      </w:pPr>
      <w:r w:rsidRPr="00D91A34">
        <w:rPr>
          <w:rFonts w:cs="Arial"/>
          <w:b/>
          <w:bCs/>
          <w:szCs w:val="20"/>
        </w:rPr>
        <w:t>Průměrný evidenční počet zaměstnanců</w:t>
      </w:r>
      <w:r>
        <w:rPr>
          <w:rFonts w:cs="Arial"/>
          <w:b/>
          <w:bCs/>
          <w:szCs w:val="20"/>
        </w:rPr>
        <w:t xml:space="preserve"> </w:t>
      </w:r>
      <w:r w:rsidRPr="00D91A34">
        <w:rPr>
          <w:rFonts w:cs="Arial"/>
          <w:szCs w:val="20"/>
        </w:rPr>
        <w:t>ve stavebnictví se v roce 20</w:t>
      </w:r>
      <w:r>
        <w:rPr>
          <w:rFonts w:cs="Arial"/>
          <w:szCs w:val="20"/>
        </w:rPr>
        <w:t>2</w:t>
      </w:r>
      <w:r w:rsidR="00297C0A">
        <w:rPr>
          <w:rFonts w:cs="Arial"/>
          <w:szCs w:val="20"/>
        </w:rPr>
        <w:t>1</w:t>
      </w:r>
      <w:r w:rsidRPr="00D91A34">
        <w:rPr>
          <w:rFonts w:cs="Arial"/>
          <w:szCs w:val="20"/>
        </w:rPr>
        <w:t xml:space="preserve"> meziročně</w:t>
      </w:r>
      <w:r w:rsidRPr="00D91A34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snížil</w:t>
      </w:r>
      <w:r w:rsidRPr="00D91A34">
        <w:rPr>
          <w:rFonts w:cs="Arial"/>
          <w:szCs w:val="20"/>
        </w:rPr>
        <w:t xml:space="preserve"> o </w:t>
      </w:r>
      <w:r w:rsidR="000F38F4">
        <w:rPr>
          <w:rFonts w:cs="Arial"/>
          <w:szCs w:val="20"/>
        </w:rPr>
        <w:t>1</w:t>
      </w:r>
      <w:r w:rsidRPr="00D91A34">
        <w:rPr>
          <w:rFonts w:cs="Arial"/>
          <w:szCs w:val="20"/>
        </w:rPr>
        <w:t>,</w:t>
      </w:r>
      <w:r w:rsidR="000F38F4">
        <w:rPr>
          <w:rFonts w:cs="Arial"/>
          <w:szCs w:val="20"/>
        </w:rPr>
        <w:t>1</w:t>
      </w:r>
      <w:r w:rsidRPr="00D91A34">
        <w:rPr>
          <w:rFonts w:cs="Arial"/>
          <w:szCs w:val="20"/>
        </w:rPr>
        <w:t xml:space="preserve"> %. </w:t>
      </w:r>
      <w:r w:rsidRPr="00D91A34">
        <w:rPr>
          <w:rFonts w:cs="Arial"/>
          <w:b/>
          <w:szCs w:val="20"/>
        </w:rPr>
        <w:t xml:space="preserve">Průměrná </w:t>
      </w:r>
      <w:r>
        <w:rPr>
          <w:rFonts w:cs="Arial"/>
          <w:b/>
          <w:szCs w:val="20"/>
        </w:rPr>
        <w:t xml:space="preserve">hrubá měsíční </w:t>
      </w:r>
      <w:r w:rsidRPr="00D91A34">
        <w:rPr>
          <w:rFonts w:cs="Arial"/>
          <w:b/>
          <w:szCs w:val="20"/>
        </w:rPr>
        <w:t>nominální mzda</w:t>
      </w:r>
      <w:r w:rsidRPr="00D91A34">
        <w:rPr>
          <w:rFonts w:cs="Arial"/>
          <w:szCs w:val="20"/>
        </w:rPr>
        <w:t xml:space="preserve"> těchto zaměstnanců </w:t>
      </w:r>
      <w:r>
        <w:rPr>
          <w:rFonts w:cs="Arial"/>
          <w:szCs w:val="20"/>
        </w:rPr>
        <w:t>v roce 202</w:t>
      </w:r>
      <w:r w:rsidR="00297C0A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 </w:t>
      </w:r>
      <w:r w:rsidRPr="00D91A34">
        <w:rPr>
          <w:rFonts w:cs="Arial"/>
          <w:szCs w:val="20"/>
        </w:rPr>
        <w:t>meziročně vzrostla o </w:t>
      </w:r>
      <w:r w:rsidR="000F38F4">
        <w:rPr>
          <w:rFonts w:cs="Arial"/>
          <w:szCs w:val="20"/>
        </w:rPr>
        <w:t>5</w:t>
      </w:r>
      <w:r w:rsidRPr="00D91A34">
        <w:rPr>
          <w:rFonts w:cs="Arial"/>
          <w:szCs w:val="20"/>
        </w:rPr>
        <w:t>,</w:t>
      </w:r>
      <w:r w:rsidR="000F38F4">
        <w:rPr>
          <w:rFonts w:cs="Arial"/>
          <w:szCs w:val="20"/>
        </w:rPr>
        <w:t>1</w:t>
      </w:r>
      <w:r w:rsidRPr="00D91A34">
        <w:rPr>
          <w:rFonts w:cs="Arial"/>
          <w:szCs w:val="20"/>
        </w:rPr>
        <w:t> %.</w:t>
      </w:r>
    </w:p>
    <w:p w:rsidR="00AD06DB" w:rsidRDefault="00AD06DB" w:rsidP="00724BF8">
      <w:pPr>
        <w:spacing w:before="120"/>
        <w:rPr>
          <w:rFonts w:cs="Arial"/>
          <w:szCs w:val="20"/>
        </w:rPr>
      </w:pPr>
      <w:r w:rsidRPr="00486DF5">
        <w:rPr>
          <w:rFonts w:cs="Arial"/>
          <w:szCs w:val="20"/>
        </w:rPr>
        <w:t>Stavební podniky s 50 a více zaměstnanci v roce 20</w:t>
      </w:r>
      <w:r>
        <w:rPr>
          <w:rFonts w:cs="Arial"/>
          <w:szCs w:val="20"/>
        </w:rPr>
        <w:t>2</w:t>
      </w:r>
      <w:r w:rsidR="00297C0A">
        <w:rPr>
          <w:rFonts w:cs="Arial"/>
          <w:szCs w:val="20"/>
        </w:rPr>
        <w:t>1</w:t>
      </w:r>
      <w:r w:rsidRPr="00486DF5">
        <w:rPr>
          <w:rFonts w:cs="Arial"/>
          <w:szCs w:val="20"/>
        </w:rPr>
        <w:t xml:space="preserve"> v tuzemsku uzavřely </w:t>
      </w:r>
      <w:r w:rsidR="00EC50D0">
        <w:rPr>
          <w:rFonts w:cs="Arial"/>
          <w:szCs w:val="20"/>
        </w:rPr>
        <w:t>78</w:t>
      </w:r>
      <w:r w:rsidRPr="00486DF5">
        <w:rPr>
          <w:rFonts w:cs="Arial"/>
          <w:szCs w:val="20"/>
        </w:rPr>
        <w:t> </w:t>
      </w:r>
      <w:r w:rsidR="00EC50D0">
        <w:rPr>
          <w:rFonts w:cs="Arial"/>
          <w:szCs w:val="20"/>
        </w:rPr>
        <w:t>517</w:t>
      </w:r>
      <w:r w:rsidRPr="00486DF5">
        <w:rPr>
          <w:rFonts w:cs="Arial"/>
          <w:b/>
          <w:szCs w:val="20"/>
        </w:rPr>
        <w:t xml:space="preserve"> stavebních zakázek </w:t>
      </w:r>
      <w:r w:rsidRPr="00486DF5">
        <w:rPr>
          <w:rFonts w:cs="Arial"/>
          <w:szCs w:val="20"/>
        </w:rPr>
        <w:t>a</w:t>
      </w:r>
      <w:r w:rsidRPr="00486DF5">
        <w:rPr>
          <w:rFonts w:cs="Arial"/>
          <w:bCs/>
          <w:szCs w:val="20"/>
        </w:rPr>
        <w:t xml:space="preserve"> </w:t>
      </w:r>
      <w:r w:rsidRPr="00486DF5">
        <w:rPr>
          <w:rFonts w:cs="Arial"/>
          <w:szCs w:val="20"/>
        </w:rPr>
        <w:t xml:space="preserve">meziročně tento počet </w:t>
      </w:r>
      <w:r>
        <w:rPr>
          <w:rFonts w:cs="Arial"/>
          <w:szCs w:val="20"/>
        </w:rPr>
        <w:t>vzrostl</w:t>
      </w:r>
      <w:r w:rsidRPr="00486DF5">
        <w:rPr>
          <w:rFonts w:cs="Arial"/>
          <w:szCs w:val="20"/>
        </w:rPr>
        <w:t xml:space="preserve"> o </w:t>
      </w:r>
      <w:r w:rsidR="00EC50D0">
        <w:rPr>
          <w:rFonts w:cs="Arial"/>
          <w:szCs w:val="20"/>
        </w:rPr>
        <w:t>15</w:t>
      </w:r>
      <w:r w:rsidRPr="00486DF5">
        <w:rPr>
          <w:rFonts w:cs="Arial"/>
          <w:szCs w:val="20"/>
        </w:rPr>
        <w:t>,</w:t>
      </w:r>
      <w:r w:rsidR="00EC50D0">
        <w:rPr>
          <w:rFonts w:cs="Arial"/>
          <w:szCs w:val="20"/>
        </w:rPr>
        <w:t>3</w:t>
      </w:r>
      <w:r w:rsidRPr="00486DF5">
        <w:rPr>
          <w:rFonts w:cs="Arial"/>
          <w:szCs w:val="20"/>
        </w:rPr>
        <w:t xml:space="preserve"> %. </w:t>
      </w:r>
      <w:r w:rsidRPr="00486DF5">
        <w:rPr>
          <w:rFonts w:cs="Arial"/>
          <w:b/>
          <w:bCs/>
          <w:szCs w:val="20"/>
        </w:rPr>
        <w:t>Celková hodnota</w:t>
      </w:r>
      <w:r w:rsidRPr="00486DF5">
        <w:rPr>
          <w:rFonts w:cs="Arial"/>
          <w:szCs w:val="20"/>
        </w:rPr>
        <w:t xml:space="preserve"> těchto zakázek meziročně vzrostla o </w:t>
      </w:r>
      <w:r w:rsidR="00895B01">
        <w:rPr>
          <w:rFonts w:cs="Arial"/>
          <w:szCs w:val="20"/>
        </w:rPr>
        <w:t>14</w:t>
      </w:r>
      <w:r w:rsidRPr="00486DF5">
        <w:rPr>
          <w:rFonts w:cs="Arial"/>
          <w:szCs w:val="20"/>
        </w:rPr>
        <w:t>,</w:t>
      </w:r>
      <w:r w:rsidR="00895B01">
        <w:rPr>
          <w:rFonts w:cs="Arial"/>
          <w:szCs w:val="20"/>
        </w:rPr>
        <w:t>7</w:t>
      </w:r>
      <w:r w:rsidRPr="00486DF5">
        <w:rPr>
          <w:rFonts w:cs="Arial"/>
          <w:szCs w:val="20"/>
        </w:rPr>
        <w:t xml:space="preserve"> % a činila </w:t>
      </w:r>
      <w:r w:rsidR="00895B01">
        <w:rPr>
          <w:rFonts w:cs="Arial"/>
          <w:szCs w:val="20"/>
        </w:rPr>
        <w:t>290</w:t>
      </w:r>
      <w:r w:rsidRPr="00486DF5">
        <w:rPr>
          <w:rFonts w:cs="Arial"/>
          <w:szCs w:val="20"/>
        </w:rPr>
        <w:t>,</w:t>
      </w:r>
      <w:r w:rsidR="00895B01">
        <w:rPr>
          <w:rFonts w:cs="Arial"/>
          <w:szCs w:val="20"/>
        </w:rPr>
        <w:t>2</w:t>
      </w:r>
      <w:r w:rsidRPr="00486DF5">
        <w:rPr>
          <w:rFonts w:cs="Arial"/>
          <w:szCs w:val="20"/>
        </w:rPr>
        <w:t xml:space="preserve"> mld. Kč, v pozemním stavitelství </w:t>
      </w:r>
      <w:r w:rsidR="00895B01">
        <w:rPr>
          <w:rFonts w:cs="Arial"/>
          <w:szCs w:val="20"/>
        </w:rPr>
        <w:t>127</w:t>
      </w:r>
      <w:r w:rsidRPr="00486DF5">
        <w:rPr>
          <w:rFonts w:cs="Arial"/>
          <w:szCs w:val="20"/>
        </w:rPr>
        <w:t>,</w:t>
      </w:r>
      <w:r w:rsidR="00895B01">
        <w:rPr>
          <w:rFonts w:cs="Arial"/>
          <w:szCs w:val="20"/>
        </w:rPr>
        <w:t>2</w:t>
      </w:r>
      <w:r w:rsidRPr="00486DF5">
        <w:rPr>
          <w:rFonts w:cs="Arial"/>
          <w:szCs w:val="20"/>
        </w:rPr>
        <w:t> mld. Kč (</w:t>
      </w:r>
      <w:r>
        <w:rPr>
          <w:rFonts w:cs="Arial"/>
          <w:szCs w:val="20"/>
        </w:rPr>
        <w:t>růst</w:t>
      </w:r>
      <w:r w:rsidRPr="00486DF5">
        <w:rPr>
          <w:rFonts w:cs="Arial"/>
          <w:szCs w:val="20"/>
        </w:rPr>
        <w:t xml:space="preserve"> o </w:t>
      </w:r>
      <w:r w:rsidR="00895B01">
        <w:rPr>
          <w:rFonts w:cs="Arial"/>
          <w:szCs w:val="20"/>
        </w:rPr>
        <w:t>10</w:t>
      </w:r>
      <w:r w:rsidRPr="00486DF5">
        <w:rPr>
          <w:rFonts w:cs="Arial"/>
          <w:szCs w:val="20"/>
        </w:rPr>
        <w:t>,</w:t>
      </w:r>
      <w:r w:rsidR="00895B01">
        <w:rPr>
          <w:rFonts w:cs="Arial"/>
          <w:szCs w:val="20"/>
        </w:rPr>
        <w:t>2</w:t>
      </w:r>
      <w:r w:rsidRPr="00486DF5">
        <w:rPr>
          <w:rFonts w:cs="Arial"/>
          <w:szCs w:val="20"/>
        </w:rPr>
        <w:t xml:space="preserve"> %) a v inženýrském stavitelství </w:t>
      </w:r>
      <w:r w:rsidR="00895B01">
        <w:rPr>
          <w:rFonts w:cs="Arial"/>
          <w:szCs w:val="20"/>
        </w:rPr>
        <w:t>163</w:t>
      </w:r>
      <w:r w:rsidRPr="00486DF5">
        <w:rPr>
          <w:rFonts w:cs="Arial"/>
          <w:szCs w:val="20"/>
        </w:rPr>
        <w:t>,</w:t>
      </w:r>
      <w:r w:rsidR="00895B01">
        <w:rPr>
          <w:rFonts w:cs="Arial"/>
          <w:szCs w:val="20"/>
        </w:rPr>
        <w:t>0</w:t>
      </w:r>
      <w:r w:rsidRPr="00486DF5">
        <w:rPr>
          <w:rFonts w:cs="Arial"/>
          <w:szCs w:val="20"/>
        </w:rPr>
        <w:t> mld. Kč (</w:t>
      </w:r>
      <w:r w:rsidR="00895B01">
        <w:rPr>
          <w:rFonts w:cs="Arial"/>
          <w:szCs w:val="20"/>
        </w:rPr>
        <w:t>růst</w:t>
      </w:r>
      <w:r w:rsidRPr="00486DF5">
        <w:rPr>
          <w:rFonts w:cs="Arial"/>
          <w:szCs w:val="20"/>
        </w:rPr>
        <w:t xml:space="preserve"> o </w:t>
      </w:r>
      <w:r w:rsidR="00895B01">
        <w:rPr>
          <w:rFonts w:cs="Arial"/>
          <w:szCs w:val="20"/>
        </w:rPr>
        <w:t>18</w:t>
      </w:r>
      <w:r w:rsidRPr="00486DF5">
        <w:rPr>
          <w:rFonts w:cs="Arial"/>
          <w:szCs w:val="20"/>
        </w:rPr>
        <w:t>,</w:t>
      </w:r>
      <w:r w:rsidR="00895B01">
        <w:rPr>
          <w:rFonts w:cs="Arial"/>
          <w:szCs w:val="20"/>
        </w:rPr>
        <w:t>4</w:t>
      </w:r>
      <w:r w:rsidRPr="00486DF5">
        <w:rPr>
          <w:rFonts w:cs="Arial"/>
          <w:szCs w:val="20"/>
        </w:rPr>
        <w:t xml:space="preserve"> %). Průměrná hodnota nově uzavřené stavební zakázky činila </w:t>
      </w:r>
      <w:r w:rsidR="00D20085">
        <w:rPr>
          <w:rFonts w:cs="Arial"/>
          <w:szCs w:val="20"/>
        </w:rPr>
        <w:t>3</w:t>
      </w:r>
      <w:r w:rsidRPr="00486DF5">
        <w:rPr>
          <w:rFonts w:cs="Arial"/>
          <w:szCs w:val="20"/>
        </w:rPr>
        <w:t>,</w:t>
      </w:r>
      <w:r w:rsidR="00D20085">
        <w:rPr>
          <w:rFonts w:cs="Arial"/>
          <w:szCs w:val="20"/>
        </w:rPr>
        <w:t>7</w:t>
      </w:r>
      <w:r w:rsidRPr="00486DF5">
        <w:rPr>
          <w:rFonts w:cs="Arial"/>
          <w:szCs w:val="20"/>
        </w:rPr>
        <w:t> mil. Kč a </w:t>
      </w:r>
      <w:r w:rsidR="00FA3553" w:rsidRPr="00AB2126">
        <w:t>byla meziročně o </w:t>
      </w:r>
      <w:r w:rsidR="00D20085">
        <w:t>0</w:t>
      </w:r>
      <w:r w:rsidR="00FA3553" w:rsidRPr="00AB2126">
        <w:t>,</w:t>
      </w:r>
      <w:r w:rsidR="00D20085">
        <w:t>5</w:t>
      </w:r>
      <w:r w:rsidR="00FA3553" w:rsidRPr="00AB2126">
        <w:t xml:space="preserve"> % </w:t>
      </w:r>
      <w:r w:rsidR="00D20085">
        <w:t>niž</w:t>
      </w:r>
      <w:r w:rsidR="00FA3553">
        <w:t>ší</w:t>
      </w:r>
      <w:r w:rsidRPr="00486DF5">
        <w:rPr>
          <w:rFonts w:cs="Arial"/>
          <w:szCs w:val="20"/>
        </w:rPr>
        <w:t xml:space="preserve">. </w:t>
      </w:r>
    </w:p>
    <w:p w:rsidR="00AD06DB" w:rsidRPr="00486DF5" w:rsidRDefault="00AD06DB" w:rsidP="00724BF8">
      <w:pPr>
        <w:spacing w:before="120"/>
        <w:rPr>
          <w:rFonts w:cs="Arial"/>
          <w:szCs w:val="20"/>
        </w:rPr>
      </w:pPr>
      <w:r w:rsidRPr="00486DF5">
        <w:rPr>
          <w:rFonts w:cs="Arial"/>
          <w:szCs w:val="20"/>
        </w:rPr>
        <w:t>Ke konci roku 20</w:t>
      </w:r>
      <w:r>
        <w:rPr>
          <w:rFonts w:cs="Arial"/>
          <w:szCs w:val="20"/>
        </w:rPr>
        <w:t>2</w:t>
      </w:r>
      <w:r w:rsidR="00FA3553">
        <w:rPr>
          <w:rFonts w:cs="Arial"/>
          <w:szCs w:val="20"/>
        </w:rPr>
        <w:t>1</w:t>
      </w:r>
      <w:r w:rsidRPr="00486DF5">
        <w:rPr>
          <w:rFonts w:cs="Arial"/>
          <w:szCs w:val="20"/>
        </w:rPr>
        <w:t xml:space="preserve"> měly stavební podniky s 50 a více zaměstnanci celkem smluvně uzavřeno </w:t>
      </w:r>
      <w:r w:rsidR="003A722D">
        <w:rPr>
          <w:rFonts w:cs="Arial"/>
          <w:iCs/>
          <w:szCs w:val="20"/>
        </w:rPr>
        <w:t>19</w:t>
      </w:r>
      <w:r w:rsidRPr="00486DF5">
        <w:rPr>
          <w:rFonts w:cs="Arial"/>
          <w:iCs/>
          <w:szCs w:val="20"/>
        </w:rPr>
        <w:t>,</w:t>
      </w:r>
      <w:r w:rsidR="003A722D">
        <w:rPr>
          <w:rFonts w:cs="Arial"/>
          <w:iCs/>
          <w:szCs w:val="20"/>
        </w:rPr>
        <w:t>0</w:t>
      </w:r>
      <w:r w:rsidRPr="00486DF5">
        <w:rPr>
          <w:rFonts w:cs="Arial"/>
          <w:iCs/>
          <w:szCs w:val="20"/>
        </w:rPr>
        <w:t> </w:t>
      </w:r>
      <w:r w:rsidRPr="00486DF5">
        <w:rPr>
          <w:rFonts w:cs="Arial"/>
          <w:szCs w:val="20"/>
        </w:rPr>
        <w:t>tisíc zakázek (</w:t>
      </w:r>
      <w:r w:rsidR="003A722D">
        <w:rPr>
          <w:rFonts w:cs="Arial"/>
          <w:szCs w:val="20"/>
        </w:rPr>
        <w:t>růst</w:t>
      </w:r>
      <w:r w:rsidRPr="00486DF5">
        <w:t xml:space="preserve"> </w:t>
      </w:r>
      <w:r w:rsidRPr="00486DF5">
        <w:rPr>
          <w:rFonts w:cs="Arial"/>
          <w:szCs w:val="20"/>
        </w:rPr>
        <w:t>o </w:t>
      </w:r>
      <w:r w:rsidR="003A722D">
        <w:rPr>
          <w:rFonts w:cs="Arial"/>
          <w:szCs w:val="20"/>
        </w:rPr>
        <w:t>4</w:t>
      </w:r>
      <w:r w:rsidRPr="00486DF5">
        <w:rPr>
          <w:rFonts w:cs="Arial"/>
          <w:szCs w:val="20"/>
        </w:rPr>
        <w:t>,</w:t>
      </w:r>
      <w:r w:rsidR="003A722D">
        <w:rPr>
          <w:rFonts w:cs="Arial"/>
          <w:szCs w:val="20"/>
        </w:rPr>
        <w:t>8</w:t>
      </w:r>
      <w:r w:rsidRPr="00486DF5">
        <w:rPr>
          <w:rFonts w:cs="Arial"/>
          <w:szCs w:val="20"/>
        </w:rPr>
        <w:t xml:space="preserve"> %) a tyto zakázky představovaly zásobu dosud neprovedených stavebních prací v celkové hodnotě </w:t>
      </w:r>
      <w:r w:rsidR="003A722D">
        <w:rPr>
          <w:rFonts w:cs="Arial"/>
          <w:szCs w:val="20"/>
        </w:rPr>
        <w:t>225</w:t>
      </w:r>
      <w:r w:rsidRPr="00486DF5">
        <w:rPr>
          <w:rFonts w:cs="Arial"/>
          <w:szCs w:val="20"/>
        </w:rPr>
        <w:t>,</w:t>
      </w:r>
      <w:r w:rsidR="003A722D">
        <w:rPr>
          <w:rFonts w:cs="Arial"/>
          <w:szCs w:val="20"/>
        </w:rPr>
        <w:t>7</w:t>
      </w:r>
      <w:r w:rsidRPr="00486DF5">
        <w:rPr>
          <w:rFonts w:cs="Arial"/>
          <w:szCs w:val="20"/>
        </w:rPr>
        <w:t> mld. Kč (růst o </w:t>
      </w:r>
      <w:r w:rsidR="003A722D">
        <w:rPr>
          <w:rFonts w:cs="Arial"/>
          <w:szCs w:val="20"/>
        </w:rPr>
        <w:t>13</w:t>
      </w:r>
      <w:r w:rsidRPr="00486DF5">
        <w:rPr>
          <w:rFonts w:cs="Arial"/>
          <w:szCs w:val="20"/>
        </w:rPr>
        <w:t>,</w:t>
      </w:r>
      <w:r w:rsidR="003A722D">
        <w:rPr>
          <w:rFonts w:cs="Arial"/>
          <w:szCs w:val="20"/>
        </w:rPr>
        <w:t>2</w:t>
      </w:r>
      <w:r w:rsidRPr="00486DF5">
        <w:rPr>
          <w:rFonts w:cs="Arial"/>
          <w:szCs w:val="20"/>
        </w:rPr>
        <w:t> %).</w:t>
      </w:r>
    </w:p>
    <w:p w:rsidR="00AD06DB" w:rsidRPr="00D91A34" w:rsidRDefault="00AD06DB" w:rsidP="00724BF8">
      <w:pPr>
        <w:spacing w:before="120"/>
        <w:rPr>
          <w:rFonts w:cs="Arial"/>
          <w:szCs w:val="20"/>
        </w:rPr>
      </w:pPr>
      <w:r w:rsidRPr="00D91A34">
        <w:rPr>
          <w:rFonts w:cs="Arial"/>
          <w:b/>
          <w:szCs w:val="20"/>
        </w:rPr>
        <w:t>Počet vydaných stavebních povolení</w:t>
      </w:r>
      <w:r w:rsidRPr="00D91A34">
        <w:rPr>
          <w:rFonts w:cs="Arial"/>
          <w:szCs w:val="20"/>
        </w:rPr>
        <w:t xml:space="preserve"> v roce 20</w:t>
      </w:r>
      <w:r>
        <w:rPr>
          <w:rFonts w:cs="Arial"/>
          <w:szCs w:val="20"/>
        </w:rPr>
        <w:t>2</w:t>
      </w:r>
      <w:r w:rsidR="00FA3553">
        <w:rPr>
          <w:rFonts w:cs="Arial"/>
          <w:szCs w:val="20"/>
        </w:rPr>
        <w:t>1</w:t>
      </w:r>
      <w:r w:rsidRPr="00D91A34">
        <w:rPr>
          <w:rFonts w:cs="Arial"/>
          <w:szCs w:val="20"/>
        </w:rPr>
        <w:t xml:space="preserve"> meziročně </w:t>
      </w:r>
      <w:r w:rsidR="00771647" w:rsidRPr="00486DF5">
        <w:rPr>
          <w:rFonts w:cs="Arial"/>
          <w:szCs w:val="20"/>
        </w:rPr>
        <w:t>vzrostl</w:t>
      </w:r>
      <w:r w:rsidRPr="00D91A34">
        <w:rPr>
          <w:rFonts w:cs="Arial"/>
          <w:szCs w:val="20"/>
        </w:rPr>
        <w:t xml:space="preserve"> o </w:t>
      </w:r>
      <w:r w:rsidR="00771647">
        <w:rPr>
          <w:rFonts w:cs="Arial"/>
          <w:szCs w:val="20"/>
        </w:rPr>
        <w:t>5</w:t>
      </w:r>
      <w:r w:rsidRPr="00D91A34">
        <w:rPr>
          <w:rFonts w:cs="Arial"/>
          <w:szCs w:val="20"/>
        </w:rPr>
        <w:t>,</w:t>
      </w:r>
      <w:r w:rsidR="00771647">
        <w:rPr>
          <w:rFonts w:cs="Arial"/>
          <w:szCs w:val="20"/>
        </w:rPr>
        <w:t>8</w:t>
      </w:r>
      <w:r w:rsidRPr="00D91A34">
        <w:rPr>
          <w:rFonts w:cs="Arial"/>
          <w:szCs w:val="20"/>
        </w:rPr>
        <w:t xml:space="preserve"> %, stavební úřady jich vydaly </w:t>
      </w:r>
      <w:r w:rsidR="00771647">
        <w:rPr>
          <w:rFonts w:cs="Arial"/>
          <w:szCs w:val="20"/>
        </w:rPr>
        <w:t>90</w:t>
      </w:r>
      <w:r w:rsidRPr="00D91A34">
        <w:rPr>
          <w:rFonts w:cs="Arial"/>
          <w:szCs w:val="20"/>
        </w:rPr>
        <w:t> </w:t>
      </w:r>
      <w:r w:rsidR="00771647">
        <w:rPr>
          <w:rFonts w:cs="Arial"/>
          <w:szCs w:val="20"/>
        </w:rPr>
        <w:t>960</w:t>
      </w:r>
      <w:r w:rsidRPr="00D91A34">
        <w:rPr>
          <w:rFonts w:cs="Arial"/>
          <w:szCs w:val="20"/>
        </w:rPr>
        <w:t xml:space="preserve">. </w:t>
      </w:r>
      <w:r w:rsidRPr="00D91A34">
        <w:rPr>
          <w:rFonts w:cs="Arial"/>
          <w:b/>
          <w:szCs w:val="20"/>
        </w:rPr>
        <w:t xml:space="preserve">Orientační hodnota </w:t>
      </w:r>
      <w:r w:rsidRPr="00D91A34">
        <w:rPr>
          <w:rFonts w:cs="Arial"/>
          <w:bCs/>
          <w:szCs w:val="20"/>
        </w:rPr>
        <w:t>těchto staveb</w:t>
      </w:r>
      <w:r w:rsidRPr="00D91A34">
        <w:rPr>
          <w:rFonts w:cs="Arial"/>
          <w:szCs w:val="20"/>
        </w:rPr>
        <w:t xml:space="preserve"> činila </w:t>
      </w:r>
      <w:r w:rsidR="00771647">
        <w:rPr>
          <w:rFonts w:cs="Arial"/>
          <w:szCs w:val="20"/>
        </w:rPr>
        <w:t>521</w:t>
      </w:r>
      <w:r w:rsidRPr="00D91A34">
        <w:rPr>
          <w:rFonts w:cs="Arial"/>
          <w:szCs w:val="20"/>
        </w:rPr>
        <w:t>,</w:t>
      </w:r>
      <w:r w:rsidR="00771647">
        <w:rPr>
          <w:rFonts w:cs="Arial"/>
          <w:szCs w:val="20"/>
        </w:rPr>
        <w:t>9</w:t>
      </w:r>
      <w:r w:rsidRPr="00D91A34">
        <w:rPr>
          <w:rFonts w:cs="Arial"/>
          <w:szCs w:val="20"/>
        </w:rPr>
        <w:t> mld. Kč a v porovnání s rokem 20</w:t>
      </w:r>
      <w:r w:rsidR="00FA3553">
        <w:rPr>
          <w:rFonts w:cs="Arial"/>
          <w:szCs w:val="20"/>
        </w:rPr>
        <w:t>20</w:t>
      </w:r>
      <w:r w:rsidRPr="00D91A34">
        <w:rPr>
          <w:rFonts w:cs="Arial"/>
          <w:szCs w:val="20"/>
        </w:rPr>
        <w:t xml:space="preserve"> </w:t>
      </w:r>
      <w:r w:rsidR="00771647" w:rsidRPr="00486DF5">
        <w:rPr>
          <w:rFonts w:cs="Arial"/>
          <w:szCs w:val="20"/>
        </w:rPr>
        <w:t>vzrostla</w:t>
      </w:r>
      <w:r w:rsidRPr="00D91A34">
        <w:rPr>
          <w:rFonts w:cs="Arial"/>
          <w:szCs w:val="20"/>
        </w:rPr>
        <w:t xml:space="preserve"> o </w:t>
      </w:r>
      <w:r w:rsidR="00771647">
        <w:rPr>
          <w:rFonts w:cs="Arial"/>
          <w:szCs w:val="20"/>
        </w:rPr>
        <w:t>33</w:t>
      </w:r>
      <w:r w:rsidRPr="00D91A34">
        <w:rPr>
          <w:rFonts w:cs="Arial"/>
          <w:szCs w:val="20"/>
        </w:rPr>
        <w:t>,</w:t>
      </w:r>
      <w:r w:rsidR="00771647">
        <w:rPr>
          <w:rFonts w:cs="Arial"/>
          <w:szCs w:val="20"/>
        </w:rPr>
        <w:t>9</w:t>
      </w:r>
      <w:r w:rsidRPr="00D91A34">
        <w:rPr>
          <w:rFonts w:cs="Arial"/>
          <w:szCs w:val="20"/>
        </w:rPr>
        <w:t> %.</w:t>
      </w:r>
    </w:p>
    <w:p w:rsidR="00AD06DB" w:rsidRPr="00D91A34" w:rsidRDefault="00AD06DB" w:rsidP="00724BF8">
      <w:pPr>
        <w:spacing w:before="120"/>
        <w:rPr>
          <w:rFonts w:cs="Arial"/>
          <w:szCs w:val="20"/>
        </w:rPr>
      </w:pPr>
      <w:r w:rsidRPr="00D91A34">
        <w:rPr>
          <w:rFonts w:cs="Arial"/>
          <w:b/>
          <w:szCs w:val="20"/>
        </w:rPr>
        <w:t>Počet zahájených bytů</w:t>
      </w:r>
      <w:r w:rsidRPr="00D91A34">
        <w:rPr>
          <w:rFonts w:cs="Arial"/>
          <w:szCs w:val="20"/>
        </w:rPr>
        <w:t xml:space="preserve"> v roce 20</w:t>
      </w:r>
      <w:r>
        <w:rPr>
          <w:rFonts w:cs="Arial"/>
          <w:szCs w:val="20"/>
        </w:rPr>
        <w:t>2</w:t>
      </w:r>
      <w:r w:rsidR="00FA3553">
        <w:rPr>
          <w:rFonts w:cs="Arial"/>
          <w:szCs w:val="20"/>
        </w:rPr>
        <w:t>1</w:t>
      </w:r>
      <w:r w:rsidRPr="00D91A34">
        <w:rPr>
          <w:rFonts w:cs="Arial"/>
          <w:szCs w:val="20"/>
        </w:rPr>
        <w:t xml:space="preserve"> se meziročně </w:t>
      </w:r>
      <w:r w:rsidR="00744E08">
        <w:rPr>
          <w:rFonts w:cs="Arial"/>
          <w:szCs w:val="20"/>
        </w:rPr>
        <w:t>zvýš</w:t>
      </w:r>
      <w:r>
        <w:rPr>
          <w:rFonts w:cs="Arial"/>
          <w:szCs w:val="20"/>
        </w:rPr>
        <w:t>il</w:t>
      </w:r>
      <w:r w:rsidRPr="00D91A34">
        <w:rPr>
          <w:rFonts w:cs="Arial"/>
          <w:szCs w:val="20"/>
        </w:rPr>
        <w:t xml:space="preserve"> o </w:t>
      </w:r>
      <w:r w:rsidR="00744E08">
        <w:rPr>
          <w:rFonts w:cs="Arial"/>
          <w:szCs w:val="20"/>
        </w:rPr>
        <w:t>28</w:t>
      </w:r>
      <w:r>
        <w:rPr>
          <w:rFonts w:cs="Arial"/>
          <w:szCs w:val="20"/>
        </w:rPr>
        <w:t>,</w:t>
      </w:r>
      <w:r w:rsidR="00744E08">
        <w:rPr>
          <w:rFonts w:cs="Arial"/>
          <w:szCs w:val="20"/>
        </w:rPr>
        <w:t>3</w:t>
      </w:r>
      <w:r w:rsidRPr="00D91A34">
        <w:rPr>
          <w:rFonts w:cs="Arial"/>
          <w:szCs w:val="20"/>
        </w:rPr>
        <w:t xml:space="preserve"> % a činil </w:t>
      </w:r>
      <w:r w:rsidR="00744E08">
        <w:rPr>
          <w:rFonts w:cs="Arial"/>
          <w:szCs w:val="20"/>
        </w:rPr>
        <w:t>45</w:t>
      </w:r>
      <w:r>
        <w:rPr>
          <w:rFonts w:cs="Arial"/>
          <w:szCs w:val="20"/>
        </w:rPr>
        <w:t> </w:t>
      </w:r>
      <w:r w:rsidR="00744E08">
        <w:rPr>
          <w:rFonts w:cs="Arial"/>
          <w:szCs w:val="20"/>
        </w:rPr>
        <w:t>244</w:t>
      </w:r>
      <w:r w:rsidRPr="00D91A34">
        <w:rPr>
          <w:rFonts w:cs="Arial"/>
          <w:szCs w:val="20"/>
        </w:rPr>
        <w:t xml:space="preserve"> bytů. Počet zahájených bytů v rodinných domech </w:t>
      </w:r>
      <w:r w:rsidR="00744E08" w:rsidRPr="00486DF5">
        <w:rPr>
          <w:rFonts w:cs="Arial"/>
          <w:szCs w:val="20"/>
        </w:rPr>
        <w:t>vzrostl</w:t>
      </w:r>
      <w:r w:rsidRPr="00D91A34">
        <w:rPr>
          <w:rFonts w:cs="Arial"/>
          <w:szCs w:val="20"/>
        </w:rPr>
        <w:t xml:space="preserve"> o </w:t>
      </w:r>
      <w:r w:rsidR="00744E08">
        <w:rPr>
          <w:rFonts w:cs="Arial"/>
          <w:szCs w:val="20"/>
        </w:rPr>
        <w:t>9</w:t>
      </w:r>
      <w:r>
        <w:rPr>
          <w:rFonts w:cs="Arial"/>
          <w:szCs w:val="20"/>
        </w:rPr>
        <w:t>,</w:t>
      </w:r>
      <w:r w:rsidR="00744E08">
        <w:rPr>
          <w:rFonts w:cs="Arial"/>
          <w:szCs w:val="20"/>
        </w:rPr>
        <w:t>4</w:t>
      </w:r>
      <w:r>
        <w:rPr>
          <w:rFonts w:cs="Arial"/>
          <w:szCs w:val="20"/>
        </w:rPr>
        <w:t> </w:t>
      </w:r>
      <w:r w:rsidRPr="00D91A34">
        <w:rPr>
          <w:rFonts w:cs="Arial"/>
          <w:szCs w:val="20"/>
        </w:rPr>
        <w:t xml:space="preserve">%, v bytových domech byl </w:t>
      </w:r>
      <w:r w:rsidR="00744E08">
        <w:rPr>
          <w:rFonts w:cs="Arial"/>
          <w:szCs w:val="20"/>
        </w:rPr>
        <w:t>růst</w:t>
      </w:r>
      <w:r w:rsidRPr="00D91A34">
        <w:rPr>
          <w:rFonts w:cs="Arial"/>
          <w:szCs w:val="20"/>
        </w:rPr>
        <w:t xml:space="preserve"> o </w:t>
      </w:r>
      <w:r w:rsidR="00744E08">
        <w:rPr>
          <w:rFonts w:cs="Arial"/>
          <w:szCs w:val="20"/>
        </w:rPr>
        <w:t>84</w:t>
      </w:r>
      <w:r>
        <w:rPr>
          <w:rFonts w:cs="Arial"/>
          <w:szCs w:val="20"/>
        </w:rPr>
        <w:t>,</w:t>
      </w:r>
      <w:r w:rsidR="00744E08">
        <w:rPr>
          <w:rFonts w:cs="Arial"/>
          <w:szCs w:val="20"/>
        </w:rPr>
        <w:t>1</w:t>
      </w:r>
      <w:r w:rsidRPr="00D91A34">
        <w:rPr>
          <w:rFonts w:cs="Arial"/>
          <w:szCs w:val="20"/>
        </w:rPr>
        <w:t> %.</w:t>
      </w:r>
    </w:p>
    <w:p w:rsidR="00AD06DB" w:rsidRDefault="00AD06DB" w:rsidP="00724BF8">
      <w:pPr>
        <w:spacing w:before="120"/>
        <w:rPr>
          <w:rFonts w:cs="Arial"/>
          <w:szCs w:val="20"/>
        </w:rPr>
      </w:pPr>
      <w:r w:rsidRPr="00D91A34">
        <w:rPr>
          <w:rFonts w:cs="Arial"/>
          <w:b/>
          <w:bCs/>
          <w:szCs w:val="20"/>
        </w:rPr>
        <w:lastRenderedPageBreak/>
        <w:t>Počet dokončených bytů</w:t>
      </w:r>
      <w:r w:rsidRPr="00D91A34">
        <w:rPr>
          <w:rFonts w:cs="Arial"/>
          <w:szCs w:val="20"/>
        </w:rPr>
        <w:t xml:space="preserve"> v roce 20</w:t>
      </w:r>
      <w:r>
        <w:rPr>
          <w:rFonts w:cs="Arial"/>
          <w:szCs w:val="20"/>
        </w:rPr>
        <w:t>2</w:t>
      </w:r>
      <w:r w:rsidR="00FA3553">
        <w:rPr>
          <w:rFonts w:cs="Arial"/>
          <w:szCs w:val="20"/>
        </w:rPr>
        <w:t>1</w:t>
      </w:r>
      <w:r w:rsidRPr="00D91A34">
        <w:rPr>
          <w:rFonts w:cs="Arial"/>
          <w:szCs w:val="20"/>
        </w:rPr>
        <w:t xml:space="preserve"> se meziročně </w:t>
      </w:r>
      <w:r w:rsidR="00727CAF">
        <w:rPr>
          <w:rFonts w:cs="Arial"/>
          <w:szCs w:val="20"/>
        </w:rPr>
        <w:t>zvýšil</w:t>
      </w:r>
      <w:r w:rsidRPr="00D91A34">
        <w:rPr>
          <w:rFonts w:cs="Arial"/>
          <w:szCs w:val="20"/>
        </w:rPr>
        <w:t xml:space="preserve"> o </w:t>
      </w:r>
      <w:r w:rsidR="00727CAF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727CAF">
        <w:rPr>
          <w:rFonts w:cs="Arial"/>
          <w:szCs w:val="20"/>
        </w:rPr>
        <w:t>7</w:t>
      </w:r>
      <w:r w:rsidRPr="00D91A34">
        <w:rPr>
          <w:rFonts w:cs="Arial"/>
          <w:szCs w:val="20"/>
        </w:rPr>
        <w:t xml:space="preserve"> % a činil </w:t>
      </w:r>
      <w:r w:rsidR="00727CAF">
        <w:rPr>
          <w:rFonts w:cs="Arial"/>
          <w:szCs w:val="20"/>
        </w:rPr>
        <w:t>34</w:t>
      </w:r>
      <w:r>
        <w:rPr>
          <w:rFonts w:cs="Arial"/>
          <w:szCs w:val="20"/>
        </w:rPr>
        <w:t> </w:t>
      </w:r>
      <w:r w:rsidR="00727CAF">
        <w:rPr>
          <w:rFonts w:cs="Arial"/>
          <w:szCs w:val="20"/>
        </w:rPr>
        <w:t>641</w:t>
      </w:r>
      <w:r w:rsidRPr="00D91A34">
        <w:rPr>
          <w:rFonts w:cs="Arial"/>
          <w:szCs w:val="20"/>
        </w:rPr>
        <w:t xml:space="preserve"> bytů. Počet dokončených bytů v rodinných domech </w:t>
      </w:r>
      <w:r w:rsidR="00727CAF">
        <w:rPr>
          <w:rFonts w:cs="Arial"/>
          <w:szCs w:val="20"/>
        </w:rPr>
        <w:t>kles</w:t>
      </w:r>
      <w:r w:rsidRPr="00D91A34">
        <w:rPr>
          <w:rFonts w:cs="Arial"/>
          <w:szCs w:val="20"/>
        </w:rPr>
        <w:t>l o </w:t>
      </w:r>
      <w:r w:rsidR="00727CAF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727CAF">
        <w:rPr>
          <w:rFonts w:cs="Arial"/>
          <w:szCs w:val="20"/>
        </w:rPr>
        <w:t>0</w:t>
      </w:r>
      <w:r>
        <w:rPr>
          <w:rFonts w:cs="Arial"/>
          <w:szCs w:val="20"/>
        </w:rPr>
        <w:t> </w:t>
      </w:r>
      <w:r w:rsidRPr="00D91A34">
        <w:rPr>
          <w:rFonts w:cs="Arial"/>
          <w:szCs w:val="20"/>
        </w:rPr>
        <w:t>%, v bytových domech došlo k </w:t>
      </w:r>
      <w:r>
        <w:rPr>
          <w:rFonts w:cs="Arial"/>
          <w:szCs w:val="20"/>
        </w:rPr>
        <w:t>poklesu</w:t>
      </w:r>
      <w:r w:rsidRPr="00D91A34">
        <w:rPr>
          <w:rFonts w:cs="Arial"/>
          <w:szCs w:val="20"/>
        </w:rPr>
        <w:t xml:space="preserve"> o </w:t>
      </w:r>
      <w:r w:rsidR="00727CAF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727CAF">
        <w:rPr>
          <w:rFonts w:cs="Arial"/>
          <w:szCs w:val="20"/>
        </w:rPr>
        <w:t>4</w:t>
      </w:r>
      <w:r w:rsidRPr="00D91A34">
        <w:rPr>
          <w:rFonts w:cs="Arial"/>
          <w:szCs w:val="20"/>
        </w:rPr>
        <w:t> %.</w:t>
      </w:r>
    </w:p>
    <w:p w:rsidR="00AD06DB" w:rsidRDefault="00AD06DB" w:rsidP="00724BF8">
      <w:pPr>
        <w:spacing w:before="120"/>
      </w:pPr>
    </w:p>
    <w:p w:rsidR="000E2C0A" w:rsidRDefault="000E2C0A" w:rsidP="00724BF8">
      <w:pPr>
        <w:spacing w:before="120"/>
        <w:rPr>
          <w:rFonts w:cs="Arial"/>
          <w:szCs w:val="20"/>
        </w:rPr>
      </w:pPr>
    </w:p>
    <w:p w:rsidR="00F333AE" w:rsidRDefault="00F333AE" w:rsidP="00724BF8">
      <w:pPr>
        <w:spacing w:before="120"/>
        <w:rPr>
          <w:rFonts w:cs="Arial"/>
          <w:szCs w:val="20"/>
        </w:rPr>
      </w:pPr>
    </w:p>
    <w:p w:rsidR="008E1EAB" w:rsidRDefault="008E1EAB" w:rsidP="00724BF8">
      <w:pPr>
        <w:spacing w:before="120"/>
        <w:rPr>
          <w:rFonts w:cs="Arial"/>
          <w:szCs w:val="20"/>
        </w:rPr>
      </w:pPr>
    </w:p>
    <w:p w:rsidR="00D209A7" w:rsidRPr="00627B07" w:rsidRDefault="00D85C14" w:rsidP="00F333AE">
      <w:pPr>
        <w:pStyle w:val="Poznmky0"/>
        <w:pBdr>
          <w:top w:val="single" w:sz="4" w:space="1" w:color="auto"/>
        </w:pBdr>
        <w:spacing w:before="120" w:line="247" w:lineRule="auto"/>
      </w:pPr>
      <w:r w:rsidRPr="00627B07">
        <w:t>P</w:t>
      </w:r>
      <w:r w:rsidR="00D209A7" w:rsidRPr="00627B07">
        <w:t>oznámky</w:t>
      </w:r>
      <w:r w:rsidR="007A2048" w:rsidRPr="00627B07">
        <w:t>:</w:t>
      </w:r>
    </w:p>
    <w:p w:rsidR="00960439" w:rsidRPr="00627B07" w:rsidRDefault="00D640CB" w:rsidP="00546ED9">
      <w:pPr>
        <w:pStyle w:val="Poznmky0"/>
        <w:pBdr>
          <w:top w:val="none" w:sz="0" w:space="0" w:color="auto"/>
        </w:pBdr>
        <w:spacing w:before="0" w:line="247" w:lineRule="auto"/>
      </w:pPr>
      <w:r w:rsidRPr="00627B07">
        <w:rPr>
          <w:iCs/>
          <w:vertAlign w:val="superscript"/>
        </w:rPr>
        <w:t>1 </w:t>
      </w:r>
      <w:r w:rsidRPr="00627B07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627B07">
        <w:t>.</w:t>
      </w:r>
      <w:r w:rsidR="00546ED9" w:rsidRPr="00627B07">
        <w:t xml:space="preserve"> </w:t>
      </w:r>
    </w:p>
    <w:p w:rsidR="00E351E1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  <w:vertAlign w:val="superscript"/>
        </w:rPr>
        <w:t>2 </w:t>
      </w:r>
      <w:r w:rsidRPr="00627B07">
        <w:rPr>
          <w:iCs/>
        </w:rPr>
        <w:t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 xml:space="preserve">Ing. Radek Matějka, ředitel odboru statistiky zemědělství a lesnictví, průmyslu, stavebnictví a energetiky, tel.: </w:t>
      </w:r>
      <w:r w:rsidR="00BE0826" w:rsidRPr="00627B07">
        <w:rPr>
          <w:i/>
        </w:rPr>
        <w:t>736168543</w:t>
      </w:r>
      <w:r w:rsidRPr="00627B07">
        <w:rPr>
          <w:i/>
        </w:rPr>
        <w:t>, e</w:t>
      </w:r>
      <w:r w:rsidRPr="00627B07">
        <w:rPr>
          <w:i/>
        </w:rPr>
        <w:noBreakHyphen/>
        <w:t>mail: </w:t>
      </w:r>
      <w:hyperlink r:id="rId7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</w:t>
      </w:r>
      <w:r w:rsidR="00BE0826" w:rsidRPr="00627B07">
        <w:rPr>
          <w:i/>
        </w:rPr>
        <w:t>737280494</w:t>
      </w:r>
      <w:r w:rsidRPr="00627B07">
        <w:rPr>
          <w:i/>
        </w:rPr>
        <w:t xml:space="preserve">, e-mail: </w:t>
      </w:r>
      <w:hyperlink r:id="rId8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6922D7">
        <w:rPr>
          <w:i/>
        </w:rPr>
        <w:t>1</w:t>
      </w:r>
      <w:r w:rsidRPr="00627B07">
        <w:rPr>
          <w:i/>
        </w:rPr>
        <w:t xml:space="preserve">. </w:t>
      </w:r>
      <w:r w:rsidR="00295B26">
        <w:rPr>
          <w:i/>
        </w:rPr>
        <w:t>2</w:t>
      </w:r>
      <w:r w:rsidRPr="00627B07">
        <w:rPr>
          <w:i/>
        </w:rPr>
        <w:t>. 202</w:t>
      </w:r>
      <w:r w:rsidR="00B0777C">
        <w:rPr>
          <w:i/>
        </w:rPr>
        <w:t>2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9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0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295B26">
        <w:rPr>
          <w:i/>
        </w:rPr>
        <w:t>11</w:t>
      </w:r>
      <w:r w:rsidRPr="00627B07">
        <w:rPr>
          <w:i/>
        </w:rPr>
        <w:t xml:space="preserve">. </w:t>
      </w:r>
      <w:r w:rsidR="00295B26">
        <w:rPr>
          <w:i/>
        </w:rPr>
        <w:t>3</w:t>
      </w:r>
      <w:r w:rsidRPr="00627B07">
        <w:rPr>
          <w:i/>
        </w:rPr>
        <w:t>. 202</w:t>
      </w:r>
      <w:r w:rsidR="009A578A">
        <w:rPr>
          <w:i/>
        </w:rPr>
        <w:t>2</w:t>
      </w:r>
    </w:p>
    <w:p w:rsidR="006A157B" w:rsidRPr="00627B07" w:rsidRDefault="006A157B" w:rsidP="00546ED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640CB" w:rsidRPr="00627B07" w:rsidRDefault="00D640CB" w:rsidP="00546ED9">
      <w:pPr>
        <w:pStyle w:val="Poznmkykontaktytext"/>
        <w:spacing w:line="247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627B07">
        <w:rPr>
          <w:i w:val="0"/>
          <w:iCs w:val="0"/>
          <w:color w:val="auto"/>
          <w:sz w:val="20"/>
          <w:szCs w:val="20"/>
        </w:rPr>
        <w:t>Přílohy:</w:t>
      </w:r>
    </w:p>
    <w:p w:rsidR="00D640CB" w:rsidRDefault="00D640CB" w:rsidP="00546ED9">
      <w:pPr>
        <w:pStyle w:val="Zkladntext3"/>
        <w:spacing w:line="247" w:lineRule="auto"/>
        <w:rPr>
          <w:lang w:eastAsia="en-US"/>
        </w:rPr>
      </w:pPr>
      <w:r w:rsidRPr="00627B07">
        <w:rPr>
          <w:lang w:eastAsia="en-US"/>
        </w:rPr>
        <w:t>Tab. 1 Index stavební produkce, stavební povolení a bytová výstavba (meziroční indexy, měsíc)</w:t>
      </w:r>
    </w:p>
    <w:p w:rsidR="000E2C0A" w:rsidRDefault="000E2C0A" w:rsidP="000E2C0A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bookmarkStart w:id="0" w:name="_GoBack"/>
      <w:bookmarkEnd w:id="0"/>
      <w:r w:rsidRPr="00D91FAA">
        <w:rPr>
          <w:lang w:eastAsia="en-US"/>
        </w:rPr>
        <w:t>meziroční indexy</w:t>
      </w:r>
      <w:r>
        <w:rPr>
          <w:rFonts w:eastAsia="Calibri"/>
          <w:lang w:eastAsia="en-US"/>
        </w:rPr>
        <w:t>, čtvrtletí)</w:t>
      </w:r>
    </w:p>
    <w:p w:rsidR="000E2C0A" w:rsidRDefault="00AD06DB" w:rsidP="00AD06DB">
      <w:pPr>
        <w:pStyle w:val="Zkladntext3"/>
        <w:spacing w:line="276" w:lineRule="auto"/>
        <w:rPr>
          <w:lang w:eastAsia="en-US"/>
        </w:rPr>
      </w:pPr>
      <w:r>
        <w:rPr>
          <w:iCs/>
        </w:rPr>
        <w:t>Tab. 3 Index stavební produkce, stavební zakázky, stavební povolení a bytová výstavba (meziroční indexy, rok)</w:t>
      </w:r>
    </w:p>
    <w:p w:rsidR="00D640CB" w:rsidRPr="00627B07" w:rsidRDefault="00D640CB" w:rsidP="00546ED9">
      <w:pPr>
        <w:pStyle w:val="Zkladntext2"/>
        <w:spacing w:after="0" w:line="247" w:lineRule="auto"/>
      </w:pPr>
      <w:r w:rsidRPr="00627B07">
        <w:t>Graf 1 Index stavební produkce (meziroční indexy)</w:t>
      </w:r>
    </w:p>
    <w:p w:rsidR="00D640CB" w:rsidRPr="00627B07" w:rsidRDefault="00D640CB" w:rsidP="00546ED9">
      <w:pPr>
        <w:pStyle w:val="Zkladntext2"/>
        <w:spacing w:after="0" w:line="247" w:lineRule="auto"/>
      </w:pPr>
      <w:r w:rsidRPr="00627B07">
        <w:t>Graf 2 Index stavební produkce (bazické indexy)</w:t>
      </w:r>
    </w:p>
    <w:p w:rsidR="00D640CB" w:rsidRPr="00D640CB" w:rsidRDefault="00D640CB" w:rsidP="003C53BC">
      <w:pPr>
        <w:spacing w:line="254" w:lineRule="auto"/>
      </w:pPr>
      <w:r w:rsidRPr="00627B07">
        <w:t>Graf 3 Index stavební produkce – mezinárodní porovnání</w:t>
      </w:r>
      <w:r w:rsidR="00E13D64" w:rsidRPr="00627B07">
        <w:t xml:space="preserve"> (bazické</w:t>
      </w:r>
      <w:r w:rsidR="00E13D64">
        <w:t xml:space="preserve"> indexy)</w:t>
      </w:r>
    </w:p>
    <w:sectPr w:rsidR="00D640CB" w:rsidRPr="00D640CB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AA1" w:rsidRDefault="00266AA1" w:rsidP="00BA6370">
      <w:r>
        <w:separator/>
      </w:r>
    </w:p>
  </w:endnote>
  <w:endnote w:type="continuationSeparator" w:id="0">
    <w:p w:rsidR="00266AA1" w:rsidRDefault="00266AA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7787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7787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8606D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AA1" w:rsidRDefault="00266AA1" w:rsidP="00BA6370">
      <w:r>
        <w:separator/>
      </w:r>
    </w:p>
  </w:footnote>
  <w:footnote w:type="continuationSeparator" w:id="0">
    <w:p w:rsidR="00266AA1" w:rsidRDefault="00266AA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E1067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AB"/>
    <w:rsid w:val="00000929"/>
    <w:rsid w:val="00001EE9"/>
    <w:rsid w:val="000024C9"/>
    <w:rsid w:val="00003FC4"/>
    <w:rsid w:val="000074D8"/>
    <w:rsid w:val="000129FA"/>
    <w:rsid w:val="00013541"/>
    <w:rsid w:val="000147E2"/>
    <w:rsid w:val="00023175"/>
    <w:rsid w:val="00024B2F"/>
    <w:rsid w:val="00026868"/>
    <w:rsid w:val="00026A19"/>
    <w:rsid w:val="000316B3"/>
    <w:rsid w:val="0003608B"/>
    <w:rsid w:val="00036132"/>
    <w:rsid w:val="0004020F"/>
    <w:rsid w:val="00040BEF"/>
    <w:rsid w:val="000416EC"/>
    <w:rsid w:val="00043423"/>
    <w:rsid w:val="00043BF4"/>
    <w:rsid w:val="0004440A"/>
    <w:rsid w:val="0004594E"/>
    <w:rsid w:val="00046BBF"/>
    <w:rsid w:val="00050770"/>
    <w:rsid w:val="000533DD"/>
    <w:rsid w:val="00053668"/>
    <w:rsid w:val="000560DA"/>
    <w:rsid w:val="00057CD9"/>
    <w:rsid w:val="00057D52"/>
    <w:rsid w:val="00060B81"/>
    <w:rsid w:val="000643F0"/>
    <w:rsid w:val="00065EE0"/>
    <w:rsid w:val="0006671C"/>
    <w:rsid w:val="000674E2"/>
    <w:rsid w:val="00070CD9"/>
    <w:rsid w:val="000751E8"/>
    <w:rsid w:val="000752E2"/>
    <w:rsid w:val="000757A4"/>
    <w:rsid w:val="000760D3"/>
    <w:rsid w:val="00077B7C"/>
    <w:rsid w:val="00080B19"/>
    <w:rsid w:val="00081741"/>
    <w:rsid w:val="0008179D"/>
    <w:rsid w:val="00082243"/>
    <w:rsid w:val="000843A5"/>
    <w:rsid w:val="000854D9"/>
    <w:rsid w:val="0008597A"/>
    <w:rsid w:val="0009090C"/>
    <w:rsid w:val="000910DA"/>
    <w:rsid w:val="0009506E"/>
    <w:rsid w:val="00096D6C"/>
    <w:rsid w:val="000A277A"/>
    <w:rsid w:val="000A3439"/>
    <w:rsid w:val="000A5D7E"/>
    <w:rsid w:val="000A6E3E"/>
    <w:rsid w:val="000A7462"/>
    <w:rsid w:val="000B3A72"/>
    <w:rsid w:val="000B6C1F"/>
    <w:rsid w:val="000B6F63"/>
    <w:rsid w:val="000C0440"/>
    <w:rsid w:val="000C0DA1"/>
    <w:rsid w:val="000C2C02"/>
    <w:rsid w:val="000C64DF"/>
    <w:rsid w:val="000D093F"/>
    <w:rsid w:val="000D13D5"/>
    <w:rsid w:val="000D2FC6"/>
    <w:rsid w:val="000D5553"/>
    <w:rsid w:val="000E2C0A"/>
    <w:rsid w:val="000E2DAC"/>
    <w:rsid w:val="000E359E"/>
    <w:rsid w:val="000E43CC"/>
    <w:rsid w:val="000E7EC9"/>
    <w:rsid w:val="000F04AD"/>
    <w:rsid w:val="000F2B0D"/>
    <w:rsid w:val="000F38F4"/>
    <w:rsid w:val="000F57E7"/>
    <w:rsid w:val="000F71A3"/>
    <w:rsid w:val="000F7371"/>
    <w:rsid w:val="000F7B16"/>
    <w:rsid w:val="001029AA"/>
    <w:rsid w:val="001034B5"/>
    <w:rsid w:val="0010621B"/>
    <w:rsid w:val="001076BF"/>
    <w:rsid w:val="00112AD1"/>
    <w:rsid w:val="00113AC7"/>
    <w:rsid w:val="0011654A"/>
    <w:rsid w:val="001174F2"/>
    <w:rsid w:val="00121B10"/>
    <w:rsid w:val="00122BB0"/>
    <w:rsid w:val="00123164"/>
    <w:rsid w:val="00125DCA"/>
    <w:rsid w:val="0012794B"/>
    <w:rsid w:val="00134BE0"/>
    <w:rsid w:val="0013795B"/>
    <w:rsid w:val="001404AB"/>
    <w:rsid w:val="00143333"/>
    <w:rsid w:val="00150887"/>
    <w:rsid w:val="001515E1"/>
    <w:rsid w:val="0015171B"/>
    <w:rsid w:val="00156BA0"/>
    <w:rsid w:val="00157B5B"/>
    <w:rsid w:val="00164846"/>
    <w:rsid w:val="0017231D"/>
    <w:rsid w:val="001752AE"/>
    <w:rsid w:val="001807F6"/>
    <w:rsid w:val="001810DC"/>
    <w:rsid w:val="0018579E"/>
    <w:rsid w:val="00187830"/>
    <w:rsid w:val="00187F4C"/>
    <w:rsid w:val="00190B36"/>
    <w:rsid w:val="00190B92"/>
    <w:rsid w:val="00190C15"/>
    <w:rsid w:val="0019518F"/>
    <w:rsid w:val="00197D0E"/>
    <w:rsid w:val="001A0762"/>
    <w:rsid w:val="001A2A81"/>
    <w:rsid w:val="001A3125"/>
    <w:rsid w:val="001B3574"/>
    <w:rsid w:val="001B4739"/>
    <w:rsid w:val="001B607F"/>
    <w:rsid w:val="001B7967"/>
    <w:rsid w:val="001C0321"/>
    <w:rsid w:val="001C2364"/>
    <w:rsid w:val="001C5ED9"/>
    <w:rsid w:val="001D1ACB"/>
    <w:rsid w:val="001D369A"/>
    <w:rsid w:val="001E0625"/>
    <w:rsid w:val="001E1208"/>
    <w:rsid w:val="001E1B6D"/>
    <w:rsid w:val="001E285F"/>
    <w:rsid w:val="001E2FE0"/>
    <w:rsid w:val="001E5632"/>
    <w:rsid w:val="001E5FCB"/>
    <w:rsid w:val="001E7129"/>
    <w:rsid w:val="001F08B3"/>
    <w:rsid w:val="001F18DF"/>
    <w:rsid w:val="001F2FE0"/>
    <w:rsid w:val="001F5599"/>
    <w:rsid w:val="001F66C0"/>
    <w:rsid w:val="00200854"/>
    <w:rsid w:val="00201103"/>
    <w:rsid w:val="0020271E"/>
    <w:rsid w:val="00203A5B"/>
    <w:rsid w:val="00203D63"/>
    <w:rsid w:val="00206465"/>
    <w:rsid w:val="002070FB"/>
    <w:rsid w:val="00210CAA"/>
    <w:rsid w:val="0021321B"/>
    <w:rsid w:val="00213729"/>
    <w:rsid w:val="00216DBC"/>
    <w:rsid w:val="002215B5"/>
    <w:rsid w:val="002219AB"/>
    <w:rsid w:val="00222C54"/>
    <w:rsid w:val="00222FCF"/>
    <w:rsid w:val="002249A4"/>
    <w:rsid w:val="002261A9"/>
    <w:rsid w:val="00226705"/>
    <w:rsid w:val="002278D1"/>
    <w:rsid w:val="002305B4"/>
    <w:rsid w:val="00232115"/>
    <w:rsid w:val="00234461"/>
    <w:rsid w:val="002359C3"/>
    <w:rsid w:val="00236040"/>
    <w:rsid w:val="00237126"/>
    <w:rsid w:val="002406FA"/>
    <w:rsid w:val="00241827"/>
    <w:rsid w:val="0024402A"/>
    <w:rsid w:val="00246B52"/>
    <w:rsid w:val="002519A5"/>
    <w:rsid w:val="00256339"/>
    <w:rsid w:val="00260951"/>
    <w:rsid w:val="0026107B"/>
    <w:rsid w:val="002624DA"/>
    <w:rsid w:val="00266AA1"/>
    <w:rsid w:val="00266FB2"/>
    <w:rsid w:val="002675A1"/>
    <w:rsid w:val="00270816"/>
    <w:rsid w:val="002713E0"/>
    <w:rsid w:val="0027262D"/>
    <w:rsid w:val="00273991"/>
    <w:rsid w:val="00277E9F"/>
    <w:rsid w:val="0028046F"/>
    <w:rsid w:val="0028215D"/>
    <w:rsid w:val="002827B8"/>
    <w:rsid w:val="002856BB"/>
    <w:rsid w:val="00295B26"/>
    <w:rsid w:val="00297C0A"/>
    <w:rsid w:val="002A32DF"/>
    <w:rsid w:val="002A369F"/>
    <w:rsid w:val="002B1229"/>
    <w:rsid w:val="002B20ED"/>
    <w:rsid w:val="002B2E47"/>
    <w:rsid w:val="002C122A"/>
    <w:rsid w:val="002C1244"/>
    <w:rsid w:val="002C1925"/>
    <w:rsid w:val="002C5D97"/>
    <w:rsid w:val="002D01EF"/>
    <w:rsid w:val="002D1520"/>
    <w:rsid w:val="002E0028"/>
    <w:rsid w:val="002E35F7"/>
    <w:rsid w:val="002E4538"/>
    <w:rsid w:val="002E5294"/>
    <w:rsid w:val="002E54C3"/>
    <w:rsid w:val="002F01F4"/>
    <w:rsid w:val="002F08FD"/>
    <w:rsid w:val="002F74C3"/>
    <w:rsid w:val="002F78ED"/>
    <w:rsid w:val="002F7A42"/>
    <w:rsid w:val="00305654"/>
    <w:rsid w:val="00306167"/>
    <w:rsid w:val="0030645A"/>
    <w:rsid w:val="00306745"/>
    <w:rsid w:val="00313DDC"/>
    <w:rsid w:val="00314981"/>
    <w:rsid w:val="003301A3"/>
    <w:rsid w:val="003335EE"/>
    <w:rsid w:val="00334878"/>
    <w:rsid w:val="00334DBE"/>
    <w:rsid w:val="003356A9"/>
    <w:rsid w:val="00337F70"/>
    <w:rsid w:val="0034176C"/>
    <w:rsid w:val="0034217E"/>
    <w:rsid w:val="00342452"/>
    <w:rsid w:val="00344D44"/>
    <w:rsid w:val="0035069F"/>
    <w:rsid w:val="003511F2"/>
    <w:rsid w:val="00351B4D"/>
    <w:rsid w:val="003553BC"/>
    <w:rsid w:val="00356157"/>
    <w:rsid w:val="003563D1"/>
    <w:rsid w:val="00356A96"/>
    <w:rsid w:val="0035715B"/>
    <w:rsid w:val="00357D65"/>
    <w:rsid w:val="00362CD7"/>
    <w:rsid w:val="00364240"/>
    <w:rsid w:val="0036650A"/>
    <w:rsid w:val="0036777B"/>
    <w:rsid w:val="0036782B"/>
    <w:rsid w:val="003679C4"/>
    <w:rsid w:val="00367D70"/>
    <w:rsid w:val="00372D7D"/>
    <w:rsid w:val="00376072"/>
    <w:rsid w:val="0038282A"/>
    <w:rsid w:val="00384F6E"/>
    <w:rsid w:val="00390929"/>
    <w:rsid w:val="00390B6A"/>
    <w:rsid w:val="0039316D"/>
    <w:rsid w:val="003946F9"/>
    <w:rsid w:val="0039698E"/>
    <w:rsid w:val="00397580"/>
    <w:rsid w:val="003A07FB"/>
    <w:rsid w:val="003A0F96"/>
    <w:rsid w:val="003A3267"/>
    <w:rsid w:val="003A45C8"/>
    <w:rsid w:val="003A5414"/>
    <w:rsid w:val="003A554A"/>
    <w:rsid w:val="003A56BA"/>
    <w:rsid w:val="003A5934"/>
    <w:rsid w:val="003A5A86"/>
    <w:rsid w:val="003A6425"/>
    <w:rsid w:val="003A69F3"/>
    <w:rsid w:val="003A722D"/>
    <w:rsid w:val="003B20CE"/>
    <w:rsid w:val="003B2D30"/>
    <w:rsid w:val="003B4891"/>
    <w:rsid w:val="003B525B"/>
    <w:rsid w:val="003B5341"/>
    <w:rsid w:val="003B55F2"/>
    <w:rsid w:val="003B569E"/>
    <w:rsid w:val="003B62DF"/>
    <w:rsid w:val="003B6FFA"/>
    <w:rsid w:val="003B7589"/>
    <w:rsid w:val="003C0366"/>
    <w:rsid w:val="003C25B0"/>
    <w:rsid w:val="003C2740"/>
    <w:rsid w:val="003C2DCF"/>
    <w:rsid w:val="003C53BC"/>
    <w:rsid w:val="003C5B44"/>
    <w:rsid w:val="003C634F"/>
    <w:rsid w:val="003C7FE7"/>
    <w:rsid w:val="003D0499"/>
    <w:rsid w:val="003D1348"/>
    <w:rsid w:val="003D18E0"/>
    <w:rsid w:val="003D3576"/>
    <w:rsid w:val="003D3E99"/>
    <w:rsid w:val="003E012A"/>
    <w:rsid w:val="003E0AD7"/>
    <w:rsid w:val="003E4D72"/>
    <w:rsid w:val="003E7B03"/>
    <w:rsid w:val="003F169E"/>
    <w:rsid w:val="003F526A"/>
    <w:rsid w:val="003F614B"/>
    <w:rsid w:val="003F6998"/>
    <w:rsid w:val="0040103E"/>
    <w:rsid w:val="004014FD"/>
    <w:rsid w:val="00405244"/>
    <w:rsid w:val="00413EDC"/>
    <w:rsid w:val="0041506A"/>
    <w:rsid w:val="004154C7"/>
    <w:rsid w:val="00417578"/>
    <w:rsid w:val="0042070F"/>
    <w:rsid w:val="00422BEF"/>
    <w:rsid w:val="00431C5E"/>
    <w:rsid w:val="0043279E"/>
    <w:rsid w:val="0043457A"/>
    <w:rsid w:val="00435091"/>
    <w:rsid w:val="00436EA9"/>
    <w:rsid w:val="00436FC8"/>
    <w:rsid w:val="004374BB"/>
    <w:rsid w:val="004436EE"/>
    <w:rsid w:val="004468BF"/>
    <w:rsid w:val="00446904"/>
    <w:rsid w:val="004531E9"/>
    <w:rsid w:val="00453CDB"/>
    <w:rsid w:val="0045547F"/>
    <w:rsid w:val="00456403"/>
    <w:rsid w:val="004574CE"/>
    <w:rsid w:val="00457FE9"/>
    <w:rsid w:val="00461CF5"/>
    <w:rsid w:val="0046465A"/>
    <w:rsid w:val="0046472E"/>
    <w:rsid w:val="004669D4"/>
    <w:rsid w:val="00467259"/>
    <w:rsid w:val="004672EB"/>
    <w:rsid w:val="00471DEF"/>
    <w:rsid w:val="004728EA"/>
    <w:rsid w:val="004731FE"/>
    <w:rsid w:val="00474E0E"/>
    <w:rsid w:val="00476975"/>
    <w:rsid w:val="004815EC"/>
    <w:rsid w:val="0048469B"/>
    <w:rsid w:val="004859F9"/>
    <w:rsid w:val="00485CAE"/>
    <w:rsid w:val="00487524"/>
    <w:rsid w:val="004920AD"/>
    <w:rsid w:val="00495909"/>
    <w:rsid w:val="004A34E9"/>
    <w:rsid w:val="004A35AE"/>
    <w:rsid w:val="004A4EA2"/>
    <w:rsid w:val="004B1934"/>
    <w:rsid w:val="004B3B76"/>
    <w:rsid w:val="004B558B"/>
    <w:rsid w:val="004B6001"/>
    <w:rsid w:val="004C20D4"/>
    <w:rsid w:val="004C3DD7"/>
    <w:rsid w:val="004C775A"/>
    <w:rsid w:val="004D05B3"/>
    <w:rsid w:val="004D19B3"/>
    <w:rsid w:val="004D4C5E"/>
    <w:rsid w:val="004D7E43"/>
    <w:rsid w:val="004E22B7"/>
    <w:rsid w:val="004E2630"/>
    <w:rsid w:val="004E2BFE"/>
    <w:rsid w:val="004E479E"/>
    <w:rsid w:val="004E5633"/>
    <w:rsid w:val="004E6E35"/>
    <w:rsid w:val="004E73FF"/>
    <w:rsid w:val="004F03EA"/>
    <w:rsid w:val="004F35D9"/>
    <w:rsid w:val="004F4A12"/>
    <w:rsid w:val="004F5B4A"/>
    <w:rsid w:val="004F60C4"/>
    <w:rsid w:val="004F686C"/>
    <w:rsid w:val="004F71D5"/>
    <w:rsid w:val="004F73EA"/>
    <w:rsid w:val="004F78E6"/>
    <w:rsid w:val="0050420E"/>
    <w:rsid w:val="00504C3A"/>
    <w:rsid w:val="00506FE9"/>
    <w:rsid w:val="00507B05"/>
    <w:rsid w:val="005100A9"/>
    <w:rsid w:val="00511DA1"/>
    <w:rsid w:val="00512D99"/>
    <w:rsid w:val="00513C64"/>
    <w:rsid w:val="00517831"/>
    <w:rsid w:val="00517BF7"/>
    <w:rsid w:val="005203F3"/>
    <w:rsid w:val="00521FFD"/>
    <w:rsid w:val="00522CE5"/>
    <w:rsid w:val="005246C5"/>
    <w:rsid w:val="00524C3C"/>
    <w:rsid w:val="00524C43"/>
    <w:rsid w:val="00525B12"/>
    <w:rsid w:val="00526170"/>
    <w:rsid w:val="0053019E"/>
    <w:rsid w:val="00531DBB"/>
    <w:rsid w:val="00534F4C"/>
    <w:rsid w:val="00537755"/>
    <w:rsid w:val="00544874"/>
    <w:rsid w:val="00544C65"/>
    <w:rsid w:val="00546ED9"/>
    <w:rsid w:val="00546F32"/>
    <w:rsid w:val="005472EB"/>
    <w:rsid w:val="00547A7C"/>
    <w:rsid w:val="005505F9"/>
    <w:rsid w:val="0055124F"/>
    <w:rsid w:val="00552C4C"/>
    <w:rsid w:val="00552CE1"/>
    <w:rsid w:val="00554397"/>
    <w:rsid w:val="005550A7"/>
    <w:rsid w:val="00562FAD"/>
    <w:rsid w:val="00573943"/>
    <w:rsid w:val="00573994"/>
    <w:rsid w:val="00574273"/>
    <w:rsid w:val="00576F63"/>
    <w:rsid w:val="00595D29"/>
    <w:rsid w:val="005A0F68"/>
    <w:rsid w:val="005A1334"/>
    <w:rsid w:val="005A1B62"/>
    <w:rsid w:val="005B24A0"/>
    <w:rsid w:val="005B3238"/>
    <w:rsid w:val="005B50F6"/>
    <w:rsid w:val="005B536B"/>
    <w:rsid w:val="005B5464"/>
    <w:rsid w:val="005B54AF"/>
    <w:rsid w:val="005B79E2"/>
    <w:rsid w:val="005C45A5"/>
    <w:rsid w:val="005C780D"/>
    <w:rsid w:val="005D132F"/>
    <w:rsid w:val="005D4125"/>
    <w:rsid w:val="005D7ABB"/>
    <w:rsid w:val="005E1EF0"/>
    <w:rsid w:val="005E2D52"/>
    <w:rsid w:val="005E322E"/>
    <w:rsid w:val="005E32EE"/>
    <w:rsid w:val="005E39C1"/>
    <w:rsid w:val="005E5671"/>
    <w:rsid w:val="005F0B28"/>
    <w:rsid w:val="005F1771"/>
    <w:rsid w:val="005F4960"/>
    <w:rsid w:val="005F4C34"/>
    <w:rsid w:val="005F5940"/>
    <w:rsid w:val="005F6E31"/>
    <w:rsid w:val="005F6F25"/>
    <w:rsid w:val="005F79FB"/>
    <w:rsid w:val="00604406"/>
    <w:rsid w:val="00604EC6"/>
    <w:rsid w:val="006053AF"/>
    <w:rsid w:val="00605D89"/>
    <w:rsid w:val="00605F4A"/>
    <w:rsid w:val="00607822"/>
    <w:rsid w:val="006103AA"/>
    <w:rsid w:val="00612547"/>
    <w:rsid w:val="00613BBF"/>
    <w:rsid w:val="0061415B"/>
    <w:rsid w:val="0061646C"/>
    <w:rsid w:val="006201AB"/>
    <w:rsid w:val="006214BF"/>
    <w:rsid w:val="00622B80"/>
    <w:rsid w:val="00622EBB"/>
    <w:rsid w:val="00623513"/>
    <w:rsid w:val="00623F6C"/>
    <w:rsid w:val="00624CC8"/>
    <w:rsid w:val="00627B07"/>
    <w:rsid w:val="00631744"/>
    <w:rsid w:val="00631E6C"/>
    <w:rsid w:val="00634DED"/>
    <w:rsid w:val="006369DB"/>
    <w:rsid w:val="00637443"/>
    <w:rsid w:val="0064139A"/>
    <w:rsid w:val="006447BA"/>
    <w:rsid w:val="00646E30"/>
    <w:rsid w:val="00651F88"/>
    <w:rsid w:val="00652471"/>
    <w:rsid w:val="006524BC"/>
    <w:rsid w:val="00653A26"/>
    <w:rsid w:val="00653C4C"/>
    <w:rsid w:val="00653FDA"/>
    <w:rsid w:val="00666BC8"/>
    <w:rsid w:val="006704E1"/>
    <w:rsid w:val="00683C2F"/>
    <w:rsid w:val="006922D7"/>
    <w:rsid w:val="006931CF"/>
    <w:rsid w:val="006962D7"/>
    <w:rsid w:val="006A05D5"/>
    <w:rsid w:val="006A157B"/>
    <w:rsid w:val="006A1FE9"/>
    <w:rsid w:val="006B1446"/>
    <w:rsid w:val="006B1AC7"/>
    <w:rsid w:val="006B1B2F"/>
    <w:rsid w:val="006B2481"/>
    <w:rsid w:val="006B4730"/>
    <w:rsid w:val="006B4E10"/>
    <w:rsid w:val="006B6D44"/>
    <w:rsid w:val="006B72D2"/>
    <w:rsid w:val="006C0643"/>
    <w:rsid w:val="006C50A9"/>
    <w:rsid w:val="006C77D3"/>
    <w:rsid w:val="006D3A04"/>
    <w:rsid w:val="006D4079"/>
    <w:rsid w:val="006D66EF"/>
    <w:rsid w:val="006D7971"/>
    <w:rsid w:val="006E024F"/>
    <w:rsid w:val="006E32C8"/>
    <w:rsid w:val="006E38CC"/>
    <w:rsid w:val="006E4E81"/>
    <w:rsid w:val="006E5FF1"/>
    <w:rsid w:val="006F12C2"/>
    <w:rsid w:val="006F35E2"/>
    <w:rsid w:val="00703BD6"/>
    <w:rsid w:val="00705341"/>
    <w:rsid w:val="00706F52"/>
    <w:rsid w:val="007070BF"/>
    <w:rsid w:val="00707C92"/>
    <w:rsid w:val="00707F7D"/>
    <w:rsid w:val="00714F7F"/>
    <w:rsid w:val="00717156"/>
    <w:rsid w:val="00717EC5"/>
    <w:rsid w:val="007221BF"/>
    <w:rsid w:val="0072249C"/>
    <w:rsid w:val="00724BF4"/>
    <w:rsid w:val="00724BF8"/>
    <w:rsid w:val="00727811"/>
    <w:rsid w:val="00727CAF"/>
    <w:rsid w:val="007306D1"/>
    <w:rsid w:val="00734385"/>
    <w:rsid w:val="00736380"/>
    <w:rsid w:val="00737754"/>
    <w:rsid w:val="00737938"/>
    <w:rsid w:val="00744E08"/>
    <w:rsid w:val="00746B4E"/>
    <w:rsid w:val="00754C20"/>
    <w:rsid w:val="00755255"/>
    <w:rsid w:val="00755A5B"/>
    <w:rsid w:val="00755EF5"/>
    <w:rsid w:val="00756E96"/>
    <w:rsid w:val="0076094E"/>
    <w:rsid w:val="007645B9"/>
    <w:rsid w:val="00764682"/>
    <w:rsid w:val="00771647"/>
    <w:rsid w:val="00773C0F"/>
    <w:rsid w:val="00774000"/>
    <w:rsid w:val="00774944"/>
    <w:rsid w:val="00776E4C"/>
    <w:rsid w:val="00780705"/>
    <w:rsid w:val="00781C42"/>
    <w:rsid w:val="00783749"/>
    <w:rsid w:val="00783F5F"/>
    <w:rsid w:val="00785753"/>
    <w:rsid w:val="0078658F"/>
    <w:rsid w:val="00786683"/>
    <w:rsid w:val="00790207"/>
    <w:rsid w:val="00790C34"/>
    <w:rsid w:val="00790F75"/>
    <w:rsid w:val="00795A0D"/>
    <w:rsid w:val="007970F8"/>
    <w:rsid w:val="007A2048"/>
    <w:rsid w:val="007A2CB1"/>
    <w:rsid w:val="007A3A77"/>
    <w:rsid w:val="007A57F2"/>
    <w:rsid w:val="007A7FEC"/>
    <w:rsid w:val="007B1333"/>
    <w:rsid w:val="007B3B2B"/>
    <w:rsid w:val="007B41EC"/>
    <w:rsid w:val="007B63CF"/>
    <w:rsid w:val="007C0EE2"/>
    <w:rsid w:val="007C1568"/>
    <w:rsid w:val="007C4D23"/>
    <w:rsid w:val="007C653D"/>
    <w:rsid w:val="007D012F"/>
    <w:rsid w:val="007D6230"/>
    <w:rsid w:val="007D69EC"/>
    <w:rsid w:val="007E1A2B"/>
    <w:rsid w:val="007E7126"/>
    <w:rsid w:val="007E7B76"/>
    <w:rsid w:val="007F102E"/>
    <w:rsid w:val="007F4AEB"/>
    <w:rsid w:val="007F683B"/>
    <w:rsid w:val="007F75B2"/>
    <w:rsid w:val="00800673"/>
    <w:rsid w:val="0080145B"/>
    <w:rsid w:val="00803993"/>
    <w:rsid w:val="00803E3D"/>
    <w:rsid w:val="00803E78"/>
    <w:rsid w:val="008043C4"/>
    <w:rsid w:val="008071C7"/>
    <w:rsid w:val="00813E6A"/>
    <w:rsid w:val="00813F4F"/>
    <w:rsid w:val="00816B6F"/>
    <w:rsid w:val="008174B6"/>
    <w:rsid w:val="00821A3E"/>
    <w:rsid w:val="0082301C"/>
    <w:rsid w:val="00825A31"/>
    <w:rsid w:val="00825B25"/>
    <w:rsid w:val="00831B1B"/>
    <w:rsid w:val="00831B20"/>
    <w:rsid w:val="00832461"/>
    <w:rsid w:val="00832F1E"/>
    <w:rsid w:val="00833FC6"/>
    <w:rsid w:val="00840AEC"/>
    <w:rsid w:val="00842A38"/>
    <w:rsid w:val="00844EBA"/>
    <w:rsid w:val="00846D92"/>
    <w:rsid w:val="00846E49"/>
    <w:rsid w:val="00846F4A"/>
    <w:rsid w:val="008507A1"/>
    <w:rsid w:val="0085251E"/>
    <w:rsid w:val="00852B16"/>
    <w:rsid w:val="00855FB3"/>
    <w:rsid w:val="00861472"/>
    <w:rsid w:val="00861D0E"/>
    <w:rsid w:val="0086232A"/>
    <w:rsid w:val="0086456B"/>
    <w:rsid w:val="00865397"/>
    <w:rsid w:val="008662BB"/>
    <w:rsid w:val="00867569"/>
    <w:rsid w:val="008707D5"/>
    <w:rsid w:val="00870883"/>
    <w:rsid w:val="00871247"/>
    <w:rsid w:val="00873268"/>
    <w:rsid w:val="00874A36"/>
    <w:rsid w:val="008833DF"/>
    <w:rsid w:val="00886D58"/>
    <w:rsid w:val="00895B01"/>
    <w:rsid w:val="00895C98"/>
    <w:rsid w:val="00897601"/>
    <w:rsid w:val="008A2044"/>
    <w:rsid w:val="008A3318"/>
    <w:rsid w:val="008A361E"/>
    <w:rsid w:val="008A37BE"/>
    <w:rsid w:val="008A6110"/>
    <w:rsid w:val="008A750A"/>
    <w:rsid w:val="008A7F10"/>
    <w:rsid w:val="008B043B"/>
    <w:rsid w:val="008B20E4"/>
    <w:rsid w:val="008B3970"/>
    <w:rsid w:val="008B40C3"/>
    <w:rsid w:val="008B57F7"/>
    <w:rsid w:val="008B6393"/>
    <w:rsid w:val="008B6E7A"/>
    <w:rsid w:val="008C384C"/>
    <w:rsid w:val="008C687C"/>
    <w:rsid w:val="008D067A"/>
    <w:rsid w:val="008D0F11"/>
    <w:rsid w:val="008D366F"/>
    <w:rsid w:val="008D3F41"/>
    <w:rsid w:val="008D44AA"/>
    <w:rsid w:val="008D4EC8"/>
    <w:rsid w:val="008D5BEE"/>
    <w:rsid w:val="008D680A"/>
    <w:rsid w:val="008E1EAB"/>
    <w:rsid w:val="008E346A"/>
    <w:rsid w:val="008E5361"/>
    <w:rsid w:val="008F0F9F"/>
    <w:rsid w:val="008F0FD3"/>
    <w:rsid w:val="008F5567"/>
    <w:rsid w:val="008F73B4"/>
    <w:rsid w:val="008F795B"/>
    <w:rsid w:val="00901A58"/>
    <w:rsid w:val="00902A6C"/>
    <w:rsid w:val="00920054"/>
    <w:rsid w:val="0092045D"/>
    <w:rsid w:val="00923D85"/>
    <w:rsid w:val="0092731B"/>
    <w:rsid w:val="009358E3"/>
    <w:rsid w:val="00935CCD"/>
    <w:rsid w:val="0094202E"/>
    <w:rsid w:val="0095562E"/>
    <w:rsid w:val="00957DAB"/>
    <w:rsid w:val="00960439"/>
    <w:rsid w:val="00960A19"/>
    <w:rsid w:val="00961497"/>
    <w:rsid w:val="0096194F"/>
    <w:rsid w:val="00962E41"/>
    <w:rsid w:val="00964A35"/>
    <w:rsid w:val="00965D6C"/>
    <w:rsid w:val="009669E2"/>
    <w:rsid w:val="009767DD"/>
    <w:rsid w:val="00983A29"/>
    <w:rsid w:val="009840D5"/>
    <w:rsid w:val="009844F2"/>
    <w:rsid w:val="00984A7C"/>
    <w:rsid w:val="00986D8D"/>
    <w:rsid w:val="00986DD7"/>
    <w:rsid w:val="00990496"/>
    <w:rsid w:val="00990571"/>
    <w:rsid w:val="00990C6E"/>
    <w:rsid w:val="00990F2B"/>
    <w:rsid w:val="00993AAC"/>
    <w:rsid w:val="009956F5"/>
    <w:rsid w:val="009964DA"/>
    <w:rsid w:val="009A1D4F"/>
    <w:rsid w:val="009A3A34"/>
    <w:rsid w:val="009A48C8"/>
    <w:rsid w:val="009A4D16"/>
    <w:rsid w:val="009A56F3"/>
    <w:rsid w:val="009A578A"/>
    <w:rsid w:val="009A7478"/>
    <w:rsid w:val="009B100E"/>
    <w:rsid w:val="009B2727"/>
    <w:rsid w:val="009B507D"/>
    <w:rsid w:val="009B55B1"/>
    <w:rsid w:val="009B653D"/>
    <w:rsid w:val="009C62D8"/>
    <w:rsid w:val="009D375C"/>
    <w:rsid w:val="009D66F6"/>
    <w:rsid w:val="009D6947"/>
    <w:rsid w:val="009E063D"/>
    <w:rsid w:val="009E136A"/>
    <w:rsid w:val="009E2F58"/>
    <w:rsid w:val="009E3E2B"/>
    <w:rsid w:val="009E642F"/>
    <w:rsid w:val="009F18EE"/>
    <w:rsid w:val="009F1FF8"/>
    <w:rsid w:val="009F2071"/>
    <w:rsid w:val="009F3AF2"/>
    <w:rsid w:val="009F4AB1"/>
    <w:rsid w:val="009F7776"/>
    <w:rsid w:val="00A00076"/>
    <w:rsid w:val="00A0165F"/>
    <w:rsid w:val="00A070C6"/>
    <w:rsid w:val="00A0762A"/>
    <w:rsid w:val="00A11084"/>
    <w:rsid w:val="00A12C9C"/>
    <w:rsid w:val="00A133CA"/>
    <w:rsid w:val="00A14FDA"/>
    <w:rsid w:val="00A15375"/>
    <w:rsid w:val="00A155FB"/>
    <w:rsid w:val="00A167B1"/>
    <w:rsid w:val="00A23EF4"/>
    <w:rsid w:val="00A25AED"/>
    <w:rsid w:val="00A27AE3"/>
    <w:rsid w:val="00A35DD9"/>
    <w:rsid w:val="00A3776C"/>
    <w:rsid w:val="00A40235"/>
    <w:rsid w:val="00A4343D"/>
    <w:rsid w:val="00A44483"/>
    <w:rsid w:val="00A502F1"/>
    <w:rsid w:val="00A51ABA"/>
    <w:rsid w:val="00A51FDC"/>
    <w:rsid w:val="00A530E9"/>
    <w:rsid w:val="00A550A2"/>
    <w:rsid w:val="00A57661"/>
    <w:rsid w:val="00A57B09"/>
    <w:rsid w:val="00A57DB4"/>
    <w:rsid w:val="00A61EC6"/>
    <w:rsid w:val="00A65ACA"/>
    <w:rsid w:val="00A70A83"/>
    <w:rsid w:val="00A73666"/>
    <w:rsid w:val="00A742FC"/>
    <w:rsid w:val="00A75B72"/>
    <w:rsid w:val="00A76580"/>
    <w:rsid w:val="00A8044E"/>
    <w:rsid w:val="00A81EB3"/>
    <w:rsid w:val="00A91A43"/>
    <w:rsid w:val="00AA1CE0"/>
    <w:rsid w:val="00AA3C50"/>
    <w:rsid w:val="00AB1756"/>
    <w:rsid w:val="00AB3410"/>
    <w:rsid w:val="00AB6711"/>
    <w:rsid w:val="00AC057A"/>
    <w:rsid w:val="00AC2E5B"/>
    <w:rsid w:val="00AC2FB9"/>
    <w:rsid w:val="00AC6D7B"/>
    <w:rsid w:val="00AD06DB"/>
    <w:rsid w:val="00AD121E"/>
    <w:rsid w:val="00AD1446"/>
    <w:rsid w:val="00AD1886"/>
    <w:rsid w:val="00AD32B4"/>
    <w:rsid w:val="00AD4C27"/>
    <w:rsid w:val="00AD6C25"/>
    <w:rsid w:val="00AE09CD"/>
    <w:rsid w:val="00AE31C0"/>
    <w:rsid w:val="00AF1318"/>
    <w:rsid w:val="00AF5276"/>
    <w:rsid w:val="00AF5D4B"/>
    <w:rsid w:val="00B00C1D"/>
    <w:rsid w:val="00B02FDB"/>
    <w:rsid w:val="00B04242"/>
    <w:rsid w:val="00B068A1"/>
    <w:rsid w:val="00B0777C"/>
    <w:rsid w:val="00B1182E"/>
    <w:rsid w:val="00B16DA5"/>
    <w:rsid w:val="00B173B4"/>
    <w:rsid w:val="00B22ED6"/>
    <w:rsid w:val="00B23525"/>
    <w:rsid w:val="00B2370D"/>
    <w:rsid w:val="00B237E3"/>
    <w:rsid w:val="00B25066"/>
    <w:rsid w:val="00B3494B"/>
    <w:rsid w:val="00B3707B"/>
    <w:rsid w:val="00B37CAA"/>
    <w:rsid w:val="00B44127"/>
    <w:rsid w:val="00B45F86"/>
    <w:rsid w:val="00B46798"/>
    <w:rsid w:val="00B50DA4"/>
    <w:rsid w:val="00B54230"/>
    <w:rsid w:val="00B55375"/>
    <w:rsid w:val="00B62C83"/>
    <w:rsid w:val="00B632CC"/>
    <w:rsid w:val="00B64884"/>
    <w:rsid w:val="00B66306"/>
    <w:rsid w:val="00B70709"/>
    <w:rsid w:val="00B70781"/>
    <w:rsid w:val="00B71AB3"/>
    <w:rsid w:val="00B74A4E"/>
    <w:rsid w:val="00B76359"/>
    <w:rsid w:val="00B83A2F"/>
    <w:rsid w:val="00B84D3B"/>
    <w:rsid w:val="00B943AA"/>
    <w:rsid w:val="00B96143"/>
    <w:rsid w:val="00BA12F1"/>
    <w:rsid w:val="00BA226A"/>
    <w:rsid w:val="00BA3FF5"/>
    <w:rsid w:val="00BA439F"/>
    <w:rsid w:val="00BA6370"/>
    <w:rsid w:val="00BB2938"/>
    <w:rsid w:val="00BB4A0B"/>
    <w:rsid w:val="00BB6A75"/>
    <w:rsid w:val="00BC1200"/>
    <w:rsid w:val="00BC667D"/>
    <w:rsid w:val="00BD10D7"/>
    <w:rsid w:val="00BD7AA0"/>
    <w:rsid w:val="00BE02C6"/>
    <w:rsid w:val="00BE0826"/>
    <w:rsid w:val="00BE146B"/>
    <w:rsid w:val="00BE2E24"/>
    <w:rsid w:val="00BE3E77"/>
    <w:rsid w:val="00BE5243"/>
    <w:rsid w:val="00BE601F"/>
    <w:rsid w:val="00BE60EF"/>
    <w:rsid w:val="00BF7118"/>
    <w:rsid w:val="00C01F2E"/>
    <w:rsid w:val="00C0302E"/>
    <w:rsid w:val="00C05779"/>
    <w:rsid w:val="00C05D5D"/>
    <w:rsid w:val="00C12B85"/>
    <w:rsid w:val="00C206CF"/>
    <w:rsid w:val="00C21672"/>
    <w:rsid w:val="00C217D4"/>
    <w:rsid w:val="00C2245F"/>
    <w:rsid w:val="00C269D4"/>
    <w:rsid w:val="00C26C0D"/>
    <w:rsid w:val="00C26DED"/>
    <w:rsid w:val="00C309EC"/>
    <w:rsid w:val="00C31724"/>
    <w:rsid w:val="00C32D3A"/>
    <w:rsid w:val="00C37ADB"/>
    <w:rsid w:val="00C40BFF"/>
    <w:rsid w:val="00C40EFF"/>
    <w:rsid w:val="00C4160D"/>
    <w:rsid w:val="00C45848"/>
    <w:rsid w:val="00C468C2"/>
    <w:rsid w:val="00C47644"/>
    <w:rsid w:val="00C47E58"/>
    <w:rsid w:val="00C50E69"/>
    <w:rsid w:val="00C514EA"/>
    <w:rsid w:val="00C55DCD"/>
    <w:rsid w:val="00C576F0"/>
    <w:rsid w:val="00C604F6"/>
    <w:rsid w:val="00C6055F"/>
    <w:rsid w:val="00C624D8"/>
    <w:rsid w:val="00C63A24"/>
    <w:rsid w:val="00C716EB"/>
    <w:rsid w:val="00C75577"/>
    <w:rsid w:val="00C76C8E"/>
    <w:rsid w:val="00C77878"/>
    <w:rsid w:val="00C77DFE"/>
    <w:rsid w:val="00C82ED2"/>
    <w:rsid w:val="00C8406E"/>
    <w:rsid w:val="00C85D11"/>
    <w:rsid w:val="00C91B9C"/>
    <w:rsid w:val="00C93163"/>
    <w:rsid w:val="00CA07A5"/>
    <w:rsid w:val="00CA08DA"/>
    <w:rsid w:val="00CA0DF3"/>
    <w:rsid w:val="00CA20AD"/>
    <w:rsid w:val="00CA79BD"/>
    <w:rsid w:val="00CB02AA"/>
    <w:rsid w:val="00CB0974"/>
    <w:rsid w:val="00CB2709"/>
    <w:rsid w:val="00CB2D50"/>
    <w:rsid w:val="00CB342F"/>
    <w:rsid w:val="00CB6F89"/>
    <w:rsid w:val="00CC0908"/>
    <w:rsid w:val="00CC0AE9"/>
    <w:rsid w:val="00CC29F2"/>
    <w:rsid w:val="00CC31E2"/>
    <w:rsid w:val="00CC323A"/>
    <w:rsid w:val="00CC48E1"/>
    <w:rsid w:val="00CC4E9C"/>
    <w:rsid w:val="00CC5018"/>
    <w:rsid w:val="00CC51C3"/>
    <w:rsid w:val="00CC67AB"/>
    <w:rsid w:val="00CC69AD"/>
    <w:rsid w:val="00CD0626"/>
    <w:rsid w:val="00CD3128"/>
    <w:rsid w:val="00CD3727"/>
    <w:rsid w:val="00CD49AC"/>
    <w:rsid w:val="00CE087C"/>
    <w:rsid w:val="00CE08EA"/>
    <w:rsid w:val="00CE228C"/>
    <w:rsid w:val="00CE38B2"/>
    <w:rsid w:val="00CE393E"/>
    <w:rsid w:val="00CE5893"/>
    <w:rsid w:val="00CE6FA0"/>
    <w:rsid w:val="00CE71D9"/>
    <w:rsid w:val="00CF1152"/>
    <w:rsid w:val="00CF263B"/>
    <w:rsid w:val="00CF40B1"/>
    <w:rsid w:val="00CF545B"/>
    <w:rsid w:val="00CF5C63"/>
    <w:rsid w:val="00CF6393"/>
    <w:rsid w:val="00CF64F5"/>
    <w:rsid w:val="00D0584F"/>
    <w:rsid w:val="00D07531"/>
    <w:rsid w:val="00D10ABA"/>
    <w:rsid w:val="00D11329"/>
    <w:rsid w:val="00D13E2A"/>
    <w:rsid w:val="00D16648"/>
    <w:rsid w:val="00D16B52"/>
    <w:rsid w:val="00D20085"/>
    <w:rsid w:val="00D209A7"/>
    <w:rsid w:val="00D21E22"/>
    <w:rsid w:val="00D246DC"/>
    <w:rsid w:val="00D24DEB"/>
    <w:rsid w:val="00D25FFD"/>
    <w:rsid w:val="00D26122"/>
    <w:rsid w:val="00D26AA6"/>
    <w:rsid w:val="00D27D69"/>
    <w:rsid w:val="00D30910"/>
    <w:rsid w:val="00D33658"/>
    <w:rsid w:val="00D35C44"/>
    <w:rsid w:val="00D4205C"/>
    <w:rsid w:val="00D42A01"/>
    <w:rsid w:val="00D4442C"/>
    <w:rsid w:val="00D448C2"/>
    <w:rsid w:val="00D463CE"/>
    <w:rsid w:val="00D56DEF"/>
    <w:rsid w:val="00D5736C"/>
    <w:rsid w:val="00D614B0"/>
    <w:rsid w:val="00D628B5"/>
    <w:rsid w:val="00D63DD9"/>
    <w:rsid w:val="00D63F70"/>
    <w:rsid w:val="00D640CB"/>
    <w:rsid w:val="00D66102"/>
    <w:rsid w:val="00D666C3"/>
    <w:rsid w:val="00D66959"/>
    <w:rsid w:val="00D66AD4"/>
    <w:rsid w:val="00D6773C"/>
    <w:rsid w:val="00D67E93"/>
    <w:rsid w:val="00D67F9C"/>
    <w:rsid w:val="00D778C7"/>
    <w:rsid w:val="00D80431"/>
    <w:rsid w:val="00D80CCB"/>
    <w:rsid w:val="00D849A5"/>
    <w:rsid w:val="00D84DB7"/>
    <w:rsid w:val="00D8500F"/>
    <w:rsid w:val="00D85C14"/>
    <w:rsid w:val="00D87655"/>
    <w:rsid w:val="00D9189F"/>
    <w:rsid w:val="00D92026"/>
    <w:rsid w:val="00D94E0E"/>
    <w:rsid w:val="00D96896"/>
    <w:rsid w:val="00DA11FB"/>
    <w:rsid w:val="00DA23D2"/>
    <w:rsid w:val="00DA26A1"/>
    <w:rsid w:val="00DA47B3"/>
    <w:rsid w:val="00DA5FE3"/>
    <w:rsid w:val="00DA7E10"/>
    <w:rsid w:val="00DC2E31"/>
    <w:rsid w:val="00DC5EC3"/>
    <w:rsid w:val="00DD7A72"/>
    <w:rsid w:val="00DF00A4"/>
    <w:rsid w:val="00DF3678"/>
    <w:rsid w:val="00DF3F1C"/>
    <w:rsid w:val="00DF4403"/>
    <w:rsid w:val="00DF47FE"/>
    <w:rsid w:val="00DF5781"/>
    <w:rsid w:val="00DF734F"/>
    <w:rsid w:val="00E0156A"/>
    <w:rsid w:val="00E05786"/>
    <w:rsid w:val="00E101D9"/>
    <w:rsid w:val="00E1031D"/>
    <w:rsid w:val="00E105CC"/>
    <w:rsid w:val="00E124B7"/>
    <w:rsid w:val="00E13D64"/>
    <w:rsid w:val="00E222BD"/>
    <w:rsid w:val="00E22693"/>
    <w:rsid w:val="00E228D3"/>
    <w:rsid w:val="00E2388A"/>
    <w:rsid w:val="00E23F1C"/>
    <w:rsid w:val="00E2589A"/>
    <w:rsid w:val="00E26704"/>
    <w:rsid w:val="00E276C8"/>
    <w:rsid w:val="00E30070"/>
    <w:rsid w:val="00E31431"/>
    <w:rsid w:val="00E31980"/>
    <w:rsid w:val="00E34F25"/>
    <w:rsid w:val="00E351E1"/>
    <w:rsid w:val="00E41B61"/>
    <w:rsid w:val="00E43CD3"/>
    <w:rsid w:val="00E50616"/>
    <w:rsid w:val="00E5323B"/>
    <w:rsid w:val="00E54A4B"/>
    <w:rsid w:val="00E56EE8"/>
    <w:rsid w:val="00E57D38"/>
    <w:rsid w:val="00E613EB"/>
    <w:rsid w:val="00E6423C"/>
    <w:rsid w:val="00E652F3"/>
    <w:rsid w:val="00E6706D"/>
    <w:rsid w:val="00E6728B"/>
    <w:rsid w:val="00E67967"/>
    <w:rsid w:val="00E7434D"/>
    <w:rsid w:val="00E759B9"/>
    <w:rsid w:val="00E759D5"/>
    <w:rsid w:val="00E76209"/>
    <w:rsid w:val="00E76FE2"/>
    <w:rsid w:val="00E84A7C"/>
    <w:rsid w:val="00E8699B"/>
    <w:rsid w:val="00E86BA4"/>
    <w:rsid w:val="00E917BA"/>
    <w:rsid w:val="00E93830"/>
    <w:rsid w:val="00E93E0E"/>
    <w:rsid w:val="00E94CCD"/>
    <w:rsid w:val="00E9531E"/>
    <w:rsid w:val="00E95401"/>
    <w:rsid w:val="00E95C1A"/>
    <w:rsid w:val="00EA0D1B"/>
    <w:rsid w:val="00EA29DE"/>
    <w:rsid w:val="00EA3F22"/>
    <w:rsid w:val="00EB0CB6"/>
    <w:rsid w:val="00EB1773"/>
    <w:rsid w:val="00EB1ED3"/>
    <w:rsid w:val="00EB3C66"/>
    <w:rsid w:val="00EC13C5"/>
    <w:rsid w:val="00EC46F6"/>
    <w:rsid w:val="00EC50D0"/>
    <w:rsid w:val="00EC6F96"/>
    <w:rsid w:val="00ED1221"/>
    <w:rsid w:val="00ED1B0A"/>
    <w:rsid w:val="00ED23FF"/>
    <w:rsid w:val="00ED4529"/>
    <w:rsid w:val="00ED51FA"/>
    <w:rsid w:val="00ED6525"/>
    <w:rsid w:val="00EE129C"/>
    <w:rsid w:val="00EE743B"/>
    <w:rsid w:val="00EE7761"/>
    <w:rsid w:val="00EE7EF3"/>
    <w:rsid w:val="00EF47A7"/>
    <w:rsid w:val="00EF6F45"/>
    <w:rsid w:val="00EF7715"/>
    <w:rsid w:val="00F00DF7"/>
    <w:rsid w:val="00F02B97"/>
    <w:rsid w:val="00F03F70"/>
    <w:rsid w:val="00F07AA3"/>
    <w:rsid w:val="00F10D82"/>
    <w:rsid w:val="00F11D7C"/>
    <w:rsid w:val="00F12027"/>
    <w:rsid w:val="00F14195"/>
    <w:rsid w:val="00F24FC0"/>
    <w:rsid w:val="00F27244"/>
    <w:rsid w:val="00F31CAB"/>
    <w:rsid w:val="00F326EC"/>
    <w:rsid w:val="00F32E06"/>
    <w:rsid w:val="00F333AE"/>
    <w:rsid w:val="00F3618A"/>
    <w:rsid w:val="00F36442"/>
    <w:rsid w:val="00F3735F"/>
    <w:rsid w:val="00F40045"/>
    <w:rsid w:val="00F428FF"/>
    <w:rsid w:val="00F42D20"/>
    <w:rsid w:val="00F45C55"/>
    <w:rsid w:val="00F5038F"/>
    <w:rsid w:val="00F51163"/>
    <w:rsid w:val="00F518BD"/>
    <w:rsid w:val="00F527C9"/>
    <w:rsid w:val="00F529F5"/>
    <w:rsid w:val="00F52CE9"/>
    <w:rsid w:val="00F54ABB"/>
    <w:rsid w:val="00F55F3D"/>
    <w:rsid w:val="00F605A3"/>
    <w:rsid w:val="00F612FE"/>
    <w:rsid w:val="00F6528D"/>
    <w:rsid w:val="00F65646"/>
    <w:rsid w:val="00F75F2A"/>
    <w:rsid w:val="00F80EE2"/>
    <w:rsid w:val="00F8317C"/>
    <w:rsid w:val="00F84CBE"/>
    <w:rsid w:val="00F926AB"/>
    <w:rsid w:val="00F963D3"/>
    <w:rsid w:val="00FA003C"/>
    <w:rsid w:val="00FA2231"/>
    <w:rsid w:val="00FA303E"/>
    <w:rsid w:val="00FA3553"/>
    <w:rsid w:val="00FA5835"/>
    <w:rsid w:val="00FA650C"/>
    <w:rsid w:val="00FB0A6C"/>
    <w:rsid w:val="00FB24CB"/>
    <w:rsid w:val="00FB2758"/>
    <w:rsid w:val="00FB29D0"/>
    <w:rsid w:val="00FB2D67"/>
    <w:rsid w:val="00FB60F4"/>
    <w:rsid w:val="00FB687C"/>
    <w:rsid w:val="00FB7802"/>
    <w:rsid w:val="00FC1196"/>
    <w:rsid w:val="00FC3759"/>
    <w:rsid w:val="00FC3A91"/>
    <w:rsid w:val="00FC520D"/>
    <w:rsid w:val="00FC6EC8"/>
    <w:rsid w:val="00FD0617"/>
    <w:rsid w:val="00FD17A6"/>
    <w:rsid w:val="00FD499C"/>
    <w:rsid w:val="00FE5C1E"/>
    <w:rsid w:val="00FE62C8"/>
    <w:rsid w:val="00FF19F0"/>
    <w:rsid w:val="00FF245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CAEEA41"/>
  <w15:docId w15:val="{6A28C59D-B4FC-4246-848E-8A37C3DD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d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38F5-7944-40DE-BFE4-DD193E65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1064</TotalTime>
  <Pages>3</Pages>
  <Words>1159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7985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Cuřínová Petra</cp:lastModifiedBy>
  <cp:revision>149</cp:revision>
  <cp:lastPrinted>2022-02-04T07:17:00Z</cp:lastPrinted>
  <dcterms:created xsi:type="dcterms:W3CDTF">2021-10-04T04:52:00Z</dcterms:created>
  <dcterms:modified xsi:type="dcterms:W3CDTF">2022-02-04T09:07:00Z</dcterms:modified>
</cp:coreProperties>
</file>