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4D4496DC" w:rsidR="00867569" w:rsidRDefault="006E39A7" w:rsidP="00270F84">
      <w:pPr>
        <w:pStyle w:val="Datum"/>
      </w:pPr>
      <w:r>
        <w:t>01</w:t>
      </w:r>
      <w:r w:rsidR="00304176">
        <w:t>.</w:t>
      </w:r>
      <w:r w:rsidR="00915A3B">
        <w:t xml:space="preserve"> </w:t>
      </w:r>
      <w:r w:rsidR="00BC0239">
        <w:t>0</w:t>
      </w:r>
      <w:r>
        <w:t>4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BC0239">
        <w:t>2</w:t>
      </w:r>
    </w:p>
    <w:p w14:paraId="262E8C2C" w14:textId="15234F5E" w:rsidR="002F357E" w:rsidRDefault="00701B16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Saldo hospodaření vládních institucí </w:t>
      </w:r>
      <w:r w:rsidR="00B01D58">
        <w:rPr>
          <w:color w:val="BD1B21"/>
          <w:sz w:val="32"/>
          <w:szCs w:val="32"/>
        </w:rPr>
        <w:t>zůstává v deficitu</w:t>
      </w:r>
    </w:p>
    <w:p w14:paraId="698A55A3" w14:textId="16E5C71B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6E39A7">
        <w:t>4</w:t>
      </w:r>
      <w:r w:rsidR="00407901">
        <w:t>. čtvrtletí 202</w:t>
      </w:r>
      <w:r w:rsidR="000D4AC4">
        <w:t>1</w:t>
      </w:r>
    </w:p>
    <w:p w14:paraId="7B043CCE" w14:textId="0170763F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>ru vládních institucí dosáhlo v</w:t>
      </w:r>
      <w:r w:rsidR="00A23729">
        <w:rPr>
          <w:b/>
        </w:rPr>
        <w:t>e</w:t>
      </w:r>
      <w:r w:rsidR="00474243">
        <w:rPr>
          <w:b/>
        </w:rPr>
        <w:t xml:space="preserve"> </w:t>
      </w:r>
      <w:r w:rsidR="005B3516">
        <w:rPr>
          <w:b/>
        </w:rPr>
        <w:t>čtvrtém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0D4AC4">
        <w:rPr>
          <w:b/>
        </w:rPr>
        <w:t>1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B01D58">
        <w:rPr>
          <w:b/>
        </w:rPr>
        <w:t>10</w:t>
      </w:r>
      <w:r w:rsidR="00974B5D">
        <w:rPr>
          <w:b/>
        </w:rPr>
        <w:t>5</w:t>
      </w:r>
      <w:r w:rsidR="00B01D58">
        <w:rPr>
          <w:b/>
        </w:rPr>
        <w:t>,</w:t>
      </w:r>
      <w:r w:rsidR="00974B5D">
        <w:rPr>
          <w:b/>
        </w:rPr>
        <w:t>2</w:t>
      </w:r>
      <w:r w:rsidR="00E92D16">
        <w:rPr>
          <w:b/>
        </w:rPr>
        <w:t> </w:t>
      </w:r>
      <w:r w:rsidRPr="002A63D2">
        <w:rPr>
          <w:b/>
        </w:rPr>
        <w:t xml:space="preserve">mld. Kč, </w:t>
      </w:r>
      <w:r w:rsidRPr="006D6BFF">
        <w:rPr>
          <w:b/>
        </w:rPr>
        <w:t>což představ</w:t>
      </w:r>
      <w:r w:rsidR="00292BC3">
        <w:rPr>
          <w:b/>
        </w:rPr>
        <w:t>ovalo</w:t>
      </w:r>
      <w:r w:rsidRPr="006D6BFF">
        <w:rPr>
          <w:b/>
        </w:rPr>
        <w:t xml:space="preserve"> </w:t>
      </w:r>
      <w:r w:rsidR="00B01D58">
        <w:rPr>
          <w:b/>
        </w:rPr>
        <w:t>6,</w:t>
      </w:r>
      <w:r w:rsidR="00974B5D">
        <w:rPr>
          <w:b/>
        </w:rPr>
        <w:t>5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974B5D">
        <w:rPr>
          <w:b/>
        </w:rPr>
        <w:t>40,3</w:t>
      </w:r>
      <w:r w:rsidR="006D6BFF">
        <w:rPr>
          <w:b/>
        </w:rPr>
        <w:t> </w:t>
      </w:r>
      <w:r w:rsidRPr="003E37C7">
        <w:rPr>
          <w:b/>
        </w:rPr>
        <w:t xml:space="preserve">% HDP, zatímco výdaje </w:t>
      </w:r>
      <w:r w:rsidR="00B01D58">
        <w:rPr>
          <w:b/>
        </w:rPr>
        <w:t>46,</w:t>
      </w:r>
      <w:r w:rsidR="00974B5D">
        <w:rPr>
          <w:b/>
        </w:rPr>
        <w:t>8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 w:rsidR="00AA502D" w:rsidRPr="00F520C7">
        <w:rPr>
          <w:b/>
        </w:rPr>
        <w:t>vzrostla</w:t>
      </w:r>
      <w:r w:rsidRPr="00F520C7">
        <w:rPr>
          <w:b/>
        </w:rPr>
        <w:t xml:space="preserve"> meziročně </w:t>
      </w:r>
      <w:r w:rsidRPr="001807A0">
        <w:rPr>
          <w:b/>
        </w:rPr>
        <w:t xml:space="preserve">o </w:t>
      </w:r>
      <w:r w:rsidR="001807A0">
        <w:rPr>
          <w:b/>
        </w:rPr>
        <w:t>4,2</w:t>
      </w:r>
      <w:r w:rsidR="00DC1C8F" w:rsidRPr="001807A0">
        <w:rPr>
          <w:b/>
        </w:rPr>
        <w:t xml:space="preserve"> </w:t>
      </w:r>
      <w:r w:rsidRPr="001807A0">
        <w:rPr>
          <w:b/>
        </w:rPr>
        <w:t xml:space="preserve">p. b. </w:t>
      </w:r>
      <w:proofErr w:type="gramStart"/>
      <w:r w:rsidRPr="001807A0">
        <w:rPr>
          <w:b/>
        </w:rPr>
        <w:t>na</w:t>
      </w:r>
      <w:proofErr w:type="gramEnd"/>
      <w:r w:rsidRPr="001807A0">
        <w:rPr>
          <w:b/>
        </w:rPr>
        <w:t xml:space="preserve"> </w:t>
      </w:r>
      <w:r w:rsidR="00A23729" w:rsidRPr="001807A0">
        <w:rPr>
          <w:b/>
        </w:rPr>
        <w:t>4</w:t>
      </w:r>
      <w:r w:rsidR="001807A0">
        <w:rPr>
          <w:b/>
        </w:rPr>
        <w:t>1,9</w:t>
      </w:r>
      <w:r w:rsidR="006179B0" w:rsidRPr="001807A0">
        <w:rPr>
          <w:b/>
        </w:rPr>
        <w:t xml:space="preserve"> </w:t>
      </w:r>
      <w:r w:rsidRPr="001807A0">
        <w:rPr>
          <w:b/>
        </w:rPr>
        <w:t>% HDP</w:t>
      </w:r>
      <w:r w:rsidRPr="00DC1C8F">
        <w:rPr>
          <w:b/>
        </w:rPr>
        <w:t>.</w:t>
      </w:r>
    </w:p>
    <w:p w14:paraId="6C9DAEEF" w14:textId="77777777" w:rsidR="00A94B28" w:rsidRDefault="00A94B28" w:rsidP="00043BF4"/>
    <w:p w14:paraId="784CE9A7" w14:textId="3668B679" w:rsidR="00053474" w:rsidRDefault="0000660A" w:rsidP="00053474">
      <w:r>
        <w:t>V</w:t>
      </w:r>
      <w:r w:rsidR="007B7475">
        <w:t>e</w:t>
      </w:r>
      <w:r>
        <w:t xml:space="preserve"> </w:t>
      </w:r>
      <w:r w:rsidR="00B01D58">
        <w:t>čtvrtém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21</w:t>
      </w:r>
      <w:r w:rsidR="003C7864">
        <w:t xml:space="preserve"> došlo meziročně </w:t>
      </w:r>
      <w:r w:rsidR="00B01D58">
        <w:t>ke</w:t>
      </w:r>
      <w:r w:rsidR="003C7864">
        <w:t xml:space="preserve"> </w:t>
      </w:r>
      <w:r w:rsidR="00B01D58">
        <w:t>zlepšení</w:t>
      </w:r>
      <w:r w:rsidR="003C7864">
        <w:t xml:space="preserve"> salda</w:t>
      </w:r>
      <w:r w:rsidR="00053474">
        <w:t xml:space="preserve"> hospodaření vládních institucí </w:t>
      </w:r>
      <w:r w:rsidR="00053474" w:rsidRPr="00B46BFE">
        <w:t>o</w:t>
      </w:r>
      <w:r w:rsidR="00E92D16" w:rsidRPr="00B46BFE">
        <w:t> </w:t>
      </w:r>
      <w:r w:rsidR="00E93715">
        <w:t>32,3</w:t>
      </w:r>
      <w:r w:rsidR="009906E9" w:rsidRPr="00B46BFE">
        <w:t> </w:t>
      </w:r>
      <w:r w:rsidR="003C7864" w:rsidRPr="00B46BFE">
        <w:t>mld</w:t>
      </w:r>
      <w:r w:rsidR="003C7864">
        <w:t xml:space="preserve">. Kč., </w:t>
      </w:r>
      <w:r w:rsidR="00F221D2">
        <w:t xml:space="preserve">přestože všechny </w:t>
      </w:r>
      <w:proofErr w:type="spellStart"/>
      <w:r w:rsidR="00255731">
        <w:t>subsektory</w:t>
      </w:r>
      <w:proofErr w:type="spellEnd"/>
      <w:r w:rsidR="00255731">
        <w:t xml:space="preserve"> </w:t>
      </w:r>
      <w:r w:rsidR="00F221D2">
        <w:t>vládní</w:t>
      </w:r>
      <w:r w:rsidR="00255731">
        <w:t>ch</w:t>
      </w:r>
      <w:r w:rsidR="00F221D2">
        <w:t xml:space="preserve"> instituc</w:t>
      </w:r>
      <w:r w:rsidR="00255731">
        <w:t>í</w:t>
      </w:r>
      <w:r w:rsidR="00F221D2">
        <w:t xml:space="preserve"> skončily v defi</w:t>
      </w:r>
      <w:r w:rsidR="00222149">
        <w:t>ci</w:t>
      </w:r>
      <w:r w:rsidR="00F221D2">
        <w:t>tu. Největší podíl na meziročním snížení měly</w:t>
      </w:r>
      <w:r w:rsidR="00060E33">
        <w:t xml:space="preserve"> </w:t>
      </w:r>
      <w:r w:rsidR="007B7475">
        <w:t xml:space="preserve">především </w:t>
      </w:r>
      <w:r w:rsidR="009C00B5">
        <w:t xml:space="preserve">ústřední </w:t>
      </w:r>
      <w:r w:rsidR="00060E33">
        <w:t>vládní</w:t>
      </w:r>
      <w:r w:rsidR="009C00B5">
        <w:t xml:space="preserve"> instituce</w:t>
      </w:r>
      <w:r w:rsidR="00060E33">
        <w:t xml:space="preserve">, </w:t>
      </w:r>
      <w:r w:rsidR="001F4E2C">
        <w:t xml:space="preserve">jejichž hospodaření </w:t>
      </w:r>
      <w:r w:rsidR="00F221D2">
        <w:t>se vylepšilo o 32,</w:t>
      </w:r>
      <w:r w:rsidR="00E93715">
        <w:t>5</w:t>
      </w:r>
      <w:r w:rsidR="00F221D2">
        <w:t xml:space="preserve"> mld. Kč a </w:t>
      </w:r>
      <w:r w:rsidR="00060E33">
        <w:t xml:space="preserve">skončilo </w:t>
      </w:r>
      <w:r w:rsidR="009C00B5">
        <w:t xml:space="preserve">ve schodku </w:t>
      </w:r>
      <w:r w:rsidR="00E93715">
        <w:t>77,0</w:t>
      </w:r>
      <w:r w:rsidR="009C00B5">
        <w:t xml:space="preserve"> mld.</w:t>
      </w:r>
      <w:r w:rsidR="00060E33">
        <w:t xml:space="preserve"> Kč. </w:t>
      </w:r>
      <w:r w:rsidR="00EB6243">
        <w:t>M</w:t>
      </w:r>
      <w:r w:rsidR="003C7864">
        <w:t>ístní vládní</w:t>
      </w:r>
      <w:r w:rsidR="00EB6243">
        <w:t xml:space="preserve"> instituce hospodař</w:t>
      </w:r>
      <w:r w:rsidR="00E92D16">
        <w:t xml:space="preserve">ily </w:t>
      </w:r>
      <w:r w:rsidR="00F221D2">
        <w:t>se schodkem</w:t>
      </w:r>
      <w:r w:rsidR="0036612E" w:rsidRPr="00B46BFE">
        <w:t xml:space="preserve"> </w:t>
      </w:r>
      <w:r w:rsidR="00E93715">
        <w:t>18,3</w:t>
      </w:r>
      <w:r w:rsidR="0036612E">
        <w:t xml:space="preserve"> m</w:t>
      </w:r>
      <w:r w:rsidR="00F221D2">
        <w:t xml:space="preserve">ld. Kč a </w:t>
      </w:r>
      <w:r w:rsidR="001F4E2C">
        <w:t>h</w:t>
      </w:r>
      <w:r w:rsidR="00660D90">
        <w:t>ospodaření fondů sociálního</w:t>
      </w:r>
      <w:r w:rsidR="00FE5C90">
        <w:t xml:space="preserve"> zabezpečení</w:t>
      </w:r>
      <w:r w:rsidR="00660D90">
        <w:t xml:space="preserve"> </w:t>
      </w:r>
      <w:r w:rsidR="00F221D2">
        <w:t>skončilo v deficitu 10,0 mld. Kč.</w:t>
      </w:r>
    </w:p>
    <w:p w14:paraId="39AC9BFC" w14:textId="77777777" w:rsidR="00053474" w:rsidRDefault="00053474" w:rsidP="00043BF4"/>
    <w:p w14:paraId="2DE8F72D" w14:textId="389977CC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5B3516">
        <w:t>4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</w:t>
      </w:r>
      <w:r w:rsidR="008E611F">
        <w:t>19</w:t>
      </w:r>
      <w:r w:rsidR="00B85D5E" w:rsidRPr="0037782A">
        <w:t xml:space="preserve"> </w:t>
      </w:r>
      <w:r w:rsidR="000A2AF1" w:rsidRPr="0037782A">
        <w:t xml:space="preserve">– </w:t>
      </w:r>
      <w:r w:rsidR="005B3516">
        <w:t>4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</w:t>
      </w:r>
      <w:r w:rsidR="004060DD">
        <w:t>2</w:t>
      </w:r>
      <w:r w:rsidR="008E611F">
        <w:t>1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E93715" w:rsidRPr="0037782A" w14:paraId="6F02BBDD" w14:textId="77777777" w:rsidTr="00A3491E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E93715" w:rsidRPr="0037782A" w:rsidRDefault="00E93715" w:rsidP="00E9371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DDC" w14:textId="19A54E95" w:rsidR="00E93715" w:rsidRPr="0037782A" w:rsidRDefault="00E93715" w:rsidP="00E9371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4EBC" w14:textId="0CBA4D48" w:rsidR="00E93715" w:rsidRPr="0037782A" w:rsidRDefault="00E93715" w:rsidP="00E937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45A9" w14:textId="6B6C35BF" w:rsidR="00E93715" w:rsidRPr="0037782A" w:rsidRDefault="00E93715" w:rsidP="00E937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232E" w14:textId="692CFE0E" w:rsidR="00E93715" w:rsidRPr="0037782A" w:rsidRDefault="00E93715" w:rsidP="00E937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428" w14:textId="76E7BC4F" w:rsidR="00E93715" w:rsidRPr="0037782A" w:rsidRDefault="00E93715" w:rsidP="00E937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6387" w14:textId="55C6AB8C" w:rsidR="00E93715" w:rsidRPr="0037782A" w:rsidRDefault="00E93715" w:rsidP="00E937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1972" w14:textId="17F3B6E1" w:rsidR="00E93715" w:rsidRPr="0037782A" w:rsidRDefault="00E93715" w:rsidP="00E937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75D" w14:textId="688846BD" w:rsidR="00E93715" w:rsidRPr="0037782A" w:rsidRDefault="00E93715" w:rsidP="00E937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9987" w14:textId="0334F988" w:rsidR="00E93715" w:rsidRPr="0037782A" w:rsidRDefault="00E93715" w:rsidP="00E93715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2021</w:t>
            </w:r>
            <w:proofErr w:type="gramEnd"/>
          </w:p>
        </w:tc>
      </w:tr>
      <w:tr w:rsidR="00E93715" w:rsidRPr="0037782A" w14:paraId="32ABB801" w14:textId="77777777" w:rsidTr="00A3491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E93715" w:rsidRPr="0037782A" w:rsidRDefault="00E93715" w:rsidP="00E9371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EF07" w14:textId="463B78EA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771" w14:textId="2CBFEED3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90DC" w14:textId="79294458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B5A" w14:textId="277A29F6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F6F5" w14:textId="22F65502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7FC" w14:textId="182DF71C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65C" w14:textId="266B3578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320" w14:textId="6398995E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DEA2" w14:textId="76E16814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-105,2</w:t>
            </w:r>
          </w:p>
        </w:tc>
      </w:tr>
      <w:tr w:rsidR="00E93715" w:rsidRPr="0037782A" w14:paraId="52B163B8" w14:textId="77777777" w:rsidTr="00A3491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E93715" w:rsidRPr="0037782A" w:rsidRDefault="00E93715" w:rsidP="00E9371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847" w14:textId="2726A861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D52" w14:textId="212871B2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358" w14:textId="03F32E13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756A" w14:textId="31158FF1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6A88" w14:textId="62D6D51D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32C" w14:textId="2369055D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891" w14:textId="78FC616E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464" w14:textId="06F066D5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F45" w14:textId="21EDBED8" w:rsidR="00E93715" w:rsidRPr="0037782A" w:rsidRDefault="00E93715" w:rsidP="00E937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-6,5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6EDF0558" w14:textId="6644FFF4" w:rsidR="00E225DE" w:rsidRDefault="00601F81" w:rsidP="00601F81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6D3A02">
        <w:t>2,0</w:t>
      </w:r>
      <w:r w:rsidRPr="00174C88">
        <w:t xml:space="preserve"> %.</w:t>
      </w:r>
      <w:r w:rsidRPr="00E736BE">
        <w:t xml:space="preserve"> Na 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 </w:t>
      </w:r>
      <w:r w:rsidR="00FC39DA">
        <w:t xml:space="preserve">z daní z výroby a dovozu </w:t>
      </w:r>
      <w:r w:rsidR="00FC39DA" w:rsidRPr="00FB249A">
        <w:t>(+</w:t>
      </w:r>
      <w:r w:rsidR="006D3A02">
        <w:t>11,8</w:t>
      </w:r>
      <w:r w:rsidR="00FC39DA" w:rsidRPr="00C275B3">
        <w:t xml:space="preserve"> % na </w:t>
      </w:r>
      <w:r w:rsidR="00FC39DA">
        <w:t>1</w:t>
      </w:r>
      <w:r w:rsidR="006D3A02">
        <w:t>92</w:t>
      </w:r>
      <w:r w:rsidR="00FC39DA">
        <w:t>,3</w:t>
      </w:r>
      <w:r w:rsidR="00FC39DA" w:rsidRPr="00C275B3">
        <w:t xml:space="preserve"> mld. Kč)</w:t>
      </w:r>
      <w:r w:rsidR="00FC39DA">
        <w:t xml:space="preserve"> a </w:t>
      </w:r>
      <w:r w:rsidR="000C2F30" w:rsidRPr="00E736BE">
        <w:t>z</w:t>
      </w:r>
      <w:r w:rsidR="00860C3B">
        <w:t>e sociálních příspěvků</w:t>
      </w:r>
      <w:r w:rsidR="009E3E5F">
        <w:t xml:space="preserve">  </w:t>
      </w:r>
      <w:r w:rsidR="009E3E5F" w:rsidRPr="00860C3B">
        <w:t>(</w:t>
      </w:r>
      <w:r w:rsidR="00860C3B" w:rsidRPr="00860C3B">
        <w:t>+</w:t>
      </w:r>
      <w:r w:rsidR="00FC39DA">
        <w:t>5,5</w:t>
      </w:r>
      <w:r w:rsidR="00E45130" w:rsidRPr="00860C3B">
        <w:t xml:space="preserve"> % na </w:t>
      </w:r>
      <w:r w:rsidR="00FC39DA">
        <w:t>266,0</w:t>
      </w:r>
      <w:r w:rsidR="00E45130" w:rsidRPr="00860C3B">
        <w:t xml:space="preserve"> mld. Kč</w:t>
      </w:r>
      <w:r w:rsidR="00860C3B">
        <w:t>)</w:t>
      </w:r>
      <w:r w:rsidR="007D58AD">
        <w:t>.</w:t>
      </w:r>
      <w:r w:rsidR="00C33E70">
        <w:t xml:space="preserve"> </w:t>
      </w:r>
      <w:r w:rsidR="0065194E">
        <w:t xml:space="preserve">Pokles byl zaznamenán pouze u </w:t>
      </w:r>
      <w:r w:rsidR="00AC58B3">
        <w:t>daní z příjmů</w:t>
      </w:r>
      <w:r w:rsidR="007D58AD">
        <w:t xml:space="preserve"> </w:t>
      </w:r>
      <w:r w:rsidR="007D58AD" w:rsidRPr="007D6F52">
        <w:t>(-</w:t>
      </w:r>
      <w:r w:rsidR="00FC39DA">
        <w:t>22,8</w:t>
      </w:r>
      <w:r w:rsidR="007D58AD" w:rsidRPr="00C275B3">
        <w:t xml:space="preserve"> % na </w:t>
      </w:r>
      <w:r w:rsidR="00AC58B3">
        <w:t>105,</w:t>
      </w:r>
      <w:r w:rsidR="00FC39DA">
        <w:t>4</w:t>
      </w:r>
      <w:r w:rsidR="007D58AD" w:rsidRPr="00C275B3">
        <w:t xml:space="preserve"> mld. Kč</w:t>
      </w:r>
      <w:r w:rsidR="007D58AD">
        <w:t>)</w:t>
      </w:r>
      <w:r w:rsidR="00E225DE" w:rsidRPr="00E82994">
        <w:t>.</w:t>
      </w:r>
    </w:p>
    <w:p w14:paraId="0F87F324" w14:textId="77777777" w:rsidR="00E225DE" w:rsidRDefault="00E225DE" w:rsidP="00601F81"/>
    <w:p w14:paraId="2EA608BE" w14:textId="0BB04BA6" w:rsidR="00601F81" w:rsidRDefault="00E706EA" w:rsidP="00A94B28">
      <w:r w:rsidRPr="00E736BE">
        <w:t xml:space="preserve">Celkové výdaje vládních institucí </w:t>
      </w:r>
      <w:r w:rsidRPr="00183B9F">
        <w:t xml:space="preserve">meziročně </w:t>
      </w:r>
      <w:r w:rsidR="00C74AF6">
        <w:t xml:space="preserve">poklesly </w:t>
      </w:r>
      <w:r w:rsidRPr="00FB249A">
        <w:t xml:space="preserve">o </w:t>
      </w:r>
      <w:r w:rsidR="00C74AF6">
        <w:t>2,5</w:t>
      </w:r>
      <w:r w:rsidRPr="00FB249A">
        <w:t xml:space="preserve"> %.</w:t>
      </w:r>
      <w:r w:rsidRPr="00E736BE">
        <w:t xml:space="preserve"> </w:t>
      </w:r>
      <w:r w:rsidR="008A0350">
        <w:t xml:space="preserve">Nejvíce </w:t>
      </w:r>
      <w:r w:rsidR="00E5536A">
        <w:t>poklesly</w:t>
      </w:r>
      <w:r w:rsidR="00312A78">
        <w:t xml:space="preserve"> výdaje na </w:t>
      </w:r>
      <w:r w:rsidR="00E5536A">
        <w:t>dotace (-28,7</w:t>
      </w:r>
      <w:r w:rsidR="00E5536A" w:rsidRPr="00C275B3">
        <w:t xml:space="preserve"> % na </w:t>
      </w:r>
      <w:r w:rsidR="00E5536A">
        <w:t>35,9</w:t>
      </w:r>
      <w:r w:rsidR="00E5536A" w:rsidRPr="00C275B3">
        <w:t xml:space="preserve"> mld. Kč</w:t>
      </w:r>
      <w:r w:rsidR="00E5536A">
        <w:t>) a kapitálové transfery (-</w:t>
      </w:r>
      <w:r w:rsidR="006400BD">
        <w:t>34,3</w:t>
      </w:r>
      <w:r w:rsidR="00E5536A" w:rsidRPr="00C275B3">
        <w:t xml:space="preserve"> % na </w:t>
      </w:r>
      <w:r w:rsidR="00E5536A">
        <w:t>10,</w:t>
      </w:r>
      <w:r w:rsidR="006400BD">
        <w:t>2</w:t>
      </w:r>
      <w:r w:rsidR="00E5536A" w:rsidRPr="00C275B3">
        <w:t xml:space="preserve"> mld. Kč</w:t>
      </w:r>
      <w:r w:rsidR="00B37455">
        <w:t>).</w:t>
      </w:r>
    </w:p>
    <w:p w14:paraId="4D6C7360" w14:textId="77777777" w:rsidR="00B81175" w:rsidRDefault="00B81175" w:rsidP="00A94B28"/>
    <w:p w14:paraId="4D31A60A" w14:textId="553F4B98" w:rsidR="00AF42B6" w:rsidRDefault="00425ADB" w:rsidP="00425ADB">
      <w:r w:rsidRPr="00907835">
        <w:t>Míra zadlužení</w:t>
      </w:r>
      <w:r w:rsidRPr="00EF5A70">
        <w:t xml:space="preserve"> sektoru vládn</w:t>
      </w:r>
      <w:r w:rsidR="001557F3">
        <w:t xml:space="preserve">ích institucí meziročně </w:t>
      </w:r>
      <w:r w:rsidR="001557F3" w:rsidRPr="004627B6">
        <w:t>vzrostla</w:t>
      </w:r>
      <w:r w:rsidRPr="004627B6">
        <w:t xml:space="preserve"> </w:t>
      </w:r>
      <w:r w:rsidR="00006D9A" w:rsidRPr="004627B6">
        <w:t>z</w:t>
      </w:r>
      <w:r w:rsidR="00907835">
        <w:t> </w:t>
      </w:r>
      <w:r w:rsidRPr="004627B6">
        <w:t>3</w:t>
      </w:r>
      <w:r w:rsidR="00907835">
        <w:t>7,7</w:t>
      </w:r>
      <w:r w:rsidRPr="004627B6">
        <w:t xml:space="preserve"> </w:t>
      </w:r>
      <w:r w:rsidR="00823594" w:rsidRPr="004627B6">
        <w:t xml:space="preserve">% </w:t>
      </w:r>
      <w:r w:rsidRPr="004627B6">
        <w:t xml:space="preserve">na </w:t>
      </w:r>
      <w:r w:rsidR="008B5BB1" w:rsidRPr="004627B6">
        <w:t>4</w:t>
      </w:r>
      <w:r w:rsidR="00907835">
        <w:t>1,9</w:t>
      </w:r>
      <w:r w:rsidR="00696FCF" w:rsidRPr="004627B6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="001E09F0">
        <w:t>rostoucí</w:t>
      </w:r>
      <w:r w:rsidRPr="004627B6">
        <w:t xml:space="preserve"> </w:t>
      </w:r>
      <w:r w:rsidR="00322825" w:rsidRPr="004627B6">
        <w:t xml:space="preserve">nominální </w:t>
      </w:r>
      <w:r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Pr="004627B6">
        <w:t xml:space="preserve"> zadlužení o </w:t>
      </w:r>
      <w:r w:rsidR="00907835">
        <w:t>–</w:t>
      </w:r>
      <w:r w:rsidR="005A2F95">
        <w:t xml:space="preserve"> </w:t>
      </w:r>
      <w:r w:rsidR="00907835">
        <w:t>2,6</w:t>
      </w:r>
      <w:r w:rsidRPr="004627B6">
        <w:t xml:space="preserve"> p.</w:t>
      </w:r>
      <w:r w:rsidR="00E16796" w:rsidRPr="004627B6">
        <w:t xml:space="preserve"> </w:t>
      </w:r>
      <w:r w:rsidRPr="004627B6">
        <w:t xml:space="preserve">b. </w:t>
      </w:r>
      <w:r w:rsidR="00FA1B2C" w:rsidRPr="004627B6">
        <w:t xml:space="preserve">Nominální dluh vládních institucí meziročně vzrostl o </w:t>
      </w:r>
      <w:r w:rsidR="00405365">
        <w:t>417,3</w:t>
      </w:r>
      <w:r w:rsidR="001D1A8D" w:rsidRPr="004627B6">
        <w:t xml:space="preserve"> mld. </w:t>
      </w:r>
      <w:r w:rsidR="00706FE1">
        <w:t xml:space="preserve">Kč </w:t>
      </w:r>
      <w:r w:rsidR="001D1A8D" w:rsidRPr="004627B6">
        <w:t xml:space="preserve">na </w:t>
      </w:r>
      <w:r w:rsidR="00DB27DA">
        <w:t>2</w:t>
      </w:r>
      <w:r w:rsidR="00675EC0">
        <w:t> 566,6</w:t>
      </w:r>
      <w:r w:rsidR="00FA1B2C" w:rsidRPr="004627B6">
        <w:t xml:space="preserve"> mld. </w:t>
      </w:r>
      <w:r w:rsidR="00706FE1">
        <w:t xml:space="preserve">Kč </w:t>
      </w:r>
      <w:bookmarkStart w:id="0" w:name="_GoBack"/>
      <w:bookmarkEnd w:id="0"/>
      <w:r w:rsidR="00FA1B2C" w:rsidRPr="004627B6">
        <w:t xml:space="preserve">a jeho příspěvek činil </w:t>
      </w:r>
      <w:r w:rsidR="00675EC0">
        <w:t>6,8</w:t>
      </w:r>
      <w:r w:rsidR="00FA1B2C" w:rsidRPr="004627B6">
        <w:t xml:space="preserve"> p. b. </w:t>
      </w:r>
      <w:proofErr w:type="spellStart"/>
      <w:r w:rsidR="00A60B8B" w:rsidRPr="004627B6">
        <w:t>Mezičtvrtletně</w:t>
      </w:r>
      <w:proofErr w:type="spellEnd"/>
      <w:r w:rsidR="00A60B8B" w:rsidRPr="004627B6">
        <w:t xml:space="preserve"> došlo k</w:t>
      </w:r>
      <w:r w:rsidR="005F15A4" w:rsidRPr="004627B6">
        <w:t xml:space="preserve"> </w:t>
      </w:r>
      <w:r w:rsidR="00675EC0">
        <w:t>nárůstu</w:t>
      </w:r>
      <w:r w:rsidR="00A60B8B" w:rsidRPr="004627B6">
        <w:t xml:space="preserve"> </w:t>
      </w:r>
      <w:r w:rsidRPr="004627B6">
        <w:t xml:space="preserve">míry zadlužení o </w:t>
      </w:r>
      <w:r w:rsidR="00675EC0">
        <w:t>1,5</w:t>
      </w:r>
      <w:r w:rsidRPr="004627B6">
        <w:t xml:space="preserve"> p.</w:t>
      </w:r>
      <w:r w:rsidR="00E16796" w:rsidRPr="004627B6">
        <w:t xml:space="preserve"> </w:t>
      </w:r>
      <w:r w:rsidRPr="004627B6">
        <w:t xml:space="preserve">b. </w:t>
      </w:r>
      <w:r w:rsidR="0040272A" w:rsidRPr="004627B6">
        <w:t>N</w:t>
      </w:r>
      <w:r w:rsidR="003577F6" w:rsidRPr="004627B6">
        <w:t>ominální</w:t>
      </w:r>
      <w:r w:rsidR="0040272A" w:rsidRPr="004627B6">
        <w:t xml:space="preserve"> dluh </w:t>
      </w:r>
      <w:proofErr w:type="spellStart"/>
      <w:r w:rsidR="0080678E" w:rsidRPr="004627B6">
        <w:t>mezičtvrtletně</w:t>
      </w:r>
      <w:proofErr w:type="spellEnd"/>
      <w:r w:rsidR="0040272A" w:rsidRPr="004627B6">
        <w:t xml:space="preserve"> </w:t>
      </w:r>
      <w:r w:rsidR="00675EC0">
        <w:t>vzrostl</w:t>
      </w:r>
      <w:r w:rsidR="00DB27DA">
        <w:t xml:space="preserve"> </w:t>
      </w:r>
      <w:r w:rsidR="0040272A" w:rsidRPr="004627B6">
        <w:t xml:space="preserve">o </w:t>
      </w:r>
      <w:r w:rsidR="00675EC0">
        <w:t>133,3</w:t>
      </w:r>
      <w:r w:rsidR="00EF5A70" w:rsidRPr="004627B6">
        <w:t xml:space="preserve"> mld. Kč</w:t>
      </w:r>
      <w:r w:rsidR="002E1D66" w:rsidRPr="004627B6">
        <w:t xml:space="preserve"> a přispěl</w:t>
      </w:r>
      <w:r w:rsidR="00D86B7D" w:rsidRPr="004627B6">
        <w:t xml:space="preserve"> k</w:t>
      </w:r>
      <w:r w:rsidR="00525BB0" w:rsidRPr="004627B6">
        <w:t>e</w:t>
      </w:r>
      <w:r w:rsidR="00AE3EE0" w:rsidRPr="004627B6">
        <w:t> </w:t>
      </w:r>
      <w:r w:rsidR="00675EC0">
        <w:t>zvýšení</w:t>
      </w:r>
      <w:r w:rsidR="00525BB0" w:rsidRPr="004627B6">
        <w:t xml:space="preserve"> </w:t>
      </w:r>
      <w:r w:rsidR="00AE3EE0" w:rsidRPr="004627B6">
        <w:t xml:space="preserve">míry zadlužení </w:t>
      </w:r>
      <w:r w:rsidR="002E1D66" w:rsidRPr="004627B6">
        <w:t xml:space="preserve">o </w:t>
      </w:r>
      <w:r w:rsidR="00675EC0">
        <w:t xml:space="preserve">2,2 </w:t>
      </w:r>
      <w:r w:rsidR="00641B4A" w:rsidRPr="004627B6">
        <w:t xml:space="preserve">p. b., </w:t>
      </w:r>
      <w:r w:rsidR="002B3EA6">
        <w:t xml:space="preserve">růst </w:t>
      </w:r>
      <w:r w:rsidR="001E09F0">
        <w:t xml:space="preserve">nominálního </w:t>
      </w:r>
      <w:r w:rsidR="00641B4A" w:rsidRPr="004627B6">
        <w:t xml:space="preserve">HDP </w:t>
      </w:r>
      <w:r w:rsidR="002B3EA6">
        <w:t xml:space="preserve">naopak </w:t>
      </w:r>
      <w:r w:rsidR="001E09F0">
        <w:t>přispěl k poklesu o</w:t>
      </w:r>
      <w:r w:rsidR="00641B4A" w:rsidRPr="004627B6">
        <w:t xml:space="preserve"> </w:t>
      </w:r>
      <w:r w:rsidR="001E09F0">
        <w:t xml:space="preserve">– </w:t>
      </w:r>
      <w:r w:rsidR="00DB27DA">
        <w:t>0,</w:t>
      </w:r>
      <w:r w:rsidR="00675EC0">
        <w:t>7</w:t>
      </w:r>
      <w:r w:rsidR="00641B4A" w:rsidRPr="004627B6">
        <w:t xml:space="preserve"> p. b</w:t>
      </w:r>
      <w:r w:rsidR="00B31B71" w:rsidRPr="004627B6">
        <w:t>.</w:t>
      </w:r>
    </w:p>
    <w:p w14:paraId="471CC7E8" w14:textId="669E9EA4" w:rsidR="009336F8" w:rsidRPr="00417673" w:rsidRDefault="009336F8" w:rsidP="00425ADB">
      <w:pPr>
        <w:rPr>
          <w:highlight w:val="yellow"/>
        </w:rPr>
      </w:pPr>
    </w:p>
    <w:p w14:paraId="5CEBB18B" w14:textId="5F030165" w:rsidR="00607E62" w:rsidRDefault="009336F8" w:rsidP="00D95B91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 xml:space="preserve">u </w:t>
      </w:r>
      <w:r w:rsidR="0033552A" w:rsidRPr="006330B1">
        <w:t>emitovaných cenných papírů (+</w:t>
      </w:r>
      <w:r w:rsidR="0062797D">
        <w:t xml:space="preserve"> </w:t>
      </w:r>
      <w:r w:rsidR="00DB5A1D">
        <w:t>346,1</w:t>
      </w:r>
      <w:r w:rsidR="0033552A" w:rsidRPr="006330B1">
        <w:t xml:space="preserve"> mld. Kč</w:t>
      </w:r>
      <w:r w:rsidR="006330B1" w:rsidRPr="006330B1">
        <w:t xml:space="preserve">) a </w:t>
      </w:r>
      <w:r w:rsidR="00B67757" w:rsidRPr="006330B1">
        <w:t>objemu přijatých úvěrů</w:t>
      </w:r>
      <w:r w:rsidR="0033552A" w:rsidRPr="006330B1">
        <w:t xml:space="preserve"> (+ </w:t>
      </w:r>
      <w:r w:rsidR="00DB5A1D">
        <w:t>66,0</w:t>
      </w:r>
      <w:r w:rsidR="006330B1" w:rsidRPr="006330B1">
        <w:t xml:space="preserve"> mld. Kč).</w:t>
      </w:r>
      <w:r w:rsidR="006C4DDE" w:rsidRPr="006330B1">
        <w:t xml:space="preserve"> </w:t>
      </w:r>
      <w:r w:rsidR="006330B1" w:rsidRPr="006330B1">
        <w:t>E</w:t>
      </w:r>
      <w:r w:rsidR="00746FAC" w:rsidRPr="006330B1">
        <w:t xml:space="preserve">mitované cenné papíry </w:t>
      </w:r>
      <w:r w:rsidR="00BE072E" w:rsidRPr="006330B1">
        <w:t xml:space="preserve">i nadále </w:t>
      </w:r>
      <w:r w:rsidR="00607E62" w:rsidRPr="006330B1">
        <w:t>zůstávají hlavní komponentou dluhu.</w:t>
      </w:r>
      <w:r w:rsidR="008C6D93" w:rsidRPr="006330B1">
        <w:t xml:space="preserve"> </w:t>
      </w:r>
    </w:p>
    <w:p w14:paraId="19EDA098" w14:textId="77777777" w:rsidR="00E6431E" w:rsidRPr="00270F84" w:rsidRDefault="00E6431E" w:rsidP="00A94B28"/>
    <w:p w14:paraId="4C369526" w14:textId="776D24BC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222149">
        <w:t>4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AB0B98">
        <w:t>9</w:t>
      </w:r>
      <w:r w:rsidR="00B85D5E" w:rsidRPr="00270F84">
        <w:t xml:space="preserve"> </w:t>
      </w:r>
      <w:r w:rsidR="000A2AF1" w:rsidRPr="00270F84">
        <w:t xml:space="preserve">– </w:t>
      </w:r>
      <w:r w:rsidR="00222149">
        <w:t>4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AB0B98">
        <w:t>1</w:t>
      </w:r>
    </w:p>
    <w:p w14:paraId="6504B9E7" w14:textId="1CB60FE2" w:rsidR="00DB5168" w:rsidRDefault="001807A0" w:rsidP="007D7C61">
      <w:r>
        <w:rPr>
          <w:noProof/>
          <w:lang w:eastAsia="cs-CZ"/>
        </w:rPr>
        <w:lastRenderedPageBreak/>
        <w:drawing>
          <wp:inline distT="0" distB="0" distL="0" distR="0" wp14:anchorId="0F8C1C1C" wp14:editId="40675AD0">
            <wp:extent cx="4721916" cy="3039717"/>
            <wp:effectExtent l="0" t="0" r="2540" b="889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06AFC0FF" w:rsidR="005A7C66" w:rsidRDefault="005A7C66" w:rsidP="005A7C66">
      <w:r w:rsidRPr="008A5B79">
        <w:t xml:space="preserve">Saldo hospodaření vládních institucí po očištění o </w:t>
      </w:r>
      <w:r w:rsidRPr="00CD4F83">
        <w:t>sezónní a kalendářní vlivy</w:t>
      </w:r>
      <w:r w:rsidRPr="008A5B79">
        <w:t xml:space="preserve"> skončilo v </w:t>
      </w:r>
      <w:r w:rsidR="0004366C" w:rsidRPr="008A5B79">
        <w:t xml:space="preserve">deficitu </w:t>
      </w:r>
      <w:r w:rsidR="008A5D3E">
        <w:t>79,4</w:t>
      </w:r>
      <w:r w:rsidR="0004366C" w:rsidRPr="008A5B79">
        <w:t xml:space="preserve"> mld.</w:t>
      </w:r>
      <w:r w:rsidR="0004366C" w:rsidRPr="0004366C">
        <w:t xml:space="preserve"> Kč, který odpovídal </w:t>
      </w:r>
      <w:r w:rsidR="008A5D3E">
        <w:t xml:space="preserve">5,1 </w:t>
      </w:r>
      <w:r w:rsidRPr="008A5B79">
        <w:t>% HDP</w:t>
      </w:r>
      <w:r w:rsidRPr="0004366C">
        <w:t xml:space="preserve">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 w:rsidR="00F015E2">
        <w:t>se saldo</w:t>
      </w:r>
      <w:r w:rsidRPr="0004366C">
        <w:t xml:space="preserve"> hospodaření </w:t>
      </w:r>
      <w:r w:rsidR="00FE404D">
        <w:t xml:space="preserve">zlepšilo </w:t>
      </w:r>
      <w:r w:rsidRPr="008A5B79">
        <w:t>o </w:t>
      </w:r>
      <w:r w:rsidR="00FE404D">
        <w:t>8,9</w:t>
      </w:r>
      <w:r w:rsidR="00CF138C" w:rsidRPr="008A5B79">
        <w:t> </w:t>
      </w:r>
      <w:r w:rsidRPr="008A5B79">
        <w:t>mld</w:t>
      </w:r>
      <w:r w:rsidRPr="0004366C">
        <w:t>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7755E582" w:rsidR="005A7C66" w:rsidRPr="00706DBC" w:rsidRDefault="005A7C66" w:rsidP="005A7C66">
      <w:pPr>
        <w:pStyle w:val="TabulkaGraf"/>
        <w:keepNext/>
      </w:pPr>
      <w:r>
        <w:t>Sezónně očištěné saldo hospodaření</w:t>
      </w:r>
      <w:r w:rsidRPr="00706DBC">
        <w:t xml:space="preserve"> vládních institucí, </w:t>
      </w:r>
      <w:r w:rsidR="00222149">
        <w:t>4</w:t>
      </w:r>
      <w:r w:rsidR="00DE6A49">
        <w:t>. čtvrtletí 20</w:t>
      </w:r>
      <w:r w:rsidR="00CD4F83">
        <w:t>19</w:t>
      </w:r>
      <w:r w:rsidRPr="00706DBC">
        <w:t xml:space="preserve"> – </w:t>
      </w:r>
      <w:r w:rsidR="00222149">
        <w:t>4</w:t>
      </w:r>
      <w:r w:rsidR="00DE6A49">
        <w:t>. čtvrtletí 202</w:t>
      </w:r>
      <w:r w:rsidR="00AB0B98">
        <w:t>1</w:t>
      </w:r>
    </w:p>
    <w:p w14:paraId="4FCD2497" w14:textId="56A68480" w:rsidR="00647423" w:rsidRDefault="00FE404D" w:rsidP="005A7C66">
      <w:r>
        <w:rPr>
          <w:noProof/>
          <w:lang w:eastAsia="cs-CZ"/>
        </w:rPr>
        <w:drawing>
          <wp:inline distT="0" distB="0" distL="0" distR="0" wp14:anchorId="079F0447" wp14:editId="3D602A93">
            <wp:extent cx="5400040" cy="1889760"/>
            <wp:effectExtent l="0" t="0" r="10160" b="1524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lastRenderedPageBreak/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0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2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406CA3DA" w:rsidR="007674A6" w:rsidRPr="007F7CB9" w:rsidRDefault="00BC0239" w:rsidP="006E39A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 w:rsidR="006E39A7">
              <w:rPr>
                <w:i/>
                <w:iCs/>
                <w:sz w:val="18"/>
                <w:szCs w:val="18"/>
              </w:rPr>
              <w:t>7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9348DD">
              <w:rPr>
                <w:i/>
                <w:iCs/>
                <w:sz w:val="18"/>
                <w:szCs w:val="18"/>
              </w:rPr>
              <w:t>2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3"/>
      <w:footerReference w:type="default" r:id="rId14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D100" w14:textId="77777777" w:rsidR="00AD23DF" w:rsidRDefault="00AD23DF" w:rsidP="00BA6370">
      <w:r>
        <w:separator/>
      </w:r>
    </w:p>
  </w:endnote>
  <w:endnote w:type="continuationSeparator" w:id="0">
    <w:p w14:paraId="28DD6055" w14:textId="77777777" w:rsidR="00AD23DF" w:rsidRDefault="00AD23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6293E9F7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706FE1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3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6293E9F7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706FE1">
                      <w:rPr>
                        <w:rFonts w:cs="Arial"/>
                        <w:noProof/>
                        <w:sz w:val="18"/>
                        <w:szCs w:val="15"/>
                      </w:rPr>
                      <w:t>3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DE1C" w14:textId="77777777" w:rsidR="00AD23DF" w:rsidRDefault="00AD23DF" w:rsidP="00BA6370">
      <w:r>
        <w:separator/>
      </w:r>
    </w:p>
  </w:footnote>
  <w:footnote w:type="continuationSeparator" w:id="0">
    <w:p w14:paraId="6C52599B" w14:textId="77777777" w:rsidR="00AD23DF" w:rsidRDefault="00AD23D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2194"/>
    <w:rsid w:val="00024DDA"/>
    <w:rsid w:val="00027226"/>
    <w:rsid w:val="00027F53"/>
    <w:rsid w:val="00031874"/>
    <w:rsid w:val="00031E89"/>
    <w:rsid w:val="0004366C"/>
    <w:rsid w:val="00043BF4"/>
    <w:rsid w:val="0004710A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B2CAC"/>
    <w:rsid w:val="000B6F63"/>
    <w:rsid w:val="000C0A2C"/>
    <w:rsid w:val="000C2F30"/>
    <w:rsid w:val="000D093F"/>
    <w:rsid w:val="000D3CE2"/>
    <w:rsid w:val="000D4AC4"/>
    <w:rsid w:val="000D6E7B"/>
    <w:rsid w:val="000E1AFD"/>
    <w:rsid w:val="000E2FF8"/>
    <w:rsid w:val="000E43CC"/>
    <w:rsid w:val="000E6B36"/>
    <w:rsid w:val="000F5D76"/>
    <w:rsid w:val="0010238B"/>
    <w:rsid w:val="00105B76"/>
    <w:rsid w:val="00112FC7"/>
    <w:rsid w:val="00113C55"/>
    <w:rsid w:val="00115EAD"/>
    <w:rsid w:val="001209A6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41E4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94EA9"/>
    <w:rsid w:val="001955F2"/>
    <w:rsid w:val="001A12E4"/>
    <w:rsid w:val="001B13D2"/>
    <w:rsid w:val="001B1F6A"/>
    <w:rsid w:val="001B607F"/>
    <w:rsid w:val="001B7272"/>
    <w:rsid w:val="001C30B0"/>
    <w:rsid w:val="001D0297"/>
    <w:rsid w:val="001D0699"/>
    <w:rsid w:val="001D1A8D"/>
    <w:rsid w:val="001D291B"/>
    <w:rsid w:val="001D369A"/>
    <w:rsid w:val="001D7AFB"/>
    <w:rsid w:val="001E09BE"/>
    <w:rsid w:val="001E09F0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22149"/>
    <w:rsid w:val="00233976"/>
    <w:rsid w:val="002400B9"/>
    <w:rsid w:val="002406FA"/>
    <w:rsid w:val="002419EE"/>
    <w:rsid w:val="00242A34"/>
    <w:rsid w:val="00255731"/>
    <w:rsid w:val="00255BC3"/>
    <w:rsid w:val="0026107B"/>
    <w:rsid w:val="00264DAF"/>
    <w:rsid w:val="00270F84"/>
    <w:rsid w:val="00271561"/>
    <w:rsid w:val="002733DB"/>
    <w:rsid w:val="00275EEB"/>
    <w:rsid w:val="002773CD"/>
    <w:rsid w:val="002819BE"/>
    <w:rsid w:val="00281B97"/>
    <w:rsid w:val="00291851"/>
    <w:rsid w:val="00292BC3"/>
    <w:rsid w:val="00295A12"/>
    <w:rsid w:val="002A5502"/>
    <w:rsid w:val="002A56D6"/>
    <w:rsid w:val="002A6B48"/>
    <w:rsid w:val="002A77F8"/>
    <w:rsid w:val="002B2E47"/>
    <w:rsid w:val="002B3EA6"/>
    <w:rsid w:val="002B4B65"/>
    <w:rsid w:val="002C20A3"/>
    <w:rsid w:val="002C48E6"/>
    <w:rsid w:val="002C529C"/>
    <w:rsid w:val="002D06AA"/>
    <w:rsid w:val="002E1D66"/>
    <w:rsid w:val="002E510B"/>
    <w:rsid w:val="002E7C61"/>
    <w:rsid w:val="002F219C"/>
    <w:rsid w:val="002F357E"/>
    <w:rsid w:val="00304176"/>
    <w:rsid w:val="003041F0"/>
    <w:rsid w:val="00312263"/>
    <w:rsid w:val="00312A78"/>
    <w:rsid w:val="00313F16"/>
    <w:rsid w:val="00322825"/>
    <w:rsid w:val="00323131"/>
    <w:rsid w:val="00327EDB"/>
    <w:rsid w:val="003301A3"/>
    <w:rsid w:val="003301DA"/>
    <w:rsid w:val="00331447"/>
    <w:rsid w:val="0033552A"/>
    <w:rsid w:val="00345AA2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0BDA"/>
    <w:rsid w:val="0039376F"/>
    <w:rsid w:val="00394CD0"/>
    <w:rsid w:val="00395349"/>
    <w:rsid w:val="00395E60"/>
    <w:rsid w:val="003964A5"/>
    <w:rsid w:val="0039758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3354"/>
    <w:rsid w:val="004154C7"/>
    <w:rsid w:val="00416195"/>
    <w:rsid w:val="00417673"/>
    <w:rsid w:val="00423779"/>
    <w:rsid w:val="00425ADB"/>
    <w:rsid w:val="00425F10"/>
    <w:rsid w:val="00426D89"/>
    <w:rsid w:val="00432C93"/>
    <w:rsid w:val="00441019"/>
    <w:rsid w:val="004436EE"/>
    <w:rsid w:val="00447B75"/>
    <w:rsid w:val="0045547F"/>
    <w:rsid w:val="004627B6"/>
    <w:rsid w:val="00465AAB"/>
    <w:rsid w:val="00470311"/>
    <w:rsid w:val="00471DEF"/>
    <w:rsid w:val="00474243"/>
    <w:rsid w:val="00474A48"/>
    <w:rsid w:val="004920AD"/>
    <w:rsid w:val="004961FB"/>
    <w:rsid w:val="004A0F29"/>
    <w:rsid w:val="004A1435"/>
    <w:rsid w:val="004A2FD5"/>
    <w:rsid w:val="004A5D0D"/>
    <w:rsid w:val="004B7866"/>
    <w:rsid w:val="004C1C8D"/>
    <w:rsid w:val="004D05B3"/>
    <w:rsid w:val="004D07BE"/>
    <w:rsid w:val="004D3C79"/>
    <w:rsid w:val="004D3F4C"/>
    <w:rsid w:val="004D3FBC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4205"/>
    <w:rsid w:val="00525BB0"/>
    <w:rsid w:val="00526E0E"/>
    <w:rsid w:val="00531DBB"/>
    <w:rsid w:val="005351F4"/>
    <w:rsid w:val="00540F2E"/>
    <w:rsid w:val="00542EBD"/>
    <w:rsid w:val="00545931"/>
    <w:rsid w:val="00546A7F"/>
    <w:rsid w:val="00551E5D"/>
    <w:rsid w:val="005543FD"/>
    <w:rsid w:val="00560372"/>
    <w:rsid w:val="005652F3"/>
    <w:rsid w:val="00566757"/>
    <w:rsid w:val="00573994"/>
    <w:rsid w:val="0057429D"/>
    <w:rsid w:val="00575CBC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D0C9E"/>
    <w:rsid w:val="005E1A31"/>
    <w:rsid w:val="005E4540"/>
    <w:rsid w:val="005F0EFC"/>
    <w:rsid w:val="005F15A4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53A7"/>
    <w:rsid w:val="006464CD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2348"/>
    <w:rsid w:val="00675EC0"/>
    <w:rsid w:val="00681501"/>
    <w:rsid w:val="00681750"/>
    <w:rsid w:val="006931CF"/>
    <w:rsid w:val="00696FCF"/>
    <w:rsid w:val="006A1F09"/>
    <w:rsid w:val="006A28A6"/>
    <w:rsid w:val="006A7EAB"/>
    <w:rsid w:val="006C4DDE"/>
    <w:rsid w:val="006D2075"/>
    <w:rsid w:val="006D3A02"/>
    <w:rsid w:val="006D6BFF"/>
    <w:rsid w:val="006E024F"/>
    <w:rsid w:val="006E39A7"/>
    <w:rsid w:val="006E428C"/>
    <w:rsid w:val="006E4E81"/>
    <w:rsid w:val="006E5508"/>
    <w:rsid w:val="006F2D3A"/>
    <w:rsid w:val="006F38BC"/>
    <w:rsid w:val="00701B16"/>
    <w:rsid w:val="00705916"/>
    <w:rsid w:val="0070617B"/>
    <w:rsid w:val="00706FE1"/>
    <w:rsid w:val="00707F7D"/>
    <w:rsid w:val="00712924"/>
    <w:rsid w:val="00717EC5"/>
    <w:rsid w:val="00720C71"/>
    <w:rsid w:val="00724DB5"/>
    <w:rsid w:val="00724DF1"/>
    <w:rsid w:val="00746FAC"/>
    <w:rsid w:val="00747707"/>
    <w:rsid w:val="00747ECC"/>
    <w:rsid w:val="0075058C"/>
    <w:rsid w:val="00751B3D"/>
    <w:rsid w:val="00754C20"/>
    <w:rsid w:val="007567D0"/>
    <w:rsid w:val="00760DE0"/>
    <w:rsid w:val="00765873"/>
    <w:rsid w:val="007674A6"/>
    <w:rsid w:val="00770F10"/>
    <w:rsid w:val="00770F34"/>
    <w:rsid w:val="007935FE"/>
    <w:rsid w:val="00795F3F"/>
    <w:rsid w:val="007A0CE9"/>
    <w:rsid w:val="007A2048"/>
    <w:rsid w:val="007A57F2"/>
    <w:rsid w:val="007B0AAF"/>
    <w:rsid w:val="007B1333"/>
    <w:rsid w:val="007B3BC2"/>
    <w:rsid w:val="007B4AC7"/>
    <w:rsid w:val="007B7475"/>
    <w:rsid w:val="007C3F83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3701"/>
    <w:rsid w:val="007E4054"/>
    <w:rsid w:val="007E5A52"/>
    <w:rsid w:val="007F0C04"/>
    <w:rsid w:val="007F4AEB"/>
    <w:rsid w:val="007F712A"/>
    <w:rsid w:val="007F75B2"/>
    <w:rsid w:val="007F77A8"/>
    <w:rsid w:val="007F7FF7"/>
    <w:rsid w:val="00803993"/>
    <w:rsid w:val="008043C4"/>
    <w:rsid w:val="0080469D"/>
    <w:rsid w:val="00805EC2"/>
    <w:rsid w:val="0080678E"/>
    <w:rsid w:val="00811BF3"/>
    <w:rsid w:val="00815D15"/>
    <w:rsid w:val="00823594"/>
    <w:rsid w:val="008300E7"/>
    <w:rsid w:val="00830643"/>
    <w:rsid w:val="00831B1B"/>
    <w:rsid w:val="008328F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5B79"/>
    <w:rsid w:val="008A5D3E"/>
    <w:rsid w:val="008A750A"/>
    <w:rsid w:val="008B06BD"/>
    <w:rsid w:val="008B3970"/>
    <w:rsid w:val="008B56F4"/>
    <w:rsid w:val="008B5BB1"/>
    <w:rsid w:val="008C384C"/>
    <w:rsid w:val="008C6D93"/>
    <w:rsid w:val="008D0F11"/>
    <w:rsid w:val="008D1041"/>
    <w:rsid w:val="008D6662"/>
    <w:rsid w:val="008D7FDA"/>
    <w:rsid w:val="008E611F"/>
    <w:rsid w:val="008E728B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07835"/>
    <w:rsid w:val="00910009"/>
    <w:rsid w:val="00915A3B"/>
    <w:rsid w:val="00917C75"/>
    <w:rsid w:val="00923308"/>
    <w:rsid w:val="00927342"/>
    <w:rsid w:val="00927EFE"/>
    <w:rsid w:val="009336F8"/>
    <w:rsid w:val="009348DD"/>
    <w:rsid w:val="00935766"/>
    <w:rsid w:val="00936855"/>
    <w:rsid w:val="00961DC3"/>
    <w:rsid w:val="00974B5D"/>
    <w:rsid w:val="009828B5"/>
    <w:rsid w:val="00982CA8"/>
    <w:rsid w:val="00985D92"/>
    <w:rsid w:val="00986DD7"/>
    <w:rsid w:val="00987EC2"/>
    <w:rsid w:val="009906E9"/>
    <w:rsid w:val="00990C86"/>
    <w:rsid w:val="00993B13"/>
    <w:rsid w:val="00995ACC"/>
    <w:rsid w:val="00996553"/>
    <w:rsid w:val="009A10AD"/>
    <w:rsid w:val="009B026E"/>
    <w:rsid w:val="009B55B1"/>
    <w:rsid w:val="009B5605"/>
    <w:rsid w:val="009C00B5"/>
    <w:rsid w:val="009C406F"/>
    <w:rsid w:val="009D6FE4"/>
    <w:rsid w:val="009E3E5F"/>
    <w:rsid w:val="009E79CE"/>
    <w:rsid w:val="00A075A1"/>
    <w:rsid w:val="00A0762A"/>
    <w:rsid w:val="00A11EBE"/>
    <w:rsid w:val="00A12EB7"/>
    <w:rsid w:val="00A132F9"/>
    <w:rsid w:val="00A15D66"/>
    <w:rsid w:val="00A23729"/>
    <w:rsid w:val="00A31589"/>
    <w:rsid w:val="00A32AB9"/>
    <w:rsid w:val="00A36CFE"/>
    <w:rsid w:val="00A4343D"/>
    <w:rsid w:val="00A4654F"/>
    <w:rsid w:val="00A502F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DE1"/>
    <w:rsid w:val="00A94B28"/>
    <w:rsid w:val="00A962AF"/>
    <w:rsid w:val="00AA28C8"/>
    <w:rsid w:val="00AA4564"/>
    <w:rsid w:val="00AA502D"/>
    <w:rsid w:val="00AA5204"/>
    <w:rsid w:val="00AA6667"/>
    <w:rsid w:val="00AA66CB"/>
    <w:rsid w:val="00AB0B98"/>
    <w:rsid w:val="00AB2FE3"/>
    <w:rsid w:val="00AB33D0"/>
    <w:rsid w:val="00AB3410"/>
    <w:rsid w:val="00AC2B13"/>
    <w:rsid w:val="00AC58B3"/>
    <w:rsid w:val="00AC7B4C"/>
    <w:rsid w:val="00AC7D51"/>
    <w:rsid w:val="00AD1D04"/>
    <w:rsid w:val="00AD23DF"/>
    <w:rsid w:val="00AD3DFB"/>
    <w:rsid w:val="00AD450F"/>
    <w:rsid w:val="00AD4CD4"/>
    <w:rsid w:val="00AD5011"/>
    <w:rsid w:val="00AD7C66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1D58"/>
    <w:rsid w:val="00B02305"/>
    <w:rsid w:val="00B06A45"/>
    <w:rsid w:val="00B1628A"/>
    <w:rsid w:val="00B16834"/>
    <w:rsid w:val="00B253C8"/>
    <w:rsid w:val="00B30687"/>
    <w:rsid w:val="00B31B71"/>
    <w:rsid w:val="00B3245E"/>
    <w:rsid w:val="00B330E1"/>
    <w:rsid w:val="00B35C47"/>
    <w:rsid w:val="00B3711F"/>
    <w:rsid w:val="00B37455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C0239"/>
    <w:rsid w:val="00BD39ED"/>
    <w:rsid w:val="00BD66E4"/>
    <w:rsid w:val="00BE072E"/>
    <w:rsid w:val="00BE0B11"/>
    <w:rsid w:val="00BF005D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E0B66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208F1"/>
    <w:rsid w:val="00D209A7"/>
    <w:rsid w:val="00D21645"/>
    <w:rsid w:val="00D22EA9"/>
    <w:rsid w:val="00D2309A"/>
    <w:rsid w:val="00D27D69"/>
    <w:rsid w:val="00D30C9F"/>
    <w:rsid w:val="00D31861"/>
    <w:rsid w:val="00D33658"/>
    <w:rsid w:val="00D34C7D"/>
    <w:rsid w:val="00D448C2"/>
    <w:rsid w:val="00D44BFF"/>
    <w:rsid w:val="00D45C5D"/>
    <w:rsid w:val="00D52D0D"/>
    <w:rsid w:val="00D666C3"/>
    <w:rsid w:val="00D74B3D"/>
    <w:rsid w:val="00D77FB9"/>
    <w:rsid w:val="00D818E8"/>
    <w:rsid w:val="00D86B7D"/>
    <w:rsid w:val="00D87CE7"/>
    <w:rsid w:val="00D914A9"/>
    <w:rsid w:val="00D9189F"/>
    <w:rsid w:val="00D95B91"/>
    <w:rsid w:val="00DA6CD7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6A49"/>
    <w:rsid w:val="00DF14D2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4384E"/>
    <w:rsid w:val="00E45130"/>
    <w:rsid w:val="00E5536A"/>
    <w:rsid w:val="00E63083"/>
    <w:rsid w:val="00E6423C"/>
    <w:rsid w:val="00E6431E"/>
    <w:rsid w:val="00E706EA"/>
    <w:rsid w:val="00E7255A"/>
    <w:rsid w:val="00E736BE"/>
    <w:rsid w:val="00E74394"/>
    <w:rsid w:val="00E74FAA"/>
    <w:rsid w:val="00E82994"/>
    <w:rsid w:val="00E864EB"/>
    <w:rsid w:val="00E92B87"/>
    <w:rsid w:val="00E92D16"/>
    <w:rsid w:val="00E93715"/>
    <w:rsid w:val="00E93830"/>
    <w:rsid w:val="00E93E0E"/>
    <w:rsid w:val="00E96CC6"/>
    <w:rsid w:val="00EA08B8"/>
    <w:rsid w:val="00EA2DE9"/>
    <w:rsid w:val="00EA4685"/>
    <w:rsid w:val="00EA6EDB"/>
    <w:rsid w:val="00EB1ED3"/>
    <w:rsid w:val="00EB44BC"/>
    <w:rsid w:val="00EB6243"/>
    <w:rsid w:val="00EC68A4"/>
    <w:rsid w:val="00ED1573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7627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520C7"/>
    <w:rsid w:val="00F54EB0"/>
    <w:rsid w:val="00F55F6C"/>
    <w:rsid w:val="00F57EA8"/>
    <w:rsid w:val="00F64D73"/>
    <w:rsid w:val="00F66212"/>
    <w:rsid w:val="00F75711"/>
    <w:rsid w:val="00F75BD5"/>
    <w:rsid w:val="00F75F2A"/>
    <w:rsid w:val="00F76265"/>
    <w:rsid w:val="00F829FF"/>
    <w:rsid w:val="00F83F8C"/>
    <w:rsid w:val="00F94F2F"/>
    <w:rsid w:val="00FA1B2C"/>
    <w:rsid w:val="00FA3792"/>
    <w:rsid w:val="00FA5B92"/>
    <w:rsid w:val="00FB1DDD"/>
    <w:rsid w:val="00FB249A"/>
    <w:rsid w:val="00FB687C"/>
    <w:rsid w:val="00FC25C8"/>
    <w:rsid w:val="00FC39DA"/>
    <w:rsid w:val="00FC3C67"/>
    <w:rsid w:val="00FE404D"/>
    <w:rsid w:val="00FE5C90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v.kahoun@czs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houzvicko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.czso.cz/pll/rocenka/rocenka.indexnu_g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4Q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4Q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graf!$P$2:$X$2</c:f>
              <c:strCache>
                <c:ptCount val="9"/>
                <c:pt idx="0">
                  <c:v>4.Q 2019</c:v>
                </c:pt>
                <c:pt idx="1">
                  <c:v>1.Q 2020</c:v>
                </c:pt>
                <c:pt idx="2">
                  <c:v>2.Q 2020</c:v>
                </c:pt>
                <c:pt idx="3">
                  <c:v>3.Q 2020</c:v>
                </c:pt>
                <c:pt idx="4">
                  <c:v>4.Q 2020</c:v>
                </c:pt>
                <c:pt idx="5">
                  <c:v>1.Q 2021</c:v>
                </c:pt>
                <c:pt idx="6">
                  <c:v>2.Q 2021</c:v>
                </c:pt>
                <c:pt idx="7">
                  <c:v>3.Q 2021</c:v>
                </c:pt>
                <c:pt idx="8">
                  <c:v>4.Q 2021</c:v>
                </c:pt>
              </c:strCache>
            </c:strRef>
          </c:cat>
          <c:val>
            <c:numRef>
              <c:f>graf!$P$3:$X$3</c:f>
              <c:numCache>
                <c:formatCode>#,##0</c:formatCode>
                <c:ptCount val="9"/>
                <c:pt idx="0">
                  <c:v>1740.2629999999999</c:v>
                </c:pt>
                <c:pt idx="1">
                  <c:v>1889.221</c:v>
                </c:pt>
                <c:pt idx="2">
                  <c:v>2265.056</c:v>
                </c:pt>
                <c:pt idx="3">
                  <c:v>2173.1439999999998</c:v>
                </c:pt>
                <c:pt idx="4">
                  <c:v>2149.268</c:v>
                </c:pt>
                <c:pt idx="5">
                  <c:v>2512.5239999999999</c:v>
                </c:pt>
                <c:pt idx="6">
                  <c:v>2516.9229999999998</c:v>
                </c:pt>
                <c:pt idx="7">
                  <c:v>2433.2849999999999</c:v>
                </c:pt>
                <c:pt idx="8">
                  <c:v>2566.587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16-43E0-87D5-920F438D3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graf!$P$2:$X$2</c:f>
              <c:strCache>
                <c:ptCount val="9"/>
                <c:pt idx="0">
                  <c:v>4.Q 2019</c:v>
                </c:pt>
                <c:pt idx="1">
                  <c:v>1.Q 2020</c:v>
                </c:pt>
                <c:pt idx="2">
                  <c:v>2.Q 2020</c:v>
                </c:pt>
                <c:pt idx="3">
                  <c:v>3.Q 2020</c:v>
                </c:pt>
                <c:pt idx="4">
                  <c:v>4.Q 2020</c:v>
                </c:pt>
                <c:pt idx="5">
                  <c:v>1.Q 2021</c:v>
                </c:pt>
                <c:pt idx="6">
                  <c:v>2.Q 2021</c:v>
                </c:pt>
                <c:pt idx="7">
                  <c:v>3.Q 2021</c:v>
                </c:pt>
                <c:pt idx="8">
                  <c:v>4.Q 2021</c:v>
                </c:pt>
              </c:strCache>
            </c:strRef>
          </c:xVal>
          <c:yVal>
            <c:numRef>
              <c:f>graf!$P$4:$X$4</c:f>
              <c:numCache>
                <c:formatCode>0.0</c:formatCode>
                <c:ptCount val="9"/>
                <c:pt idx="0">
                  <c:v>30.05</c:v>
                </c:pt>
                <c:pt idx="1">
                  <c:v>32.42</c:v>
                </c:pt>
                <c:pt idx="2">
                  <c:v>39.56</c:v>
                </c:pt>
                <c:pt idx="3">
                  <c:v>38.11</c:v>
                </c:pt>
                <c:pt idx="4">
                  <c:v>37.74</c:v>
                </c:pt>
                <c:pt idx="5">
                  <c:v>43.99</c:v>
                </c:pt>
                <c:pt idx="6">
                  <c:v>42.63</c:v>
                </c:pt>
                <c:pt idx="7">
                  <c:v>40.43</c:v>
                </c:pt>
                <c:pt idx="8">
                  <c:v>41.93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216-43E0-87D5-920F438D3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5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14866748979E-2"/>
                  <c:y val="8.3256000573319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91B-4085-A53D-4DC56A5680C8}"/>
                </c:ext>
              </c:extLst>
            </c:dLbl>
            <c:dLbl>
              <c:idx val="1"/>
              <c:layout>
                <c:manualLayout>
                  <c:x val="-5.9226820391743304E-2"/>
                  <c:y val="5.6565129095117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1B-4085-A53D-4DC56A5680C8}"/>
                </c:ext>
              </c:extLst>
            </c:dLbl>
            <c:dLbl>
              <c:idx val="2"/>
              <c:layout>
                <c:manualLayout>
                  <c:x val="-6.2563070027205542E-2"/>
                  <c:y val="1.6756369625182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91B-4085-A53D-4DC56A5680C8}"/>
                </c:ext>
              </c:extLst>
            </c:dLbl>
            <c:dLbl>
              <c:idx val="3"/>
              <c:layout>
                <c:manualLayout>
                  <c:x val="-3.6040103406641433E-2"/>
                  <c:y val="0.1211439547879095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294945963363236E-2"/>
                      <c:h val="0.107031051562103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91B-4085-A53D-4DC56A5680C8}"/>
                </c:ext>
              </c:extLst>
            </c:dLbl>
            <c:dLbl>
              <c:idx val="4"/>
              <c:layout>
                <c:manualLayout>
                  <c:x val="-3.648493709975751E-2"/>
                  <c:y val="5.4342601548602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91B-4085-A53D-4DC56A5680C8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91B-4085-A53D-4DC56A5680C8}"/>
                </c:ext>
              </c:extLst>
            </c:dLbl>
            <c:dLbl>
              <c:idx val="6"/>
              <c:layout>
                <c:manualLayout>
                  <c:x val="-2.59542899603303E-2"/>
                  <c:y val="7.2884661821139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91B-4085-A53D-4DC56A5680C8}"/>
                </c:ext>
              </c:extLst>
            </c:dLbl>
            <c:dLbl>
              <c:idx val="7"/>
              <c:layout>
                <c:manualLayout>
                  <c:x val="-2.9087916521850294E-2"/>
                  <c:y val="6.92229004783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91B-4085-A53D-4DC56A5680C8}"/>
                </c:ext>
              </c:extLst>
            </c:dLbl>
            <c:dLbl>
              <c:idx val="8"/>
              <c:layout>
                <c:manualLayout>
                  <c:x val="-2.7337815649756108E-2"/>
                  <c:y val="8.0072614434606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91B-4085-A53D-4DC56A5680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SEZ!$A$74:$A$82</c:f>
              <c:strCache>
                <c:ptCount val="9"/>
                <c:pt idx="0">
                  <c:v>4.Q 2019</c:v>
                </c:pt>
                <c:pt idx="1">
                  <c:v>1.Q 2020</c:v>
                </c:pt>
                <c:pt idx="2">
                  <c:v>2.Q 2020</c:v>
                </c:pt>
                <c:pt idx="3">
                  <c:v>3.Q 2020</c:v>
                </c:pt>
                <c:pt idx="4">
                  <c:v>4.Q 2020</c:v>
                </c:pt>
                <c:pt idx="5">
                  <c:v>1.Q 2021</c:v>
                </c:pt>
                <c:pt idx="6">
                  <c:v>2.Q 2021</c:v>
                </c:pt>
                <c:pt idx="7">
                  <c:v>3.Q 2021</c:v>
                </c:pt>
                <c:pt idx="8">
                  <c:v>4.Q 2021</c:v>
                </c:pt>
              </c:strCache>
            </c:strRef>
          </c:cat>
          <c:val>
            <c:numRef>
              <c:f>SEZ!$E$74:$E$82</c:f>
              <c:numCache>
                <c:formatCode>0.0</c:formatCode>
                <c:ptCount val="9"/>
                <c:pt idx="0">
                  <c:v>-0.65499382740766732</c:v>
                </c:pt>
                <c:pt idx="1">
                  <c:v>-2.5347046320565627</c:v>
                </c:pt>
                <c:pt idx="2">
                  <c:v>-8.2248804614434903</c:v>
                </c:pt>
                <c:pt idx="3">
                  <c:v>-5.426801388477414</c:v>
                </c:pt>
                <c:pt idx="4">
                  <c:v>-7.124691838588296</c:v>
                </c:pt>
                <c:pt idx="5">
                  <c:v>-7.8572183413449821</c:v>
                </c:pt>
                <c:pt idx="6">
                  <c:v>-4.9579544632701502</c:v>
                </c:pt>
                <c:pt idx="7">
                  <c:v>-5.6538243049119998</c:v>
                </c:pt>
                <c:pt idx="8">
                  <c:v>-5.091114719981638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91B-4085-A53D-4DC56A568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853A-B6B2-4631-878E-CFC1B52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Helena Houžvičková</cp:lastModifiedBy>
  <cp:revision>47</cp:revision>
  <cp:lastPrinted>2019-01-11T07:42:00Z</cp:lastPrinted>
  <dcterms:created xsi:type="dcterms:W3CDTF">2022-01-03T13:27:00Z</dcterms:created>
  <dcterms:modified xsi:type="dcterms:W3CDTF">2022-03-31T07:56:00Z</dcterms:modified>
</cp:coreProperties>
</file>