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DF3F77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11</w:t>
      </w:r>
      <w:r w:rsidRPr="000533DD">
        <w:rPr>
          <w:lang w:val="cs-CZ"/>
        </w:rPr>
        <w:t xml:space="preserve">. </w:t>
      </w:r>
      <w:r>
        <w:rPr>
          <w:lang w:val="cs-CZ"/>
        </w:rPr>
        <w:t>3</w:t>
      </w:r>
      <w:r w:rsidRPr="000533DD">
        <w:rPr>
          <w:lang w:val="cs-CZ"/>
        </w:rPr>
        <w:t>. 202</w:t>
      </w:r>
      <w:r>
        <w:rPr>
          <w:lang w:val="cs-CZ"/>
        </w:rPr>
        <w:t>2</w:t>
      </w:r>
    </w:p>
    <w:p w:rsidR="00DF3F77" w:rsidRPr="00612547" w:rsidRDefault="00DF3F77" w:rsidP="00DF3F77">
      <w:pPr>
        <w:pStyle w:val="Podtitulek"/>
        <w:spacing w:before="280" w:after="0" w:line="360" w:lineRule="exact"/>
      </w:pPr>
      <w:r w:rsidRPr="0094550A">
        <w:rPr>
          <w:color w:val="BD1B21"/>
          <w:sz w:val="32"/>
          <w:szCs w:val="32"/>
        </w:rPr>
        <w:t>Stavební produkce</w:t>
      </w:r>
      <w:r w:rsidR="00C732BE">
        <w:rPr>
          <w:color w:val="BD1B21"/>
          <w:sz w:val="32"/>
          <w:szCs w:val="32"/>
        </w:rPr>
        <w:t xml:space="preserve"> si v lednu udržela</w:t>
      </w:r>
      <w:r>
        <w:rPr>
          <w:color w:val="BD1B21"/>
          <w:sz w:val="32"/>
          <w:szCs w:val="32"/>
        </w:rPr>
        <w:t xml:space="preserve"> </w:t>
      </w:r>
      <w:r w:rsidR="00C732BE">
        <w:rPr>
          <w:color w:val="BD1B21"/>
          <w:sz w:val="32"/>
          <w:szCs w:val="32"/>
        </w:rPr>
        <w:t>růst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0533DD">
        <w:t xml:space="preserve">Stavebnictví – </w:t>
      </w:r>
      <w:r>
        <w:t>leden</w:t>
      </w:r>
      <w:r w:rsidRPr="000533DD">
        <w:t> 202</w:t>
      </w:r>
      <w:r>
        <w:t>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>
        <w:rPr>
          <w:rFonts w:cs="Arial"/>
        </w:rPr>
        <w:t>lednu</w:t>
      </w:r>
      <w:r w:rsidRPr="000533DD">
        <w:rPr>
          <w:rFonts w:cs="Arial"/>
        </w:rPr>
        <w:t xml:space="preserve"> reálně meziročně </w:t>
      </w:r>
      <w:r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D84208">
        <w:rPr>
          <w:rFonts w:cs="Arial"/>
        </w:rPr>
        <w:t>6</w:t>
      </w:r>
      <w:r>
        <w:rPr>
          <w:rFonts w:cs="Arial"/>
        </w:rPr>
        <w:t>,</w:t>
      </w:r>
      <w:r w:rsidR="00D84208">
        <w:rPr>
          <w:rFonts w:cs="Arial"/>
        </w:rPr>
        <w:t>4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>
        <w:rPr>
          <w:rFonts w:cs="Arial"/>
        </w:rPr>
        <w:t>vyšší</w:t>
      </w:r>
      <w:r w:rsidRPr="000533DD">
        <w:rPr>
          <w:rFonts w:cs="Arial"/>
        </w:rPr>
        <w:t xml:space="preserve"> o </w:t>
      </w:r>
      <w:r w:rsidR="000A4237">
        <w:rPr>
          <w:rFonts w:cs="Arial"/>
        </w:rPr>
        <w:t>1</w:t>
      </w:r>
      <w:r>
        <w:rPr>
          <w:rFonts w:cs="Arial"/>
        </w:rPr>
        <w:t>,</w:t>
      </w:r>
      <w:r w:rsidR="000A4237">
        <w:rPr>
          <w:rFonts w:cs="Arial"/>
        </w:rPr>
        <w:t>6</w:t>
      </w:r>
      <w:r w:rsidRPr="000533DD">
        <w:rPr>
          <w:rFonts w:cs="Arial"/>
        </w:rPr>
        <w:t> %. Stavební úřady vydaly meziročně o </w:t>
      </w:r>
      <w:r w:rsidR="00E64324">
        <w:rPr>
          <w:rFonts w:cs="Arial"/>
        </w:rPr>
        <w:t>12</w:t>
      </w:r>
      <w:r w:rsidRPr="000533DD">
        <w:rPr>
          <w:rFonts w:cs="Arial"/>
        </w:rPr>
        <w:t>,</w:t>
      </w:r>
      <w:r w:rsidR="00E64324">
        <w:rPr>
          <w:rFonts w:cs="Arial"/>
        </w:rPr>
        <w:t>1</w:t>
      </w:r>
      <w:r w:rsidRPr="000533DD">
        <w:rPr>
          <w:rFonts w:cs="Arial"/>
        </w:rPr>
        <w:t xml:space="preserve"> % stavebních povolení </w:t>
      </w:r>
      <w:r>
        <w:rPr>
          <w:rFonts w:cs="Arial"/>
        </w:rPr>
        <w:t>více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>orientační hodnota těchto povolení vzrostla o </w:t>
      </w:r>
      <w:r w:rsidR="00E64324">
        <w:rPr>
          <w:rFonts w:cs="Arial"/>
        </w:rPr>
        <w:t>2</w:t>
      </w:r>
      <w:r w:rsidRPr="000533DD">
        <w:rPr>
          <w:rFonts w:cs="Arial"/>
        </w:rPr>
        <w:t>,</w:t>
      </w:r>
      <w:r w:rsidR="00E64324">
        <w:rPr>
          <w:rFonts w:cs="Arial"/>
        </w:rPr>
        <w:t>1</w:t>
      </w:r>
      <w:r w:rsidRPr="000533DD">
        <w:rPr>
          <w:rFonts w:cs="Arial"/>
        </w:rPr>
        <w:t xml:space="preserve"> %. Meziročně bylo zahájeno o </w:t>
      </w:r>
      <w:r w:rsidR="007C280F">
        <w:rPr>
          <w:rFonts w:cs="Arial"/>
        </w:rPr>
        <w:t>13</w:t>
      </w:r>
      <w:r w:rsidRPr="000533DD">
        <w:rPr>
          <w:rFonts w:cs="Arial"/>
        </w:rPr>
        <w:t>,</w:t>
      </w:r>
      <w:r w:rsidR="007C280F">
        <w:rPr>
          <w:rFonts w:cs="Arial"/>
        </w:rPr>
        <w:t>1</w:t>
      </w:r>
      <w:r w:rsidRPr="000533DD">
        <w:rPr>
          <w:rFonts w:cs="Arial"/>
        </w:rPr>
        <w:t xml:space="preserve"> % bytů </w:t>
      </w:r>
      <w:r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BB6E90">
        <w:rPr>
          <w:rFonts w:cs="Arial"/>
        </w:rPr>
        <w:t>18</w:t>
      </w:r>
      <w:r>
        <w:rPr>
          <w:rFonts w:cs="Arial"/>
        </w:rPr>
        <w:t>,</w:t>
      </w:r>
      <w:r w:rsidR="00BB6E90">
        <w:rPr>
          <w:rFonts w:cs="Arial"/>
        </w:rPr>
        <w:t>1</w:t>
      </w:r>
      <w:r w:rsidRPr="000533DD">
        <w:rPr>
          <w:rFonts w:cs="Arial"/>
        </w:rPr>
        <w:t xml:space="preserve"> % bytů </w:t>
      </w:r>
      <w:r w:rsidR="00BB6E90">
        <w:rPr>
          <w:rFonts w:cs="Arial"/>
        </w:rPr>
        <w:t>více</w:t>
      </w:r>
      <w:r w:rsidRPr="000533DD">
        <w:rPr>
          <w:rFonts w:cs="Arial"/>
        </w:rPr>
        <w:t>.</w:t>
      </w:r>
    </w:p>
    <w:p w:rsidR="00635600" w:rsidRPr="00A545D2" w:rsidRDefault="00DF3F77" w:rsidP="00DF3F77">
      <w:pPr>
        <w:spacing w:before="120"/>
        <w:rPr>
          <w:rFonts w:cs="Arial"/>
          <w:b/>
          <w:bCs/>
          <w:szCs w:val="20"/>
        </w:rPr>
      </w:pPr>
      <w:bookmarkStart w:id="0" w:name="_GoBack"/>
      <w:r w:rsidRPr="00A545D2">
        <w:rPr>
          <w:rFonts w:cs="Arial"/>
          <w:i/>
          <w:szCs w:val="20"/>
        </w:rPr>
        <w:t>„</w:t>
      </w:r>
      <w:bookmarkEnd w:id="0"/>
      <w:r w:rsidR="00A545D2" w:rsidRPr="00A545D2">
        <w:rPr>
          <w:rFonts w:cs="Arial"/>
          <w:i/>
          <w:szCs w:val="20"/>
        </w:rPr>
        <w:t>Stavební produkce si v lednu udržela růst a k dobrému výsledku zčásti přispěla nižší základna z</w:t>
      </w:r>
      <w:r w:rsidR="00617698">
        <w:rPr>
          <w:rFonts w:cs="Arial"/>
          <w:i/>
          <w:szCs w:val="20"/>
        </w:rPr>
        <w:t> </w:t>
      </w:r>
      <w:r w:rsidR="00A545D2" w:rsidRPr="00A545D2">
        <w:rPr>
          <w:rFonts w:cs="Arial"/>
          <w:i/>
          <w:szCs w:val="20"/>
        </w:rPr>
        <w:t>loňského</w:t>
      </w:r>
      <w:r w:rsidR="00617698">
        <w:rPr>
          <w:rFonts w:cs="Arial"/>
          <w:i/>
          <w:szCs w:val="20"/>
        </w:rPr>
        <w:t>,</w:t>
      </w:r>
      <w:r w:rsidR="00A545D2" w:rsidRPr="00A545D2">
        <w:rPr>
          <w:rFonts w:cs="Arial"/>
          <w:i/>
          <w:szCs w:val="20"/>
        </w:rPr>
        <w:t xml:space="preserve"> </w:t>
      </w:r>
      <w:proofErr w:type="spellStart"/>
      <w:r w:rsidR="002A1B3D">
        <w:rPr>
          <w:rFonts w:cs="Arial"/>
          <w:i/>
          <w:szCs w:val="20"/>
        </w:rPr>
        <w:t>c</w:t>
      </w:r>
      <w:r w:rsidR="00A545D2" w:rsidRPr="00A545D2">
        <w:rPr>
          <w:rFonts w:cs="Arial"/>
          <w:i/>
          <w:szCs w:val="20"/>
        </w:rPr>
        <w:t>ovidem</w:t>
      </w:r>
      <w:proofErr w:type="spellEnd"/>
      <w:r w:rsidR="00A545D2" w:rsidRPr="00A545D2">
        <w:rPr>
          <w:rFonts w:cs="Arial"/>
          <w:i/>
          <w:szCs w:val="20"/>
        </w:rPr>
        <w:t xml:space="preserve"> poznamenaného roku a také příznivější počasí. Po </w:t>
      </w:r>
      <w:r w:rsidR="00EB3351">
        <w:rPr>
          <w:rFonts w:cs="Arial"/>
          <w:i/>
          <w:szCs w:val="20"/>
        </w:rPr>
        <w:t xml:space="preserve">pěti měsících </w:t>
      </w:r>
      <w:r w:rsidR="00A545D2" w:rsidRPr="00A545D2">
        <w:rPr>
          <w:rFonts w:cs="Arial"/>
          <w:i/>
          <w:szCs w:val="20"/>
        </w:rPr>
        <w:t>výsled</w:t>
      </w:r>
      <w:r w:rsidR="00EB3351">
        <w:rPr>
          <w:rFonts w:cs="Arial"/>
          <w:i/>
          <w:szCs w:val="20"/>
        </w:rPr>
        <w:t>kem</w:t>
      </w:r>
      <w:r w:rsidR="00A545D2" w:rsidRPr="00A545D2">
        <w:rPr>
          <w:rFonts w:cs="Arial"/>
          <w:i/>
          <w:szCs w:val="20"/>
        </w:rPr>
        <w:t xml:space="preserve"> inženýrské stavby</w:t>
      </w:r>
      <w:r w:rsidR="00EB3351">
        <w:rPr>
          <w:rFonts w:cs="Arial"/>
          <w:i/>
          <w:szCs w:val="20"/>
        </w:rPr>
        <w:t xml:space="preserve"> překonaly pozemní stavitelství</w:t>
      </w:r>
      <w:r w:rsidR="00A545D2" w:rsidRPr="00A545D2">
        <w:rPr>
          <w:rFonts w:cs="Arial"/>
          <w:i/>
          <w:szCs w:val="20"/>
        </w:rPr>
        <w:t>, ale oba segmenty rostly podobným tempem</w:t>
      </w:r>
      <w:r w:rsidRPr="00A545D2">
        <w:rPr>
          <w:rFonts w:cs="Arial"/>
          <w:i/>
          <w:szCs w:val="20"/>
        </w:rPr>
        <w:t>,“</w:t>
      </w:r>
      <w:r w:rsidRPr="00A545D2">
        <w:rPr>
          <w:rFonts w:cs="Arial"/>
          <w:szCs w:val="20"/>
        </w:rPr>
        <w:t xml:space="preserve"> vysvětluje Petra Cuřínová, vedoucí oddělení statistiky stavebnictví a bytové výstavby.</w:t>
      </w:r>
    </w:p>
    <w:p w:rsidR="00DF3F77" w:rsidRPr="00A545D2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/>
          <w:bCs/>
          <w:szCs w:val="20"/>
        </w:rPr>
        <w:t>Stavební produkce</w:t>
      </w:r>
      <w:r w:rsidRPr="00A545D2">
        <w:rPr>
          <w:rFonts w:cs="Arial"/>
          <w:szCs w:val="20"/>
        </w:rPr>
        <w:t xml:space="preserve"> </w:t>
      </w:r>
      <w:r w:rsidRPr="00A545D2">
        <w:rPr>
          <w:rFonts w:cs="Arial"/>
        </w:rPr>
        <w:t>v lednu</w:t>
      </w:r>
      <w:r w:rsidRPr="00A545D2">
        <w:rPr>
          <w:rFonts w:cs="Arial"/>
          <w:szCs w:val="20"/>
        </w:rPr>
        <w:t xml:space="preserve"> 2022 byla reálně meziměsíčně vyšší o </w:t>
      </w:r>
      <w:r w:rsidR="00A20DAA" w:rsidRPr="00A545D2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A20DAA" w:rsidRPr="00A545D2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> %. Meziročně vzrostla o </w:t>
      </w:r>
      <w:r w:rsidR="00A20DAA" w:rsidRPr="00A545D2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>,</w:t>
      </w:r>
      <w:r w:rsidR="00A20DAA" w:rsidRPr="00A545D2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 %. Produkce v pozemním stavitelství se ve srovnání se stejným měsícem minulého roku zvýšila o </w:t>
      </w:r>
      <w:r w:rsidR="00CB2C31" w:rsidRPr="00A545D2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>,</w:t>
      </w:r>
      <w:r w:rsidR="00CB2C31" w:rsidRPr="00A545D2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 %. Produkce inženýrského stavitelství meziročně vzrostla o </w:t>
      </w:r>
      <w:r w:rsidR="00CB2C31" w:rsidRPr="00A545D2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>,</w:t>
      </w:r>
      <w:r w:rsidR="00CB2C31" w:rsidRPr="00A545D2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%. </w:t>
      </w:r>
    </w:p>
    <w:p w:rsidR="00DF3F77" w:rsidRPr="00A545D2" w:rsidRDefault="00DF3F77" w:rsidP="00DF3F77">
      <w:pPr>
        <w:spacing w:before="120"/>
        <w:rPr>
          <w:rFonts w:cs="Arial"/>
          <w:i/>
          <w:szCs w:val="20"/>
        </w:rPr>
      </w:pPr>
      <w:r w:rsidRPr="00A545D2">
        <w:rPr>
          <w:rFonts w:cs="Arial"/>
          <w:bCs/>
          <w:szCs w:val="20"/>
        </w:rPr>
        <w:t xml:space="preserve">Stavební úřady </w:t>
      </w:r>
      <w:r w:rsidRPr="00A545D2">
        <w:rPr>
          <w:rFonts w:cs="Arial"/>
          <w:szCs w:val="20"/>
        </w:rPr>
        <w:t>v </w:t>
      </w:r>
      <w:r w:rsidRPr="00A545D2">
        <w:rPr>
          <w:rFonts w:cs="Arial"/>
        </w:rPr>
        <w:t>lednu</w:t>
      </w:r>
      <w:r w:rsidRPr="00A545D2">
        <w:rPr>
          <w:rFonts w:cs="Arial"/>
          <w:szCs w:val="20"/>
        </w:rPr>
        <w:t xml:space="preserve"> 2022</w:t>
      </w:r>
      <w:r w:rsidRPr="00A545D2">
        <w:rPr>
          <w:rFonts w:cs="Arial"/>
          <w:bCs/>
          <w:szCs w:val="20"/>
        </w:rPr>
        <w:t xml:space="preserve"> vydaly </w:t>
      </w:r>
      <w:r w:rsidR="00A95C8D" w:rsidRPr="00A545D2">
        <w:rPr>
          <w:rFonts w:cs="Arial"/>
          <w:szCs w:val="20"/>
        </w:rPr>
        <w:t>6</w:t>
      </w:r>
      <w:r w:rsidR="00B87D60">
        <w:rPr>
          <w:rFonts w:cs="Arial"/>
          <w:szCs w:val="20"/>
        </w:rPr>
        <w:t> </w:t>
      </w:r>
      <w:r w:rsidR="00A95C8D" w:rsidRPr="00A545D2">
        <w:rPr>
          <w:rFonts w:cs="Arial"/>
          <w:szCs w:val="20"/>
        </w:rPr>
        <w:t>751</w:t>
      </w:r>
      <w:r w:rsidRPr="00A545D2">
        <w:rPr>
          <w:rFonts w:cs="Arial"/>
          <w:b/>
          <w:bCs/>
          <w:szCs w:val="20"/>
        </w:rPr>
        <w:t xml:space="preserve"> stavebních povolení</w:t>
      </w:r>
      <w:r w:rsidRPr="00A545D2">
        <w:rPr>
          <w:rFonts w:cs="Arial"/>
          <w:szCs w:val="20"/>
        </w:rPr>
        <w:t>, meziročně o </w:t>
      </w:r>
      <w:r w:rsidR="00A95C8D" w:rsidRPr="00A545D2">
        <w:rPr>
          <w:rFonts w:cs="Arial"/>
          <w:szCs w:val="20"/>
        </w:rPr>
        <w:t>12</w:t>
      </w:r>
      <w:r w:rsidRPr="00A545D2">
        <w:rPr>
          <w:rFonts w:cs="Arial"/>
          <w:szCs w:val="20"/>
        </w:rPr>
        <w:t>,</w:t>
      </w:r>
      <w:r w:rsidR="00A95C8D" w:rsidRPr="00A545D2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 více. </w:t>
      </w:r>
      <w:r w:rsidRPr="00A545D2">
        <w:rPr>
          <w:rFonts w:cs="Arial"/>
          <w:b/>
          <w:bCs/>
          <w:szCs w:val="20"/>
        </w:rPr>
        <w:t>Orientační hodnota</w:t>
      </w:r>
      <w:r w:rsidRPr="00A545D2">
        <w:rPr>
          <w:rFonts w:cs="Arial"/>
          <w:szCs w:val="20"/>
        </w:rPr>
        <w:t xml:space="preserve"> těchto staveb dosáhla </w:t>
      </w:r>
      <w:r w:rsidR="00A95C8D" w:rsidRPr="00A545D2">
        <w:rPr>
          <w:rFonts w:cs="Arial"/>
          <w:szCs w:val="20"/>
        </w:rPr>
        <w:t>33</w:t>
      </w:r>
      <w:r w:rsidRPr="00A545D2">
        <w:rPr>
          <w:rFonts w:cs="Arial"/>
          <w:szCs w:val="20"/>
        </w:rPr>
        <w:t>,</w:t>
      </w:r>
      <w:r w:rsidR="00A95C8D" w:rsidRPr="00A545D2">
        <w:rPr>
          <w:rFonts w:cs="Arial"/>
          <w:szCs w:val="20"/>
        </w:rPr>
        <w:t>5</w:t>
      </w:r>
      <w:r w:rsidRPr="00A545D2">
        <w:rPr>
          <w:rFonts w:cs="Arial"/>
          <w:szCs w:val="20"/>
        </w:rPr>
        <w:t> mld. Kč a ve srovnání se stejným obdobím roku 2021 vzrostla o </w:t>
      </w:r>
      <w:r w:rsidR="00A95C8D" w:rsidRPr="00A545D2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>,</w:t>
      </w:r>
      <w:r w:rsidR="00A95C8D" w:rsidRPr="00A545D2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 %.</w:t>
      </w:r>
    </w:p>
    <w:p w:rsidR="00DF3F77" w:rsidRPr="00B87D60" w:rsidRDefault="00DF3F77" w:rsidP="00DF3F77">
      <w:pPr>
        <w:spacing w:before="120"/>
        <w:rPr>
          <w:rFonts w:cs="Arial"/>
          <w:szCs w:val="20"/>
        </w:rPr>
      </w:pPr>
      <w:r w:rsidRPr="00B87D60">
        <w:rPr>
          <w:rFonts w:cs="Arial"/>
          <w:b/>
          <w:bCs/>
          <w:szCs w:val="20"/>
        </w:rPr>
        <w:t>Počet zahájených bytů</w:t>
      </w:r>
      <w:r w:rsidRPr="00B87D60">
        <w:rPr>
          <w:rFonts w:cs="Arial"/>
          <w:szCs w:val="20"/>
        </w:rPr>
        <w:t xml:space="preserve"> v </w:t>
      </w:r>
      <w:r w:rsidRPr="00B87D60">
        <w:rPr>
          <w:rFonts w:cs="Arial"/>
        </w:rPr>
        <w:t>lednu</w:t>
      </w:r>
      <w:r w:rsidRPr="00B87D60">
        <w:rPr>
          <w:rFonts w:cs="Arial"/>
          <w:szCs w:val="20"/>
        </w:rPr>
        <w:t xml:space="preserve"> 2022 meziročně vzrostl o </w:t>
      </w:r>
      <w:r w:rsidR="007C280F" w:rsidRPr="00B87D60">
        <w:rPr>
          <w:rFonts w:cs="Arial"/>
          <w:szCs w:val="20"/>
        </w:rPr>
        <w:t>13</w:t>
      </w:r>
      <w:r w:rsidRPr="00B87D60">
        <w:rPr>
          <w:rFonts w:cs="Arial"/>
          <w:szCs w:val="20"/>
        </w:rPr>
        <w:t>,</w:t>
      </w:r>
      <w:r w:rsidR="007C280F" w:rsidRPr="00B87D60">
        <w:rPr>
          <w:rFonts w:cs="Arial"/>
          <w:szCs w:val="20"/>
        </w:rPr>
        <w:t>1</w:t>
      </w:r>
      <w:r w:rsidRPr="00B87D60">
        <w:rPr>
          <w:rFonts w:cs="Arial"/>
          <w:szCs w:val="20"/>
        </w:rPr>
        <w:t xml:space="preserve"> % a dosáhl hodnoty </w:t>
      </w:r>
      <w:r w:rsidR="007C280F" w:rsidRPr="00B87D60">
        <w:rPr>
          <w:rFonts w:cs="Arial"/>
          <w:szCs w:val="20"/>
        </w:rPr>
        <w:t>2</w:t>
      </w:r>
      <w:r w:rsidRPr="00B87D60">
        <w:rPr>
          <w:rFonts w:cs="Arial"/>
          <w:szCs w:val="20"/>
        </w:rPr>
        <w:t> </w:t>
      </w:r>
      <w:r w:rsidR="007C280F" w:rsidRPr="00B87D60">
        <w:rPr>
          <w:rFonts w:cs="Arial"/>
          <w:szCs w:val="20"/>
        </w:rPr>
        <w:t>954</w:t>
      </w:r>
      <w:r w:rsidRPr="00B87D60">
        <w:rPr>
          <w:rFonts w:cs="Arial"/>
          <w:szCs w:val="20"/>
        </w:rPr>
        <w:t xml:space="preserve"> bytů. </w:t>
      </w:r>
      <w:r w:rsidRPr="00B87D60">
        <w:rPr>
          <w:b/>
          <w:bCs/>
        </w:rPr>
        <w:t>Počet dokončených bytů</w:t>
      </w:r>
      <w:r w:rsidRPr="00B87D60">
        <w:t xml:space="preserve"> v </w:t>
      </w:r>
      <w:r w:rsidRPr="00B87D60">
        <w:rPr>
          <w:rFonts w:cs="Arial"/>
        </w:rPr>
        <w:t>lednu</w:t>
      </w:r>
      <w:r w:rsidRPr="00B87D60">
        <w:t xml:space="preserve"> 2022 meziročně </w:t>
      </w:r>
      <w:r w:rsidR="00BB6E90" w:rsidRPr="00B87D60">
        <w:rPr>
          <w:rFonts w:cs="Arial"/>
          <w:szCs w:val="20"/>
        </w:rPr>
        <w:t>vzrostl</w:t>
      </w:r>
      <w:r w:rsidRPr="00B87D60">
        <w:t xml:space="preserve"> o </w:t>
      </w:r>
      <w:r w:rsidR="00BB6E90" w:rsidRPr="00B87D60">
        <w:t>18</w:t>
      </w:r>
      <w:r w:rsidRPr="00B87D60">
        <w:t>,</w:t>
      </w:r>
      <w:r w:rsidR="00BB6E90" w:rsidRPr="00B87D60">
        <w:t>1</w:t>
      </w:r>
      <w:r w:rsidRPr="00B87D60">
        <w:t xml:space="preserve"> % a činil </w:t>
      </w:r>
      <w:r w:rsidR="00BB6E90" w:rsidRPr="00B87D60">
        <w:t>3</w:t>
      </w:r>
      <w:r w:rsidRPr="00B87D60">
        <w:t> </w:t>
      </w:r>
      <w:r w:rsidR="00BB6E90" w:rsidRPr="00B87D60">
        <w:t>556</w:t>
      </w:r>
      <w:r w:rsidRPr="00B87D60">
        <w:t xml:space="preserve"> bytů. </w:t>
      </w:r>
      <w:r w:rsidR="00A545D2" w:rsidRPr="00B87D60">
        <w:rPr>
          <w:rFonts w:eastAsia="Times New Roman" w:cs="Arial"/>
          <w:i/>
          <w:szCs w:val="20"/>
          <w:lang w:eastAsia="cs-CZ"/>
        </w:rPr>
        <w:t>„</w:t>
      </w:r>
      <w:r w:rsidR="00A545D2" w:rsidRPr="00B87D60">
        <w:rPr>
          <w:rFonts w:cs="Arial"/>
          <w:i/>
          <w:szCs w:val="20"/>
        </w:rPr>
        <w:t>Počet dokončených bytů vzrostl</w:t>
      </w:r>
      <w:r w:rsidR="00EB3351">
        <w:rPr>
          <w:rFonts w:cs="Arial"/>
          <w:i/>
          <w:szCs w:val="20"/>
        </w:rPr>
        <w:t xml:space="preserve"> téměř </w:t>
      </w:r>
      <w:r w:rsidR="0023558B">
        <w:rPr>
          <w:rFonts w:cs="Arial"/>
          <w:i/>
          <w:szCs w:val="20"/>
        </w:rPr>
        <w:t xml:space="preserve">o </w:t>
      </w:r>
      <w:r w:rsidR="00EB3351">
        <w:rPr>
          <w:rFonts w:cs="Arial"/>
          <w:i/>
          <w:szCs w:val="20"/>
        </w:rPr>
        <w:t>pětinu</w:t>
      </w:r>
      <w:r w:rsidR="00A545D2" w:rsidRPr="00B87D60">
        <w:rPr>
          <w:rFonts w:cs="Arial"/>
          <w:i/>
          <w:szCs w:val="20"/>
        </w:rPr>
        <w:t xml:space="preserve">. </w:t>
      </w:r>
      <w:r w:rsidR="00A545D2" w:rsidRPr="00B87D60">
        <w:rPr>
          <w:rFonts w:eastAsia="Times New Roman" w:cs="Arial"/>
          <w:i/>
          <w:szCs w:val="20"/>
          <w:lang w:eastAsia="cs-CZ"/>
        </w:rPr>
        <w:t>Za růstem stojí kategorie bytových domů především v Praze a Středočeském kraji. Naopak dokončování rodinných domů zejména v moravských krajích vázne</w:t>
      </w:r>
      <w:r w:rsidR="00A545D2" w:rsidRPr="00B87D60">
        <w:rPr>
          <w:rFonts w:cs="Arial"/>
          <w:i/>
          <w:szCs w:val="20"/>
        </w:rPr>
        <w:t xml:space="preserve">,“ </w:t>
      </w:r>
      <w:r w:rsidR="00A545D2" w:rsidRPr="00B87D60">
        <w:rPr>
          <w:rFonts w:cs="Arial"/>
          <w:szCs w:val="20"/>
        </w:rPr>
        <w:t xml:space="preserve">říká Silvie </w:t>
      </w:r>
      <w:proofErr w:type="spellStart"/>
      <w:r w:rsidR="00A545D2" w:rsidRPr="00B87D60">
        <w:rPr>
          <w:rFonts w:cs="Arial"/>
          <w:szCs w:val="20"/>
        </w:rPr>
        <w:t>Lukavcová</w:t>
      </w:r>
      <w:proofErr w:type="spellEnd"/>
      <w:r w:rsidR="00A545D2" w:rsidRPr="00B87D60">
        <w:rPr>
          <w:rFonts w:cs="Arial"/>
          <w:szCs w:val="20"/>
        </w:rPr>
        <w:t xml:space="preserve"> z oddělení statistiky stavebnictví a bytové výstavby.</w:t>
      </w:r>
    </w:p>
    <w:p w:rsidR="0087123F" w:rsidRDefault="0087123F" w:rsidP="00DF3F77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szCs w:val="20"/>
        </w:rPr>
        <w:t xml:space="preserve"> ve stavebnictví se </w:t>
      </w:r>
      <w:r w:rsidRPr="0039150C">
        <w:rPr>
          <w:rFonts w:cs="Arial"/>
          <w:szCs w:val="20"/>
        </w:rPr>
        <w:t>v </w:t>
      </w:r>
      <w:r>
        <w:rPr>
          <w:rFonts w:cs="Arial"/>
        </w:rPr>
        <w:t>lednu</w:t>
      </w:r>
      <w:r w:rsidRPr="00F612FE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706A21">
        <w:rPr>
          <w:rFonts w:cs="Arial"/>
          <w:bCs/>
          <w:szCs w:val="20"/>
        </w:rPr>
        <w:t>zvýš</w:t>
      </w:r>
      <w:r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706A21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706A21">
        <w:rPr>
          <w:rFonts w:cs="Arial"/>
          <w:szCs w:val="20"/>
        </w:rPr>
        <w:t>7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Pr="0039150C">
        <w:rPr>
          <w:rFonts w:cs="Arial"/>
          <w:szCs w:val="20"/>
        </w:rPr>
        <w:t>v </w:t>
      </w:r>
      <w:r>
        <w:rPr>
          <w:rFonts w:cs="Arial"/>
        </w:rPr>
        <w:t>lednu</w:t>
      </w:r>
      <w:r w:rsidRPr="00F612FE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 meziročně vzrostla o </w:t>
      </w:r>
      <w:r w:rsidR="00706A21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706A21">
        <w:rPr>
          <w:rFonts w:cs="Arial"/>
          <w:szCs w:val="20"/>
        </w:rPr>
        <w:t>6</w:t>
      </w:r>
      <w:r w:rsidRPr="00F612FE">
        <w:rPr>
          <w:rFonts w:cs="Arial"/>
          <w:szCs w:val="20"/>
        </w:rPr>
        <w:t> %.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>
        <w:rPr>
          <w:rFonts w:cs="Arial"/>
          <w:b/>
          <w:bCs/>
          <w:szCs w:val="20"/>
        </w:rPr>
        <w:t>prosinci</w:t>
      </w:r>
      <w:r w:rsidRPr="00C05D5D">
        <w:rPr>
          <w:rFonts w:cs="Arial"/>
          <w:b/>
          <w:bCs/>
          <w:szCs w:val="20"/>
        </w:rPr>
        <w:t xml:space="preserve"> 2021 v EU27 </w:t>
      </w:r>
      <w:r w:rsidRPr="00C05D5D">
        <w:rPr>
          <w:rFonts w:cs="Arial"/>
          <w:szCs w:val="20"/>
        </w:rPr>
        <w:t xml:space="preserve">meziročně </w:t>
      </w:r>
      <w:r w:rsidR="00D402EA">
        <w:rPr>
          <w:rFonts w:cs="Arial"/>
          <w:szCs w:val="20"/>
        </w:rPr>
        <w:t>klesla</w:t>
      </w:r>
      <w:r w:rsidRPr="00C05D5D">
        <w:rPr>
          <w:rFonts w:cs="Arial"/>
          <w:szCs w:val="20"/>
        </w:rPr>
        <w:t xml:space="preserve"> o </w:t>
      </w:r>
      <w:r w:rsidR="00D402EA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D402EA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Pozemní stavitelství se </w:t>
      </w:r>
      <w:r w:rsidR="00D402EA">
        <w:rPr>
          <w:rFonts w:cs="Arial"/>
          <w:szCs w:val="20"/>
        </w:rPr>
        <w:t>snížilo</w:t>
      </w:r>
      <w:r w:rsidRPr="00C05D5D">
        <w:rPr>
          <w:rFonts w:cs="Arial"/>
          <w:szCs w:val="20"/>
        </w:rPr>
        <w:t xml:space="preserve"> o </w:t>
      </w:r>
      <w:r w:rsidR="00D402EA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>,</w:t>
      </w:r>
      <w:r w:rsidR="00D402EA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 a inženýrské stavitelství </w:t>
      </w:r>
      <w:r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D402EA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D402EA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%. Údaje za </w:t>
      </w:r>
      <w:r>
        <w:rPr>
          <w:rFonts w:cs="Arial"/>
          <w:szCs w:val="20"/>
        </w:rPr>
        <w:t>leden</w:t>
      </w:r>
      <w:r w:rsidRPr="00C05D5D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5840DD" w:rsidRPr="005840DD">
        <w:rPr>
          <w:rFonts w:cs="Arial"/>
          <w:szCs w:val="20"/>
        </w:rPr>
        <w:t>22</w:t>
      </w:r>
      <w:r w:rsidRPr="005840DD">
        <w:rPr>
          <w:rFonts w:cs="Arial"/>
          <w:szCs w:val="20"/>
        </w:rPr>
        <w:t>. 03. 2022</w:t>
      </w:r>
      <w:r w:rsidRPr="00C309EC">
        <w:rPr>
          <w:rFonts w:cs="Arial"/>
          <w:szCs w:val="20"/>
        </w:rPr>
        <w:t>.</w:t>
      </w:r>
      <w:r w:rsidR="0087123F" w:rsidRPr="0087123F">
        <w:rPr>
          <w:rFonts w:cs="Arial"/>
          <w:szCs w:val="20"/>
        </w:rPr>
        <w:t xml:space="preserve"> </w:t>
      </w:r>
    </w:p>
    <w:p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</w:p>
    <w:p w:rsidR="00581422" w:rsidRDefault="00581422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t xml:space="preserve">Byly </w:t>
      </w:r>
      <w:r w:rsidRPr="0087123F">
        <w:t>revidovány údaje za rok 2021.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7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9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>
        <w:rPr>
          <w:i/>
        </w:rPr>
        <w:t>3</w:t>
      </w:r>
      <w:r w:rsidRPr="00627B07">
        <w:rPr>
          <w:i/>
        </w:rPr>
        <w:t xml:space="preserve">. </w:t>
      </w:r>
      <w:r>
        <w:rPr>
          <w:i/>
        </w:rPr>
        <w:t>3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lastRenderedPageBreak/>
        <w:t>Navazující výstupy:</w:t>
      </w:r>
      <w:r w:rsidRPr="00627B07">
        <w:rPr>
          <w:i/>
          <w:color w:val="auto"/>
        </w:rPr>
        <w:tab/>
      </w:r>
      <w:hyperlink r:id="rId10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1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2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>
        <w:rPr>
          <w:i/>
        </w:rPr>
        <w:t>6</w:t>
      </w:r>
      <w:r w:rsidRPr="00627B07">
        <w:rPr>
          <w:i/>
        </w:rPr>
        <w:t xml:space="preserve">. </w:t>
      </w:r>
      <w:r>
        <w:rPr>
          <w:i/>
        </w:rPr>
        <w:t>4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Pr="00627B07" w:rsidRDefault="00DF3F77" w:rsidP="00DF3F77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640CB" w:rsidRDefault="00DF3F77" w:rsidP="00DF3F77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p w:rsidR="00DF3F77" w:rsidRPr="00DF3F77" w:rsidRDefault="00DF3F77" w:rsidP="00DF3F77"/>
    <w:sectPr w:rsidR="00DF3F77" w:rsidRPr="00DF3F7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5F" w:rsidRDefault="00756C5F" w:rsidP="00BA6370">
      <w:r>
        <w:separator/>
      </w:r>
    </w:p>
  </w:endnote>
  <w:endnote w:type="continuationSeparator" w:id="0">
    <w:p w:rsidR="00756C5F" w:rsidRDefault="00756C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558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558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5F" w:rsidRDefault="00756C5F" w:rsidP="00BA6370">
      <w:r>
        <w:separator/>
      </w:r>
    </w:p>
  </w:footnote>
  <w:footnote w:type="continuationSeparator" w:id="0">
    <w:p w:rsidR="00756C5F" w:rsidRDefault="00756C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43BF4"/>
    <w:rsid w:val="00082748"/>
    <w:rsid w:val="000843A5"/>
    <w:rsid w:val="000910DA"/>
    <w:rsid w:val="00096D6C"/>
    <w:rsid w:val="000A4237"/>
    <w:rsid w:val="000B6F63"/>
    <w:rsid w:val="000D093F"/>
    <w:rsid w:val="000E43CC"/>
    <w:rsid w:val="00113796"/>
    <w:rsid w:val="001404AB"/>
    <w:rsid w:val="001511B3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3558B"/>
    <w:rsid w:val="002406FA"/>
    <w:rsid w:val="0026107B"/>
    <w:rsid w:val="00275DF8"/>
    <w:rsid w:val="002A1B3D"/>
    <w:rsid w:val="002B2E47"/>
    <w:rsid w:val="002D7F4F"/>
    <w:rsid w:val="003301A3"/>
    <w:rsid w:val="003330A5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66708"/>
    <w:rsid w:val="00471DEF"/>
    <w:rsid w:val="00472310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81422"/>
    <w:rsid w:val="005840DD"/>
    <w:rsid w:val="005C2942"/>
    <w:rsid w:val="005F79FB"/>
    <w:rsid w:val="00604406"/>
    <w:rsid w:val="00605F4A"/>
    <w:rsid w:val="00607822"/>
    <w:rsid w:val="006103AA"/>
    <w:rsid w:val="00613BBF"/>
    <w:rsid w:val="00617698"/>
    <w:rsid w:val="00622B80"/>
    <w:rsid w:val="006327C3"/>
    <w:rsid w:val="00635600"/>
    <w:rsid w:val="0064139A"/>
    <w:rsid w:val="00692211"/>
    <w:rsid w:val="006931CF"/>
    <w:rsid w:val="006D21EB"/>
    <w:rsid w:val="006E024F"/>
    <w:rsid w:val="006E4E81"/>
    <w:rsid w:val="00706A21"/>
    <w:rsid w:val="00707F7D"/>
    <w:rsid w:val="00717EC5"/>
    <w:rsid w:val="00754C20"/>
    <w:rsid w:val="00756C5F"/>
    <w:rsid w:val="007A2048"/>
    <w:rsid w:val="007A57F2"/>
    <w:rsid w:val="007B1333"/>
    <w:rsid w:val="007C280F"/>
    <w:rsid w:val="007F4AEB"/>
    <w:rsid w:val="007F75B2"/>
    <w:rsid w:val="00800EF2"/>
    <w:rsid w:val="00803993"/>
    <w:rsid w:val="008043C4"/>
    <w:rsid w:val="00827B74"/>
    <w:rsid w:val="00831B1B"/>
    <w:rsid w:val="00855FB3"/>
    <w:rsid w:val="00861D0E"/>
    <w:rsid w:val="008662BB"/>
    <w:rsid w:val="00867569"/>
    <w:rsid w:val="0087123F"/>
    <w:rsid w:val="008A750A"/>
    <w:rsid w:val="008B3970"/>
    <w:rsid w:val="008C384C"/>
    <w:rsid w:val="008D0F11"/>
    <w:rsid w:val="008E0FA4"/>
    <w:rsid w:val="008F73B4"/>
    <w:rsid w:val="00900455"/>
    <w:rsid w:val="0094550A"/>
    <w:rsid w:val="00986DD7"/>
    <w:rsid w:val="009A0FD9"/>
    <w:rsid w:val="009B55B1"/>
    <w:rsid w:val="009B62A7"/>
    <w:rsid w:val="009C73C8"/>
    <w:rsid w:val="00A0762A"/>
    <w:rsid w:val="00A1095E"/>
    <w:rsid w:val="00A20DAA"/>
    <w:rsid w:val="00A2281E"/>
    <w:rsid w:val="00A4343D"/>
    <w:rsid w:val="00A502F1"/>
    <w:rsid w:val="00A5333A"/>
    <w:rsid w:val="00A545D2"/>
    <w:rsid w:val="00A70A83"/>
    <w:rsid w:val="00A81EB3"/>
    <w:rsid w:val="00A848D0"/>
    <w:rsid w:val="00A955BC"/>
    <w:rsid w:val="00A95C8D"/>
    <w:rsid w:val="00AA5248"/>
    <w:rsid w:val="00AB3410"/>
    <w:rsid w:val="00B00C1D"/>
    <w:rsid w:val="00B55375"/>
    <w:rsid w:val="00B632CC"/>
    <w:rsid w:val="00B87D60"/>
    <w:rsid w:val="00B948D8"/>
    <w:rsid w:val="00BA12F1"/>
    <w:rsid w:val="00BA439F"/>
    <w:rsid w:val="00BA6370"/>
    <w:rsid w:val="00BB6E90"/>
    <w:rsid w:val="00C00767"/>
    <w:rsid w:val="00C269D4"/>
    <w:rsid w:val="00C35900"/>
    <w:rsid w:val="00C37ADB"/>
    <w:rsid w:val="00C4160D"/>
    <w:rsid w:val="00C732BE"/>
    <w:rsid w:val="00C8406E"/>
    <w:rsid w:val="00CB2709"/>
    <w:rsid w:val="00CB2C31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02EA"/>
    <w:rsid w:val="00D448C2"/>
    <w:rsid w:val="00D666C3"/>
    <w:rsid w:val="00D67AAE"/>
    <w:rsid w:val="00D84208"/>
    <w:rsid w:val="00D9189F"/>
    <w:rsid w:val="00DF3F77"/>
    <w:rsid w:val="00DF47FE"/>
    <w:rsid w:val="00E0156A"/>
    <w:rsid w:val="00E26704"/>
    <w:rsid w:val="00E31980"/>
    <w:rsid w:val="00E6423C"/>
    <w:rsid w:val="00E64324"/>
    <w:rsid w:val="00E714B5"/>
    <w:rsid w:val="00E93830"/>
    <w:rsid w:val="00E93E0E"/>
    <w:rsid w:val="00EB1ED3"/>
    <w:rsid w:val="00EB3351"/>
    <w:rsid w:val="00F75F2A"/>
    <w:rsid w:val="00F8334A"/>
    <w:rsid w:val="00FA17E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FBA429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vebnictvi_metodika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3458-0737-48B3-B22F-BD18CACE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30</cp:revision>
  <dcterms:created xsi:type="dcterms:W3CDTF">2022-02-24T07:28:00Z</dcterms:created>
  <dcterms:modified xsi:type="dcterms:W3CDTF">2022-03-10T09:02:00Z</dcterms:modified>
</cp:coreProperties>
</file>