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836CC0" w:rsidP="00867569">
      <w:pPr>
        <w:pStyle w:val="Datum"/>
      </w:pPr>
      <w:r>
        <w:t>27</w:t>
      </w:r>
      <w:r w:rsidR="00F340B2" w:rsidRPr="00F340B2">
        <w:t xml:space="preserve">. </w:t>
      </w:r>
      <w:r w:rsidR="00EE1D62">
        <w:t>02</w:t>
      </w:r>
      <w:r w:rsidR="00D7632F">
        <w:t>.</w:t>
      </w:r>
      <w:r w:rsidR="00F340B2" w:rsidRPr="00F340B2">
        <w:t xml:space="preserve"> 201</w:t>
      </w:r>
      <w:r w:rsidR="00EE1D62">
        <w:t>5</w:t>
      </w:r>
    </w:p>
    <w:p w:rsidR="004A53B7" w:rsidRPr="004A53B7" w:rsidRDefault="007E3AC5" w:rsidP="004A53B7">
      <w:pPr>
        <w:pStyle w:val="Nzev"/>
        <w:spacing w:after="360"/>
      </w:pPr>
      <w:r>
        <w:t>O</w:t>
      </w:r>
      <w:r w:rsidR="000E0A6F">
        <w:t>živování ekonomi</w:t>
      </w:r>
      <w:r>
        <w:t>ky</w:t>
      </w:r>
      <w:r w:rsidR="000E0A6F">
        <w:t xml:space="preserve"> </w:t>
      </w:r>
      <w:r>
        <w:t>pokračovalo</w:t>
      </w:r>
    </w:p>
    <w:p w:rsidR="008B3970" w:rsidRPr="00EE1D62" w:rsidRDefault="00836CC0" w:rsidP="008B3970">
      <w:pPr>
        <w:pStyle w:val="Podtitulek"/>
      </w:pPr>
      <w:r>
        <w:t xml:space="preserve">Tvorba a užití HDP </w:t>
      </w:r>
      <w:r w:rsidR="00F340B2" w:rsidRPr="00F340B2">
        <w:t xml:space="preserve">- </w:t>
      </w:r>
      <w:r w:rsidR="00EE1D62">
        <w:t>4</w:t>
      </w:r>
      <w:r>
        <w:t>. </w:t>
      </w:r>
      <w:r w:rsidR="00F340B2" w:rsidRPr="00F340B2">
        <w:t xml:space="preserve">čtvrtletí </w:t>
      </w:r>
      <w:r w:rsidR="00F4725F">
        <w:t>201</w:t>
      </w:r>
      <w:r w:rsidR="00210BFE">
        <w:t>4</w:t>
      </w:r>
    </w:p>
    <w:p w:rsidR="00867569" w:rsidRDefault="00F340B2" w:rsidP="00043BF4">
      <w:pPr>
        <w:pStyle w:val="Perex"/>
      </w:pPr>
      <w:r w:rsidRPr="00F340B2">
        <w:t xml:space="preserve">Hrubý domácí produkt </w:t>
      </w:r>
      <w:r w:rsidR="00DB5FD4">
        <w:t>vzrostl</w:t>
      </w:r>
      <w:r w:rsidRPr="00F340B2">
        <w:t xml:space="preserve"> </w:t>
      </w:r>
      <w:r w:rsidR="00431FD4">
        <w:t>v roce 2014 o 2,0 %</w:t>
      </w:r>
      <w:r w:rsidR="002275D1">
        <w:t>, byl tak potvrzen předběžný odhad</w:t>
      </w:r>
      <w:r w:rsidR="00431FD4">
        <w:t xml:space="preserve">. Meziročně se </w:t>
      </w:r>
      <w:r w:rsidR="002275D1">
        <w:t xml:space="preserve">HDP </w:t>
      </w:r>
      <w:r w:rsidR="00A50BDA">
        <w:t>v</w:t>
      </w:r>
      <w:r w:rsidR="0064672C">
        <w:t>e</w:t>
      </w:r>
      <w:r w:rsidR="00EE1D62">
        <w:t> 4</w:t>
      </w:r>
      <w:r w:rsidRPr="00F340B2">
        <w:t>.</w:t>
      </w:r>
      <w:r w:rsidR="00EE1D62">
        <w:t> </w:t>
      </w:r>
      <w:r w:rsidRPr="00F340B2">
        <w:t xml:space="preserve">čtvrtletí </w:t>
      </w:r>
      <w:r w:rsidR="00431FD4">
        <w:t>zvýšil o</w:t>
      </w:r>
      <w:r w:rsidR="004A53B7">
        <w:t> </w:t>
      </w:r>
      <w:r w:rsidR="00431FD4">
        <w:t>1,5 %</w:t>
      </w:r>
      <w:r w:rsidR="00977A2B">
        <w:t xml:space="preserve"> a </w:t>
      </w:r>
      <w:proofErr w:type="spellStart"/>
      <w:r w:rsidR="00977A2B">
        <w:t>mezičtvrtletně</w:t>
      </w:r>
      <w:proofErr w:type="spellEnd"/>
      <w:r w:rsidR="00977A2B">
        <w:t xml:space="preserve"> o 0,4</w:t>
      </w:r>
      <w:r w:rsidR="008F7A7C">
        <w:t> </w:t>
      </w:r>
      <w:r w:rsidR="00977A2B">
        <w:t xml:space="preserve">%. </w:t>
      </w:r>
      <w:r w:rsidR="004A53B7">
        <w:t xml:space="preserve">Růst hrubé přidané hodnoty </w:t>
      </w:r>
      <w:r w:rsidR="002275D1">
        <w:t>na konci roku</w:t>
      </w:r>
      <w:r w:rsidR="00977A2B">
        <w:t xml:space="preserve"> </w:t>
      </w:r>
      <w:r w:rsidR="004A53B7">
        <w:t>zrychlil</w:t>
      </w:r>
      <w:r w:rsidR="00977A2B">
        <w:t xml:space="preserve">, meziročně </w:t>
      </w:r>
      <w:r w:rsidR="004A53B7">
        <w:t xml:space="preserve">dosáhl </w:t>
      </w:r>
      <w:r w:rsidR="00977A2B">
        <w:t xml:space="preserve">hodnoty </w:t>
      </w:r>
      <w:r w:rsidR="004A53B7">
        <w:t>2,9 % a </w:t>
      </w:r>
      <w:proofErr w:type="spellStart"/>
      <w:r w:rsidR="004A53B7">
        <w:t>mezičtvr</w:t>
      </w:r>
      <w:r w:rsidR="008F7A7C">
        <w:t>t</w:t>
      </w:r>
      <w:r w:rsidR="00220125">
        <w:t>letně</w:t>
      </w:r>
      <w:proofErr w:type="spellEnd"/>
      <w:r w:rsidR="00220125">
        <w:t> </w:t>
      </w:r>
      <w:r w:rsidR="004A53B7">
        <w:t>1,1 %.</w:t>
      </w:r>
    </w:p>
    <w:p w:rsidR="009214F3" w:rsidRPr="00CE0A8D" w:rsidRDefault="009214F3" w:rsidP="007D4D92">
      <w:pPr>
        <w:spacing w:before="240"/>
        <w:rPr>
          <w:rFonts w:cs="Arial"/>
          <w:b/>
          <w:szCs w:val="18"/>
        </w:rPr>
      </w:pPr>
      <w:r w:rsidRPr="00CE0A8D">
        <w:rPr>
          <w:rFonts w:cs="Arial"/>
          <w:b/>
          <w:szCs w:val="18"/>
        </w:rPr>
        <w:t xml:space="preserve">Hrubý </w:t>
      </w:r>
      <w:r w:rsidRPr="00A52431">
        <w:rPr>
          <w:rFonts w:cs="Arial"/>
          <w:b/>
          <w:szCs w:val="18"/>
        </w:rPr>
        <w:t>domácí produkt (HDP) za rok 201</w:t>
      </w:r>
      <w:r>
        <w:rPr>
          <w:rFonts w:cs="Arial"/>
          <w:b/>
          <w:szCs w:val="18"/>
        </w:rPr>
        <w:t>4</w:t>
      </w:r>
      <w:r w:rsidRPr="00CE0A8D">
        <w:rPr>
          <w:rFonts w:cs="Arial"/>
          <w:szCs w:val="18"/>
        </w:rPr>
        <w:t xml:space="preserve"> očištěný o cenové vlivy</w:t>
      </w:r>
      <w:r w:rsidR="00C41D34">
        <w:rPr>
          <w:rStyle w:val="Znakapoznpodarou"/>
          <w:rFonts w:cs="Arial"/>
          <w:szCs w:val="18"/>
        </w:rPr>
        <w:footnoteReference w:id="1"/>
      </w:r>
      <w:r>
        <w:rPr>
          <w:rFonts w:cs="Arial"/>
          <w:szCs w:val="20"/>
        </w:rPr>
        <w:t xml:space="preserve"> </w:t>
      </w:r>
      <w:r w:rsidRPr="00CE0A8D">
        <w:rPr>
          <w:rFonts w:cs="Arial"/>
          <w:szCs w:val="18"/>
        </w:rPr>
        <w:t>byl podle zpřesněného odhadu meziročně</w:t>
      </w:r>
      <w:r w:rsidRPr="00CE0A8D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vyšší o 2,0</w:t>
      </w:r>
      <w:r w:rsidR="002F79DB">
        <w:rPr>
          <w:rFonts w:cs="Arial"/>
          <w:b/>
          <w:szCs w:val="18"/>
        </w:rPr>
        <w:t> </w:t>
      </w:r>
      <w:r w:rsidRPr="00CE0A8D">
        <w:rPr>
          <w:rFonts w:cs="Arial"/>
          <w:b/>
          <w:szCs w:val="18"/>
        </w:rPr>
        <w:t>%</w:t>
      </w:r>
      <w:r w:rsidRPr="005153B2">
        <w:rPr>
          <w:rFonts w:cs="Arial"/>
          <w:szCs w:val="18"/>
        </w:rPr>
        <w:t>.</w:t>
      </w:r>
      <w:r w:rsidR="00054C09" w:rsidRPr="00054C09">
        <w:rPr>
          <w:rFonts w:cs="Arial"/>
          <w:szCs w:val="18"/>
        </w:rPr>
        <w:t xml:space="preserve"> </w:t>
      </w:r>
      <w:r w:rsidR="00C44192">
        <w:rPr>
          <w:rFonts w:cs="Arial"/>
          <w:szCs w:val="18"/>
        </w:rPr>
        <w:t xml:space="preserve">K tomuto růstu přispěla zejména zahraniční poptávka (1,3 p. b.), podpořená růstem </w:t>
      </w:r>
      <w:r w:rsidR="00452DED">
        <w:rPr>
          <w:rFonts w:cs="Arial"/>
          <w:szCs w:val="18"/>
        </w:rPr>
        <w:t>hrubého kapitálu</w:t>
      </w:r>
      <w:r w:rsidR="00C44192">
        <w:rPr>
          <w:rFonts w:cs="Arial"/>
          <w:szCs w:val="18"/>
        </w:rPr>
        <w:t xml:space="preserve"> (0,3 p.</w:t>
      </w:r>
      <w:r w:rsidR="002F79DB">
        <w:rPr>
          <w:rFonts w:cs="Arial"/>
          <w:szCs w:val="18"/>
        </w:rPr>
        <w:t> </w:t>
      </w:r>
      <w:r w:rsidR="00C44192">
        <w:rPr>
          <w:rFonts w:cs="Arial"/>
          <w:szCs w:val="18"/>
        </w:rPr>
        <w:t>b.) a shodně výdaji domácností a</w:t>
      </w:r>
      <w:r w:rsidR="002F79DB">
        <w:rPr>
          <w:rFonts w:cs="Arial"/>
          <w:szCs w:val="18"/>
        </w:rPr>
        <w:t xml:space="preserve"> vlády na </w:t>
      </w:r>
      <w:r w:rsidR="00C44192">
        <w:rPr>
          <w:rFonts w:cs="Arial"/>
          <w:szCs w:val="18"/>
        </w:rPr>
        <w:t xml:space="preserve">konečnou spotřebu (0,2 p. b.). Ve </w:t>
      </w:r>
      <w:r w:rsidR="00C44192" w:rsidRPr="00C44192">
        <w:rPr>
          <w:rFonts w:cs="Arial"/>
          <w:b/>
          <w:szCs w:val="18"/>
        </w:rPr>
        <w:t>4. čtvrtletí</w:t>
      </w:r>
      <w:r w:rsidR="00C44192">
        <w:rPr>
          <w:rFonts w:cs="Arial"/>
          <w:szCs w:val="18"/>
        </w:rPr>
        <w:t xml:space="preserve"> dosáhl růst HDP hodnoty </w:t>
      </w:r>
      <w:r w:rsidR="00C44192" w:rsidRPr="00C44192">
        <w:rPr>
          <w:rFonts w:cs="Arial"/>
          <w:b/>
          <w:szCs w:val="18"/>
        </w:rPr>
        <w:t>1,5 %</w:t>
      </w:r>
      <w:r w:rsidR="00C44192">
        <w:rPr>
          <w:rFonts w:cs="Arial"/>
          <w:szCs w:val="18"/>
        </w:rPr>
        <w:t xml:space="preserve"> </w:t>
      </w:r>
      <w:r w:rsidR="00C44192" w:rsidRPr="00C44192">
        <w:rPr>
          <w:rFonts w:cs="Arial"/>
          <w:b/>
          <w:szCs w:val="18"/>
        </w:rPr>
        <w:t>meziročně</w:t>
      </w:r>
      <w:r w:rsidR="002F79DB">
        <w:rPr>
          <w:rFonts w:cs="Arial"/>
          <w:szCs w:val="18"/>
        </w:rPr>
        <w:t xml:space="preserve"> a </w:t>
      </w:r>
      <w:r w:rsidR="00C44192" w:rsidRPr="00C44192">
        <w:rPr>
          <w:rFonts w:cs="Arial"/>
          <w:b/>
          <w:szCs w:val="18"/>
        </w:rPr>
        <w:t xml:space="preserve">0,4 % </w:t>
      </w:r>
      <w:proofErr w:type="spellStart"/>
      <w:r w:rsidR="00C44192" w:rsidRPr="00C44192">
        <w:rPr>
          <w:rFonts w:cs="Arial"/>
          <w:b/>
          <w:szCs w:val="18"/>
        </w:rPr>
        <w:t>mezičtvrtletně</w:t>
      </w:r>
      <w:proofErr w:type="spellEnd"/>
      <w:r w:rsidR="00C44192">
        <w:rPr>
          <w:rFonts w:cs="Arial"/>
          <w:szCs w:val="18"/>
        </w:rPr>
        <w:t>.</w:t>
      </w:r>
    </w:p>
    <w:p w:rsidR="009214F3" w:rsidRPr="0067555B" w:rsidRDefault="009214F3" w:rsidP="009214F3">
      <w:pPr>
        <w:spacing w:before="240"/>
      </w:pPr>
      <w:r>
        <w:rPr>
          <w:b/>
        </w:rPr>
        <w:t xml:space="preserve">Vývoj </w:t>
      </w:r>
      <w:r w:rsidR="0067555B">
        <w:rPr>
          <w:b/>
        </w:rPr>
        <w:t xml:space="preserve">hrubého domácího produktu </w:t>
      </w:r>
      <w:r>
        <w:rPr>
          <w:b/>
        </w:rPr>
        <w:t xml:space="preserve">v % </w:t>
      </w:r>
      <w:r w:rsidRPr="0067555B">
        <w:t xml:space="preserve">(očištěno o cenové, sezónní a kalendářní vlivy)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9214F3" w:rsidRPr="00BC6821" w:rsidTr="005008D1">
        <w:tc>
          <w:tcPr>
            <w:tcW w:w="2410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54" w:type="dxa"/>
          </w:tcPr>
          <w:p w:rsidR="009214F3" w:rsidRPr="00BC6821" w:rsidRDefault="009214F3" w:rsidP="006755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Rok 201</w:t>
            </w:r>
            <w:r w:rsidR="0067555B">
              <w:rPr>
                <w:rFonts w:cs="Arial"/>
                <w:sz w:val="18"/>
                <w:szCs w:val="18"/>
              </w:rPr>
              <w:t>4</w:t>
            </w:r>
          </w:p>
        </w:tc>
      </w:tr>
      <w:tr w:rsidR="009214F3" w:rsidRPr="00BC6821" w:rsidTr="005008D1">
        <w:tc>
          <w:tcPr>
            <w:tcW w:w="2410" w:type="dxa"/>
          </w:tcPr>
          <w:p w:rsidR="009214F3" w:rsidRPr="00BC6821" w:rsidRDefault="009214F3" w:rsidP="0067555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 s</w:t>
            </w:r>
            <w:r w:rsidRPr="00BC6821">
              <w:rPr>
                <w:rFonts w:cs="Arial"/>
                <w:sz w:val="18"/>
                <w:szCs w:val="18"/>
              </w:rPr>
              <w:t>tejné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 201</w:t>
            </w:r>
            <w:r w:rsidR="0067555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14F3" w:rsidRPr="00B014E6" w:rsidRDefault="0067555B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+2,3</w:t>
            </w:r>
          </w:p>
        </w:tc>
        <w:tc>
          <w:tcPr>
            <w:tcW w:w="1221" w:type="dxa"/>
            <w:vAlign w:val="center"/>
          </w:tcPr>
          <w:p w:rsidR="009214F3" w:rsidRPr="00B014E6" w:rsidRDefault="00EA73FA" w:rsidP="00EA73FA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+2,1</w:t>
            </w:r>
          </w:p>
        </w:tc>
        <w:tc>
          <w:tcPr>
            <w:tcW w:w="1293" w:type="dxa"/>
            <w:vAlign w:val="center"/>
          </w:tcPr>
          <w:p w:rsidR="009214F3" w:rsidRPr="00B014E6" w:rsidRDefault="00EA73FA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+2,2</w:t>
            </w:r>
          </w:p>
        </w:tc>
        <w:tc>
          <w:tcPr>
            <w:tcW w:w="1293" w:type="dxa"/>
            <w:vAlign w:val="center"/>
          </w:tcPr>
          <w:p w:rsidR="009214F3" w:rsidRPr="00B014E6" w:rsidRDefault="00EA73FA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+1,5</w:t>
            </w:r>
          </w:p>
        </w:tc>
        <w:tc>
          <w:tcPr>
            <w:tcW w:w="1154" w:type="dxa"/>
            <w:vAlign w:val="center"/>
          </w:tcPr>
          <w:p w:rsidR="009214F3" w:rsidRPr="00B014E6" w:rsidRDefault="00EA73FA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+2,0</w:t>
            </w:r>
          </w:p>
        </w:tc>
      </w:tr>
      <w:tr w:rsidR="009214F3" w:rsidRPr="00BC6821" w:rsidTr="005008D1">
        <w:tc>
          <w:tcPr>
            <w:tcW w:w="2410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p</w:t>
            </w:r>
            <w:r w:rsidRPr="00BC6821">
              <w:rPr>
                <w:rFonts w:cs="Arial"/>
                <w:sz w:val="18"/>
                <w:szCs w:val="18"/>
              </w:rPr>
              <w:t>ředchozí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</w:t>
            </w:r>
          </w:p>
        </w:tc>
        <w:tc>
          <w:tcPr>
            <w:tcW w:w="1134" w:type="dxa"/>
            <w:vAlign w:val="center"/>
          </w:tcPr>
          <w:p w:rsidR="009214F3" w:rsidRPr="00B014E6" w:rsidRDefault="00EA73FA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+0,3</w:t>
            </w:r>
          </w:p>
        </w:tc>
        <w:tc>
          <w:tcPr>
            <w:tcW w:w="1221" w:type="dxa"/>
            <w:vAlign w:val="center"/>
          </w:tcPr>
          <w:p w:rsidR="009214F3" w:rsidRPr="00B014E6" w:rsidRDefault="00EA73FA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+0,3</w:t>
            </w:r>
          </w:p>
        </w:tc>
        <w:tc>
          <w:tcPr>
            <w:tcW w:w="1293" w:type="dxa"/>
            <w:vAlign w:val="center"/>
          </w:tcPr>
          <w:p w:rsidR="009214F3" w:rsidRPr="00B014E6" w:rsidRDefault="00EA73FA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+0,4</w:t>
            </w:r>
          </w:p>
        </w:tc>
        <w:tc>
          <w:tcPr>
            <w:tcW w:w="1293" w:type="dxa"/>
            <w:vAlign w:val="center"/>
          </w:tcPr>
          <w:p w:rsidR="009214F3" w:rsidRPr="00B014E6" w:rsidRDefault="009214F3" w:rsidP="00EA73FA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</w:t>
            </w:r>
            <w:r w:rsidR="00EA73FA">
              <w:rPr>
                <w:rFonts w:cs="Arial"/>
                <w:sz w:val="18"/>
                <w:szCs w:val="18"/>
              </w:rPr>
              <w:t>0,4</w:t>
            </w:r>
          </w:p>
        </w:tc>
        <w:tc>
          <w:tcPr>
            <w:tcW w:w="1154" w:type="dxa"/>
            <w:vAlign w:val="center"/>
          </w:tcPr>
          <w:p w:rsidR="009214F3" w:rsidRPr="00B014E6" w:rsidRDefault="009214F3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B014E6">
              <w:rPr>
                <w:rFonts w:cs="Arial"/>
                <w:sz w:val="18"/>
                <w:szCs w:val="18"/>
              </w:rPr>
              <w:t>x</w:t>
            </w:r>
          </w:p>
        </w:tc>
      </w:tr>
    </w:tbl>
    <w:p w:rsidR="00C44192" w:rsidRDefault="009214F3" w:rsidP="007D4D92">
      <w:pPr>
        <w:spacing w:before="240"/>
      </w:pPr>
      <w:r w:rsidRPr="00C44192">
        <w:t>Mezi</w:t>
      </w:r>
      <w:r w:rsidR="00FD7C6F" w:rsidRPr="00C44192">
        <w:t>čtvrtletní a</w:t>
      </w:r>
      <w:r w:rsidRPr="00C44192">
        <w:t xml:space="preserve"> zejména mezi</w:t>
      </w:r>
      <w:r w:rsidR="00FD7C6F" w:rsidRPr="00C44192">
        <w:t xml:space="preserve">roční </w:t>
      </w:r>
      <w:r w:rsidRPr="00C44192">
        <w:t xml:space="preserve">vývoj </w:t>
      </w:r>
      <w:r w:rsidR="00452DED">
        <w:t>HDP</w:t>
      </w:r>
      <w:r w:rsidRPr="00C44192">
        <w:t xml:space="preserve"> byl, stejně jako v roce 201</w:t>
      </w:r>
      <w:r w:rsidR="00FD7C6F" w:rsidRPr="00C44192">
        <w:t>3</w:t>
      </w:r>
      <w:r w:rsidRPr="00C44192">
        <w:t xml:space="preserve">, podstatně ovlivněn nerovnoměrným inkasem spotřební daně z tabákových výrobků. Předzásobení tabákovými výrobky koncem roku </w:t>
      </w:r>
      <w:r w:rsidR="00FD7C6F" w:rsidRPr="00C44192">
        <w:t xml:space="preserve">2013, které se v roce 2014 neopakovalo, vedlo k výrazně nižšímu inkasu </w:t>
      </w:r>
      <w:r w:rsidRPr="00C44192">
        <w:t>spotřební da</w:t>
      </w:r>
      <w:r w:rsidR="00FD7C6F" w:rsidRPr="00C44192">
        <w:t xml:space="preserve">ně </w:t>
      </w:r>
      <w:r w:rsidR="009067F3" w:rsidRPr="00C44192">
        <w:t xml:space="preserve">v roce </w:t>
      </w:r>
      <w:r w:rsidR="00FD7C6F" w:rsidRPr="00C44192">
        <w:t>2014. Výrazně negativně byl tímto jevem ovlivněn hlavně meziroční růst HDP ve 4. čtvrtletí 2014.</w:t>
      </w:r>
    </w:p>
    <w:p w:rsidR="00C44192" w:rsidRDefault="00C44192" w:rsidP="007D4D92">
      <w:pPr>
        <w:spacing w:before="240"/>
      </w:pPr>
      <w:r>
        <w:t xml:space="preserve">Výkonnost ekonomiky, měřená </w:t>
      </w:r>
      <w:r w:rsidRPr="00C44192">
        <w:rPr>
          <w:b/>
        </w:rPr>
        <w:t>hrubou přidanou hodnotou (HPH)</w:t>
      </w:r>
      <w:r>
        <w:t xml:space="preserve"> se zvyšovala v průběhu celého roku 2014.</w:t>
      </w:r>
      <w:r w:rsidRPr="00C44192">
        <w:t xml:space="preserve"> V porovnání s rokem 2013 se HPH </w:t>
      </w:r>
      <w:r w:rsidRPr="00C44192">
        <w:rPr>
          <w:b/>
        </w:rPr>
        <w:t>zvýšila o 2,6 %</w:t>
      </w:r>
      <w:r w:rsidRPr="00C44192">
        <w:t xml:space="preserve">. </w:t>
      </w:r>
      <w:r w:rsidR="006D6F63">
        <w:t>R</w:t>
      </w:r>
      <w:r w:rsidR="00220125">
        <w:t xml:space="preserve">ůst HPH </w:t>
      </w:r>
      <w:r w:rsidR="006D6F63">
        <w:t xml:space="preserve">obnovený </w:t>
      </w:r>
      <w:r w:rsidR="00220125">
        <w:t>v 2013, se v roce 2014 stabilizoval</w:t>
      </w:r>
      <w:r>
        <w:t xml:space="preserve"> a na konci roku zrychlil. HPH ve </w:t>
      </w:r>
      <w:r w:rsidRPr="00C44192">
        <w:rPr>
          <w:b/>
        </w:rPr>
        <w:t>4. čtvrtletí</w:t>
      </w:r>
      <w:r>
        <w:t xml:space="preserve"> vzrostla </w:t>
      </w:r>
      <w:proofErr w:type="spellStart"/>
      <w:r w:rsidRPr="00C44192">
        <w:rPr>
          <w:b/>
        </w:rPr>
        <w:t>mezičtvrtletně</w:t>
      </w:r>
      <w:proofErr w:type="spellEnd"/>
      <w:r w:rsidRPr="00C44192">
        <w:rPr>
          <w:b/>
        </w:rPr>
        <w:t xml:space="preserve"> o 1,1 %</w:t>
      </w:r>
      <w:r>
        <w:t xml:space="preserve"> a </w:t>
      </w:r>
      <w:r w:rsidRPr="00C44192">
        <w:rPr>
          <w:b/>
        </w:rPr>
        <w:t>meziročně o 2,9 %</w:t>
      </w:r>
      <w:r>
        <w:t xml:space="preserve">. </w:t>
      </w:r>
    </w:p>
    <w:p w:rsidR="009214F3" w:rsidRPr="00CE0A8D" w:rsidRDefault="009214F3" w:rsidP="009214F3">
      <w:pPr>
        <w:spacing w:before="240"/>
        <w:rPr>
          <w:b/>
        </w:rPr>
      </w:pPr>
      <w:r>
        <w:rPr>
          <w:b/>
        </w:rPr>
        <w:t xml:space="preserve">Vývoj </w:t>
      </w:r>
      <w:r w:rsidR="0067555B">
        <w:rPr>
          <w:b/>
        </w:rPr>
        <w:t>hrubé přidané hodnoty</w:t>
      </w:r>
      <w:r>
        <w:rPr>
          <w:b/>
        </w:rPr>
        <w:t xml:space="preserve"> v % </w:t>
      </w:r>
      <w:r w:rsidRPr="0067555B">
        <w:t xml:space="preserve">(očištěno o cenové, sezónní a kalendářní vlivy) 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34"/>
        <w:gridCol w:w="1221"/>
        <w:gridCol w:w="1293"/>
        <w:gridCol w:w="1293"/>
        <w:gridCol w:w="1154"/>
      </w:tblGrid>
      <w:tr w:rsidR="009214F3" w:rsidRPr="00BC6821" w:rsidTr="005008D1">
        <w:tc>
          <w:tcPr>
            <w:tcW w:w="2410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21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3.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293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C6821">
              <w:rPr>
                <w:rFonts w:cs="Arial"/>
                <w:sz w:val="18"/>
                <w:szCs w:val="18"/>
              </w:rPr>
              <w:t>čtvrtletí</w:t>
            </w:r>
          </w:p>
        </w:tc>
        <w:tc>
          <w:tcPr>
            <w:tcW w:w="1154" w:type="dxa"/>
          </w:tcPr>
          <w:p w:rsidR="009214F3" w:rsidRPr="00BC6821" w:rsidRDefault="009214F3" w:rsidP="0067555B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C6821">
              <w:rPr>
                <w:rFonts w:cs="Arial"/>
                <w:sz w:val="18"/>
                <w:szCs w:val="18"/>
              </w:rPr>
              <w:t>Rok 201</w:t>
            </w:r>
            <w:r w:rsidR="0067555B">
              <w:rPr>
                <w:rFonts w:cs="Arial"/>
                <w:sz w:val="18"/>
                <w:szCs w:val="18"/>
              </w:rPr>
              <w:t>4</w:t>
            </w:r>
          </w:p>
        </w:tc>
      </w:tr>
      <w:tr w:rsidR="009214F3" w:rsidRPr="00BC6821" w:rsidTr="005008D1">
        <w:tc>
          <w:tcPr>
            <w:tcW w:w="2410" w:type="dxa"/>
          </w:tcPr>
          <w:p w:rsidR="009214F3" w:rsidRPr="00BC6821" w:rsidRDefault="009214F3" w:rsidP="0067555B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 s</w:t>
            </w:r>
            <w:r w:rsidRPr="00BC6821">
              <w:rPr>
                <w:rFonts w:cs="Arial"/>
                <w:sz w:val="18"/>
                <w:szCs w:val="18"/>
              </w:rPr>
              <w:t>tejné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 201</w:t>
            </w:r>
            <w:r w:rsidR="0067555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14F3" w:rsidRPr="00CC4AC3" w:rsidRDefault="00EA73FA" w:rsidP="00EA73FA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+2,2</w:t>
            </w:r>
          </w:p>
        </w:tc>
        <w:tc>
          <w:tcPr>
            <w:tcW w:w="1221" w:type="dxa"/>
            <w:vAlign w:val="center"/>
          </w:tcPr>
          <w:p w:rsidR="009214F3" w:rsidRPr="00CC4AC3" w:rsidRDefault="00EA73FA" w:rsidP="00452DED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+2,</w:t>
            </w:r>
            <w:r w:rsidR="00452DE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93" w:type="dxa"/>
            <w:vAlign w:val="center"/>
          </w:tcPr>
          <w:p w:rsidR="009214F3" w:rsidRPr="00CC4AC3" w:rsidRDefault="00EA73FA" w:rsidP="00EA73FA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+2,7</w:t>
            </w:r>
          </w:p>
        </w:tc>
        <w:tc>
          <w:tcPr>
            <w:tcW w:w="1293" w:type="dxa"/>
            <w:vAlign w:val="center"/>
          </w:tcPr>
          <w:p w:rsidR="009214F3" w:rsidRPr="00CC4AC3" w:rsidRDefault="00EA73FA" w:rsidP="00EA73FA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+2,9</w:t>
            </w:r>
          </w:p>
        </w:tc>
        <w:tc>
          <w:tcPr>
            <w:tcW w:w="1154" w:type="dxa"/>
            <w:vAlign w:val="center"/>
          </w:tcPr>
          <w:p w:rsidR="009214F3" w:rsidRPr="00CC4AC3" w:rsidRDefault="00EA73FA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+2,6</w:t>
            </w:r>
          </w:p>
        </w:tc>
      </w:tr>
      <w:tr w:rsidR="009214F3" w:rsidRPr="00BC6821" w:rsidTr="005008D1">
        <w:tc>
          <w:tcPr>
            <w:tcW w:w="2410" w:type="dxa"/>
          </w:tcPr>
          <w:p w:rsidR="009214F3" w:rsidRPr="00BC6821" w:rsidRDefault="009214F3" w:rsidP="005008D1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 p</w:t>
            </w:r>
            <w:r w:rsidRPr="00BC6821">
              <w:rPr>
                <w:rFonts w:cs="Arial"/>
                <w:sz w:val="18"/>
                <w:szCs w:val="18"/>
              </w:rPr>
              <w:t>ředchozí</w:t>
            </w:r>
            <w:r>
              <w:rPr>
                <w:rFonts w:cs="Arial"/>
                <w:sz w:val="18"/>
                <w:szCs w:val="18"/>
              </w:rPr>
              <w:t>mu</w:t>
            </w:r>
            <w:r w:rsidRPr="00BC6821">
              <w:rPr>
                <w:rFonts w:cs="Arial"/>
                <w:sz w:val="18"/>
                <w:szCs w:val="18"/>
              </w:rPr>
              <w:t xml:space="preserve"> čtvrtletí</w:t>
            </w:r>
          </w:p>
        </w:tc>
        <w:tc>
          <w:tcPr>
            <w:tcW w:w="1134" w:type="dxa"/>
            <w:vAlign w:val="center"/>
          </w:tcPr>
          <w:p w:rsidR="009214F3" w:rsidRPr="00CC4AC3" w:rsidRDefault="00EA73FA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+0,7</w:t>
            </w:r>
          </w:p>
        </w:tc>
        <w:tc>
          <w:tcPr>
            <w:tcW w:w="1221" w:type="dxa"/>
            <w:vAlign w:val="center"/>
          </w:tcPr>
          <w:p w:rsidR="009214F3" w:rsidRPr="00CC4AC3" w:rsidRDefault="00EA73FA" w:rsidP="00EA73FA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+0,5</w:t>
            </w:r>
          </w:p>
        </w:tc>
        <w:tc>
          <w:tcPr>
            <w:tcW w:w="1293" w:type="dxa"/>
            <w:vAlign w:val="center"/>
          </w:tcPr>
          <w:p w:rsidR="009214F3" w:rsidRPr="00CC4AC3" w:rsidRDefault="00EA73FA" w:rsidP="00EA73FA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+0,5</w:t>
            </w:r>
          </w:p>
        </w:tc>
        <w:tc>
          <w:tcPr>
            <w:tcW w:w="1293" w:type="dxa"/>
            <w:vAlign w:val="center"/>
          </w:tcPr>
          <w:p w:rsidR="009214F3" w:rsidRPr="00CC4AC3" w:rsidRDefault="00EA73FA" w:rsidP="00EA73FA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+1,1</w:t>
            </w:r>
          </w:p>
        </w:tc>
        <w:tc>
          <w:tcPr>
            <w:tcW w:w="1154" w:type="dxa"/>
            <w:vAlign w:val="center"/>
          </w:tcPr>
          <w:p w:rsidR="009214F3" w:rsidRPr="00CC4AC3" w:rsidRDefault="009214F3" w:rsidP="005008D1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CC4AC3">
              <w:rPr>
                <w:rFonts w:cs="Arial"/>
                <w:sz w:val="18"/>
                <w:szCs w:val="18"/>
              </w:rPr>
              <w:t>x</w:t>
            </w:r>
          </w:p>
        </w:tc>
      </w:tr>
    </w:tbl>
    <w:p w:rsidR="00C41D34" w:rsidRDefault="008A5C66" w:rsidP="00DD5EF9">
      <w:pPr>
        <w:spacing w:before="240"/>
      </w:pPr>
      <w:r w:rsidRPr="008A5C66">
        <w:rPr>
          <w:b/>
        </w:rPr>
        <w:t>Na straně nabídky</w:t>
      </w:r>
      <w:r>
        <w:t xml:space="preserve"> byl v</w:t>
      </w:r>
      <w:r w:rsidR="00C41D34">
        <w:t xml:space="preserve">e </w:t>
      </w:r>
      <w:r w:rsidR="00C41D34" w:rsidRPr="008A5C66">
        <w:rPr>
          <w:b/>
        </w:rPr>
        <w:t>4. čtvrtletí</w:t>
      </w:r>
      <w:r w:rsidR="00C41D34">
        <w:t xml:space="preserve">, stejně jako </w:t>
      </w:r>
      <w:r w:rsidR="00211FF5">
        <w:t xml:space="preserve">po </w:t>
      </w:r>
      <w:r w:rsidR="00C41D34">
        <w:t>celý rok</w:t>
      </w:r>
      <w:r w:rsidR="00211FF5">
        <w:t xml:space="preserve"> 2014</w:t>
      </w:r>
      <w:r w:rsidR="00C41D34">
        <w:t xml:space="preserve">, hospodářský růst tažen </w:t>
      </w:r>
      <w:r w:rsidR="00B46BB6">
        <w:t xml:space="preserve">zpracovatelským průmyslem, zejména </w:t>
      </w:r>
      <w:r w:rsidR="00C41D34" w:rsidRPr="00300671">
        <w:t>odvětvím dopravních prostředků, strojů a zařízení</w:t>
      </w:r>
      <w:r w:rsidR="00211FF5">
        <w:t>, výrobou kovů</w:t>
      </w:r>
      <w:r>
        <w:t xml:space="preserve"> a </w:t>
      </w:r>
      <w:r w:rsidR="00B46BB6">
        <w:t>konstrukcí</w:t>
      </w:r>
      <w:r>
        <w:t xml:space="preserve"> </w:t>
      </w:r>
      <w:r w:rsidR="00DD5EF9">
        <w:t xml:space="preserve">a </w:t>
      </w:r>
      <w:r>
        <w:t>výrobou pryže a plastů. V</w:t>
      </w:r>
      <w:r w:rsidR="00B46BB6">
        <w:t xml:space="preserve"> oblasti služeb </w:t>
      </w:r>
      <w:r>
        <w:t xml:space="preserve">rostla významně </w:t>
      </w:r>
      <w:r w:rsidR="00B46BB6">
        <w:t>doprav</w:t>
      </w:r>
      <w:r>
        <w:t>a</w:t>
      </w:r>
      <w:r w:rsidR="00211FF5">
        <w:t xml:space="preserve">, </w:t>
      </w:r>
      <w:r w:rsidR="00B46BB6">
        <w:lastRenderedPageBreak/>
        <w:t>obchod, činnosti v oblasti nemovitostí a veřejn</w:t>
      </w:r>
      <w:r>
        <w:t>á</w:t>
      </w:r>
      <w:r w:rsidR="00B46BB6">
        <w:t xml:space="preserve"> správ</w:t>
      </w:r>
      <w:r>
        <w:t>a</w:t>
      </w:r>
      <w:r w:rsidR="00C41D34" w:rsidRPr="00300671">
        <w:t>.</w:t>
      </w:r>
      <w:r w:rsidR="00C41D34">
        <w:t xml:space="preserve"> Naopak </w:t>
      </w:r>
      <w:r w:rsidR="00B46BB6">
        <w:t>stavebnictví</w:t>
      </w:r>
      <w:r w:rsidR="00DD5EF9">
        <w:t>, zemědělství či </w:t>
      </w:r>
      <w:r w:rsidR="00A81E9B">
        <w:t>služby pro podniky</w:t>
      </w:r>
      <w:r w:rsidR="00B46BB6">
        <w:t xml:space="preserve"> ve 4. čtvrtletí mírně klesal</w:t>
      </w:r>
      <w:r w:rsidR="00A81E9B">
        <w:t>y.</w:t>
      </w:r>
      <w:r w:rsidR="00C41D34">
        <w:t xml:space="preserve"> </w:t>
      </w:r>
    </w:p>
    <w:p w:rsidR="00C41D34" w:rsidRDefault="00C41D34" w:rsidP="007D4D92">
      <w:pPr>
        <w:spacing w:before="240"/>
      </w:pPr>
      <w:r w:rsidRPr="00A81E9B">
        <w:rPr>
          <w:b/>
        </w:rPr>
        <w:t>Na straně poptávky</w:t>
      </w:r>
      <w:r>
        <w:t xml:space="preserve"> byl růst ekonomiky </w:t>
      </w:r>
      <w:r w:rsidRPr="00A81E9B">
        <w:rPr>
          <w:b/>
        </w:rPr>
        <w:t>ve 4. čtvrtletí</w:t>
      </w:r>
      <w:r>
        <w:t xml:space="preserve"> i nadále tažen především zahraniční poptávkou, tak jako v předchozích čtvrtletích, přestože bilance služeb kvůli předbíhajícímu dovozu tento vliv významně snižovala. Hospodářský růst byl navíc podpořen i všemi klíčovými složkami domácí poptávky. </w:t>
      </w:r>
      <w:r w:rsidRPr="00A81E9B">
        <w:rPr>
          <w:b/>
        </w:rPr>
        <w:t>Konečná spotřeba domácností</w:t>
      </w:r>
      <w:r>
        <w:t xml:space="preserve"> ve 4. čtvrtletí meziročně vzrostla o 2,0 %, a oproti předchozímu čtvrtletí o 1,2 %, což je </w:t>
      </w:r>
      <w:r w:rsidRPr="00300671">
        <w:t>nejv</w:t>
      </w:r>
      <w:r w:rsidR="00300671" w:rsidRPr="00300671">
        <w:t>yšší</w:t>
      </w:r>
      <w:r w:rsidRPr="00300671">
        <w:t xml:space="preserve"> mezičtvrtletní </w:t>
      </w:r>
      <w:r w:rsidR="00300671" w:rsidRPr="00300671">
        <w:t>ná</w:t>
      </w:r>
      <w:r w:rsidRPr="00300671">
        <w:t>růst</w:t>
      </w:r>
      <w:r>
        <w:t xml:space="preserve"> </w:t>
      </w:r>
      <w:r w:rsidR="00DD5EF9">
        <w:t>od </w:t>
      </w:r>
      <w:r w:rsidR="00452DED">
        <w:t>počátku roku</w:t>
      </w:r>
      <w:r w:rsidR="00300671">
        <w:t xml:space="preserve"> 2010. </w:t>
      </w:r>
      <w:r w:rsidRPr="00A81E9B">
        <w:t>Investiční aktivita</w:t>
      </w:r>
      <w:r>
        <w:t xml:space="preserve"> si udržela svou dynamiku z předchozích čtvrtletí, vedle podnikové sféry byl růst podpořen i vládními institucemi. </w:t>
      </w:r>
      <w:r w:rsidRPr="00A81E9B">
        <w:rPr>
          <w:b/>
        </w:rPr>
        <w:t>Tvorba</w:t>
      </w:r>
      <w:r w:rsidR="00300671" w:rsidRPr="00A81E9B">
        <w:rPr>
          <w:b/>
        </w:rPr>
        <w:t xml:space="preserve"> hrubého fixního kapitálu</w:t>
      </w:r>
      <w:r w:rsidR="00DD5EF9">
        <w:t xml:space="preserve"> ve </w:t>
      </w:r>
      <w:r w:rsidR="00300671">
        <w:t>4. </w:t>
      </w:r>
      <w:r>
        <w:t xml:space="preserve">čtvrtletí meziročně vzrostla o 4,4 % a </w:t>
      </w:r>
      <w:proofErr w:type="spellStart"/>
      <w:r>
        <w:t>mezičtvrtletně</w:t>
      </w:r>
      <w:proofErr w:type="spellEnd"/>
      <w:r>
        <w:t xml:space="preserve"> o 1,2 %.</w:t>
      </w:r>
    </w:p>
    <w:p w:rsidR="00C41D34" w:rsidRPr="002F7D8C" w:rsidRDefault="00C41D34" w:rsidP="00C41D34">
      <w:pPr>
        <w:spacing w:before="240"/>
        <w:rPr>
          <w:b/>
        </w:rPr>
      </w:pPr>
      <w:r w:rsidRPr="002F7D8C">
        <w:rPr>
          <w:b/>
        </w:rPr>
        <w:t>Struktura poptávky</w:t>
      </w:r>
      <w:r>
        <w:rPr>
          <w:b/>
        </w:rPr>
        <w:t xml:space="preserve"> v roce 2014</w:t>
      </w:r>
    </w:p>
    <w:p w:rsidR="00C41D34" w:rsidRPr="00405FA3" w:rsidRDefault="00C41D34" w:rsidP="007D4D92">
      <w:pPr>
        <w:spacing w:before="240"/>
      </w:pPr>
      <w:r w:rsidRPr="00255B69">
        <w:t>Hlavním tahounem růstu na straně poptávky byl v roce 2014</w:t>
      </w:r>
      <w:r>
        <w:rPr>
          <w:b/>
        </w:rPr>
        <w:t xml:space="preserve"> zahraniční obchod.</w:t>
      </w:r>
      <w:r w:rsidRPr="00C41D34">
        <w:t xml:space="preserve"> </w:t>
      </w:r>
      <w:r>
        <w:t>Bilance zboží a služeb v běžných cenách dosáhla hodnoty 292,</w:t>
      </w:r>
      <w:r w:rsidR="00663E01">
        <w:t>6</w:t>
      </w:r>
      <w:r>
        <w:t xml:space="preserve"> mld. Kč</w:t>
      </w:r>
      <w:r w:rsidR="00537CCC">
        <w:t xml:space="preserve">. Vývoz vzrostl o 8,8 %, zatímco dovoz o 9,6 %. </w:t>
      </w:r>
      <w:r w:rsidR="008445F1" w:rsidRPr="00DD5EF9">
        <w:t xml:space="preserve">Vývoj cen zahraničního obchodu byl výrazně diferencovaný, a to především vlivem cen </w:t>
      </w:r>
      <w:r w:rsidR="00953E53" w:rsidRPr="00DD5EF9">
        <w:t>ropy</w:t>
      </w:r>
      <w:r w:rsidR="008445F1">
        <w:t xml:space="preserve">. </w:t>
      </w:r>
      <w:r w:rsidR="008445F1" w:rsidRPr="00405FA3">
        <w:t>V</w:t>
      </w:r>
      <w:r w:rsidR="00AA25BA" w:rsidRPr="00405FA3">
        <w:t xml:space="preserve">ývozní ceny se zvýšily o 4,0 %, dovozní ceny o 2,4 %. </w:t>
      </w:r>
    </w:p>
    <w:p w:rsidR="00C41D34" w:rsidRDefault="00C41D34" w:rsidP="007D4D92">
      <w:pPr>
        <w:spacing w:before="240"/>
      </w:pPr>
      <w:r w:rsidRPr="00093E4E">
        <w:rPr>
          <w:b/>
        </w:rPr>
        <w:t>Výdaje na konečnou spotřebu</w:t>
      </w:r>
      <w:r w:rsidRPr="00093E4E">
        <w:t xml:space="preserve"> vzrostly meziročně celkem o 1,</w:t>
      </w:r>
      <w:r w:rsidR="00051BF8">
        <w:t>7</w:t>
      </w:r>
      <w:r w:rsidRPr="00093E4E">
        <w:t> % při relativně vyrovnaném vývoji všech hlavních složek.</w:t>
      </w:r>
      <w:r>
        <w:t xml:space="preserve"> </w:t>
      </w:r>
      <w:r w:rsidRPr="0081453E">
        <w:rPr>
          <w:u w:val="single"/>
        </w:rPr>
        <w:t>Domácnosti</w:t>
      </w:r>
      <w:r>
        <w:t xml:space="preserve"> utratily ve srovnání s rokem 2013 o 1,7 % více</w:t>
      </w:r>
      <w:r w:rsidR="00B15815">
        <w:t>. Po </w:t>
      </w:r>
      <w:r>
        <w:t xml:space="preserve">vyloučení cenových změn mezi rokem 2013 a 2014 vydaly domácnosti </w:t>
      </w:r>
      <w:r w:rsidRPr="00843C7B">
        <w:t xml:space="preserve">meziročně více </w:t>
      </w:r>
      <w:r w:rsidR="00047D80" w:rsidRPr="00843C7B">
        <w:t xml:space="preserve">téměř na všechny složky spotřeby, </w:t>
      </w:r>
      <w:r w:rsidRPr="00843C7B">
        <w:t xml:space="preserve">zejména </w:t>
      </w:r>
      <w:r w:rsidR="00047D80" w:rsidRPr="00843C7B">
        <w:t>na bytové vybavení, dopravu</w:t>
      </w:r>
      <w:r w:rsidR="00B15815">
        <w:t xml:space="preserve"> a dopravní prostředky</w:t>
      </w:r>
      <w:r w:rsidR="00047D80" w:rsidRPr="00843C7B">
        <w:t>, rekreaci, stravování, ubytování, odívání či potraviny.</w:t>
      </w:r>
      <w:r w:rsidR="00843C7B" w:rsidRPr="00843C7B">
        <w:t xml:space="preserve"> </w:t>
      </w:r>
      <w:r w:rsidR="0081453E" w:rsidRPr="0081453E">
        <w:rPr>
          <w:u w:val="single"/>
        </w:rPr>
        <w:t>Výdaje vládních institucí</w:t>
      </w:r>
      <w:r w:rsidR="0081453E">
        <w:t xml:space="preserve"> se zvýšily oproti roku 2013 o 1,6 %.</w:t>
      </w:r>
    </w:p>
    <w:p w:rsidR="00C41D34" w:rsidRDefault="00C41D34" w:rsidP="007D4D92">
      <w:pPr>
        <w:spacing w:before="240"/>
      </w:pPr>
      <w:r w:rsidRPr="00255B69">
        <w:rPr>
          <w:b/>
        </w:rPr>
        <w:t>Tvorba hrubého kapitálu</w:t>
      </w:r>
      <w:r>
        <w:t xml:space="preserve"> byla v roce 2014 meziročně vyšší o 3,7 %. </w:t>
      </w:r>
      <w:r w:rsidRPr="0081453E">
        <w:rPr>
          <w:u w:val="single"/>
        </w:rPr>
        <w:t>Fixního kapitálu</w:t>
      </w:r>
      <w:r>
        <w:t xml:space="preserve"> bylo vytvořeno o 4,7 % více než v roce 2013, a to hlavně díky stavebním investicím a investicím do strojního vybavení. </w:t>
      </w:r>
      <w:r w:rsidR="00CF5007" w:rsidRPr="0081453E">
        <w:rPr>
          <w:u w:val="single"/>
        </w:rPr>
        <w:t>Stav zásob</w:t>
      </w:r>
      <w:r w:rsidR="00CF5007">
        <w:t xml:space="preserve"> (neočištěný o sezónní vlivy) za celý rok </w:t>
      </w:r>
      <w:r w:rsidR="00A871B5">
        <w:t xml:space="preserve">2014 </w:t>
      </w:r>
      <w:r w:rsidR="00CF5007">
        <w:t xml:space="preserve">poklesl, a to hlavně v důsledku </w:t>
      </w:r>
      <w:r w:rsidR="0010691B">
        <w:t>snižování</w:t>
      </w:r>
      <w:r w:rsidR="002C464E">
        <w:t xml:space="preserve"> zásob ve zboží a nedokončené výrobě ve </w:t>
      </w:r>
      <w:r w:rsidR="00CF5007">
        <w:t xml:space="preserve">4. čtvrtletí. </w:t>
      </w:r>
    </w:p>
    <w:p w:rsidR="00EE6240" w:rsidRPr="002F7D8C" w:rsidRDefault="00EE6240" w:rsidP="00EE6240">
      <w:pPr>
        <w:spacing w:before="240"/>
        <w:rPr>
          <w:b/>
        </w:rPr>
      </w:pPr>
      <w:r w:rsidRPr="002F7D8C">
        <w:rPr>
          <w:b/>
        </w:rPr>
        <w:t xml:space="preserve">Struktura </w:t>
      </w:r>
      <w:r>
        <w:rPr>
          <w:b/>
        </w:rPr>
        <w:t>nabídk</w:t>
      </w:r>
      <w:r w:rsidR="009D1AA1">
        <w:rPr>
          <w:b/>
        </w:rPr>
        <w:t>y</w:t>
      </w:r>
      <w:r>
        <w:rPr>
          <w:b/>
        </w:rPr>
        <w:t xml:space="preserve"> v roce 2014</w:t>
      </w:r>
    </w:p>
    <w:p w:rsidR="009214F3" w:rsidRPr="00252870" w:rsidRDefault="00767F55" w:rsidP="007D4D92">
      <w:pPr>
        <w:spacing w:before="240"/>
        <w:rPr>
          <w:b/>
        </w:rPr>
      </w:pPr>
      <w:r>
        <w:rPr>
          <w:b/>
        </w:rPr>
        <w:t xml:space="preserve">Hrubá přidaná hodnota </w:t>
      </w:r>
      <w:r w:rsidRPr="00767F55">
        <w:t>se v roce 2014 zvýšila v porovnání s</w:t>
      </w:r>
      <w:r>
        <w:t> předchozím rokem</w:t>
      </w:r>
      <w:r w:rsidRPr="00767F55">
        <w:t xml:space="preserve"> o </w:t>
      </w:r>
      <w:r>
        <w:t xml:space="preserve">2,6 %. </w:t>
      </w:r>
      <w:r w:rsidR="00DA0F2E">
        <w:t>Obnovení růstu zpracovatelského průmyslu</w:t>
      </w:r>
      <w:r w:rsidR="00DA0F2E" w:rsidRPr="00514822">
        <w:rPr>
          <w:color w:val="FF0000"/>
        </w:rPr>
        <w:t xml:space="preserve"> </w:t>
      </w:r>
      <w:r w:rsidR="00514822" w:rsidRPr="009D1AA1">
        <w:t>mělo klíčový vliv na</w:t>
      </w:r>
      <w:r w:rsidR="00514822">
        <w:t xml:space="preserve"> </w:t>
      </w:r>
      <w:r w:rsidR="00DA0F2E">
        <w:t xml:space="preserve">vývoj </w:t>
      </w:r>
      <w:r w:rsidR="00572CF7">
        <w:t xml:space="preserve">celkové </w:t>
      </w:r>
      <w:r w:rsidR="00DA0F2E">
        <w:t xml:space="preserve">přidané hodnoty. </w:t>
      </w:r>
      <w:r w:rsidR="00252870">
        <w:t>V průběhu všech čtvrtletí roku 2014 byl p</w:t>
      </w:r>
      <w:r w:rsidR="00DA0F2E">
        <w:t xml:space="preserve">říspěvek zpracovatelského průmyslu k růstu HPH více než poloviční. </w:t>
      </w:r>
      <w:r w:rsidR="00DA0F2E" w:rsidRPr="00252870">
        <w:t xml:space="preserve">S výjimkou peněžnictví a pojišťovnictví </w:t>
      </w:r>
      <w:r w:rsidR="00452DED" w:rsidRPr="00252870">
        <w:t xml:space="preserve">přispěla </w:t>
      </w:r>
      <w:r w:rsidR="00DA0F2E" w:rsidRPr="00252870">
        <w:t xml:space="preserve">k růstu všechna </w:t>
      </w:r>
      <w:r w:rsidR="007455BC" w:rsidRPr="00252870">
        <w:t>hlavní odvětví</w:t>
      </w:r>
      <w:r w:rsidR="0014500D" w:rsidRPr="00252870">
        <w:t xml:space="preserve"> služeb</w:t>
      </w:r>
      <w:r w:rsidR="007455BC" w:rsidRPr="00252870">
        <w:t>, zejména veřejná správa a zdravotnictví, doprava a obchod a služby pro podniky.</w:t>
      </w:r>
    </w:p>
    <w:p w:rsidR="00091AE4" w:rsidRPr="00134B5E" w:rsidRDefault="00134B5E" w:rsidP="007D4D92">
      <w:pPr>
        <w:spacing w:before="240"/>
      </w:pPr>
      <w:r>
        <w:rPr>
          <w:b/>
        </w:rPr>
        <w:t xml:space="preserve">Daně z produktů </w:t>
      </w:r>
      <w:r>
        <w:t xml:space="preserve">meziročně poklesly o 1,6 %, při značně diferencovaném vývoji jednotlivých daní. Meziročně vyšší výběr téměř všech </w:t>
      </w:r>
      <w:r w:rsidR="008807F8">
        <w:t xml:space="preserve">druhů </w:t>
      </w:r>
      <w:r>
        <w:t xml:space="preserve">daní na produkty nestačil v roce 2014 kompenzovat pokles </w:t>
      </w:r>
      <w:r w:rsidR="008807F8">
        <w:t xml:space="preserve">ve </w:t>
      </w:r>
      <w:r>
        <w:t>spotřebních daní</w:t>
      </w:r>
      <w:r w:rsidR="008807F8">
        <w:t>ch</w:t>
      </w:r>
      <w:r>
        <w:t xml:space="preserve"> z tabákových výrobků, způsobený omezením možnosti předzásobení, </w:t>
      </w:r>
      <w:r w:rsidR="008807F8">
        <w:t xml:space="preserve">možného v </w:t>
      </w:r>
      <w:r>
        <w:t>předchozích letech.</w:t>
      </w:r>
    </w:p>
    <w:p w:rsidR="007E3AC5" w:rsidRDefault="00CF5683" w:rsidP="007D4D92">
      <w:pPr>
        <w:spacing w:before="240"/>
      </w:pPr>
      <w:r w:rsidRPr="00CF5683">
        <w:lastRenderedPageBreak/>
        <w:t xml:space="preserve">V </w:t>
      </w:r>
      <w:r w:rsidRPr="00CF5683">
        <w:rPr>
          <w:b/>
        </w:rPr>
        <w:t>běžných cenách</w:t>
      </w:r>
      <w:r w:rsidRPr="00CF5683">
        <w:t xml:space="preserve"> byl </w:t>
      </w:r>
      <w:r>
        <w:t xml:space="preserve">v roce 2014 </w:t>
      </w:r>
      <w:r w:rsidRPr="00CF5683">
        <w:t xml:space="preserve">v tuzemské ekonomice vytvořen HDP v hodnotě </w:t>
      </w:r>
      <w:r>
        <w:t>4 267 mld. </w:t>
      </w:r>
      <w:r w:rsidRPr="00CF5683">
        <w:t xml:space="preserve">Kč, tj. o </w:t>
      </w:r>
      <w:r>
        <w:t>4,4 </w:t>
      </w:r>
      <w:r w:rsidRPr="00CF5683">
        <w:t>% více než v roce 201</w:t>
      </w:r>
      <w:r>
        <w:t>3</w:t>
      </w:r>
      <w:r w:rsidRPr="00CF5683">
        <w:t xml:space="preserve">. </w:t>
      </w:r>
      <w:r w:rsidR="007E3AC5">
        <w:t>Cenová hladina měřená deflátorem HDP se zvýšila meziročně o 2,3 %.</w:t>
      </w:r>
    </w:p>
    <w:p w:rsidR="00091AE4" w:rsidRPr="00CF5683" w:rsidRDefault="00CF5683" w:rsidP="007D4D92">
      <w:pPr>
        <w:spacing w:before="240"/>
      </w:pPr>
      <w:r w:rsidRPr="008A468F">
        <w:rPr>
          <w:b/>
        </w:rPr>
        <w:t>Celková zaměstnanost</w:t>
      </w:r>
      <w:r w:rsidRPr="00CF5683">
        <w:t xml:space="preserve"> v pojetí národních účtů, zahrnující zaměstnance a samostatně podnikající osoby, vzrostla ve srovnání s předchozím rokem v průměru </w:t>
      </w:r>
      <w:r w:rsidRPr="00661736">
        <w:t>o 0,</w:t>
      </w:r>
      <w:r w:rsidR="008A468F" w:rsidRPr="00661736">
        <w:t>4</w:t>
      </w:r>
      <w:r w:rsidRPr="00661736">
        <w:t xml:space="preserve"> % na 5 1</w:t>
      </w:r>
      <w:r w:rsidR="008A468F" w:rsidRPr="00661736">
        <w:t>0</w:t>
      </w:r>
      <w:r w:rsidR="001129CD" w:rsidRPr="00661736">
        <w:t>5</w:t>
      </w:r>
      <w:r w:rsidRPr="00661736">
        <w:t xml:space="preserve"> tisíc osob. Odpracováno </w:t>
      </w:r>
      <w:bookmarkStart w:id="0" w:name="_GoBack"/>
      <w:bookmarkEnd w:id="0"/>
      <w:r w:rsidRPr="00661736">
        <w:t xml:space="preserve">bylo celkem o </w:t>
      </w:r>
      <w:r w:rsidR="00661736" w:rsidRPr="00661736">
        <w:t>1,0</w:t>
      </w:r>
      <w:r w:rsidR="00661736">
        <w:t> </w:t>
      </w:r>
      <w:r w:rsidR="00BB05C9" w:rsidRPr="00661736">
        <w:t>% více</w:t>
      </w:r>
      <w:r w:rsidRPr="00661736">
        <w:t xml:space="preserve"> hodin.</w:t>
      </w:r>
    </w:p>
    <w:p w:rsidR="00091AE4" w:rsidRDefault="00091AE4" w:rsidP="000E3F14">
      <w:pPr>
        <w:spacing w:before="240" w:after="240"/>
        <w:rPr>
          <w:b/>
        </w:rPr>
      </w:pPr>
    </w:p>
    <w:p w:rsidR="00091AE4" w:rsidRDefault="00091AE4" w:rsidP="000E3F14">
      <w:pPr>
        <w:spacing w:before="240" w:after="240"/>
        <w:rPr>
          <w:b/>
        </w:rPr>
      </w:pPr>
    </w:p>
    <w:p w:rsidR="00BB05C9" w:rsidRDefault="00BB05C9" w:rsidP="000E3F14">
      <w:pPr>
        <w:spacing w:before="240" w:after="240"/>
        <w:rPr>
          <w:b/>
        </w:rPr>
      </w:pPr>
    </w:p>
    <w:p w:rsidR="00BB05C9" w:rsidRDefault="00BB05C9" w:rsidP="000E3F14">
      <w:pPr>
        <w:spacing w:before="240" w:after="240"/>
        <w:rPr>
          <w:b/>
        </w:rPr>
      </w:pPr>
    </w:p>
    <w:p w:rsidR="002670D3" w:rsidRDefault="002670D3" w:rsidP="000E3F14">
      <w:pPr>
        <w:spacing w:before="240" w:after="240"/>
        <w:rPr>
          <w:b/>
        </w:rPr>
      </w:pPr>
    </w:p>
    <w:p w:rsidR="002670D3" w:rsidRDefault="002670D3" w:rsidP="000E3F14">
      <w:pPr>
        <w:spacing w:before="240" w:after="240"/>
        <w:rPr>
          <w:b/>
        </w:rPr>
      </w:pPr>
    </w:p>
    <w:p w:rsidR="00BB05C9" w:rsidRDefault="0053232C" w:rsidP="000E3F14">
      <w:pPr>
        <w:spacing w:before="240" w:after="240"/>
        <w:rPr>
          <w:b/>
        </w:rPr>
      </w:pPr>
      <w:r>
        <w:rPr>
          <w:b/>
        </w:rPr>
        <w:t xml:space="preserve"> </w:t>
      </w:r>
    </w:p>
    <w:p w:rsidR="00BB05C9" w:rsidRDefault="00BB05C9" w:rsidP="000E3F14">
      <w:pPr>
        <w:spacing w:before="240" w:after="240"/>
        <w:rPr>
          <w:b/>
        </w:rPr>
      </w:pPr>
    </w:p>
    <w:p w:rsidR="00BB05C9" w:rsidRDefault="00BB05C9" w:rsidP="000E3F14">
      <w:pPr>
        <w:spacing w:before="240" w:after="240"/>
        <w:rPr>
          <w:b/>
        </w:rPr>
      </w:pPr>
    </w:p>
    <w:p w:rsidR="00091AE4" w:rsidRDefault="00091AE4" w:rsidP="000E3F14">
      <w:pPr>
        <w:spacing w:before="240" w:after="240"/>
        <w:rPr>
          <w:b/>
        </w:rPr>
      </w:pPr>
    </w:p>
    <w:p w:rsidR="00304ECA" w:rsidRPr="00304ECA" w:rsidRDefault="00304ECA" w:rsidP="007D4D92">
      <w:pPr>
        <w:pStyle w:val="Poznmky"/>
        <w:tabs>
          <w:tab w:val="left" w:pos="284"/>
        </w:tabs>
        <w:spacing w:before="2880"/>
        <w:ind w:left="3654" w:hanging="3654"/>
        <w:rPr>
          <w:i/>
        </w:rPr>
      </w:pPr>
      <w:r w:rsidRPr="00BB05C9">
        <w:rPr>
          <w:i/>
        </w:rPr>
        <w:t>Kontaktní osoba:</w:t>
      </w:r>
      <w:r w:rsidRPr="00BB05C9">
        <w:rPr>
          <w:i/>
        </w:rPr>
        <w:tab/>
        <w:t xml:space="preserve">Ing. </w:t>
      </w:r>
      <w:r w:rsidR="0007579E" w:rsidRPr="00BB05C9">
        <w:rPr>
          <w:i/>
        </w:rPr>
        <w:t>Vladimír Kermiet</w:t>
      </w:r>
      <w:r w:rsidRPr="00BB05C9">
        <w:rPr>
          <w:i/>
        </w:rPr>
        <w:t>, ředitel Odboru národních účtů, tel. 274 05</w:t>
      </w:r>
      <w:r w:rsidR="0007579E" w:rsidRPr="00BB05C9">
        <w:rPr>
          <w:i/>
        </w:rPr>
        <w:t>4</w:t>
      </w:r>
      <w:r w:rsidR="00034D8B" w:rsidRPr="00BB05C9">
        <w:rPr>
          <w:i/>
        </w:rPr>
        <w:t> </w:t>
      </w:r>
      <w:r w:rsidR="0007579E" w:rsidRPr="00BB05C9">
        <w:rPr>
          <w:i/>
        </w:rPr>
        <w:t>247</w:t>
      </w:r>
      <w:r w:rsidRPr="00BB05C9">
        <w:rPr>
          <w:i/>
        </w:rPr>
        <w:t>,</w:t>
      </w:r>
      <w:r w:rsidR="00034D8B">
        <w:rPr>
          <w:i/>
        </w:rPr>
        <w:t xml:space="preserve"> </w:t>
      </w:r>
      <w:r w:rsidR="000A049D">
        <w:rPr>
          <w:i/>
        </w:rPr>
        <w:t>e</w:t>
      </w:r>
      <w:r w:rsidR="000A049D">
        <w:rPr>
          <w:i/>
        </w:rPr>
        <w:noBreakHyphen/>
        <w:t>mail: </w:t>
      </w:r>
      <w:r w:rsidR="0007579E">
        <w:rPr>
          <w:i/>
        </w:rPr>
        <w:t>vladimir.kermiet</w:t>
      </w:r>
      <w:r w:rsidRPr="00304ECA">
        <w:rPr>
          <w:i/>
        </w:rPr>
        <w:t>@czso.cz</w:t>
      </w:r>
    </w:p>
    <w:p w:rsidR="00304ECA" w:rsidRDefault="00304ECA" w:rsidP="00304ECA">
      <w:pPr>
        <w:pStyle w:val="Poznamkytexty"/>
        <w:ind w:left="3600" w:hanging="3600"/>
      </w:pPr>
      <w:r>
        <w:t>Aktuálnost použitých datových zdrojů</w:t>
      </w:r>
      <w:r w:rsidRPr="00B13ABB">
        <w:t>:</w:t>
      </w:r>
      <w:r w:rsidRPr="00B13ABB">
        <w:tab/>
      </w:r>
      <w:r w:rsidR="00BB05C9">
        <w:t>23</w:t>
      </w:r>
      <w:r w:rsidRPr="00B13ABB">
        <w:t>.</w:t>
      </w:r>
      <w:r>
        <w:t xml:space="preserve"> </w:t>
      </w:r>
      <w:r w:rsidR="000A049D">
        <w:t>února</w:t>
      </w:r>
      <w:r>
        <w:t xml:space="preserve"> 201</w:t>
      </w:r>
      <w:r w:rsidR="000A049D">
        <w:t>5</w:t>
      </w:r>
    </w:p>
    <w:p w:rsidR="00304ECA" w:rsidRPr="00BE226C" w:rsidRDefault="00304ECA" w:rsidP="00304ECA">
      <w:pPr>
        <w:pStyle w:val="Poznamkytexty"/>
        <w:ind w:left="3600" w:hanging="3600"/>
      </w:pPr>
      <w:r>
        <w:t>Internetové stránky ČSÚ</w:t>
      </w:r>
      <w:r w:rsidRPr="00B13ABB">
        <w:t>:</w:t>
      </w:r>
      <w:r w:rsidRPr="00B13ABB">
        <w:tab/>
      </w:r>
      <w:r w:rsidRPr="00BE226C">
        <w:t>www.czso.cz/csu/</w:t>
      </w:r>
      <w:r>
        <w:t>csu.nsf/kalendar/aktual-hdp</w:t>
      </w:r>
    </w:p>
    <w:p w:rsidR="00304ECA" w:rsidRDefault="00304ECA" w:rsidP="00304ECA">
      <w:pPr>
        <w:pStyle w:val="Poznamkytexty"/>
        <w:ind w:left="3600" w:hanging="3600"/>
      </w:pPr>
      <w:r>
        <w:t>Termín zveřejnění další RI:</w:t>
      </w:r>
      <w:r>
        <w:tab/>
      </w:r>
      <w:r w:rsidR="00BB05C9">
        <w:t>30</w:t>
      </w:r>
      <w:r>
        <w:t xml:space="preserve">. </w:t>
      </w:r>
      <w:r w:rsidR="00BB05C9">
        <w:t>března</w:t>
      </w:r>
      <w:r>
        <w:t xml:space="preserve"> 201</w:t>
      </w:r>
      <w:r w:rsidR="000A049D">
        <w:t>5</w:t>
      </w:r>
      <w:r>
        <w:t xml:space="preserve"> (</w:t>
      </w:r>
      <w:r w:rsidR="006B469F">
        <w:t>Čtvrtletní národní účty</w:t>
      </w:r>
      <w:r>
        <w:t xml:space="preserve"> za </w:t>
      </w:r>
      <w:r w:rsidR="000A049D">
        <w:t>4</w:t>
      </w:r>
      <w:r>
        <w:t>. čtvrtletí 201</w:t>
      </w:r>
      <w:r w:rsidR="00034D8B">
        <w:t>4</w:t>
      </w:r>
      <w:r>
        <w:t>)</w:t>
      </w:r>
    </w:p>
    <w:sectPr w:rsidR="00304ECA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2" w:rsidRDefault="006A3542" w:rsidP="00BA6370">
      <w:r>
        <w:separator/>
      </w:r>
    </w:p>
  </w:endnote>
  <w:endnote w:type="continuationSeparator" w:id="0">
    <w:p w:rsidR="006A3542" w:rsidRDefault="006A35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72" w:rsidRDefault="0076594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52572" w:rsidRPr="001404AB" w:rsidRDefault="00F52572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52572" w:rsidRPr="00A81EB3" w:rsidRDefault="00F52572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569B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569B0" w:rsidRPr="004E479E">
                  <w:rPr>
                    <w:rFonts w:cs="Arial"/>
                    <w:szCs w:val="15"/>
                  </w:rPr>
                  <w:fldChar w:fldCharType="separate"/>
                </w:r>
                <w:r w:rsidR="006C1229">
                  <w:rPr>
                    <w:rFonts w:cs="Arial"/>
                    <w:noProof/>
                    <w:szCs w:val="15"/>
                  </w:rPr>
                  <w:t>3</w:t>
                </w:r>
                <w:r w:rsidR="007569B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2" w:rsidRDefault="006A3542" w:rsidP="00BA6370">
      <w:r>
        <w:separator/>
      </w:r>
    </w:p>
  </w:footnote>
  <w:footnote w:type="continuationSeparator" w:id="0">
    <w:p w:rsidR="006A3542" w:rsidRDefault="006A3542" w:rsidP="00BA6370">
      <w:r>
        <w:continuationSeparator/>
      </w:r>
    </w:p>
  </w:footnote>
  <w:footnote w:id="1">
    <w:p w:rsidR="00C41D34" w:rsidRDefault="00C41D34">
      <w:pPr>
        <w:pStyle w:val="Textpoznpodarou"/>
      </w:pPr>
      <w:r w:rsidRPr="00452DED">
        <w:rPr>
          <w:rStyle w:val="Znakapoznpodarou"/>
          <w:rFonts w:ascii="Arial" w:hAnsi="Arial" w:cs="Arial"/>
        </w:rPr>
        <w:footnoteRef/>
      </w:r>
      <w:r w:rsidRPr="00452DED">
        <w:rPr>
          <w:rFonts w:ascii="Arial" w:hAnsi="Arial" w:cs="Arial"/>
        </w:rPr>
        <w:t xml:space="preserve"> </w:t>
      </w:r>
      <w:r w:rsidRPr="00452DED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</w:t>
      </w:r>
      <w:r w:rsidRPr="008A47AB">
        <w:rPr>
          <w:rFonts w:ascii="Arial" w:hAnsi="Arial" w:cs="Arial"/>
          <w:i/>
          <w:sz w:val="18"/>
          <w:szCs w:val="18"/>
        </w:rPr>
        <w:t xml:space="preserve"> počet pracovních dní</w:t>
      </w:r>
      <w:r>
        <w:rPr>
          <w:rFonts w:ascii="Arial" w:hAnsi="Arial" w:cs="Arial"/>
          <w:i/>
          <w:sz w:val="18"/>
          <w:szCs w:val="18"/>
        </w:rPr>
        <w:t xml:space="preserve"> (za celý rok 2014 byl počet pracovních dní shodný s rokem 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72" w:rsidRDefault="0076594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63D"/>
    <w:rsid w:val="00014E06"/>
    <w:rsid w:val="00034D8B"/>
    <w:rsid w:val="00043BEE"/>
    <w:rsid w:val="00043BF4"/>
    <w:rsid w:val="00047D80"/>
    <w:rsid w:val="00051BF8"/>
    <w:rsid w:val="00054C09"/>
    <w:rsid w:val="00061A0B"/>
    <w:rsid w:val="000722FC"/>
    <w:rsid w:val="0007579E"/>
    <w:rsid w:val="000843A5"/>
    <w:rsid w:val="00091AE4"/>
    <w:rsid w:val="00096D6C"/>
    <w:rsid w:val="000A017A"/>
    <w:rsid w:val="000A049D"/>
    <w:rsid w:val="000A06B6"/>
    <w:rsid w:val="000B6F63"/>
    <w:rsid w:val="000D093F"/>
    <w:rsid w:val="000D474E"/>
    <w:rsid w:val="000E0A6F"/>
    <w:rsid w:val="000E3F14"/>
    <w:rsid w:val="000F3C03"/>
    <w:rsid w:val="000F40A2"/>
    <w:rsid w:val="0010691B"/>
    <w:rsid w:val="001129CD"/>
    <w:rsid w:val="001339F5"/>
    <w:rsid w:val="00134B5E"/>
    <w:rsid w:val="001404AB"/>
    <w:rsid w:val="00141E19"/>
    <w:rsid w:val="0014500D"/>
    <w:rsid w:val="00155461"/>
    <w:rsid w:val="0017231D"/>
    <w:rsid w:val="00174B0F"/>
    <w:rsid w:val="001810DC"/>
    <w:rsid w:val="001A081C"/>
    <w:rsid w:val="001B0D74"/>
    <w:rsid w:val="001B607F"/>
    <w:rsid w:val="001D369A"/>
    <w:rsid w:val="001D5D32"/>
    <w:rsid w:val="001F08B3"/>
    <w:rsid w:val="001F2FE0"/>
    <w:rsid w:val="001F3E65"/>
    <w:rsid w:val="002070FB"/>
    <w:rsid w:val="002108BA"/>
    <w:rsid w:val="00210BFE"/>
    <w:rsid w:val="00211FF5"/>
    <w:rsid w:val="00213729"/>
    <w:rsid w:val="00220125"/>
    <w:rsid w:val="002257E4"/>
    <w:rsid w:val="002275D1"/>
    <w:rsid w:val="002406FA"/>
    <w:rsid w:val="0024621D"/>
    <w:rsid w:val="00252870"/>
    <w:rsid w:val="002670D3"/>
    <w:rsid w:val="002838A3"/>
    <w:rsid w:val="002B2E47"/>
    <w:rsid w:val="002B5F5F"/>
    <w:rsid w:val="002C4028"/>
    <w:rsid w:val="002C464E"/>
    <w:rsid w:val="002C4AB2"/>
    <w:rsid w:val="002D3236"/>
    <w:rsid w:val="002F79DB"/>
    <w:rsid w:val="00300671"/>
    <w:rsid w:val="00304ECA"/>
    <w:rsid w:val="003301A3"/>
    <w:rsid w:val="00353C42"/>
    <w:rsid w:val="0036777B"/>
    <w:rsid w:val="00375FF4"/>
    <w:rsid w:val="0038282A"/>
    <w:rsid w:val="00397580"/>
    <w:rsid w:val="003A45C8"/>
    <w:rsid w:val="003B663D"/>
    <w:rsid w:val="003B7A62"/>
    <w:rsid w:val="003C145E"/>
    <w:rsid w:val="003C28A5"/>
    <w:rsid w:val="003C2DCF"/>
    <w:rsid w:val="003C7FE7"/>
    <w:rsid w:val="003D0499"/>
    <w:rsid w:val="003D1E34"/>
    <w:rsid w:val="003D3576"/>
    <w:rsid w:val="003E00CA"/>
    <w:rsid w:val="003F526A"/>
    <w:rsid w:val="0040018A"/>
    <w:rsid w:val="0040070C"/>
    <w:rsid w:val="00405244"/>
    <w:rsid w:val="00405FA3"/>
    <w:rsid w:val="004115BC"/>
    <w:rsid w:val="00415085"/>
    <w:rsid w:val="00431FD4"/>
    <w:rsid w:val="00432127"/>
    <w:rsid w:val="004436EE"/>
    <w:rsid w:val="004477AB"/>
    <w:rsid w:val="00452DED"/>
    <w:rsid w:val="0045547F"/>
    <w:rsid w:val="00456129"/>
    <w:rsid w:val="0047105F"/>
    <w:rsid w:val="00473746"/>
    <w:rsid w:val="004920AD"/>
    <w:rsid w:val="00497D8A"/>
    <w:rsid w:val="004A53B7"/>
    <w:rsid w:val="004C561B"/>
    <w:rsid w:val="004D05B3"/>
    <w:rsid w:val="004E2343"/>
    <w:rsid w:val="004E479E"/>
    <w:rsid w:val="004F1187"/>
    <w:rsid w:val="004F78E6"/>
    <w:rsid w:val="0050420E"/>
    <w:rsid w:val="005050E4"/>
    <w:rsid w:val="00512D99"/>
    <w:rsid w:val="00514822"/>
    <w:rsid w:val="005153B2"/>
    <w:rsid w:val="0053065D"/>
    <w:rsid w:val="00531DBB"/>
    <w:rsid w:val="0053232C"/>
    <w:rsid w:val="00537CCC"/>
    <w:rsid w:val="005413D3"/>
    <w:rsid w:val="00562CF9"/>
    <w:rsid w:val="00572CF7"/>
    <w:rsid w:val="005B1ABE"/>
    <w:rsid w:val="005E67B8"/>
    <w:rsid w:val="005E7AB9"/>
    <w:rsid w:val="005F79FB"/>
    <w:rsid w:val="00601187"/>
    <w:rsid w:val="00603390"/>
    <w:rsid w:val="00604406"/>
    <w:rsid w:val="00605F4A"/>
    <w:rsid w:val="00607822"/>
    <w:rsid w:val="006103AA"/>
    <w:rsid w:val="00613BBF"/>
    <w:rsid w:val="006220FD"/>
    <w:rsid w:val="00622B80"/>
    <w:rsid w:val="0064139A"/>
    <w:rsid w:val="00642D05"/>
    <w:rsid w:val="0064672C"/>
    <w:rsid w:val="00651A74"/>
    <w:rsid w:val="00661736"/>
    <w:rsid w:val="00663E01"/>
    <w:rsid w:val="006668BE"/>
    <w:rsid w:val="0067555B"/>
    <w:rsid w:val="0068097B"/>
    <w:rsid w:val="006914A9"/>
    <w:rsid w:val="006917B5"/>
    <w:rsid w:val="006931CF"/>
    <w:rsid w:val="006A3542"/>
    <w:rsid w:val="006B469F"/>
    <w:rsid w:val="006B4921"/>
    <w:rsid w:val="006B6B2B"/>
    <w:rsid w:val="006C1229"/>
    <w:rsid w:val="006D6F63"/>
    <w:rsid w:val="006E024F"/>
    <w:rsid w:val="006E4E81"/>
    <w:rsid w:val="006F5C43"/>
    <w:rsid w:val="00705CE8"/>
    <w:rsid w:val="00707F7D"/>
    <w:rsid w:val="00711051"/>
    <w:rsid w:val="00715877"/>
    <w:rsid w:val="00717EC5"/>
    <w:rsid w:val="007435E2"/>
    <w:rsid w:val="007455BC"/>
    <w:rsid w:val="00754C20"/>
    <w:rsid w:val="007569B0"/>
    <w:rsid w:val="007631A3"/>
    <w:rsid w:val="00767F55"/>
    <w:rsid w:val="007769BE"/>
    <w:rsid w:val="007A57F2"/>
    <w:rsid w:val="007B1333"/>
    <w:rsid w:val="007B5025"/>
    <w:rsid w:val="007D4D92"/>
    <w:rsid w:val="007E3AC5"/>
    <w:rsid w:val="007E7469"/>
    <w:rsid w:val="007F4AEB"/>
    <w:rsid w:val="007F75B2"/>
    <w:rsid w:val="008034B5"/>
    <w:rsid w:val="00803993"/>
    <w:rsid w:val="008043C4"/>
    <w:rsid w:val="0081453E"/>
    <w:rsid w:val="00831B1B"/>
    <w:rsid w:val="008330DD"/>
    <w:rsid w:val="00833B6C"/>
    <w:rsid w:val="00836CC0"/>
    <w:rsid w:val="00843C7B"/>
    <w:rsid w:val="008445F1"/>
    <w:rsid w:val="00855FB3"/>
    <w:rsid w:val="00861D0E"/>
    <w:rsid w:val="008662BB"/>
    <w:rsid w:val="008664AD"/>
    <w:rsid w:val="00867569"/>
    <w:rsid w:val="008716ED"/>
    <w:rsid w:val="00875050"/>
    <w:rsid w:val="008807F8"/>
    <w:rsid w:val="00886379"/>
    <w:rsid w:val="008A468F"/>
    <w:rsid w:val="008A5C66"/>
    <w:rsid w:val="008A750A"/>
    <w:rsid w:val="008B3970"/>
    <w:rsid w:val="008C384C"/>
    <w:rsid w:val="008C60F2"/>
    <w:rsid w:val="008D0F11"/>
    <w:rsid w:val="008E5263"/>
    <w:rsid w:val="008E7C78"/>
    <w:rsid w:val="008F73B4"/>
    <w:rsid w:val="008F7A7C"/>
    <w:rsid w:val="009067F3"/>
    <w:rsid w:val="009214F3"/>
    <w:rsid w:val="00924378"/>
    <w:rsid w:val="00953E53"/>
    <w:rsid w:val="00965A28"/>
    <w:rsid w:val="00977A2B"/>
    <w:rsid w:val="00981B8B"/>
    <w:rsid w:val="009A1852"/>
    <w:rsid w:val="009B55B1"/>
    <w:rsid w:val="009C29D7"/>
    <w:rsid w:val="009C491B"/>
    <w:rsid w:val="009D1AA1"/>
    <w:rsid w:val="009E08F2"/>
    <w:rsid w:val="009E424F"/>
    <w:rsid w:val="009E7F60"/>
    <w:rsid w:val="00A21DE9"/>
    <w:rsid w:val="00A235BD"/>
    <w:rsid w:val="00A2475C"/>
    <w:rsid w:val="00A32542"/>
    <w:rsid w:val="00A4343D"/>
    <w:rsid w:val="00A46C29"/>
    <w:rsid w:val="00A502F1"/>
    <w:rsid w:val="00A50BDA"/>
    <w:rsid w:val="00A56CDF"/>
    <w:rsid w:val="00A602E4"/>
    <w:rsid w:val="00A6212A"/>
    <w:rsid w:val="00A70A83"/>
    <w:rsid w:val="00A81E9B"/>
    <w:rsid w:val="00A81EB3"/>
    <w:rsid w:val="00A871B5"/>
    <w:rsid w:val="00AA0EB5"/>
    <w:rsid w:val="00AA25BA"/>
    <w:rsid w:val="00AB1F19"/>
    <w:rsid w:val="00AB2EC1"/>
    <w:rsid w:val="00AB3410"/>
    <w:rsid w:val="00AB4E61"/>
    <w:rsid w:val="00AB7D0D"/>
    <w:rsid w:val="00AE57C1"/>
    <w:rsid w:val="00AF2F48"/>
    <w:rsid w:val="00B00C1D"/>
    <w:rsid w:val="00B11886"/>
    <w:rsid w:val="00B15815"/>
    <w:rsid w:val="00B3768E"/>
    <w:rsid w:val="00B46BB6"/>
    <w:rsid w:val="00B54EFC"/>
    <w:rsid w:val="00B55375"/>
    <w:rsid w:val="00B632CC"/>
    <w:rsid w:val="00B6391C"/>
    <w:rsid w:val="00B67880"/>
    <w:rsid w:val="00B71B0D"/>
    <w:rsid w:val="00BA12F1"/>
    <w:rsid w:val="00BA29A0"/>
    <w:rsid w:val="00BA439F"/>
    <w:rsid w:val="00BA6370"/>
    <w:rsid w:val="00BB05C9"/>
    <w:rsid w:val="00C044BB"/>
    <w:rsid w:val="00C04EE7"/>
    <w:rsid w:val="00C1793B"/>
    <w:rsid w:val="00C25C7A"/>
    <w:rsid w:val="00C25E7E"/>
    <w:rsid w:val="00C269D4"/>
    <w:rsid w:val="00C26F50"/>
    <w:rsid w:val="00C4160D"/>
    <w:rsid w:val="00C41D34"/>
    <w:rsid w:val="00C44192"/>
    <w:rsid w:val="00C74EF0"/>
    <w:rsid w:val="00C8406E"/>
    <w:rsid w:val="00C85661"/>
    <w:rsid w:val="00C93A36"/>
    <w:rsid w:val="00CA4877"/>
    <w:rsid w:val="00CB2709"/>
    <w:rsid w:val="00CB6F89"/>
    <w:rsid w:val="00CE228C"/>
    <w:rsid w:val="00CE71D9"/>
    <w:rsid w:val="00CF5007"/>
    <w:rsid w:val="00CF545B"/>
    <w:rsid w:val="00CF5683"/>
    <w:rsid w:val="00D05B81"/>
    <w:rsid w:val="00D209A7"/>
    <w:rsid w:val="00D20C3F"/>
    <w:rsid w:val="00D27D69"/>
    <w:rsid w:val="00D448C2"/>
    <w:rsid w:val="00D51A9D"/>
    <w:rsid w:val="00D54ECF"/>
    <w:rsid w:val="00D666C3"/>
    <w:rsid w:val="00D7632F"/>
    <w:rsid w:val="00D84CF6"/>
    <w:rsid w:val="00D9189F"/>
    <w:rsid w:val="00DA0F2E"/>
    <w:rsid w:val="00DB5FD4"/>
    <w:rsid w:val="00DB6231"/>
    <w:rsid w:val="00DD5EF9"/>
    <w:rsid w:val="00DE6098"/>
    <w:rsid w:val="00DF47FE"/>
    <w:rsid w:val="00DF5340"/>
    <w:rsid w:val="00E0156A"/>
    <w:rsid w:val="00E26704"/>
    <w:rsid w:val="00E31980"/>
    <w:rsid w:val="00E34CE0"/>
    <w:rsid w:val="00E45511"/>
    <w:rsid w:val="00E55634"/>
    <w:rsid w:val="00E612E7"/>
    <w:rsid w:val="00E6423C"/>
    <w:rsid w:val="00E93830"/>
    <w:rsid w:val="00E93E0E"/>
    <w:rsid w:val="00EA6510"/>
    <w:rsid w:val="00EA73FA"/>
    <w:rsid w:val="00EB1ED3"/>
    <w:rsid w:val="00ED4013"/>
    <w:rsid w:val="00ED6C63"/>
    <w:rsid w:val="00EE1D62"/>
    <w:rsid w:val="00EE6240"/>
    <w:rsid w:val="00F069D2"/>
    <w:rsid w:val="00F170B0"/>
    <w:rsid w:val="00F31E08"/>
    <w:rsid w:val="00F340B2"/>
    <w:rsid w:val="00F35D70"/>
    <w:rsid w:val="00F454E4"/>
    <w:rsid w:val="00F4725F"/>
    <w:rsid w:val="00F513E2"/>
    <w:rsid w:val="00F52572"/>
    <w:rsid w:val="00F55F6E"/>
    <w:rsid w:val="00F75F2A"/>
    <w:rsid w:val="00F86A31"/>
    <w:rsid w:val="00FA0FA1"/>
    <w:rsid w:val="00FB687C"/>
    <w:rsid w:val="00FD7C6F"/>
    <w:rsid w:val="00FE1C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209D-315C-4EEB-8001-D24BAB83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511</TotalTime>
  <Pages>3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Karel Šafr</cp:lastModifiedBy>
  <cp:revision>106</cp:revision>
  <cp:lastPrinted>2015-02-26T14:52:00Z</cp:lastPrinted>
  <dcterms:created xsi:type="dcterms:W3CDTF">2014-11-13T06:30:00Z</dcterms:created>
  <dcterms:modified xsi:type="dcterms:W3CDTF">2015-02-26T15:16:00Z</dcterms:modified>
</cp:coreProperties>
</file>