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A134CF" w:rsidP="00034CC9">
      <w:pPr>
        <w:pStyle w:val="datum0"/>
      </w:pPr>
      <w:r>
        <w:t>7</w:t>
      </w:r>
      <w:r w:rsidR="00C877E3">
        <w:t xml:space="preserve">. </w:t>
      </w:r>
      <w:r>
        <w:t>9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836802">
        <w:t>červen</w:t>
      </w:r>
      <w:r w:rsidR="00A134CF">
        <w:t>ec</w:t>
      </w:r>
      <w:r>
        <w:t xml:space="preserve"> </w:t>
      </w:r>
      <w:r w:rsidRPr="00A81EB3">
        <w:t>201</w:t>
      </w:r>
      <w:r w:rsidR="0047266B">
        <w:t>5</w:t>
      </w:r>
    </w:p>
    <w:p w:rsidR="00996972" w:rsidRDefault="00034CC9" w:rsidP="00996972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A134CF">
        <w:rPr>
          <w:rFonts w:cs="Arial"/>
          <w:b/>
          <w:szCs w:val="18"/>
        </w:rPr>
        <w:t>červenci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</w:t>
      </w:r>
      <w:r w:rsidR="00996972">
        <w:rPr>
          <w:rFonts w:cs="Arial"/>
          <w:b/>
          <w:szCs w:val="18"/>
        </w:rPr>
        <w:t>přebytkem</w:t>
      </w:r>
      <w:r w:rsidRPr="00017FCB">
        <w:rPr>
          <w:rFonts w:cs="Arial"/>
          <w:b/>
          <w:szCs w:val="18"/>
        </w:rPr>
        <w:t xml:space="preserve"> </w:t>
      </w:r>
      <w:r w:rsidR="00987C36">
        <w:rPr>
          <w:rFonts w:cs="Arial"/>
          <w:b/>
          <w:szCs w:val="18"/>
        </w:rPr>
        <w:t>6,8</w:t>
      </w:r>
      <w:r w:rsidR="00C41492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996972">
        <w:rPr>
          <w:rFonts w:cs="Arial"/>
          <w:b/>
          <w:szCs w:val="18"/>
        </w:rPr>
        <w:t xml:space="preserve">který byl meziročně o </w:t>
      </w:r>
      <w:r w:rsidR="00987C36">
        <w:rPr>
          <w:rFonts w:cs="Arial"/>
          <w:b/>
          <w:szCs w:val="18"/>
        </w:rPr>
        <w:t>3,9</w:t>
      </w:r>
      <w:r w:rsidR="00996972">
        <w:rPr>
          <w:rFonts w:cs="Arial"/>
          <w:b/>
          <w:szCs w:val="18"/>
        </w:rPr>
        <w:t xml:space="preserve"> mld. Kč </w:t>
      </w:r>
      <w:r w:rsidR="00987C36">
        <w:rPr>
          <w:rFonts w:cs="Arial"/>
          <w:b/>
          <w:szCs w:val="18"/>
        </w:rPr>
        <w:t>nižší</w:t>
      </w:r>
      <w:r w:rsidR="00996972">
        <w:rPr>
          <w:rFonts w:cs="Arial"/>
          <w:b/>
          <w:szCs w:val="18"/>
        </w:rPr>
        <w:t>.</w:t>
      </w:r>
    </w:p>
    <w:p w:rsidR="00FF677F" w:rsidRDefault="009545B8" w:rsidP="0066089A">
      <w:pPr>
        <w:keepNext/>
        <w:keepLines/>
        <w:spacing w:after="360" w:line="288" w:lineRule="auto"/>
        <w:outlineLvl w:val="1"/>
      </w:pPr>
      <w:r>
        <w:t>C</w:t>
      </w:r>
      <w:r w:rsidRPr="007D6FD5">
        <w:t xml:space="preserve">elkovou bilanci v národním pojetí </w:t>
      </w:r>
      <w:r w:rsidR="00987C36">
        <w:t>ne</w:t>
      </w:r>
      <w:r w:rsidR="00EC3F19">
        <w:t>příznivě ovlivnil</w:t>
      </w:r>
      <w:r w:rsidR="007F14C7">
        <w:t xml:space="preserve"> především</w:t>
      </w:r>
      <w:r>
        <w:t xml:space="preserve"> </w:t>
      </w:r>
      <w:r w:rsidR="00EC3F19">
        <w:t xml:space="preserve">meziroční </w:t>
      </w:r>
      <w:r w:rsidR="00987C36">
        <w:t>pokles</w:t>
      </w:r>
      <w:r w:rsidR="00EC3F19">
        <w:t xml:space="preserve"> </w:t>
      </w:r>
      <w:r w:rsidR="00987C36">
        <w:t>přebytku</w:t>
      </w:r>
      <w:r w:rsidR="00EC3F19">
        <w:t xml:space="preserve"> bilance strojů a dopravních prostředků o 3,</w:t>
      </w:r>
      <w:r w:rsidR="007F14C7">
        <w:t>5</w:t>
      </w:r>
      <w:r w:rsidR="00EC3F19">
        <w:t xml:space="preserve"> mld. Kč</w:t>
      </w:r>
      <w:r w:rsidR="007F14C7">
        <w:t>, průmy</w:t>
      </w:r>
      <w:r w:rsidR="00062500">
        <w:t>slového spotřebního zboží o 0,9 </w:t>
      </w:r>
      <w:r w:rsidR="007F14C7">
        <w:t xml:space="preserve">mld. Kč a polotovarů a materiálů o 0,7 mld. Kč. Dále se prohloubil deficit obchodu </w:t>
      </w:r>
      <w:r w:rsidR="00062500">
        <w:t>s </w:t>
      </w:r>
      <w:r w:rsidR="007F14C7">
        <w:t>chemickými výrobky o 1,7 mld. Kč a přechodem z aktiva do pasiva se zhoršila bilance surovin o 0,9 mld. Kč.</w:t>
      </w:r>
      <w:r w:rsidR="00B63638">
        <w:t xml:space="preserve"> Příznivý vliv na celkovou bilanci mělo</w:t>
      </w:r>
      <w:r w:rsidR="00FF677F">
        <w:t xml:space="preserve"> hlavně</w:t>
      </w:r>
      <w:r w:rsidR="00B63638">
        <w:t xml:space="preserve"> zmenšení deficitu minerálních paliv o 3,5 mld. Kč.</w:t>
      </w:r>
    </w:p>
    <w:p w:rsidR="00A05E4D" w:rsidRDefault="0066089A" w:rsidP="0066089A">
      <w:pPr>
        <w:keepNext/>
        <w:keepLines/>
        <w:spacing w:after="360" w:line="288" w:lineRule="auto"/>
        <w:outlineLvl w:val="1"/>
        <w:rPr>
          <w:rFonts w:cs="Arial"/>
          <w:szCs w:val="18"/>
        </w:rPr>
      </w:pPr>
      <w:r>
        <w:rPr>
          <w:rFonts w:cs="Arial"/>
          <w:szCs w:val="18"/>
        </w:rPr>
        <w:t>S</w:t>
      </w:r>
      <w:r w:rsidR="00060B35">
        <w:rPr>
          <w:rFonts w:cs="Arial"/>
          <w:szCs w:val="18"/>
        </w:rPr>
        <w:t>aldo</w:t>
      </w:r>
      <w:r w:rsidR="00A05E4D">
        <w:rPr>
          <w:rFonts w:cs="Arial"/>
          <w:szCs w:val="18"/>
        </w:rPr>
        <w:t xml:space="preserve"> zahraničního obchodu se státy EU</w:t>
      </w:r>
      <w:r w:rsidR="00127F8E">
        <w:rPr>
          <w:rFonts w:cs="Arial"/>
          <w:szCs w:val="18"/>
        </w:rPr>
        <w:t>28</w:t>
      </w:r>
      <w:r w:rsidR="00A05E4D">
        <w:rPr>
          <w:rFonts w:cs="Arial"/>
          <w:szCs w:val="18"/>
        </w:rPr>
        <w:t xml:space="preserve"> skončil</w:t>
      </w:r>
      <w:r w:rsidR="00E42F0F">
        <w:rPr>
          <w:rFonts w:cs="Arial"/>
          <w:szCs w:val="18"/>
        </w:rPr>
        <w:t>o</w:t>
      </w:r>
      <w:r w:rsidR="00A05E4D">
        <w:rPr>
          <w:rFonts w:cs="Arial"/>
          <w:szCs w:val="18"/>
        </w:rPr>
        <w:t xml:space="preserve"> přebytkem </w:t>
      </w:r>
      <w:r w:rsidR="00FF677F">
        <w:rPr>
          <w:rFonts w:cs="Arial"/>
          <w:szCs w:val="18"/>
        </w:rPr>
        <w:t>49,2</w:t>
      </w:r>
      <w:r w:rsidR="00A05E4D" w:rsidRPr="00F6072F">
        <w:rPr>
          <w:rFonts w:cs="Arial"/>
          <w:color w:val="0070C0"/>
          <w:szCs w:val="18"/>
        </w:rPr>
        <w:t xml:space="preserve"> </w:t>
      </w:r>
      <w:r w:rsidR="00A05E4D" w:rsidRPr="00341557">
        <w:rPr>
          <w:rFonts w:cs="Arial"/>
          <w:szCs w:val="18"/>
        </w:rPr>
        <w:t>mld. Kč</w:t>
      </w:r>
      <w:r w:rsidR="00A05E4D">
        <w:rPr>
          <w:rFonts w:cs="Arial"/>
          <w:szCs w:val="18"/>
        </w:rPr>
        <w:t xml:space="preserve"> a byl</w:t>
      </w:r>
      <w:r w:rsidR="00E42F0F">
        <w:rPr>
          <w:rFonts w:cs="Arial"/>
          <w:szCs w:val="18"/>
        </w:rPr>
        <w:t>o</w:t>
      </w:r>
      <w:r w:rsidR="00A05E4D">
        <w:rPr>
          <w:rFonts w:cs="Arial"/>
          <w:szCs w:val="18"/>
        </w:rPr>
        <w:t xml:space="preserve"> tak meziročně o </w:t>
      </w:r>
      <w:r w:rsidR="00FF677F">
        <w:rPr>
          <w:rFonts w:cs="Arial"/>
          <w:szCs w:val="18"/>
        </w:rPr>
        <w:t>4</w:t>
      </w:r>
      <w:r>
        <w:rPr>
          <w:rFonts w:cs="Arial"/>
          <w:szCs w:val="18"/>
        </w:rPr>
        <w:t>,3</w:t>
      </w:r>
      <w:r w:rsidR="00A05E4D">
        <w:rPr>
          <w:rFonts w:cs="Arial"/>
          <w:szCs w:val="18"/>
        </w:rPr>
        <w:t xml:space="preserve"> mld. Kč </w:t>
      </w:r>
      <w:r>
        <w:rPr>
          <w:rFonts w:cs="Arial"/>
          <w:szCs w:val="18"/>
        </w:rPr>
        <w:t>vyšší</w:t>
      </w:r>
      <w:r w:rsidR="00A05E4D">
        <w:rPr>
          <w:rFonts w:cs="Arial"/>
          <w:szCs w:val="18"/>
        </w:rPr>
        <w:t xml:space="preserve">. Schodek obchodu se státy mimo EU se </w:t>
      </w:r>
      <w:r w:rsidR="00FF677F">
        <w:rPr>
          <w:rFonts w:cs="Arial"/>
          <w:szCs w:val="18"/>
        </w:rPr>
        <w:t>prohloubil</w:t>
      </w:r>
      <w:r w:rsidR="00D46935">
        <w:rPr>
          <w:rFonts w:cs="Arial"/>
          <w:szCs w:val="18"/>
        </w:rPr>
        <w:t xml:space="preserve"> </w:t>
      </w:r>
      <w:r w:rsidR="00A05E4D">
        <w:rPr>
          <w:rFonts w:cs="Arial"/>
          <w:szCs w:val="18"/>
        </w:rPr>
        <w:t>o </w:t>
      </w:r>
      <w:r w:rsidR="00FF677F">
        <w:rPr>
          <w:rFonts w:cs="Arial"/>
          <w:szCs w:val="18"/>
        </w:rPr>
        <w:t>8,1</w:t>
      </w:r>
      <w:r>
        <w:rPr>
          <w:rFonts w:cs="Arial"/>
          <w:szCs w:val="18"/>
        </w:rPr>
        <w:t xml:space="preserve"> </w:t>
      </w:r>
      <w:r w:rsidR="00A05E4D">
        <w:rPr>
          <w:rFonts w:cs="Arial"/>
          <w:szCs w:val="18"/>
        </w:rPr>
        <w:t>mld. </w:t>
      </w:r>
      <w:r w:rsidR="00A05E4D" w:rsidRPr="00341557">
        <w:rPr>
          <w:rFonts w:cs="Arial"/>
          <w:szCs w:val="18"/>
        </w:rPr>
        <w:t>Kč</w:t>
      </w:r>
      <w:r w:rsidR="00A05E4D">
        <w:rPr>
          <w:rFonts w:cs="Arial"/>
          <w:szCs w:val="18"/>
        </w:rPr>
        <w:t xml:space="preserve"> na </w:t>
      </w:r>
      <w:r w:rsidR="00FF677F">
        <w:rPr>
          <w:rFonts w:cs="Arial"/>
          <w:szCs w:val="18"/>
        </w:rPr>
        <w:t>41,2</w:t>
      </w:r>
      <w:r w:rsidR="00A05E4D" w:rsidRPr="0082442F">
        <w:rPr>
          <w:rFonts w:cs="Arial"/>
          <w:szCs w:val="18"/>
        </w:rPr>
        <w:t> mld. Kč.</w:t>
      </w:r>
      <w:r w:rsidR="00A05E4D">
        <w:rPr>
          <w:rFonts w:cs="Arial"/>
          <w:szCs w:val="18"/>
        </w:rPr>
        <w:t xml:space="preserve"> </w:t>
      </w:r>
    </w:p>
    <w:p w:rsidR="00FD6F2F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A134CF">
        <w:rPr>
          <w:rFonts w:cs="Arial"/>
          <w:szCs w:val="18"/>
        </w:rPr>
        <w:t>červenci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4B4821">
        <w:rPr>
          <w:rFonts w:cs="Arial"/>
          <w:szCs w:val="18"/>
        </w:rPr>
        <w:t>2,4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C23729">
        <w:rPr>
          <w:rFonts w:cs="Arial"/>
          <w:szCs w:val="18"/>
        </w:rPr>
        <w:t>275,9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4B4821">
        <w:rPr>
          <w:rFonts w:cs="Arial"/>
          <w:szCs w:val="18"/>
        </w:rPr>
        <w:t>4,0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4B4821">
        <w:rPr>
          <w:rFonts w:cs="Arial"/>
          <w:szCs w:val="18"/>
        </w:rPr>
        <w:t>269,1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>.</w:t>
      </w:r>
    </w:p>
    <w:p w:rsidR="00FD6F2F" w:rsidRDefault="00FD6F2F" w:rsidP="00FD6F2F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A134CF">
        <w:rPr>
          <w:rFonts w:cs="Arial"/>
          <w:b/>
          <w:szCs w:val="18"/>
        </w:rPr>
        <w:t>červenci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D92C97">
        <w:rPr>
          <w:rFonts w:cs="Arial"/>
          <w:szCs w:val="18"/>
        </w:rPr>
        <w:t>109,4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54827">
        <w:rPr>
          <w:rFonts w:cs="Arial"/>
          <w:szCs w:val="18"/>
        </w:rPr>
        <w:t>přírůstek</w:t>
      </w:r>
      <w:r w:rsidRPr="009C16B8">
        <w:rPr>
          <w:rFonts w:cs="Arial"/>
          <w:szCs w:val="18"/>
        </w:rPr>
        <w:t xml:space="preserve"> o </w:t>
      </w:r>
      <w:r w:rsidR="00D92C97">
        <w:rPr>
          <w:rFonts w:cs="Arial"/>
          <w:szCs w:val="18"/>
        </w:rPr>
        <w:t>0,4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D92C97">
        <w:rPr>
          <w:rFonts w:cs="Arial"/>
          <w:szCs w:val="18"/>
        </w:rPr>
        <w:t>6,7</w:t>
      </w:r>
      <w:r>
        <w:rPr>
          <w:rFonts w:cs="Arial"/>
          <w:szCs w:val="18"/>
        </w:rPr>
        <w:t> % a dovoz o </w:t>
      </w:r>
      <w:r w:rsidR="001402C4">
        <w:rPr>
          <w:rFonts w:cs="Arial"/>
          <w:szCs w:val="18"/>
        </w:rPr>
        <w:t>7,</w:t>
      </w:r>
      <w:r w:rsidR="00D92C97">
        <w:rPr>
          <w:rFonts w:cs="Arial"/>
          <w:szCs w:val="18"/>
        </w:rPr>
        <w:t>0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251F4F" w:rsidRDefault="00251F4F" w:rsidP="00251F4F">
      <w:pPr>
        <w:rPr>
          <w:rFonts w:cs="Arial"/>
        </w:rPr>
      </w:pPr>
      <w:r>
        <w:rPr>
          <w:rFonts w:cs="Arial"/>
        </w:rPr>
        <w:t xml:space="preserve">ČSÚ provedl </w:t>
      </w:r>
      <w:r w:rsidRPr="00F66433">
        <w:rPr>
          <w:rFonts w:cs="Arial"/>
          <w:iCs/>
        </w:rPr>
        <w:t>pravidelné roční zpřesnění</w:t>
      </w:r>
      <w:r>
        <w:rPr>
          <w:rFonts w:cs="Arial"/>
        </w:rPr>
        <w:t xml:space="preserve"> údajů. Podle </w:t>
      </w:r>
      <w:r>
        <w:rPr>
          <w:rFonts w:cs="Arial"/>
          <w:b/>
          <w:bCs/>
        </w:rPr>
        <w:t>definitivních údajů za rok 201</w:t>
      </w:r>
      <w:r w:rsidR="000E6E04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vzrostl v národním pojetí meziročně vývoz o </w:t>
      </w:r>
      <w:r w:rsidR="00E675EE">
        <w:rPr>
          <w:rFonts w:cs="Arial"/>
        </w:rPr>
        <w:t>13,0</w:t>
      </w:r>
      <w:r>
        <w:rPr>
          <w:rFonts w:cs="Arial"/>
        </w:rPr>
        <w:t xml:space="preserve"> % na </w:t>
      </w:r>
      <w:r w:rsidR="00E675EE">
        <w:rPr>
          <w:rFonts w:cs="Arial"/>
        </w:rPr>
        <w:t>3</w:t>
      </w:r>
      <w:r w:rsidR="000F4F93">
        <w:rPr>
          <w:rFonts w:cs="Arial"/>
        </w:rPr>
        <w:t> </w:t>
      </w:r>
      <w:r w:rsidR="00E675EE">
        <w:rPr>
          <w:rFonts w:cs="Arial"/>
        </w:rPr>
        <w:t>149,2</w:t>
      </w:r>
      <w:r>
        <w:rPr>
          <w:rFonts w:cs="Arial"/>
        </w:rPr>
        <w:t xml:space="preserve"> mld. Kč a dovoz o </w:t>
      </w:r>
      <w:r w:rsidR="00E675EE">
        <w:rPr>
          <w:rFonts w:cs="Arial"/>
        </w:rPr>
        <w:t>12,1</w:t>
      </w:r>
      <w:r>
        <w:rPr>
          <w:rFonts w:cs="Arial"/>
        </w:rPr>
        <w:t xml:space="preserve"> % na </w:t>
      </w:r>
      <w:r w:rsidR="00E675EE">
        <w:rPr>
          <w:rFonts w:cs="Arial"/>
        </w:rPr>
        <w:t>3</w:t>
      </w:r>
      <w:r w:rsidR="00556618">
        <w:rPr>
          <w:rFonts w:cs="Arial"/>
        </w:rPr>
        <w:t> </w:t>
      </w:r>
      <w:r w:rsidR="00E675EE">
        <w:rPr>
          <w:rFonts w:cs="Arial"/>
        </w:rPr>
        <w:t>003,2</w:t>
      </w:r>
      <w:r>
        <w:rPr>
          <w:rFonts w:cs="Arial"/>
        </w:rPr>
        <w:t xml:space="preserve"> mld. Kč. Obchodní bilance skončila přebytkem </w:t>
      </w:r>
      <w:r w:rsidR="005B6433">
        <w:rPr>
          <w:rFonts w:cs="Arial"/>
        </w:rPr>
        <w:t>146,0</w:t>
      </w:r>
      <w:r>
        <w:rPr>
          <w:rFonts w:cs="Arial"/>
        </w:rPr>
        <w:t xml:space="preserve"> mld. Kč ve srovnání s </w:t>
      </w:r>
      <w:r w:rsidR="005B6433">
        <w:rPr>
          <w:rFonts w:cs="Arial"/>
        </w:rPr>
        <w:t>106,5</w:t>
      </w:r>
      <w:r>
        <w:rPr>
          <w:rFonts w:cs="Arial"/>
        </w:rPr>
        <w:t> mld. Kč v roce 201</w:t>
      </w:r>
      <w:r w:rsidR="000E6E04">
        <w:rPr>
          <w:rFonts w:cs="Arial"/>
        </w:rPr>
        <w:t>3</w:t>
      </w:r>
      <w:r>
        <w:rPr>
          <w:rFonts w:cs="Arial"/>
        </w:rPr>
        <w:t>.</w:t>
      </w:r>
    </w:p>
    <w:p w:rsidR="000E6E04" w:rsidRDefault="000E6E04" w:rsidP="00A173A1">
      <w:pPr>
        <w:rPr>
          <w:rFonts w:cs="Arial"/>
          <w:szCs w:val="18"/>
        </w:rPr>
      </w:pPr>
      <w:bookmarkStart w:id="0" w:name="_GoBack"/>
      <w:bookmarkEnd w:id="0"/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lastRenderedPageBreak/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A134CF">
        <w:rPr>
          <w:b/>
        </w:rPr>
        <w:t>červenci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225E5F">
        <w:rPr>
          <w:b/>
        </w:rPr>
        <w:t>4,1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225E5F">
        <w:rPr>
          <w:b/>
        </w:rPr>
        <w:t>5,9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 xml:space="preserve">vzrostl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8D7379">
        <w:rPr>
          <w:rFonts w:cs="Arial"/>
          <w:szCs w:val="18"/>
        </w:rPr>
        <w:t>1,</w:t>
      </w:r>
      <w:r w:rsidR="00B94556">
        <w:rPr>
          <w:rFonts w:cs="Arial"/>
          <w:szCs w:val="18"/>
        </w:rPr>
        <w:t>0</w:t>
      </w:r>
      <w:r w:rsidR="000F6FF5">
        <w:rPr>
          <w:rFonts w:cs="Arial"/>
          <w:szCs w:val="18"/>
        </w:rPr>
        <w:t xml:space="preserve"> %</w:t>
      </w:r>
      <w:r w:rsidR="00FB5265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>a</w:t>
      </w:r>
      <w:r w:rsidR="00FB5265">
        <w:rPr>
          <w:rFonts w:cs="Arial"/>
          <w:szCs w:val="18"/>
        </w:rPr>
        <w:t xml:space="preserve"> </w:t>
      </w:r>
      <w:r w:rsidR="0022162C">
        <w:rPr>
          <w:rFonts w:cs="Arial"/>
          <w:szCs w:val="18"/>
        </w:rPr>
        <w:t xml:space="preserve">dovoz o </w:t>
      </w:r>
      <w:r w:rsidR="00B94556">
        <w:rPr>
          <w:rFonts w:cs="Arial"/>
          <w:szCs w:val="18"/>
        </w:rPr>
        <w:t>1,2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8D7379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 xml:space="preserve">o </w:t>
      </w:r>
      <w:r w:rsidR="00B94556">
        <w:rPr>
          <w:rFonts w:cs="Arial"/>
          <w:szCs w:val="18"/>
        </w:rPr>
        <w:t>1,1</w:t>
      </w:r>
      <w:r w:rsidR="008D7379">
        <w:rPr>
          <w:rFonts w:cs="Arial"/>
          <w:szCs w:val="18"/>
        </w:rPr>
        <w:t xml:space="preserve"> % </w:t>
      </w:r>
      <w:r w:rsidR="00DA0072">
        <w:rPr>
          <w:rFonts w:cs="Arial"/>
          <w:szCs w:val="18"/>
        </w:rPr>
        <w:t xml:space="preserve">a dovozu </w:t>
      </w:r>
      <w:r w:rsidR="00C20198">
        <w:rPr>
          <w:rFonts w:cs="Arial"/>
          <w:szCs w:val="18"/>
        </w:rPr>
        <w:t xml:space="preserve">o </w:t>
      </w:r>
      <w:r w:rsidR="00B94556">
        <w:rPr>
          <w:rFonts w:cs="Arial"/>
          <w:szCs w:val="18"/>
        </w:rPr>
        <w:t>1,0</w:t>
      </w:r>
      <w:r w:rsidR="008D7379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>%</w:t>
      </w:r>
      <w:r w:rsidR="00DA0072">
        <w:rPr>
          <w:rFonts w:cs="Arial"/>
          <w:szCs w:val="18"/>
        </w:rPr>
        <w:t>.</w:t>
      </w:r>
      <w:r w:rsidR="003C444D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>tený na eura</w:t>
      </w:r>
      <w:r w:rsidR="00743BA4">
        <w:rPr>
          <w:rFonts w:cs="Arial"/>
          <w:szCs w:val="18"/>
        </w:rPr>
        <w:t xml:space="preserve"> v </w:t>
      </w:r>
      <w:r w:rsidR="00A134CF">
        <w:rPr>
          <w:rFonts w:cs="Arial"/>
          <w:szCs w:val="18"/>
        </w:rPr>
        <w:t>červenci</w:t>
      </w:r>
      <w:r w:rsidR="00964B7C">
        <w:rPr>
          <w:rFonts w:cs="Arial"/>
          <w:szCs w:val="18"/>
        </w:rPr>
        <w:t xml:space="preserve">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A23FBA">
        <w:rPr>
          <w:rFonts w:cs="Arial"/>
          <w:szCs w:val="18"/>
        </w:rPr>
        <w:t>5,5</w:t>
      </w:r>
      <w:r w:rsidR="00034CC9">
        <w:rPr>
          <w:rFonts w:cs="Arial"/>
          <w:szCs w:val="18"/>
        </w:rPr>
        <w:t xml:space="preserve"> % a </w:t>
      </w:r>
      <w:r w:rsidR="00A23FBA">
        <w:rPr>
          <w:rFonts w:cs="Arial"/>
          <w:szCs w:val="18"/>
        </w:rPr>
        <w:t>7,3</w:t>
      </w:r>
      <w:r w:rsidR="0055787D">
        <w:rPr>
          <w:rFonts w:cs="Arial"/>
          <w:szCs w:val="18"/>
        </w:rPr>
        <w:t xml:space="preserve"> </w:t>
      </w:r>
      <w:r w:rsidR="00034CC9">
        <w:rPr>
          <w:rFonts w:cs="Arial"/>
          <w:szCs w:val="18"/>
        </w:rPr>
        <w:t xml:space="preserve">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A23FBA">
        <w:rPr>
          <w:rFonts w:cs="Arial"/>
          <w:szCs w:val="18"/>
        </w:rPr>
        <w:t>14,4</w:t>
      </w:r>
      <w:r w:rsidR="00034CC9">
        <w:rPr>
          <w:rFonts w:cs="Arial"/>
          <w:szCs w:val="18"/>
        </w:rPr>
        <w:t xml:space="preserve"> % a </w:t>
      </w:r>
      <w:r w:rsidR="00A23FBA">
        <w:rPr>
          <w:rFonts w:cs="Arial"/>
          <w:szCs w:val="18"/>
        </w:rPr>
        <w:t>12,9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656FC3">
        <w:t>321,7</w:t>
      </w:r>
      <w:r w:rsidR="005C7D39">
        <w:t> </w:t>
      </w:r>
      <w:r w:rsidRPr="0035641C">
        <w:t xml:space="preserve">mld. Kč a dovoz (zboží vstupující na území ČR) hodnoty </w:t>
      </w:r>
      <w:r w:rsidR="00656FC3">
        <w:t>290,6</w:t>
      </w:r>
      <w:r w:rsidRPr="0035641C">
        <w:t xml:space="preserve"> mld. Kč. </w:t>
      </w:r>
    </w:p>
    <w:p w:rsidR="004A47E7" w:rsidRDefault="004A47E7" w:rsidP="00444EB1"/>
    <w:p w:rsidR="004B675C" w:rsidRDefault="00FE26E1" w:rsidP="00244631">
      <w:r>
        <w:t>Meziročně se celkový v</w:t>
      </w:r>
      <w:r w:rsidR="00444EB1" w:rsidRPr="008568C6">
        <w:t>ývoz</w:t>
      </w:r>
      <w:r w:rsidR="00B72FA0"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4B7409">
        <w:t>5,1</w:t>
      </w:r>
      <w:r w:rsidR="00BD48E7">
        <w:t xml:space="preserve"> </w:t>
      </w:r>
      <w:r w:rsidR="00444EB1" w:rsidRPr="008568C6">
        <w:t>% (</w:t>
      </w:r>
      <w:r w:rsidR="004B7409">
        <w:t>8,7</w:t>
      </w:r>
      <w:r w:rsidR="003610C6">
        <w:t> </w:t>
      </w:r>
      <w:r w:rsidR="00BC41E8">
        <w:t>mld. </w:t>
      </w:r>
      <w:r w:rsidR="00444EB1" w:rsidRPr="008568C6">
        <w:t>Kč)</w:t>
      </w:r>
      <w:r w:rsidR="00570119">
        <w:t xml:space="preserve">. </w:t>
      </w:r>
      <w:r w:rsidR="00244631">
        <w:t xml:space="preserve">Vzrostl </w:t>
      </w:r>
      <w:r w:rsidR="00570119">
        <w:t>zejména</w:t>
      </w:r>
      <w:r w:rsidR="00244631">
        <w:t xml:space="preserve"> vývoz</w:t>
      </w:r>
      <w:r w:rsidR="00B72FA0">
        <w:t xml:space="preserve"> </w:t>
      </w:r>
      <w:r w:rsidR="0017233B">
        <w:t>silničních vozidel (o </w:t>
      </w:r>
      <w:r w:rsidR="004B7409">
        <w:t>4,7</w:t>
      </w:r>
      <w:r w:rsidR="0017233B">
        <w:t> mld. Kč</w:t>
      </w:r>
      <w:r w:rsidR="00570119">
        <w:t>),</w:t>
      </w:r>
      <w:r w:rsidR="003F51E9">
        <w:t xml:space="preserve"> elektrických zařízení, přístrojů a spotřebičů </w:t>
      </w:r>
      <w:r w:rsidR="00507751">
        <w:t>(</w:t>
      </w:r>
      <w:r w:rsidR="00062500">
        <w:t>o </w:t>
      </w:r>
      <w:r w:rsidR="004B7409">
        <w:t>2,0</w:t>
      </w:r>
      <w:r w:rsidR="00AF5345">
        <w:t xml:space="preserve"> mld. Kč)</w:t>
      </w:r>
      <w:r w:rsidR="00553340">
        <w:t xml:space="preserve"> a strojů a zařízení všeobecně užívaných v průmyslu (o </w:t>
      </w:r>
      <w:r w:rsidR="004B7409">
        <w:t>0,9</w:t>
      </w:r>
      <w:r w:rsidR="00553340">
        <w:t xml:space="preserve"> mld. Kč)</w:t>
      </w:r>
      <w:r w:rsidR="00AF5345">
        <w:t xml:space="preserve">. </w:t>
      </w:r>
      <w:r w:rsidR="00085C19">
        <w:t xml:space="preserve">Celkový dovoz strojů a dopravních prostředků meziročně stoupl o </w:t>
      </w:r>
      <w:r w:rsidR="004B7409">
        <w:t>10,7</w:t>
      </w:r>
      <w:r w:rsidR="00085C19">
        <w:t xml:space="preserve"> % (</w:t>
      </w:r>
      <w:r w:rsidR="004B7409">
        <w:t>12,8</w:t>
      </w:r>
      <w:r w:rsidR="00085C19">
        <w:t xml:space="preserve"> mld. Kč). Vyšší byl </w:t>
      </w:r>
      <w:r w:rsidR="008370BC">
        <w:t>hlavně</w:t>
      </w:r>
      <w:r w:rsidR="00085C19">
        <w:t xml:space="preserve"> dovoz </w:t>
      </w:r>
      <w:r w:rsidR="004B7409">
        <w:t>telekomunikačních zařízení (o 5,0 mld. Kč), výpočetní</w:t>
      </w:r>
      <w:r w:rsidR="00062500">
        <w:t xml:space="preserve"> techniky (o 4,1 mld. Kč) a </w:t>
      </w:r>
      <w:r w:rsidR="004B7409">
        <w:t xml:space="preserve">silničních vozidel (o 2,6 mld. Kč). </w:t>
      </w:r>
      <w:r w:rsidR="00085C19">
        <w:t>Dovoz</w:t>
      </w:r>
      <w:r w:rsidR="00244631">
        <w:t xml:space="preserve"> minerálních paliv</w:t>
      </w:r>
      <w:r w:rsidR="0074233B">
        <w:t> </w:t>
      </w:r>
      <w:r w:rsidR="00244631">
        <w:t xml:space="preserve">meziročně </w:t>
      </w:r>
      <w:r w:rsidR="004B7409">
        <w:t>klesl</w:t>
      </w:r>
      <w:r w:rsidR="00192CD0">
        <w:t xml:space="preserve"> </w:t>
      </w:r>
      <w:r w:rsidR="00244631">
        <w:t xml:space="preserve">o </w:t>
      </w:r>
      <w:r w:rsidR="004B7409">
        <w:t>7,5</w:t>
      </w:r>
      <w:r w:rsidR="00244631" w:rsidRPr="00706564">
        <w:t xml:space="preserve"> %</w:t>
      </w:r>
      <w:r w:rsidR="00244631">
        <w:t xml:space="preserve"> (</w:t>
      </w:r>
      <w:r w:rsidR="004B7409">
        <w:t>1,7</w:t>
      </w:r>
      <w:r w:rsidR="00062500">
        <w:t> mld. </w:t>
      </w:r>
      <w:r w:rsidR="003C1F81">
        <w:t xml:space="preserve">Kč). Dovoz ropy </w:t>
      </w:r>
      <w:r w:rsidR="00DE6C61">
        <w:t>klesl</w:t>
      </w:r>
      <w:r w:rsidR="003C1F81">
        <w:t xml:space="preserve"> </w:t>
      </w:r>
      <w:r w:rsidR="002D13D9">
        <w:t xml:space="preserve">hodnotově </w:t>
      </w:r>
      <w:r w:rsidR="003C1F81">
        <w:t>o </w:t>
      </w:r>
      <w:r w:rsidR="004B7409">
        <w:t>30,5</w:t>
      </w:r>
      <w:r w:rsidR="00244631">
        <w:t xml:space="preserve"> %</w:t>
      </w:r>
      <w:r w:rsidR="004B7409">
        <w:t xml:space="preserve"> a</w:t>
      </w:r>
      <w:r w:rsidR="000066A5">
        <w:t xml:space="preserve"> naturálně o </w:t>
      </w:r>
      <w:r w:rsidR="004B7409">
        <w:t>1,4</w:t>
      </w:r>
      <w:r w:rsidR="002D13D9">
        <w:t xml:space="preserve"> %.</w:t>
      </w:r>
      <w:r w:rsidR="00244631">
        <w:t xml:space="preserve"> </w:t>
      </w:r>
      <w:r w:rsidR="003C1F81">
        <w:t xml:space="preserve">Dovoz zemního plynu </w:t>
      </w:r>
      <w:r w:rsidR="00DE6C61">
        <w:t xml:space="preserve">byl </w:t>
      </w:r>
      <w:r w:rsidR="00192CD0">
        <w:t>vyšší</w:t>
      </w:r>
      <w:r w:rsidR="00085C19">
        <w:t xml:space="preserve"> </w:t>
      </w:r>
      <w:r w:rsidR="003C1F81">
        <w:t>o </w:t>
      </w:r>
      <w:r w:rsidR="004B7409">
        <w:t>38,1</w:t>
      </w:r>
      <w:r w:rsidR="003C1F81">
        <w:t> </w:t>
      </w:r>
      <w:r w:rsidR="000A5A3C">
        <w:t>% v </w:t>
      </w:r>
      <w:r w:rsidR="00244631">
        <w:t>hodnotovém vyjádření</w:t>
      </w:r>
      <w:r w:rsidR="00721454">
        <w:t xml:space="preserve"> </w:t>
      </w:r>
      <w:r w:rsidR="007D232A">
        <w:t>a</w:t>
      </w:r>
      <w:r w:rsidR="00FE6CFB">
        <w:t> </w:t>
      </w:r>
      <w:r w:rsidR="00721454">
        <w:t xml:space="preserve">o </w:t>
      </w:r>
      <w:r w:rsidR="004B7409">
        <w:t>48,3</w:t>
      </w:r>
      <w:r w:rsidR="00721454">
        <w:t xml:space="preserve"> %</w:t>
      </w:r>
      <w:r w:rsidR="00085C19">
        <w:t xml:space="preserve"> </w:t>
      </w:r>
      <w:r w:rsidR="003610C6">
        <w:t>v </w:t>
      </w:r>
      <w:r w:rsidR="004B675C">
        <w:t>naturálním vyjádření</w:t>
      </w:r>
      <w:r w:rsidR="00721454">
        <w:t>.</w:t>
      </w:r>
      <w:r w:rsidR="004B675C">
        <w:t xml:space="preserve"> </w:t>
      </w:r>
    </w:p>
    <w:p w:rsidR="00721454" w:rsidRDefault="00721454" w:rsidP="00244631"/>
    <w:p w:rsidR="001F055B" w:rsidRDefault="00F70937" w:rsidP="00F70937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A134CF">
        <w:rPr>
          <w:rFonts w:cs="Arial"/>
          <w:b/>
          <w:szCs w:val="18"/>
        </w:rPr>
        <w:t>červenci</w:t>
      </w:r>
      <w:r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636E51">
        <w:rPr>
          <w:rFonts w:cs="Arial"/>
          <w:szCs w:val="18"/>
        </w:rPr>
        <w:t>7</w:t>
      </w:r>
      <w:r w:rsidR="00DB5CE0">
        <w:rPr>
          <w:rFonts w:cs="Arial"/>
          <w:szCs w:val="18"/>
        </w:rPr>
        <w:t>,</w:t>
      </w:r>
      <w:r w:rsidR="00A60970">
        <w:rPr>
          <w:rFonts w:cs="Arial"/>
          <w:szCs w:val="18"/>
        </w:rPr>
        <w:t>0</w:t>
      </w:r>
      <w:r w:rsidR="007822BA">
        <w:rPr>
          <w:rFonts w:cs="Arial"/>
          <w:szCs w:val="18"/>
        </w:rPr>
        <w:t xml:space="preserve"> </w:t>
      </w:r>
      <w:r w:rsidRPr="00907832">
        <w:rPr>
          <w:rFonts w:cs="Arial"/>
          <w:szCs w:val="18"/>
        </w:rPr>
        <w:t xml:space="preserve">% a o </w:t>
      </w:r>
      <w:r w:rsidR="00636E51">
        <w:rPr>
          <w:rFonts w:cs="Arial"/>
          <w:szCs w:val="18"/>
        </w:rPr>
        <w:t>8,</w:t>
      </w:r>
      <w:r w:rsidR="00A60970">
        <w:rPr>
          <w:rFonts w:cs="Arial"/>
          <w:szCs w:val="18"/>
        </w:rPr>
        <w:t>0</w:t>
      </w:r>
      <w:r w:rsidRPr="00907832">
        <w:rPr>
          <w:rFonts w:cs="Arial"/>
          <w:szCs w:val="18"/>
        </w:rPr>
        <w:t xml:space="preserve"> %.</w:t>
      </w:r>
    </w:p>
    <w:p w:rsidR="00251F4F" w:rsidRDefault="00251F4F" w:rsidP="00251F4F">
      <w:pPr>
        <w:rPr>
          <w:rFonts w:cs="Arial"/>
        </w:rPr>
      </w:pPr>
      <w:r>
        <w:rPr>
          <w:rFonts w:cs="Arial"/>
        </w:rPr>
        <w:t xml:space="preserve">Podle </w:t>
      </w:r>
      <w:r>
        <w:rPr>
          <w:rFonts w:cs="Arial"/>
          <w:b/>
          <w:bCs/>
        </w:rPr>
        <w:t>definitivních údajů přeshraničního pojetí za rok 201</w:t>
      </w:r>
      <w:r w:rsidR="000E6E04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</w:t>
      </w:r>
      <w:r w:rsidR="00ED5EEA">
        <w:rPr>
          <w:rFonts w:cs="Arial"/>
        </w:rPr>
        <w:t>vzrostl meziročně vývoz o </w:t>
      </w:r>
      <w:r w:rsidR="00327A65">
        <w:rPr>
          <w:rFonts w:cs="Arial"/>
        </w:rPr>
        <w:t>14,3</w:t>
      </w:r>
      <w:r w:rsidR="00ED5EEA">
        <w:rPr>
          <w:rFonts w:cs="Arial"/>
        </w:rPr>
        <w:t> </w:t>
      </w:r>
      <w:r>
        <w:rPr>
          <w:rFonts w:cs="Arial"/>
        </w:rPr>
        <w:t xml:space="preserve">% na 3 </w:t>
      </w:r>
      <w:r w:rsidR="00327A65">
        <w:rPr>
          <w:rFonts w:cs="Arial"/>
        </w:rPr>
        <w:t>628,8</w:t>
      </w:r>
      <w:r>
        <w:rPr>
          <w:rFonts w:cs="Arial"/>
        </w:rPr>
        <w:t xml:space="preserve"> mld. Kč a dovoz o </w:t>
      </w:r>
      <w:r w:rsidR="00327A65">
        <w:rPr>
          <w:rFonts w:cs="Arial"/>
        </w:rPr>
        <w:t>13,3</w:t>
      </w:r>
      <w:r>
        <w:rPr>
          <w:rFonts w:cs="Arial"/>
        </w:rPr>
        <w:t xml:space="preserve"> % na </w:t>
      </w:r>
      <w:r w:rsidR="00327A65">
        <w:rPr>
          <w:rFonts w:cs="Arial"/>
        </w:rPr>
        <w:t>3</w:t>
      </w:r>
      <w:r w:rsidR="00ED5EEA">
        <w:rPr>
          <w:rFonts w:cs="Arial"/>
        </w:rPr>
        <w:t xml:space="preserve"> </w:t>
      </w:r>
      <w:r w:rsidR="00327A65">
        <w:rPr>
          <w:rFonts w:cs="Arial"/>
        </w:rPr>
        <w:t>199,6</w:t>
      </w:r>
      <w:r>
        <w:rPr>
          <w:rFonts w:cs="Arial"/>
        </w:rPr>
        <w:t xml:space="preserve"> mld. Kč. </w:t>
      </w:r>
    </w:p>
    <w:p w:rsidR="00251F4F" w:rsidRDefault="00251F4F" w:rsidP="00C170E4">
      <w:pPr>
        <w:rPr>
          <w:rFonts w:cs="Arial"/>
          <w:szCs w:val="18"/>
        </w:rPr>
      </w:pP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A5308C">
        <w:rPr>
          <w:i/>
        </w:rPr>
        <w:t>98,9</w:t>
      </w:r>
      <w:r w:rsidR="008C4B8C">
        <w:rPr>
          <w:i/>
        </w:rPr>
        <w:t xml:space="preserve"> </w:t>
      </w:r>
      <w:r w:rsidR="00240CEF" w:rsidRPr="008C64D8">
        <w:rPr>
          <w:i/>
        </w:rPr>
        <w:t>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F219DA">
        <w:rPr>
          <w:i/>
        </w:rPr>
        <w:t>98,</w:t>
      </w:r>
      <w:r w:rsidR="00A5308C">
        <w:rPr>
          <w:i/>
        </w:rPr>
        <w:t>7</w:t>
      </w:r>
      <w:r w:rsidR="00EA6769">
        <w:rPr>
          <w:i/>
        </w:rPr>
        <w:t xml:space="preserve"> </w:t>
      </w:r>
      <w:r w:rsidR="00240CEF" w:rsidRPr="008C64D8">
        <w:rPr>
          <w:i/>
        </w:rPr>
        <w:t xml:space="preserve">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 xml:space="preserve">ykázaných v přiznáních k dani </w:t>
      </w:r>
      <w:r w:rsidR="00926279">
        <w:rPr>
          <w:i/>
        </w:rPr>
        <w:lastRenderedPageBreak/>
        <w:t>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4B675C" w:rsidRDefault="009D5EE1" w:rsidP="006B1925">
      <w:pPr>
        <w:pStyle w:val="Poznamkytexty"/>
      </w:pPr>
      <w:r w:rsidRPr="00954B20">
        <w:t xml:space="preserve">Údaje za jednotlivé měsíce roku </w:t>
      </w:r>
      <w:r>
        <w:t>201</w:t>
      </w:r>
      <w:r w:rsidR="007D15EC">
        <w:t>4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</w:t>
      </w:r>
      <w:r w:rsidR="007D15EC">
        <w:rPr>
          <w:bCs/>
        </w:rPr>
        <w:t>5</w:t>
      </w:r>
      <w:r>
        <w:rPr>
          <w:bCs/>
        </w:rPr>
        <w:t xml:space="preserve"> jsou předběžné.</w:t>
      </w:r>
      <w:r w:rsidRPr="000E257D">
        <w:rPr>
          <w:bCs/>
        </w:rPr>
        <w:t xml:space="preserve"> </w:t>
      </w:r>
      <w:r w:rsidR="00444EB1" w:rsidRPr="002C4420">
        <w:rPr>
          <w:bCs/>
        </w:rPr>
        <w:t>Vše</w:t>
      </w:r>
      <w:r w:rsidR="001A0228">
        <w:rPr>
          <w:bCs/>
        </w:rPr>
        <w:t>chny údaje jsou zpracovávány ze </w:t>
      </w:r>
      <w:r w:rsidR="00444EB1" w:rsidRPr="002C4420">
        <w:rPr>
          <w:bCs/>
        </w:rPr>
        <w:t xml:space="preserve">základních jednotek a následně zaokrouhlovány. </w:t>
      </w: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785CC1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785CC1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A134CF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134CF">
        <w:rPr>
          <w:rFonts w:cs="Arial"/>
          <w:i/>
          <w:sz w:val="18"/>
          <w:szCs w:val="18"/>
        </w:rPr>
        <w:t>10.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C1" w:rsidRDefault="00785CC1" w:rsidP="00BA6370">
      <w:r>
        <w:separator/>
      </w:r>
    </w:p>
  </w:endnote>
  <w:endnote w:type="continuationSeparator" w:id="0">
    <w:p w:rsidR="00785CC1" w:rsidRDefault="00785CC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85CC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556618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C1" w:rsidRDefault="00785CC1" w:rsidP="00BA6370">
      <w:r>
        <w:separator/>
      </w:r>
    </w:p>
  </w:footnote>
  <w:footnote w:type="continuationSeparator" w:id="0">
    <w:p w:rsidR="00785CC1" w:rsidRDefault="00785CC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85CC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10AD"/>
    <w:rsid w:val="0000235A"/>
    <w:rsid w:val="00002961"/>
    <w:rsid w:val="00003483"/>
    <w:rsid w:val="00004672"/>
    <w:rsid w:val="0000494F"/>
    <w:rsid w:val="00005CA6"/>
    <w:rsid w:val="000066A5"/>
    <w:rsid w:val="00016200"/>
    <w:rsid w:val="00022FAF"/>
    <w:rsid w:val="000254BF"/>
    <w:rsid w:val="000257F7"/>
    <w:rsid w:val="00032E24"/>
    <w:rsid w:val="00034CC9"/>
    <w:rsid w:val="000354E0"/>
    <w:rsid w:val="00035685"/>
    <w:rsid w:val="00041DB6"/>
    <w:rsid w:val="0004387D"/>
    <w:rsid w:val="00043BF4"/>
    <w:rsid w:val="0005141A"/>
    <w:rsid w:val="0005351C"/>
    <w:rsid w:val="0005387D"/>
    <w:rsid w:val="00055050"/>
    <w:rsid w:val="00060B35"/>
    <w:rsid w:val="0006250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85C19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6F63"/>
    <w:rsid w:val="000C0925"/>
    <w:rsid w:val="000C3EE1"/>
    <w:rsid w:val="000C43FC"/>
    <w:rsid w:val="000C7A7F"/>
    <w:rsid w:val="000C7BCD"/>
    <w:rsid w:val="000D010C"/>
    <w:rsid w:val="000D093F"/>
    <w:rsid w:val="000D128A"/>
    <w:rsid w:val="000D1946"/>
    <w:rsid w:val="000D29E4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233F"/>
    <w:rsid w:val="000F25B5"/>
    <w:rsid w:val="000F40AA"/>
    <w:rsid w:val="000F4F93"/>
    <w:rsid w:val="000F6FF5"/>
    <w:rsid w:val="000F7004"/>
    <w:rsid w:val="000F7933"/>
    <w:rsid w:val="0010041A"/>
    <w:rsid w:val="00101717"/>
    <w:rsid w:val="00103578"/>
    <w:rsid w:val="00103D37"/>
    <w:rsid w:val="0010509C"/>
    <w:rsid w:val="00110610"/>
    <w:rsid w:val="001110A0"/>
    <w:rsid w:val="00113C56"/>
    <w:rsid w:val="00117757"/>
    <w:rsid w:val="00117C73"/>
    <w:rsid w:val="00120F84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402C4"/>
    <w:rsid w:val="001404AB"/>
    <w:rsid w:val="00142251"/>
    <w:rsid w:val="001431A5"/>
    <w:rsid w:val="0014587B"/>
    <w:rsid w:val="00150CD0"/>
    <w:rsid w:val="0015133B"/>
    <w:rsid w:val="00154006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7B94"/>
    <w:rsid w:val="001A0228"/>
    <w:rsid w:val="001A1E7F"/>
    <w:rsid w:val="001A27FC"/>
    <w:rsid w:val="001A59CE"/>
    <w:rsid w:val="001A6F62"/>
    <w:rsid w:val="001B4C43"/>
    <w:rsid w:val="001B5D03"/>
    <w:rsid w:val="001B5FB3"/>
    <w:rsid w:val="001B607F"/>
    <w:rsid w:val="001B71C6"/>
    <w:rsid w:val="001C48CF"/>
    <w:rsid w:val="001C4EFD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300B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5E5F"/>
    <w:rsid w:val="0022651A"/>
    <w:rsid w:val="002269F4"/>
    <w:rsid w:val="002271D6"/>
    <w:rsid w:val="00227841"/>
    <w:rsid w:val="00231868"/>
    <w:rsid w:val="00232843"/>
    <w:rsid w:val="002334E1"/>
    <w:rsid w:val="0023486C"/>
    <w:rsid w:val="002406FA"/>
    <w:rsid w:val="00240CEF"/>
    <w:rsid w:val="00241D54"/>
    <w:rsid w:val="00244446"/>
    <w:rsid w:val="00244631"/>
    <w:rsid w:val="00245F7A"/>
    <w:rsid w:val="002463B4"/>
    <w:rsid w:val="002466D8"/>
    <w:rsid w:val="00250ABB"/>
    <w:rsid w:val="00251F4F"/>
    <w:rsid w:val="00252502"/>
    <w:rsid w:val="00253347"/>
    <w:rsid w:val="002534B7"/>
    <w:rsid w:val="002545DA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563"/>
    <w:rsid w:val="002947B1"/>
    <w:rsid w:val="002A0B9F"/>
    <w:rsid w:val="002A1955"/>
    <w:rsid w:val="002A2272"/>
    <w:rsid w:val="002A301D"/>
    <w:rsid w:val="002A3322"/>
    <w:rsid w:val="002A4AAB"/>
    <w:rsid w:val="002A5EEB"/>
    <w:rsid w:val="002A6068"/>
    <w:rsid w:val="002A6F62"/>
    <w:rsid w:val="002B2109"/>
    <w:rsid w:val="002B2E47"/>
    <w:rsid w:val="002B6C5E"/>
    <w:rsid w:val="002B6DFF"/>
    <w:rsid w:val="002C4420"/>
    <w:rsid w:val="002C51D1"/>
    <w:rsid w:val="002D0093"/>
    <w:rsid w:val="002D13D9"/>
    <w:rsid w:val="002D35F6"/>
    <w:rsid w:val="002E0B52"/>
    <w:rsid w:val="002E2BB8"/>
    <w:rsid w:val="002E53C8"/>
    <w:rsid w:val="002E55DA"/>
    <w:rsid w:val="002E716C"/>
    <w:rsid w:val="002F1E30"/>
    <w:rsid w:val="002F4D9E"/>
    <w:rsid w:val="002F5C18"/>
    <w:rsid w:val="003031C5"/>
    <w:rsid w:val="003031DF"/>
    <w:rsid w:val="003035B9"/>
    <w:rsid w:val="003037C7"/>
    <w:rsid w:val="00303FF2"/>
    <w:rsid w:val="00304094"/>
    <w:rsid w:val="0030653E"/>
    <w:rsid w:val="003074E9"/>
    <w:rsid w:val="0030752E"/>
    <w:rsid w:val="00312A0F"/>
    <w:rsid w:val="00312D2D"/>
    <w:rsid w:val="00315267"/>
    <w:rsid w:val="00320DA6"/>
    <w:rsid w:val="003261CD"/>
    <w:rsid w:val="00327A65"/>
    <w:rsid w:val="003301A3"/>
    <w:rsid w:val="00333106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426B"/>
    <w:rsid w:val="00357128"/>
    <w:rsid w:val="003610C6"/>
    <w:rsid w:val="00361F85"/>
    <w:rsid w:val="00362C23"/>
    <w:rsid w:val="00363AA2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82A"/>
    <w:rsid w:val="003831B5"/>
    <w:rsid w:val="003839D1"/>
    <w:rsid w:val="00383E01"/>
    <w:rsid w:val="003855ED"/>
    <w:rsid w:val="00386AB4"/>
    <w:rsid w:val="0039513D"/>
    <w:rsid w:val="00397580"/>
    <w:rsid w:val="003A319F"/>
    <w:rsid w:val="003A45C8"/>
    <w:rsid w:val="003A50FB"/>
    <w:rsid w:val="003A5DFE"/>
    <w:rsid w:val="003A7EF9"/>
    <w:rsid w:val="003B00CC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5891"/>
    <w:rsid w:val="003D5BAD"/>
    <w:rsid w:val="003D6A4A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103ED"/>
    <w:rsid w:val="00412D1B"/>
    <w:rsid w:val="0041310A"/>
    <w:rsid w:val="004140C1"/>
    <w:rsid w:val="00422E0A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72BDB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821"/>
    <w:rsid w:val="004B4902"/>
    <w:rsid w:val="004B563F"/>
    <w:rsid w:val="004B59D1"/>
    <w:rsid w:val="004B675C"/>
    <w:rsid w:val="004B7409"/>
    <w:rsid w:val="004B7D2A"/>
    <w:rsid w:val="004B7DF7"/>
    <w:rsid w:val="004C03DF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830"/>
    <w:rsid w:val="005223F6"/>
    <w:rsid w:val="005238CC"/>
    <w:rsid w:val="00524DE9"/>
    <w:rsid w:val="00525CBB"/>
    <w:rsid w:val="00526EE4"/>
    <w:rsid w:val="00527CB5"/>
    <w:rsid w:val="00530992"/>
    <w:rsid w:val="00530BB3"/>
    <w:rsid w:val="00531A20"/>
    <w:rsid w:val="00531DBB"/>
    <w:rsid w:val="00531DD4"/>
    <w:rsid w:val="00543886"/>
    <w:rsid w:val="00547825"/>
    <w:rsid w:val="005502FC"/>
    <w:rsid w:val="00550DBD"/>
    <w:rsid w:val="005528DD"/>
    <w:rsid w:val="00553340"/>
    <w:rsid w:val="005538EF"/>
    <w:rsid w:val="00553A9E"/>
    <w:rsid w:val="00554222"/>
    <w:rsid w:val="00554469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62DA"/>
    <w:rsid w:val="00576457"/>
    <w:rsid w:val="005808E7"/>
    <w:rsid w:val="005843CA"/>
    <w:rsid w:val="00584DEA"/>
    <w:rsid w:val="00585C44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E3A"/>
    <w:rsid w:val="005B0F71"/>
    <w:rsid w:val="005B3E0B"/>
    <w:rsid w:val="005B6433"/>
    <w:rsid w:val="005B73CD"/>
    <w:rsid w:val="005C077C"/>
    <w:rsid w:val="005C4BCF"/>
    <w:rsid w:val="005C6819"/>
    <w:rsid w:val="005C7D39"/>
    <w:rsid w:val="005D3894"/>
    <w:rsid w:val="005D76FC"/>
    <w:rsid w:val="005E264D"/>
    <w:rsid w:val="005E35DC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2228"/>
    <w:rsid w:val="00613BBF"/>
    <w:rsid w:val="00620C17"/>
    <w:rsid w:val="00622B80"/>
    <w:rsid w:val="006253D3"/>
    <w:rsid w:val="00625970"/>
    <w:rsid w:val="00627B9E"/>
    <w:rsid w:val="0063393B"/>
    <w:rsid w:val="00633B20"/>
    <w:rsid w:val="00635734"/>
    <w:rsid w:val="00636E51"/>
    <w:rsid w:val="0064139A"/>
    <w:rsid w:val="006434D6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80489"/>
    <w:rsid w:val="00680D4E"/>
    <w:rsid w:val="00692900"/>
    <w:rsid w:val="006931CF"/>
    <w:rsid w:val="0069372B"/>
    <w:rsid w:val="006977E4"/>
    <w:rsid w:val="00697B44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60F8"/>
    <w:rsid w:val="00706B74"/>
    <w:rsid w:val="00707B23"/>
    <w:rsid w:val="00707F7D"/>
    <w:rsid w:val="00711F32"/>
    <w:rsid w:val="00717EC5"/>
    <w:rsid w:val="00721454"/>
    <w:rsid w:val="0072595A"/>
    <w:rsid w:val="00731FAC"/>
    <w:rsid w:val="007335F5"/>
    <w:rsid w:val="00733E22"/>
    <w:rsid w:val="007353AE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4A4B"/>
    <w:rsid w:val="00771FC0"/>
    <w:rsid w:val="0077231B"/>
    <w:rsid w:val="00772B39"/>
    <w:rsid w:val="00772EED"/>
    <w:rsid w:val="0078043F"/>
    <w:rsid w:val="00780F7D"/>
    <w:rsid w:val="00780FEE"/>
    <w:rsid w:val="007822BA"/>
    <w:rsid w:val="007823FD"/>
    <w:rsid w:val="007832F9"/>
    <w:rsid w:val="007849C8"/>
    <w:rsid w:val="00785CC1"/>
    <w:rsid w:val="0079095C"/>
    <w:rsid w:val="007927D4"/>
    <w:rsid w:val="0079304F"/>
    <w:rsid w:val="00794C2B"/>
    <w:rsid w:val="007952A0"/>
    <w:rsid w:val="007952DA"/>
    <w:rsid w:val="007A0FE8"/>
    <w:rsid w:val="007A57F2"/>
    <w:rsid w:val="007A69B5"/>
    <w:rsid w:val="007B1333"/>
    <w:rsid w:val="007B36B1"/>
    <w:rsid w:val="007B4A3B"/>
    <w:rsid w:val="007B7EFB"/>
    <w:rsid w:val="007C015E"/>
    <w:rsid w:val="007C0271"/>
    <w:rsid w:val="007C07BF"/>
    <w:rsid w:val="007C22FC"/>
    <w:rsid w:val="007C4332"/>
    <w:rsid w:val="007C5497"/>
    <w:rsid w:val="007D15EC"/>
    <w:rsid w:val="007D1DA0"/>
    <w:rsid w:val="007D232A"/>
    <w:rsid w:val="007D24AC"/>
    <w:rsid w:val="007D4801"/>
    <w:rsid w:val="007E236C"/>
    <w:rsid w:val="007E40CF"/>
    <w:rsid w:val="007E791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1086D"/>
    <w:rsid w:val="00810931"/>
    <w:rsid w:val="00810DD0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59F6"/>
    <w:rsid w:val="00836802"/>
    <w:rsid w:val="00836CC8"/>
    <w:rsid w:val="008370BC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EE2"/>
    <w:rsid w:val="00882DE6"/>
    <w:rsid w:val="00884950"/>
    <w:rsid w:val="0088505F"/>
    <w:rsid w:val="00887975"/>
    <w:rsid w:val="00890131"/>
    <w:rsid w:val="00890AC3"/>
    <w:rsid w:val="0089345E"/>
    <w:rsid w:val="008A231A"/>
    <w:rsid w:val="008A2B8A"/>
    <w:rsid w:val="008A6D75"/>
    <w:rsid w:val="008A74BF"/>
    <w:rsid w:val="008A750A"/>
    <w:rsid w:val="008A776B"/>
    <w:rsid w:val="008A7F4A"/>
    <w:rsid w:val="008B1A5E"/>
    <w:rsid w:val="008B3970"/>
    <w:rsid w:val="008B5AF4"/>
    <w:rsid w:val="008B76FD"/>
    <w:rsid w:val="008C252A"/>
    <w:rsid w:val="008C384C"/>
    <w:rsid w:val="008C4801"/>
    <w:rsid w:val="008C4AFA"/>
    <w:rsid w:val="008C4B8C"/>
    <w:rsid w:val="008C4ECC"/>
    <w:rsid w:val="008C64D8"/>
    <w:rsid w:val="008C7B2B"/>
    <w:rsid w:val="008D0F11"/>
    <w:rsid w:val="008D2C94"/>
    <w:rsid w:val="008D3CEA"/>
    <w:rsid w:val="008D42E1"/>
    <w:rsid w:val="008D4CE8"/>
    <w:rsid w:val="008D7379"/>
    <w:rsid w:val="008E0EC4"/>
    <w:rsid w:val="008E1A35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1C61"/>
    <w:rsid w:val="009226F2"/>
    <w:rsid w:val="00926279"/>
    <w:rsid w:val="00930C9C"/>
    <w:rsid w:val="00933656"/>
    <w:rsid w:val="0093666E"/>
    <w:rsid w:val="00937939"/>
    <w:rsid w:val="00940D6F"/>
    <w:rsid w:val="0094172A"/>
    <w:rsid w:val="0094269E"/>
    <w:rsid w:val="00943B53"/>
    <w:rsid w:val="00944619"/>
    <w:rsid w:val="00946969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44D"/>
    <w:rsid w:val="009674AE"/>
    <w:rsid w:val="00971AA5"/>
    <w:rsid w:val="009750C8"/>
    <w:rsid w:val="009762A9"/>
    <w:rsid w:val="00981679"/>
    <w:rsid w:val="0098568E"/>
    <w:rsid w:val="00987C36"/>
    <w:rsid w:val="00994390"/>
    <w:rsid w:val="00994625"/>
    <w:rsid w:val="00995862"/>
    <w:rsid w:val="00996094"/>
    <w:rsid w:val="00996972"/>
    <w:rsid w:val="00996D8F"/>
    <w:rsid w:val="009971BE"/>
    <w:rsid w:val="009A019F"/>
    <w:rsid w:val="009A6E5A"/>
    <w:rsid w:val="009A76AE"/>
    <w:rsid w:val="009B0AFD"/>
    <w:rsid w:val="009B0F3D"/>
    <w:rsid w:val="009B3E0E"/>
    <w:rsid w:val="009B55B1"/>
    <w:rsid w:val="009B7A5B"/>
    <w:rsid w:val="009B7C3F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1F78"/>
    <w:rsid w:val="009F4DEB"/>
    <w:rsid w:val="009F6007"/>
    <w:rsid w:val="009F7BC1"/>
    <w:rsid w:val="00A01344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4C38"/>
    <w:rsid w:val="00A41B6E"/>
    <w:rsid w:val="00A4343D"/>
    <w:rsid w:val="00A44579"/>
    <w:rsid w:val="00A45ECE"/>
    <w:rsid w:val="00A4737C"/>
    <w:rsid w:val="00A502F1"/>
    <w:rsid w:val="00A506D1"/>
    <w:rsid w:val="00A5308C"/>
    <w:rsid w:val="00A5386C"/>
    <w:rsid w:val="00A54E66"/>
    <w:rsid w:val="00A572ED"/>
    <w:rsid w:val="00A57FA1"/>
    <w:rsid w:val="00A60097"/>
    <w:rsid w:val="00A60970"/>
    <w:rsid w:val="00A614E2"/>
    <w:rsid w:val="00A61D2F"/>
    <w:rsid w:val="00A61E46"/>
    <w:rsid w:val="00A66CD4"/>
    <w:rsid w:val="00A701A7"/>
    <w:rsid w:val="00A70A83"/>
    <w:rsid w:val="00A74D15"/>
    <w:rsid w:val="00A76159"/>
    <w:rsid w:val="00A81CEF"/>
    <w:rsid w:val="00A81EB3"/>
    <w:rsid w:val="00A828D0"/>
    <w:rsid w:val="00A83D91"/>
    <w:rsid w:val="00A847B6"/>
    <w:rsid w:val="00A852DD"/>
    <w:rsid w:val="00A86CB7"/>
    <w:rsid w:val="00A87837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378E"/>
    <w:rsid w:val="00AA38FA"/>
    <w:rsid w:val="00AB3287"/>
    <w:rsid w:val="00AB3410"/>
    <w:rsid w:val="00AB3580"/>
    <w:rsid w:val="00AB5CDD"/>
    <w:rsid w:val="00AB62C9"/>
    <w:rsid w:val="00AB63AB"/>
    <w:rsid w:val="00AB66AF"/>
    <w:rsid w:val="00AC5901"/>
    <w:rsid w:val="00AD010E"/>
    <w:rsid w:val="00AD05C6"/>
    <w:rsid w:val="00AD60F7"/>
    <w:rsid w:val="00AD6E70"/>
    <w:rsid w:val="00AD6EAE"/>
    <w:rsid w:val="00AE0E17"/>
    <w:rsid w:val="00AE190A"/>
    <w:rsid w:val="00AE3F07"/>
    <w:rsid w:val="00AF42F8"/>
    <w:rsid w:val="00AF5345"/>
    <w:rsid w:val="00AF6C5F"/>
    <w:rsid w:val="00B00C1D"/>
    <w:rsid w:val="00B02786"/>
    <w:rsid w:val="00B036DD"/>
    <w:rsid w:val="00B06059"/>
    <w:rsid w:val="00B06B34"/>
    <w:rsid w:val="00B07BBD"/>
    <w:rsid w:val="00B112A8"/>
    <w:rsid w:val="00B21948"/>
    <w:rsid w:val="00B21E07"/>
    <w:rsid w:val="00B317FB"/>
    <w:rsid w:val="00B319D7"/>
    <w:rsid w:val="00B328FE"/>
    <w:rsid w:val="00B32956"/>
    <w:rsid w:val="00B3320B"/>
    <w:rsid w:val="00B36D5D"/>
    <w:rsid w:val="00B37BFA"/>
    <w:rsid w:val="00B410CB"/>
    <w:rsid w:val="00B46615"/>
    <w:rsid w:val="00B50DF5"/>
    <w:rsid w:val="00B50E3C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84B"/>
    <w:rsid w:val="00B8417A"/>
    <w:rsid w:val="00B84510"/>
    <w:rsid w:val="00B85F5E"/>
    <w:rsid w:val="00B8761A"/>
    <w:rsid w:val="00B90D93"/>
    <w:rsid w:val="00B92681"/>
    <w:rsid w:val="00B92956"/>
    <w:rsid w:val="00B94556"/>
    <w:rsid w:val="00B95BBB"/>
    <w:rsid w:val="00BA12F1"/>
    <w:rsid w:val="00BA1E89"/>
    <w:rsid w:val="00BA296D"/>
    <w:rsid w:val="00BA439F"/>
    <w:rsid w:val="00BA5E12"/>
    <w:rsid w:val="00BA6068"/>
    <w:rsid w:val="00BA6370"/>
    <w:rsid w:val="00BA6B72"/>
    <w:rsid w:val="00BB1CC9"/>
    <w:rsid w:val="00BB38F8"/>
    <w:rsid w:val="00BB7ECB"/>
    <w:rsid w:val="00BC012F"/>
    <w:rsid w:val="00BC22B2"/>
    <w:rsid w:val="00BC2F4B"/>
    <w:rsid w:val="00BC3DE4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D52"/>
    <w:rsid w:val="00BE3771"/>
    <w:rsid w:val="00BE61AB"/>
    <w:rsid w:val="00BF7580"/>
    <w:rsid w:val="00C00312"/>
    <w:rsid w:val="00C00B3B"/>
    <w:rsid w:val="00C11525"/>
    <w:rsid w:val="00C15CCF"/>
    <w:rsid w:val="00C170E4"/>
    <w:rsid w:val="00C1762F"/>
    <w:rsid w:val="00C1771B"/>
    <w:rsid w:val="00C20198"/>
    <w:rsid w:val="00C22F89"/>
    <w:rsid w:val="00C23729"/>
    <w:rsid w:val="00C250FE"/>
    <w:rsid w:val="00C269D4"/>
    <w:rsid w:val="00C26BB1"/>
    <w:rsid w:val="00C26FA9"/>
    <w:rsid w:val="00C34417"/>
    <w:rsid w:val="00C34A72"/>
    <w:rsid w:val="00C35FFE"/>
    <w:rsid w:val="00C36FAE"/>
    <w:rsid w:val="00C4047D"/>
    <w:rsid w:val="00C40CCA"/>
    <w:rsid w:val="00C411FE"/>
    <w:rsid w:val="00C41492"/>
    <w:rsid w:val="00C4160D"/>
    <w:rsid w:val="00C4304F"/>
    <w:rsid w:val="00C4339C"/>
    <w:rsid w:val="00C44851"/>
    <w:rsid w:val="00C468D6"/>
    <w:rsid w:val="00C47129"/>
    <w:rsid w:val="00C50DA2"/>
    <w:rsid w:val="00C5119F"/>
    <w:rsid w:val="00C51C5E"/>
    <w:rsid w:val="00C53008"/>
    <w:rsid w:val="00C54827"/>
    <w:rsid w:val="00C54EED"/>
    <w:rsid w:val="00C55239"/>
    <w:rsid w:val="00C55710"/>
    <w:rsid w:val="00C558C1"/>
    <w:rsid w:val="00C61A8E"/>
    <w:rsid w:val="00C63782"/>
    <w:rsid w:val="00C63ACE"/>
    <w:rsid w:val="00C64A21"/>
    <w:rsid w:val="00C6536B"/>
    <w:rsid w:val="00C653DD"/>
    <w:rsid w:val="00C65E5B"/>
    <w:rsid w:val="00C67829"/>
    <w:rsid w:val="00C712A3"/>
    <w:rsid w:val="00C71BC1"/>
    <w:rsid w:val="00C72E7A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A29E5"/>
    <w:rsid w:val="00CA4AC0"/>
    <w:rsid w:val="00CA70A4"/>
    <w:rsid w:val="00CB0B92"/>
    <w:rsid w:val="00CB106A"/>
    <w:rsid w:val="00CB2709"/>
    <w:rsid w:val="00CB6F89"/>
    <w:rsid w:val="00CC1632"/>
    <w:rsid w:val="00CC6591"/>
    <w:rsid w:val="00CC6C98"/>
    <w:rsid w:val="00CC7F4D"/>
    <w:rsid w:val="00CD464D"/>
    <w:rsid w:val="00CD4987"/>
    <w:rsid w:val="00CE0AA4"/>
    <w:rsid w:val="00CE0BAB"/>
    <w:rsid w:val="00CE228C"/>
    <w:rsid w:val="00CE71D9"/>
    <w:rsid w:val="00CF05FD"/>
    <w:rsid w:val="00CF1715"/>
    <w:rsid w:val="00CF2E59"/>
    <w:rsid w:val="00CF3D2D"/>
    <w:rsid w:val="00CF42CD"/>
    <w:rsid w:val="00CF4CCE"/>
    <w:rsid w:val="00CF5385"/>
    <w:rsid w:val="00CF545B"/>
    <w:rsid w:val="00D078DC"/>
    <w:rsid w:val="00D106EA"/>
    <w:rsid w:val="00D10DD3"/>
    <w:rsid w:val="00D1588C"/>
    <w:rsid w:val="00D209A7"/>
    <w:rsid w:val="00D21D5F"/>
    <w:rsid w:val="00D21F37"/>
    <w:rsid w:val="00D2440F"/>
    <w:rsid w:val="00D27184"/>
    <w:rsid w:val="00D271E3"/>
    <w:rsid w:val="00D27D69"/>
    <w:rsid w:val="00D3023F"/>
    <w:rsid w:val="00D31D24"/>
    <w:rsid w:val="00D32996"/>
    <w:rsid w:val="00D36161"/>
    <w:rsid w:val="00D36D76"/>
    <w:rsid w:val="00D43AFC"/>
    <w:rsid w:val="00D448C2"/>
    <w:rsid w:val="00D45D6B"/>
    <w:rsid w:val="00D45DCE"/>
    <w:rsid w:val="00D46935"/>
    <w:rsid w:val="00D4744F"/>
    <w:rsid w:val="00D477FD"/>
    <w:rsid w:val="00D507C6"/>
    <w:rsid w:val="00D52939"/>
    <w:rsid w:val="00D52DB5"/>
    <w:rsid w:val="00D649C1"/>
    <w:rsid w:val="00D666C3"/>
    <w:rsid w:val="00D71216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7B51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EF7"/>
    <w:rsid w:val="00DA390B"/>
    <w:rsid w:val="00DA442C"/>
    <w:rsid w:val="00DA6E92"/>
    <w:rsid w:val="00DA74D9"/>
    <w:rsid w:val="00DB2011"/>
    <w:rsid w:val="00DB4DC3"/>
    <w:rsid w:val="00DB5CE0"/>
    <w:rsid w:val="00DB6980"/>
    <w:rsid w:val="00DC203E"/>
    <w:rsid w:val="00DC205C"/>
    <w:rsid w:val="00DC461E"/>
    <w:rsid w:val="00DC5C56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2419"/>
    <w:rsid w:val="00DF364F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4CA6"/>
    <w:rsid w:val="00E3604F"/>
    <w:rsid w:val="00E36347"/>
    <w:rsid w:val="00E3740C"/>
    <w:rsid w:val="00E37A2C"/>
    <w:rsid w:val="00E42F0F"/>
    <w:rsid w:val="00E446D4"/>
    <w:rsid w:val="00E45A38"/>
    <w:rsid w:val="00E472EB"/>
    <w:rsid w:val="00E507A8"/>
    <w:rsid w:val="00E52C05"/>
    <w:rsid w:val="00E530CD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64DB"/>
    <w:rsid w:val="00E66F9C"/>
    <w:rsid w:val="00E675EE"/>
    <w:rsid w:val="00E75B6D"/>
    <w:rsid w:val="00E8038A"/>
    <w:rsid w:val="00E81483"/>
    <w:rsid w:val="00E92290"/>
    <w:rsid w:val="00E93830"/>
    <w:rsid w:val="00E93CD2"/>
    <w:rsid w:val="00E93E0E"/>
    <w:rsid w:val="00E943E6"/>
    <w:rsid w:val="00E963A2"/>
    <w:rsid w:val="00EA1D17"/>
    <w:rsid w:val="00EA6769"/>
    <w:rsid w:val="00EA6A3D"/>
    <w:rsid w:val="00EB0FFB"/>
    <w:rsid w:val="00EB1ED3"/>
    <w:rsid w:val="00EB4CDA"/>
    <w:rsid w:val="00EB6BD9"/>
    <w:rsid w:val="00EB7B2A"/>
    <w:rsid w:val="00EB7B3D"/>
    <w:rsid w:val="00EB7F83"/>
    <w:rsid w:val="00EC018A"/>
    <w:rsid w:val="00EC3F19"/>
    <w:rsid w:val="00EC601B"/>
    <w:rsid w:val="00EC7D07"/>
    <w:rsid w:val="00ED4E20"/>
    <w:rsid w:val="00ED5ECB"/>
    <w:rsid w:val="00ED5EEA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E04"/>
    <w:rsid w:val="00F02006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6B9D"/>
    <w:rsid w:val="00F36F5C"/>
    <w:rsid w:val="00F45E56"/>
    <w:rsid w:val="00F46AE6"/>
    <w:rsid w:val="00F47E71"/>
    <w:rsid w:val="00F5000D"/>
    <w:rsid w:val="00F51C4E"/>
    <w:rsid w:val="00F53012"/>
    <w:rsid w:val="00F5527A"/>
    <w:rsid w:val="00F55D7A"/>
    <w:rsid w:val="00F569CE"/>
    <w:rsid w:val="00F604B5"/>
    <w:rsid w:val="00F64633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881"/>
    <w:rsid w:val="00F912A7"/>
    <w:rsid w:val="00F93E4A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5265"/>
    <w:rsid w:val="00FB687C"/>
    <w:rsid w:val="00FC0BFA"/>
    <w:rsid w:val="00FC1647"/>
    <w:rsid w:val="00FC31D7"/>
    <w:rsid w:val="00FD0644"/>
    <w:rsid w:val="00FD0E61"/>
    <w:rsid w:val="00FD66E5"/>
    <w:rsid w:val="00FD6F2F"/>
    <w:rsid w:val="00FD763F"/>
    <w:rsid w:val="00FE16D8"/>
    <w:rsid w:val="00FE26E1"/>
    <w:rsid w:val="00FE6CFB"/>
    <w:rsid w:val="00FF31BB"/>
    <w:rsid w:val="00FF4449"/>
    <w:rsid w:val="00FF4ADD"/>
    <w:rsid w:val="00FF50CD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AF32-A8CF-4260-8042-6231CB89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3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4</cp:revision>
  <cp:lastPrinted>2015-08-31T06:24:00Z</cp:lastPrinted>
  <dcterms:created xsi:type="dcterms:W3CDTF">2015-08-31T06:39:00Z</dcterms:created>
  <dcterms:modified xsi:type="dcterms:W3CDTF">2015-08-31T06:40:00Z</dcterms:modified>
</cp:coreProperties>
</file>