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62" w:rsidRDefault="00602C03" w:rsidP="00A90362">
      <w:pPr>
        <w:pStyle w:val="Datum"/>
      </w:pPr>
      <w:r>
        <w:t>14</w:t>
      </w:r>
      <w:r w:rsidR="00A90362">
        <w:t xml:space="preserve"> </w:t>
      </w:r>
      <w:r>
        <w:t>August</w:t>
      </w:r>
      <w:r w:rsidR="00A90362">
        <w:t xml:space="preserve"> 2015</w:t>
      </w:r>
    </w:p>
    <w:p w:rsidR="00A90362" w:rsidRDefault="00A90362" w:rsidP="00A90362">
      <w:pPr>
        <w:pStyle w:val="Nzev"/>
      </w:pPr>
      <w:r>
        <w:t xml:space="preserve">Czech economy </w:t>
      </w:r>
      <w:r w:rsidR="00602C03">
        <w:t>prospers</w:t>
      </w:r>
    </w:p>
    <w:p w:rsidR="00A90362" w:rsidRPr="008B3970" w:rsidRDefault="00A90362" w:rsidP="00A90362">
      <w:pPr>
        <w:pStyle w:val="Podtitulek"/>
        <w:rPr>
          <w:color w:val="BD1B21"/>
        </w:rPr>
      </w:pPr>
      <w:r>
        <w:t xml:space="preserve">GDP preliminary estimate – the </w:t>
      </w:r>
      <w:r w:rsidR="00DB69C0">
        <w:t>second</w:t>
      </w:r>
      <w:r>
        <w:t xml:space="preserve"> quarter of 2015</w:t>
      </w:r>
    </w:p>
    <w:p w:rsidR="00A90362" w:rsidRDefault="00A90362" w:rsidP="00A90362">
      <w:pPr>
        <w:pStyle w:val="Perex"/>
      </w:pPr>
      <w:r>
        <w:t>According to the preliminary estimate, the gross domestic product increased in</w:t>
      </w:r>
      <w:r w:rsidR="00EA55FB">
        <w:t> </w:t>
      </w:r>
      <w:r>
        <w:t>the</w:t>
      </w:r>
      <w:r w:rsidR="00EA55FB">
        <w:t> </w:t>
      </w:r>
      <w:r>
        <w:t>Q</w:t>
      </w:r>
      <w:r w:rsidR="00DB69C0">
        <w:t>2</w:t>
      </w:r>
      <w:r w:rsidR="00EA55FB">
        <w:t> </w:t>
      </w:r>
      <w:r>
        <w:t xml:space="preserve">2015 by </w:t>
      </w:r>
      <w:r w:rsidR="00DB69C0">
        <w:t>4</w:t>
      </w:r>
      <w:r>
        <w:t>.</w:t>
      </w:r>
      <w:r w:rsidR="00DB69C0">
        <w:t>4</w:t>
      </w:r>
      <w:r>
        <w:t xml:space="preserve">%, </w:t>
      </w:r>
      <w:r w:rsidR="00DB69C0">
        <w:t>year-on-year; compared to the Q1</w:t>
      </w:r>
      <w:r>
        <w:t xml:space="preserve"> 201</w:t>
      </w:r>
      <w:r w:rsidR="00DB69C0">
        <w:t>5</w:t>
      </w:r>
      <w:r>
        <w:t xml:space="preserve"> it was </w:t>
      </w:r>
      <w:r w:rsidR="00DB69C0">
        <w:t>0</w:t>
      </w:r>
      <w:r>
        <w:t>.</w:t>
      </w:r>
      <w:r w:rsidR="00DB69C0">
        <w:t>9</w:t>
      </w:r>
      <w:r>
        <w:t xml:space="preserve">% up. </w:t>
      </w:r>
    </w:p>
    <w:p w:rsidR="00A90362" w:rsidRDefault="00A90362" w:rsidP="00A90362">
      <w:pPr>
        <w:rPr>
          <w:b/>
          <w:bCs/>
        </w:rPr>
      </w:pPr>
      <w:r>
        <w:t xml:space="preserve">In the </w:t>
      </w:r>
      <w:r w:rsidR="007B3E49">
        <w:t>second quarter</w:t>
      </w:r>
      <w:r>
        <w:t xml:space="preserve"> of 2015, the Czech economy</w:t>
      </w:r>
      <w:r w:rsidR="007B3E49">
        <w:t xml:space="preserve"> retained its growth and thus confirmed its enhancing performance. </w:t>
      </w:r>
      <w:r>
        <w:t>According to the</w:t>
      </w:r>
      <w:r w:rsidRPr="00BC214A">
        <w:t xml:space="preserve"> </w:t>
      </w:r>
      <w:r>
        <w:t xml:space="preserve">preliminary estimate, the </w:t>
      </w:r>
      <w:r w:rsidRPr="00BC214A">
        <w:rPr>
          <w:b/>
          <w:bCs/>
        </w:rPr>
        <w:t xml:space="preserve">gross domestic product </w:t>
      </w:r>
      <w:r w:rsidRPr="00BC214A">
        <w:rPr>
          <w:bCs/>
        </w:rPr>
        <w:t>(GDP)</w:t>
      </w:r>
      <w:r w:rsidRPr="00BC214A">
        <w:t xml:space="preserve"> </w:t>
      </w:r>
      <w:r w:rsidRPr="00BC214A">
        <w:rPr>
          <w:rFonts w:cs="Arial"/>
          <w:bCs/>
          <w:szCs w:val="20"/>
        </w:rPr>
        <w:t>adjusted for price effects and seasonally adjusted</w:t>
      </w:r>
      <w:r w:rsidRPr="00BC214A">
        <w:rPr>
          <w:rStyle w:val="Znakapoznpodarou"/>
          <w:rFonts w:cs="Arial"/>
          <w:szCs w:val="20"/>
        </w:rPr>
        <w:t>/</w:t>
      </w:r>
      <w:r w:rsidRPr="00BC214A">
        <w:rPr>
          <w:rStyle w:val="Znakapoznpodarou"/>
          <w:rFonts w:cs="Arial"/>
          <w:bCs/>
          <w:szCs w:val="20"/>
        </w:rPr>
        <w:footnoteReference w:customMarkFollows="1" w:id="1"/>
        <w:t>*</w:t>
      </w:r>
      <w:r w:rsidRPr="00BC214A">
        <w:rPr>
          <w:rFonts w:cs="Arial"/>
          <w:bCs/>
          <w:szCs w:val="20"/>
        </w:rPr>
        <w:t xml:space="preserve"> </w:t>
      </w:r>
      <w:r>
        <w:rPr>
          <w:b/>
          <w:bCs/>
        </w:rPr>
        <w:t>increased in the Q</w:t>
      </w:r>
      <w:r w:rsidR="007B3E49">
        <w:rPr>
          <w:b/>
          <w:bCs/>
        </w:rPr>
        <w:t>2 2015 by 4</w:t>
      </w:r>
      <w:r>
        <w:rPr>
          <w:b/>
          <w:bCs/>
        </w:rPr>
        <w:t>.</w:t>
      </w:r>
      <w:r w:rsidR="007B3E49">
        <w:rPr>
          <w:b/>
          <w:bCs/>
        </w:rPr>
        <w:t>4</w:t>
      </w:r>
      <w:r>
        <w:rPr>
          <w:b/>
          <w:bCs/>
        </w:rPr>
        <w:t xml:space="preserve">%, year-on-year; </w:t>
      </w:r>
      <w:r w:rsidRPr="005F033E">
        <w:rPr>
          <w:bCs/>
        </w:rPr>
        <w:t>compared to the</w:t>
      </w:r>
      <w:r>
        <w:rPr>
          <w:b/>
          <w:bCs/>
        </w:rPr>
        <w:t xml:space="preserve"> Q</w:t>
      </w:r>
      <w:r w:rsidR="007B3E49">
        <w:rPr>
          <w:b/>
          <w:bCs/>
        </w:rPr>
        <w:t>1 2015</w:t>
      </w:r>
      <w:r>
        <w:rPr>
          <w:b/>
          <w:bCs/>
        </w:rPr>
        <w:t xml:space="preserve"> it increased by </w:t>
      </w:r>
      <w:r w:rsidR="007B3E49">
        <w:rPr>
          <w:b/>
          <w:bCs/>
        </w:rPr>
        <w:t>0</w:t>
      </w:r>
      <w:r>
        <w:rPr>
          <w:b/>
          <w:bCs/>
        </w:rPr>
        <w:t>.</w:t>
      </w:r>
      <w:r w:rsidR="007B3E49">
        <w:rPr>
          <w:b/>
          <w:bCs/>
        </w:rPr>
        <w:t>9</w:t>
      </w:r>
      <w:r>
        <w:rPr>
          <w:b/>
          <w:bCs/>
        </w:rPr>
        <w:t>%</w:t>
      </w:r>
      <w:r w:rsidRPr="008F56C6">
        <w:rPr>
          <w:bCs/>
        </w:rPr>
        <w:t>.</w:t>
      </w:r>
      <w:r>
        <w:rPr>
          <w:b/>
          <w:bCs/>
        </w:rPr>
        <w:t xml:space="preserve"> </w:t>
      </w:r>
    </w:p>
    <w:p w:rsidR="008F56C6" w:rsidRDefault="008F56C6" w:rsidP="00A90362">
      <w:pPr>
        <w:rPr>
          <w:b/>
          <w:bCs/>
        </w:rPr>
      </w:pPr>
    </w:p>
    <w:p w:rsidR="008F56C6" w:rsidRPr="008F56C6" w:rsidRDefault="008F56C6" w:rsidP="00A90362">
      <w:r>
        <w:rPr>
          <w:bCs/>
        </w:rPr>
        <w:t xml:space="preserve">The growth dynamics is more balanced through all </w:t>
      </w:r>
      <w:r w:rsidR="00EA55FB">
        <w:rPr>
          <w:bCs/>
        </w:rPr>
        <w:t>economic activities</w:t>
      </w:r>
      <w:r w:rsidR="00CD6A8A">
        <w:rPr>
          <w:bCs/>
        </w:rPr>
        <w:t>,</w:t>
      </w:r>
      <w:r w:rsidR="00EA55FB">
        <w:rPr>
          <w:bCs/>
        </w:rPr>
        <w:t xml:space="preserve"> in comparison with Q1 2015</w:t>
      </w:r>
      <w:r w:rsidR="00D15053">
        <w:rPr>
          <w:bCs/>
        </w:rPr>
        <w:t xml:space="preserve">. On the expenditure side, </w:t>
      </w:r>
      <w:r w:rsidR="003078F8">
        <w:rPr>
          <w:bCs/>
        </w:rPr>
        <w:t xml:space="preserve">the growth is contributed to by consumption of households as well as higher investment activity. </w:t>
      </w:r>
    </w:p>
    <w:p w:rsidR="00A90362" w:rsidRDefault="00A90362" w:rsidP="00A90362"/>
    <w:p w:rsidR="00A90362" w:rsidRDefault="00A90362" w:rsidP="00A90362">
      <w:pPr>
        <w:rPr>
          <w:rFonts w:cs="Arial"/>
          <w:szCs w:val="20"/>
        </w:rPr>
      </w:pPr>
      <w:r>
        <w:t>The development on the labour market</w:t>
      </w:r>
      <w:r w:rsidR="00D72CA3">
        <w:t xml:space="preserve"> is also positive</w:t>
      </w:r>
      <w:r>
        <w:t xml:space="preserve">. </w:t>
      </w:r>
      <w:r>
        <w:rPr>
          <w:b/>
        </w:rPr>
        <w:t xml:space="preserve">Employment </w:t>
      </w:r>
      <w:r>
        <w:t xml:space="preserve">in terms of national accounts </w:t>
      </w:r>
      <w:r w:rsidR="00D72CA3">
        <w:rPr>
          <w:b/>
        </w:rPr>
        <w:t>increased by 1.4</w:t>
      </w:r>
      <w:r>
        <w:rPr>
          <w:b/>
        </w:rPr>
        <w:t>%, y-o-y</w:t>
      </w:r>
      <w:r w:rsidRPr="00EA55FB">
        <w:t xml:space="preserve">, </w:t>
      </w:r>
      <w:r w:rsidR="005B7A47" w:rsidRPr="00EA55FB">
        <w:t xml:space="preserve">and </w:t>
      </w:r>
      <w:r>
        <w:rPr>
          <w:b/>
        </w:rPr>
        <w:t>by 0.</w:t>
      </w:r>
      <w:r w:rsidR="005B7A47">
        <w:rPr>
          <w:b/>
        </w:rPr>
        <w:t>2</w:t>
      </w:r>
      <w:r>
        <w:rPr>
          <w:b/>
        </w:rPr>
        <w:t>%</w:t>
      </w:r>
      <w:r w:rsidRPr="008403DE">
        <w:rPr>
          <w:b/>
        </w:rPr>
        <w:t xml:space="preserve"> in the q-o-q comparison</w:t>
      </w:r>
      <w:r>
        <w:t xml:space="preserve">. </w:t>
      </w:r>
    </w:p>
    <w:p w:rsidR="00A90362" w:rsidRPr="002723CC" w:rsidRDefault="00A90362" w:rsidP="00A90362">
      <w:pPr>
        <w:pStyle w:val="Poznmky"/>
        <w:tabs>
          <w:tab w:val="left" w:pos="284"/>
        </w:tabs>
        <w:ind w:left="3600" w:hanging="3600"/>
        <w:rPr>
          <w:i/>
          <w:lang w:val="en-GB"/>
        </w:rPr>
      </w:pPr>
      <w:r>
        <w:rPr>
          <w:i/>
          <w:lang w:val="en-GB"/>
        </w:rPr>
        <w:t>Responsible head at the CZSO</w:t>
      </w:r>
      <w:r w:rsidRPr="002723CC">
        <w:rPr>
          <w:i/>
          <w:lang w:val="en-GB"/>
        </w:rPr>
        <w:t>:</w:t>
      </w:r>
      <w:r w:rsidRPr="002723CC">
        <w:rPr>
          <w:i/>
          <w:lang w:val="en-GB"/>
        </w:rPr>
        <w:tab/>
      </w:r>
      <w:proofErr w:type="spellStart"/>
      <w:r>
        <w:rPr>
          <w:i/>
          <w:lang w:val="en-GB"/>
        </w:rPr>
        <w:t>Vladimír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Kermiet</w:t>
      </w:r>
      <w:proofErr w:type="spellEnd"/>
      <w:r w:rsidRPr="002723CC">
        <w:rPr>
          <w:i/>
          <w:lang w:val="en-GB"/>
        </w:rPr>
        <w:t xml:space="preserve">, Director of the National Accounts </w:t>
      </w:r>
      <w:bookmarkStart w:id="0" w:name="_GoBack"/>
      <w:bookmarkEnd w:id="0"/>
      <w:r>
        <w:rPr>
          <w:i/>
          <w:lang w:val="en-GB"/>
        </w:rPr>
        <w:t>D</w:t>
      </w:r>
      <w:r w:rsidRPr="002723CC">
        <w:rPr>
          <w:i/>
          <w:lang w:val="en-GB"/>
        </w:rPr>
        <w:t>epartment, phone number: (+420) 274 05</w:t>
      </w:r>
      <w:r>
        <w:rPr>
          <w:i/>
          <w:lang w:val="en-GB"/>
        </w:rPr>
        <w:t>4</w:t>
      </w:r>
      <w:r w:rsidRPr="002723CC">
        <w:rPr>
          <w:i/>
          <w:lang w:val="en-GB"/>
        </w:rPr>
        <w:t> </w:t>
      </w:r>
      <w:r>
        <w:rPr>
          <w:i/>
          <w:lang w:val="en-GB"/>
        </w:rPr>
        <w:t>247</w:t>
      </w:r>
      <w:r w:rsidRPr="002723CC">
        <w:rPr>
          <w:i/>
          <w:lang w:val="en-GB"/>
        </w:rPr>
        <w:t xml:space="preserve">, </w:t>
      </w:r>
    </w:p>
    <w:p w:rsidR="00A90362" w:rsidRDefault="00A90362" w:rsidP="00A90362">
      <w:pPr>
        <w:tabs>
          <w:tab w:val="left" w:pos="3544"/>
        </w:tabs>
        <w:ind w:left="3540" w:hanging="3540"/>
      </w:pPr>
      <w:r w:rsidRPr="002723C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723CC">
        <w:rPr>
          <w:i/>
          <w:sz w:val="18"/>
          <w:szCs w:val="18"/>
        </w:rPr>
        <w:t xml:space="preserve">e-mail: </w:t>
      </w:r>
      <w:hyperlink r:id="rId7" w:history="1">
        <w:r w:rsidRPr="00F666A6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A90362" w:rsidRDefault="00A90362" w:rsidP="00A90362">
      <w:pPr>
        <w:pStyle w:val="Poznamkytexty"/>
        <w:ind w:left="3600" w:hanging="3600"/>
        <w:rPr>
          <w:lang w:val="en-GB"/>
        </w:rPr>
      </w:pPr>
      <w:r>
        <w:rPr>
          <w:lang w:val="en-GB"/>
        </w:rPr>
        <w:t>Contact person:</w:t>
      </w:r>
      <w:r>
        <w:rPr>
          <w:lang w:val="en-GB"/>
        </w:rPr>
        <w:tab/>
      </w:r>
      <w:proofErr w:type="spellStart"/>
      <w:r>
        <w:rPr>
          <w:lang w:val="en-GB"/>
        </w:rPr>
        <w:t>Tereza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Košťáková</w:t>
      </w:r>
      <w:proofErr w:type="spellEnd"/>
      <w:r>
        <w:rPr>
          <w:lang w:val="en-GB"/>
        </w:rPr>
        <w:t xml:space="preserve">, phone number: (+420) 274 052 750, </w:t>
      </w:r>
    </w:p>
    <w:p w:rsidR="00A90362" w:rsidRDefault="00A90362" w:rsidP="00A90362">
      <w:pPr>
        <w:pStyle w:val="Poznamkytexty"/>
        <w:ind w:left="3600"/>
        <w:rPr>
          <w:lang w:val="en-GB"/>
        </w:rPr>
      </w:pPr>
      <w:r>
        <w:rPr>
          <w:lang w:val="en-GB"/>
        </w:rPr>
        <w:t xml:space="preserve">e-mail: </w:t>
      </w:r>
      <w:hyperlink r:id="rId8" w:history="1">
        <w:r w:rsidR="00984C8E" w:rsidRPr="00533FF2">
          <w:rPr>
            <w:rStyle w:val="Hypertextovodkaz"/>
            <w:lang w:val="en-GB"/>
          </w:rPr>
          <w:t>tereza.kostakova@czso.cz</w:t>
        </w:r>
      </w:hyperlink>
      <w:r w:rsidR="00984C8E">
        <w:rPr>
          <w:lang w:val="en-GB"/>
        </w:rPr>
        <w:t xml:space="preserve"> </w:t>
      </w:r>
    </w:p>
    <w:p w:rsidR="00A90362" w:rsidRPr="002723CC" w:rsidRDefault="00A90362" w:rsidP="00A90362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Used data sources updated as at:</w:t>
      </w:r>
      <w:r w:rsidRPr="002723CC">
        <w:rPr>
          <w:lang w:val="en-GB"/>
        </w:rPr>
        <w:tab/>
      </w:r>
      <w:r w:rsidR="00CB030A">
        <w:rPr>
          <w:lang w:val="en-GB"/>
        </w:rPr>
        <w:t>11</w:t>
      </w:r>
      <w:r>
        <w:rPr>
          <w:lang w:val="en-GB"/>
        </w:rPr>
        <w:t xml:space="preserve"> </w:t>
      </w:r>
      <w:r w:rsidR="00CB030A">
        <w:rPr>
          <w:lang w:val="en-GB"/>
        </w:rPr>
        <w:t>August</w:t>
      </w:r>
      <w:r w:rsidRPr="002723CC">
        <w:rPr>
          <w:lang w:val="en-GB"/>
        </w:rPr>
        <w:t xml:space="preserve"> 201</w:t>
      </w:r>
      <w:r>
        <w:rPr>
          <w:lang w:val="en-GB"/>
        </w:rPr>
        <w:t>5</w:t>
      </w:r>
    </w:p>
    <w:p w:rsidR="00A90362" w:rsidRPr="002723CC" w:rsidRDefault="00A90362" w:rsidP="00A90362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Related CZSO web page:</w:t>
      </w:r>
      <w:r w:rsidRPr="002723CC">
        <w:rPr>
          <w:lang w:val="en-GB"/>
        </w:rPr>
        <w:tab/>
      </w:r>
      <w:hyperlink r:id="rId9" w:history="1">
        <w:r w:rsidR="00984C8E" w:rsidRPr="00533FF2">
          <w:rPr>
            <w:rStyle w:val="Hypertextovodkaz"/>
          </w:rPr>
          <w:t>https://www.czso.cz/csu/czso/quarterly-national-accounts-gdp-resources-and-uses-and-gdp-preliminary-estimate</w:t>
        </w:r>
      </w:hyperlink>
      <w:r w:rsidR="00984C8E">
        <w:rPr>
          <w:color w:val="auto"/>
        </w:rPr>
        <w:t xml:space="preserve"> </w:t>
      </w:r>
    </w:p>
    <w:p w:rsidR="00A90362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2723CC">
        <w:rPr>
          <w:i/>
          <w:sz w:val="18"/>
          <w:szCs w:val="18"/>
        </w:rPr>
        <w:t>Next News Release will be published on:</w:t>
      </w:r>
      <w:r w:rsidRPr="002723C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2</w:t>
      </w:r>
      <w:r w:rsidR="00CB030A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 xml:space="preserve"> </w:t>
      </w:r>
      <w:r w:rsidR="00CB030A">
        <w:rPr>
          <w:i/>
          <w:sz w:val="18"/>
          <w:szCs w:val="18"/>
        </w:rPr>
        <w:t>August</w:t>
      </w:r>
      <w:r>
        <w:rPr>
          <w:i/>
          <w:sz w:val="18"/>
          <w:szCs w:val="18"/>
        </w:rPr>
        <w:t xml:space="preserve"> 2015</w:t>
      </w:r>
      <w:r w:rsidRPr="002723CC">
        <w:rPr>
          <w:i/>
          <w:sz w:val="18"/>
          <w:szCs w:val="18"/>
        </w:rPr>
        <w:t xml:space="preserve"> </w:t>
      </w:r>
    </w:p>
    <w:p w:rsidR="00A90362" w:rsidRPr="002723CC" w:rsidRDefault="00A90362" w:rsidP="00A90362">
      <w:pPr>
        <w:tabs>
          <w:tab w:val="left" w:pos="354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723CC">
        <w:rPr>
          <w:i/>
          <w:sz w:val="18"/>
          <w:szCs w:val="18"/>
        </w:rPr>
        <w:t>(GDP resources and uses for the Q</w:t>
      </w:r>
      <w:r w:rsidR="00CB030A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  <w:r w:rsidRPr="002723CC">
        <w:rPr>
          <w:i/>
          <w:sz w:val="18"/>
          <w:szCs w:val="18"/>
        </w:rPr>
        <w:t>201</w:t>
      </w:r>
      <w:r>
        <w:rPr>
          <w:i/>
          <w:sz w:val="18"/>
          <w:szCs w:val="18"/>
        </w:rPr>
        <w:t>5</w:t>
      </w:r>
      <w:r w:rsidRPr="002723CC">
        <w:rPr>
          <w:i/>
          <w:sz w:val="18"/>
          <w:szCs w:val="18"/>
        </w:rPr>
        <w:t>)</w:t>
      </w:r>
    </w:p>
    <w:p w:rsidR="00D209A7" w:rsidRPr="00A90362" w:rsidRDefault="00D209A7" w:rsidP="00A90362"/>
    <w:sectPr w:rsidR="00D209A7" w:rsidRPr="00A9036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64" w:rsidRDefault="00276264" w:rsidP="00BA6370">
      <w:r>
        <w:separator/>
      </w:r>
    </w:p>
  </w:endnote>
  <w:endnote w:type="continuationSeparator" w:id="0">
    <w:p w:rsidR="00276264" w:rsidRDefault="0027626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9422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9422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9422E" w:rsidRPr="007E75DE">
                  <w:rPr>
                    <w:rFonts w:cs="Arial"/>
                    <w:szCs w:val="15"/>
                  </w:rPr>
                  <w:fldChar w:fldCharType="separate"/>
                </w:r>
                <w:r w:rsidR="00984C8E">
                  <w:rPr>
                    <w:rFonts w:cs="Arial"/>
                    <w:noProof/>
                    <w:szCs w:val="15"/>
                  </w:rPr>
                  <w:t>1</w:t>
                </w:r>
                <w:r w:rsidR="001942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9422E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64" w:rsidRDefault="00276264" w:rsidP="00BA6370">
      <w:r>
        <w:separator/>
      </w:r>
    </w:p>
  </w:footnote>
  <w:footnote w:type="continuationSeparator" w:id="0">
    <w:p w:rsidR="00276264" w:rsidRDefault="00276264" w:rsidP="00BA6370">
      <w:r>
        <w:continuationSeparator/>
      </w:r>
    </w:p>
  </w:footnote>
  <w:footnote w:id="1">
    <w:p w:rsidR="00A90362" w:rsidRDefault="00A90362" w:rsidP="00A90362">
      <w:pPr>
        <w:pStyle w:val="Textpoznpodarou"/>
      </w:pPr>
      <w:r w:rsidRPr="009560C5">
        <w:rPr>
          <w:rStyle w:val="Znakapoznpodarou"/>
          <w:rFonts w:eastAsia="Calibri"/>
          <w:sz w:val="18"/>
          <w:szCs w:val="18"/>
        </w:rPr>
        <w:t>*/</w:t>
      </w:r>
      <w:r w:rsidRPr="009560C5">
        <w:rPr>
          <w:sz w:val="18"/>
          <w:szCs w:val="18"/>
        </w:rPr>
        <w:t xml:space="preserve"> </w:t>
      </w:r>
      <w:r w:rsidRPr="004A4F98">
        <w:rPr>
          <w:rFonts w:ascii="Arial" w:hAnsi="Arial" w:cs="Arial"/>
          <w:i/>
          <w:sz w:val="18"/>
          <w:szCs w:val="18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</w:t>
      </w:r>
      <w:r w:rsidR="00CD6A8A">
        <w:rPr>
          <w:rFonts w:ascii="Arial" w:hAnsi="Arial" w:cs="Arial"/>
          <w:i/>
          <w:sz w:val="18"/>
          <w:szCs w:val="18"/>
        </w:rPr>
        <w:t xml:space="preserve"> and </w:t>
      </w:r>
      <w:r w:rsidRPr="004A4F98">
        <w:rPr>
          <w:rFonts w:ascii="Arial" w:hAnsi="Arial" w:cs="Arial"/>
          <w:i/>
          <w:sz w:val="18"/>
          <w:szCs w:val="18"/>
        </w:rPr>
        <w:t>calendar effects.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9422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7E9"/>
    <w:rsid w:val="00043BF4"/>
    <w:rsid w:val="000843A5"/>
    <w:rsid w:val="00091722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9422E"/>
    <w:rsid w:val="001B607F"/>
    <w:rsid w:val="001C71FD"/>
    <w:rsid w:val="001D369A"/>
    <w:rsid w:val="001D57E9"/>
    <w:rsid w:val="001F08B3"/>
    <w:rsid w:val="002070FB"/>
    <w:rsid w:val="00213729"/>
    <w:rsid w:val="002406FA"/>
    <w:rsid w:val="00276264"/>
    <w:rsid w:val="00297900"/>
    <w:rsid w:val="002B2E47"/>
    <w:rsid w:val="002D37F5"/>
    <w:rsid w:val="003078F8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60362"/>
    <w:rsid w:val="00475194"/>
    <w:rsid w:val="004920AD"/>
    <w:rsid w:val="004D05B3"/>
    <w:rsid w:val="004E479E"/>
    <w:rsid w:val="004F78E6"/>
    <w:rsid w:val="005047E7"/>
    <w:rsid w:val="00512D99"/>
    <w:rsid w:val="00531DBB"/>
    <w:rsid w:val="00564213"/>
    <w:rsid w:val="005B7A47"/>
    <w:rsid w:val="005F79FB"/>
    <w:rsid w:val="00602C03"/>
    <w:rsid w:val="00604406"/>
    <w:rsid w:val="00605F4A"/>
    <w:rsid w:val="00607822"/>
    <w:rsid w:val="006103AA"/>
    <w:rsid w:val="00613BBF"/>
    <w:rsid w:val="00622B80"/>
    <w:rsid w:val="0064139A"/>
    <w:rsid w:val="006831D5"/>
    <w:rsid w:val="006D5C60"/>
    <w:rsid w:val="006E024F"/>
    <w:rsid w:val="006E4E81"/>
    <w:rsid w:val="00707F7D"/>
    <w:rsid w:val="00717EC5"/>
    <w:rsid w:val="00755D8B"/>
    <w:rsid w:val="00763787"/>
    <w:rsid w:val="007A0CA5"/>
    <w:rsid w:val="007A57F2"/>
    <w:rsid w:val="007B1333"/>
    <w:rsid w:val="007B3E49"/>
    <w:rsid w:val="007F4AEB"/>
    <w:rsid w:val="007F75B2"/>
    <w:rsid w:val="008043C4"/>
    <w:rsid w:val="00831B1B"/>
    <w:rsid w:val="00855FB3"/>
    <w:rsid w:val="00861D0E"/>
    <w:rsid w:val="00867569"/>
    <w:rsid w:val="00885C0D"/>
    <w:rsid w:val="008A750A"/>
    <w:rsid w:val="008B3970"/>
    <w:rsid w:val="008C384C"/>
    <w:rsid w:val="008D0F11"/>
    <w:rsid w:val="008F56C6"/>
    <w:rsid w:val="008F73B4"/>
    <w:rsid w:val="009035E8"/>
    <w:rsid w:val="00971374"/>
    <w:rsid w:val="00984C8E"/>
    <w:rsid w:val="009A4A04"/>
    <w:rsid w:val="009B55B1"/>
    <w:rsid w:val="009E39C5"/>
    <w:rsid w:val="00A07BA7"/>
    <w:rsid w:val="00A4343D"/>
    <w:rsid w:val="00A502F1"/>
    <w:rsid w:val="00A70A83"/>
    <w:rsid w:val="00A81EB3"/>
    <w:rsid w:val="00A90362"/>
    <w:rsid w:val="00AB6196"/>
    <w:rsid w:val="00AC3140"/>
    <w:rsid w:val="00B00C1D"/>
    <w:rsid w:val="00B632CC"/>
    <w:rsid w:val="00BA12F1"/>
    <w:rsid w:val="00BA439F"/>
    <w:rsid w:val="00BA6370"/>
    <w:rsid w:val="00C269D4"/>
    <w:rsid w:val="00C4160D"/>
    <w:rsid w:val="00C8406E"/>
    <w:rsid w:val="00CB030A"/>
    <w:rsid w:val="00CB2709"/>
    <w:rsid w:val="00CB6F89"/>
    <w:rsid w:val="00CD6A8A"/>
    <w:rsid w:val="00CE228C"/>
    <w:rsid w:val="00CE71D9"/>
    <w:rsid w:val="00CF545B"/>
    <w:rsid w:val="00D15053"/>
    <w:rsid w:val="00D209A7"/>
    <w:rsid w:val="00D27D69"/>
    <w:rsid w:val="00D448C2"/>
    <w:rsid w:val="00D5692C"/>
    <w:rsid w:val="00D666C3"/>
    <w:rsid w:val="00D72CA3"/>
    <w:rsid w:val="00D811AB"/>
    <w:rsid w:val="00DB69C0"/>
    <w:rsid w:val="00DF47FE"/>
    <w:rsid w:val="00E0156A"/>
    <w:rsid w:val="00E26704"/>
    <w:rsid w:val="00E31980"/>
    <w:rsid w:val="00E6423C"/>
    <w:rsid w:val="00E71483"/>
    <w:rsid w:val="00E93830"/>
    <w:rsid w:val="00E93E0E"/>
    <w:rsid w:val="00EA55FB"/>
    <w:rsid w:val="00EB1A25"/>
    <w:rsid w:val="00EB1ED3"/>
    <w:rsid w:val="00EE70B7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osta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EB84-E356-4A36-B7C0-E083B84A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48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kogan4041</cp:lastModifiedBy>
  <cp:revision>14</cp:revision>
  <cp:lastPrinted>2015-08-13T08:25:00Z</cp:lastPrinted>
  <dcterms:created xsi:type="dcterms:W3CDTF">2015-08-13T07:31:00Z</dcterms:created>
  <dcterms:modified xsi:type="dcterms:W3CDTF">2015-08-13T09:07:00Z</dcterms:modified>
</cp:coreProperties>
</file>