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B70E16" w:rsidP="00867569">
      <w:pPr>
        <w:pStyle w:val="Datum"/>
      </w:pPr>
      <w:r>
        <w:t>4</w:t>
      </w:r>
      <w:r w:rsidR="00304176">
        <w:t>.</w:t>
      </w:r>
      <w:r w:rsidR="00915A3B">
        <w:t xml:space="preserve"> července </w:t>
      </w:r>
      <w:r w:rsidR="00304176">
        <w:t>201</w:t>
      </w:r>
      <w:r>
        <w:t>6</w:t>
      </w:r>
    </w:p>
    <w:p w:rsidR="00DB7DDE" w:rsidRDefault="00DB7DDE" w:rsidP="00DB7DDE">
      <w:pPr>
        <w:pStyle w:val="Podtitulek"/>
        <w:rPr>
          <w:color w:val="BD1B21"/>
          <w:sz w:val="32"/>
          <w:szCs w:val="32"/>
        </w:rPr>
      </w:pPr>
    </w:p>
    <w:p w:rsidR="00DB7DDE" w:rsidRPr="00DB7DDE" w:rsidRDefault="00DB7DDE" w:rsidP="00DB7DDE">
      <w:pPr>
        <w:pStyle w:val="Podtitulek"/>
        <w:rPr>
          <w:color w:val="BD1B21"/>
          <w:sz w:val="32"/>
          <w:szCs w:val="32"/>
        </w:rPr>
      </w:pPr>
      <w:r w:rsidRPr="00DB7DDE">
        <w:rPr>
          <w:color w:val="BD1B21"/>
          <w:sz w:val="32"/>
          <w:szCs w:val="32"/>
        </w:rPr>
        <w:t>Meziroční pokles úrovně deficitu i zadlužení</w:t>
      </w:r>
    </w:p>
    <w:p w:rsidR="00DB7DDE" w:rsidRDefault="00DB7DDE" w:rsidP="00DB7DDE">
      <w:pPr>
        <w:pStyle w:val="Podtitulek"/>
      </w:pPr>
      <w:r>
        <w:t>Deficit a dluh vládních institucí – 1. čtvrtletí 2016</w:t>
      </w:r>
    </w:p>
    <w:p w:rsidR="00EB44BC" w:rsidRDefault="00EB44BC" w:rsidP="00043BF4">
      <w:r w:rsidRPr="008D7FDA">
        <w:rPr>
          <w:b/>
        </w:rPr>
        <w:t xml:space="preserve">Deficit </w:t>
      </w:r>
      <w:r w:rsidR="00474A48">
        <w:rPr>
          <w:b/>
        </w:rPr>
        <w:t xml:space="preserve">sektoru </w:t>
      </w:r>
      <w:r w:rsidRPr="008D7FDA">
        <w:rPr>
          <w:b/>
        </w:rPr>
        <w:t xml:space="preserve">vládních </w:t>
      </w:r>
      <w:bookmarkStart w:id="0" w:name="_GoBack"/>
      <w:bookmarkEnd w:id="0"/>
      <w:r w:rsidRPr="008D7FDA">
        <w:rPr>
          <w:b/>
        </w:rPr>
        <w:t>institucí</w:t>
      </w:r>
      <w:r>
        <w:t xml:space="preserve"> v prvním čtvrtletí 201</w:t>
      </w:r>
      <w:r w:rsidR="00B3245E">
        <w:t>6</w:t>
      </w:r>
      <w:r>
        <w:t xml:space="preserve"> dosáhl úrovně </w:t>
      </w:r>
      <w:r w:rsidR="00B3245E" w:rsidRPr="00B3245E">
        <w:rPr>
          <w:b/>
        </w:rPr>
        <w:t>0</w:t>
      </w:r>
      <w:r w:rsidRPr="008D7FDA">
        <w:rPr>
          <w:b/>
        </w:rPr>
        <w:t>,</w:t>
      </w:r>
      <w:r w:rsidR="00B3245E">
        <w:rPr>
          <w:b/>
        </w:rPr>
        <w:t>74</w:t>
      </w:r>
      <w:r w:rsidRPr="008D7FDA">
        <w:rPr>
          <w:b/>
        </w:rPr>
        <w:t xml:space="preserve"> % HDP</w:t>
      </w:r>
      <w:r>
        <w:t>. Ve srovnání se stejným obdobím minulého roku došlo ke snížení deficitu o</w:t>
      </w:r>
      <w:r w:rsidR="00C65A6E">
        <w:t xml:space="preserve"> </w:t>
      </w:r>
      <w:r w:rsidR="00AE7FAA">
        <w:t>více než</w:t>
      </w:r>
      <w:r>
        <w:t xml:space="preserve"> </w:t>
      </w:r>
      <w:r w:rsidR="00B3245E">
        <w:t>1 procentní bod</w:t>
      </w:r>
      <w:r>
        <w:t>.</w:t>
      </w:r>
      <w:r w:rsidR="008D7FDA">
        <w:t xml:space="preserve"> </w:t>
      </w:r>
    </w:p>
    <w:p w:rsidR="00A94B28" w:rsidRDefault="00A94B28" w:rsidP="00043BF4"/>
    <w:p w:rsidR="00A94B28" w:rsidRPr="00043BF4" w:rsidRDefault="00A94B28" w:rsidP="00A94B28">
      <w:pPr>
        <w:pStyle w:val="TabulkaGraf"/>
      </w:pPr>
      <w:r>
        <w:t xml:space="preserve">Saldo hospodaření sektoru vládních institucí, Česká </w:t>
      </w:r>
      <w:proofErr w:type="gramStart"/>
      <w:r w:rsidR="00B7752A">
        <w:t>republika, 1.Q 201</w:t>
      </w:r>
      <w:r w:rsidR="00815D15">
        <w:t>5</w:t>
      </w:r>
      <w:proofErr w:type="gramEnd"/>
      <w:r w:rsidR="00B85D5E">
        <w:t xml:space="preserve"> </w:t>
      </w:r>
      <w:r>
        <w:t>-</w:t>
      </w:r>
      <w:r w:rsidR="00B85D5E">
        <w:t xml:space="preserve"> </w:t>
      </w:r>
      <w:r>
        <w:t>1.Q</w:t>
      </w:r>
      <w:r w:rsidR="00990C86">
        <w:t xml:space="preserve"> </w:t>
      </w:r>
      <w:r>
        <w:t>201</w:t>
      </w:r>
      <w:r w:rsidR="00815D15">
        <w:t>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1156"/>
        <w:gridCol w:w="973"/>
        <w:gridCol w:w="993"/>
        <w:gridCol w:w="993"/>
        <w:gridCol w:w="993"/>
        <w:gridCol w:w="993"/>
      </w:tblGrid>
      <w:tr w:rsidR="008D7FDA" w:rsidTr="008D7FDA">
        <w:tc>
          <w:tcPr>
            <w:tcW w:w="2518" w:type="dxa"/>
            <w:vMerge w:val="restart"/>
            <w:vAlign w:val="center"/>
          </w:tcPr>
          <w:p w:rsidR="008D7FDA" w:rsidRDefault="008D7FDA" w:rsidP="008D7FDA">
            <w:pPr>
              <w:jc w:val="center"/>
            </w:pPr>
          </w:p>
        </w:tc>
        <w:tc>
          <w:tcPr>
            <w:tcW w:w="1156" w:type="dxa"/>
            <w:vMerge w:val="restart"/>
            <w:vAlign w:val="center"/>
          </w:tcPr>
          <w:p w:rsidR="008D7FDA" w:rsidRDefault="008D7FDA" w:rsidP="008D7FDA">
            <w:pPr>
              <w:jc w:val="center"/>
            </w:pPr>
            <w:r>
              <w:t>Jednotka</w:t>
            </w:r>
          </w:p>
        </w:tc>
        <w:tc>
          <w:tcPr>
            <w:tcW w:w="3952" w:type="dxa"/>
            <w:gridSpan w:val="4"/>
          </w:tcPr>
          <w:p w:rsidR="008D7FDA" w:rsidRDefault="008D7FDA" w:rsidP="00815D15">
            <w:pPr>
              <w:jc w:val="center"/>
            </w:pPr>
            <w:r>
              <w:t>201</w:t>
            </w:r>
            <w:r w:rsidR="00815D15">
              <w:t>5</w:t>
            </w:r>
          </w:p>
        </w:tc>
        <w:tc>
          <w:tcPr>
            <w:tcW w:w="993" w:type="dxa"/>
          </w:tcPr>
          <w:p w:rsidR="008D7FDA" w:rsidRDefault="008D7FDA" w:rsidP="00815D15">
            <w:pPr>
              <w:jc w:val="center"/>
            </w:pPr>
            <w:r>
              <w:t>201</w:t>
            </w:r>
            <w:r w:rsidR="00815D15">
              <w:t>6</w:t>
            </w:r>
          </w:p>
        </w:tc>
      </w:tr>
      <w:tr w:rsidR="008D7FDA" w:rsidTr="008D7FDA">
        <w:tc>
          <w:tcPr>
            <w:tcW w:w="2518" w:type="dxa"/>
            <w:vMerge/>
          </w:tcPr>
          <w:p w:rsidR="008D7FDA" w:rsidRDefault="008D7FDA" w:rsidP="00043BF4"/>
        </w:tc>
        <w:tc>
          <w:tcPr>
            <w:tcW w:w="1156" w:type="dxa"/>
            <w:vMerge/>
          </w:tcPr>
          <w:p w:rsidR="008D7FDA" w:rsidRDefault="008D7FDA" w:rsidP="00043BF4"/>
        </w:tc>
        <w:tc>
          <w:tcPr>
            <w:tcW w:w="973" w:type="dxa"/>
          </w:tcPr>
          <w:p w:rsidR="008D7FDA" w:rsidRDefault="008D7FDA" w:rsidP="008D7FDA">
            <w:pPr>
              <w:jc w:val="center"/>
            </w:pPr>
            <w:r>
              <w:t>1. čtvrtletí</w:t>
            </w:r>
          </w:p>
        </w:tc>
        <w:tc>
          <w:tcPr>
            <w:tcW w:w="993" w:type="dxa"/>
          </w:tcPr>
          <w:p w:rsidR="008D7FDA" w:rsidRDefault="008D7FDA" w:rsidP="008D7FDA">
            <w:pPr>
              <w:jc w:val="center"/>
            </w:pPr>
            <w:r>
              <w:t>2. čtvrtletí</w:t>
            </w:r>
          </w:p>
        </w:tc>
        <w:tc>
          <w:tcPr>
            <w:tcW w:w="993" w:type="dxa"/>
          </w:tcPr>
          <w:p w:rsidR="008D7FDA" w:rsidRDefault="008D7FDA" w:rsidP="008D7FDA">
            <w:pPr>
              <w:jc w:val="center"/>
            </w:pPr>
            <w:r>
              <w:t>3. čtvrtletí</w:t>
            </w:r>
          </w:p>
        </w:tc>
        <w:tc>
          <w:tcPr>
            <w:tcW w:w="993" w:type="dxa"/>
          </w:tcPr>
          <w:p w:rsidR="008D7FDA" w:rsidRDefault="008D7FDA" w:rsidP="008D7FDA">
            <w:pPr>
              <w:jc w:val="center"/>
            </w:pPr>
            <w:r>
              <w:t>4. čtvrtletí</w:t>
            </w:r>
          </w:p>
        </w:tc>
        <w:tc>
          <w:tcPr>
            <w:tcW w:w="993" w:type="dxa"/>
          </w:tcPr>
          <w:p w:rsidR="008D7FDA" w:rsidRDefault="008D7FDA" w:rsidP="008D7FDA">
            <w:pPr>
              <w:jc w:val="center"/>
            </w:pPr>
            <w:r>
              <w:t>1. čtvrtletí</w:t>
            </w:r>
          </w:p>
        </w:tc>
      </w:tr>
      <w:tr w:rsidR="008D7FDA" w:rsidTr="008D7FDA">
        <w:tc>
          <w:tcPr>
            <w:tcW w:w="2518" w:type="dxa"/>
            <w:vMerge w:val="restart"/>
          </w:tcPr>
          <w:p w:rsidR="008D7FDA" w:rsidRDefault="00BF02C9" w:rsidP="00BF02C9">
            <w:pPr>
              <w:jc w:val="left"/>
            </w:pPr>
            <w:r>
              <w:rPr>
                <w:rFonts w:cs="Arial"/>
                <w:szCs w:val="20"/>
              </w:rPr>
              <w:t>Přebytek/Deficit sektoru vládních institucí</w:t>
            </w:r>
          </w:p>
        </w:tc>
        <w:tc>
          <w:tcPr>
            <w:tcW w:w="1156" w:type="dxa"/>
          </w:tcPr>
          <w:p w:rsidR="008D7FDA" w:rsidRDefault="008D7FDA" w:rsidP="005F0EFC">
            <w:pPr>
              <w:jc w:val="center"/>
            </w:pPr>
            <w:r>
              <w:t>mil. Kč</w:t>
            </w:r>
          </w:p>
        </w:tc>
        <w:tc>
          <w:tcPr>
            <w:tcW w:w="973" w:type="dxa"/>
          </w:tcPr>
          <w:p w:rsidR="008D7FDA" w:rsidRDefault="00B7682C" w:rsidP="00C60D47">
            <w:pPr>
              <w:jc w:val="center"/>
            </w:pPr>
            <w:r>
              <w:t>-</w:t>
            </w:r>
            <w:r w:rsidR="00C60D47">
              <w:t>19 192</w:t>
            </w:r>
          </w:p>
        </w:tc>
        <w:tc>
          <w:tcPr>
            <w:tcW w:w="993" w:type="dxa"/>
          </w:tcPr>
          <w:p w:rsidR="008D7FDA" w:rsidRDefault="00C60D47" w:rsidP="00C60D47">
            <w:pPr>
              <w:jc w:val="center"/>
            </w:pPr>
            <w:r>
              <w:t>9</w:t>
            </w:r>
            <w:r w:rsidR="00B3245E">
              <w:t xml:space="preserve"> </w:t>
            </w:r>
            <w:r>
              <w:t>759</w:t>
            </w:r>
          </w:p>
        </w:tc>
        <w:tc>
          <w:tcPr>
            <w:tcW w:w="993" w:type="dxa"/>
          </w:tcPr>
          <w:p w:rsidR="008D7FDA" w:rsidRDefault="00B3245E" w:rsidP="00C60D47">
            <w:pPr>
              <w:jc w:val="center"/>
            </w:pPr>
            <w:r>
              <w:t>8 16</w:t>
            </w:r>
            <w:r w:rsidR="00C60D47">
              <w:t>5</w:t>
            </w:r>
          </w:p>
        </w:tc>
        <w:tc>
          <w:tcPr>
            <w:tcW w:w="993" w:type="dxa"/>
          </w:tcPr>
          <w:p w:rsidR="008D7FDA" w:rsidRDefault="00B3245E" w:rsidP="00C60D47">
            <w:pPr>
              <w:jc w:val="center"/>
            </w:pPr>
            <w:r>
              <w:t>-17 41</w:t>
            </w:r>
            <w:r w:rsidR="00C60D47">
              <w:t>4</w:t>
            </w:r>
          </w:p>
        </w:tc>
        <w:tc>
          <w:tcPr>
            <w:tcW w:w="993" w:type="dxa"/>
          </w:tcPr>
          <w:p w:rsidR="008D7FDA" w:rsidRDefault="00C135E6" w:rsidP="00B3245E">
            <w:pPr>
              <w:jc w:val="center"/>
            </w:pPr>
            <w:r>
              <w:t>-</w:t>
            </w:r>
            <w:r w:rsidR="00B3245E">
              <w:t>8 117</w:t>
            </w:r>
          </w:p>
        </w:tc>
      </w:tr>
      <w:tr w:rsidR="008D7FDA" w:rsidTr="008D7FDA">
        <w:tc>
          <w:tcPr>
            <w:tcW w:w="2518" w:type="dxa"/>
            <w:vMerge/>
          </w:tcPr>
          <w:p w:rsidR="008D7FDA" w:rsidRDefault="008D7FDA" w:rsidP="00043BF4"/>
        </w:tc>
        <w:tc>
          <w:tcPr>
            <w:tcW w:w="1156" w:type="dxa"/>
          </w:tcPr>
          <w:p w:rsidR="008D7FDA" w:rsidRDefault="008D7FDA" w:rsidP="005F0EFC">
            <w:pPr>
              <w:jc w:val="center"/>
            </w:pPr>
            <w:r>
              <w:t>% (HDP)</w:t>
            </w:r>
          </w:p>
        </w:tc>
        <w:tc>
          <w:tcPr>
            <w:tcW w:w="973" w:type="dxa"/>
          </w:tcPr>
          <w:p w:rsidR="008D7FDA" w:rsidRDefault="00B7682C" w:rsidP="00C60D47">
            <w:pPr>
              <w:jc w:val="center"/>
            </w:pPr>
            <w:r>
              <w:t>-</w:t>
            </w:r>
            <w:r w:rsidR="00B3245E">
              <w:t>1</w:t>
            </w:r>
            <w:r>
              <w:t>,</w:t>
            </w:r>
            <w:r w:rsidR="00C60D47">
              <w:t>82</w:t>
            </w:r>
          </w:p>
        </w:tc>
        <w:tc>
          <w:tcPr>
            <w:tcW w:w="993" w:type="dxa"/>
          </w:tcPr>
          <w:p w:rsidR="008D7FDA" w:rsidRDefault="00B3245E" w:rsidP="00C60D47">
            <w:pPr>
              <w:jc w:val="center"/>
            </w:pPr>
            <w:r>
              <w:t>0,</w:t>
            </w:r>
            <w:r w:rsidR="00C60D47">
              <w:t>85</w:t>
            </w:r>
          </w:p>
        </w:tc>
        <w:tc>
          <w:tcPr>
            <w:tcW w:w="993" w:type="dxa"/>
          </w:tcPr>
          <w:p w:rsidR="008D7FDA" w:rsidRDefault="00B3245E" w:rsidP="00B7682C">
            <w:pPr>
              <w:jc w:val="center"/>
            </w:pPr>
            <w:r>
              <w:t>0,70</w:t>
            </w:r>
          </w:p>
        </w:tc>
        <w:tc>
          <w:tcPr>
            <w:tcW w:w="993" w:type="dxa"/>
          </w:tcPr>
          <w:p w:rsidR="008D7FDA" w:rsidRDefault="00B3245E" w:rsidP="00B7682C">
            <w:pPr>
              <w:jc w:val="center"/>
            </w:pPr>
            <w:r>
              <w:t>-1,46</w:t>
            </w:r>
          </w:p>
        </w:tc>
        <w:tc>
          <w:tcPr>
            <w:tcW w:w="993" w:type="dxa"/>
          </w:tcPr>
          <w:p w:rsidR="008D7FDA" w:rsidRDefault="00B7682C" w:rsidP="00B3245E">
            <w:pPr>
              <w:jc w:val="center"/>
            </w:pPr>
            <w:r>
              <w:t>-</w:t>
            </w:r>
            <w:r w:rsidR="00B3245E">
              <w:t>0,74</w:t>
            </w:r>
          </w:p>
        </w:tc>
      </w:tr>
    </w:tbl>
    <w:p w:rsidR="008D7FDA" w:rsidRPr="000A18CB" w:rsidRDefault="000A18CB" w:rsidP="00043BF4">
      <w:pPr>
        <w:rPr>
          <w:i/>
        </w:rPr>
      </w:pPr>
      <w:r w:rsidRPr="000A18CB">
        <w:rPr>
          <w:i/>
        </w:rPr>
        <w:t xml:space="preserve">Poznámka: </w:t>
      </w:r>
      <w:r>
        <w:rPr>
          <w:i/>
        </w:rPr>
        <w:t>údaje v tabulce nejsou sezónně očištěny, nelze je srovnávat mezičtvrtletně</w:t>
      </w:r>
    </w:p>
    <w:p w:rsidR="000A18CB" w:rsidRDefault="000A18CB" w:rsidP="00043BF4"/>
    <w:p w:rsidR="00AE7FAA" w:rsidRDefault="00AE7FAA" w:rsidP="00AE7FAA">
      <w:r w:rsidRPr="00AE7FAA">
        <w:t xml:space="preserve">Za </w:t>
      </w:r>
      <w:r>
        <w:t xml:space="preserve">meziročně nižší úrovní deficitu </w:t>
      </w:r>
      <w:r w:rsidR="00A32AB9">
        <w:t xml:space="preserve">sektoru vládních institucí </w:t>
      </w:r>
      <w:r>
        <w:t xml:space="preserve">stojí zejména růst příjmů </w:t>
      </w:r>
      <w:r w:rsidR="00A32AB9">
        <w:t>z</w:t>
      </w:r>
      <w:r>
        <w:t xml:space="preserve"> daní a </w:t>
      </w:r>
      <w:r w:rsidR="00DB7DDE">
        <w:t xml:space="preserve">vybraných </w:t>
      </w:r>
      <w:r>
        <w:t>sociálních příspěvků</w:t>
      </w:r>
      <w:r w:rsidR="00A32AB9">
        <w:t>, a to meziročně o 25 mld. Kč</w:t>
      </w:r>
      <w:r>
        <w:t xml:space="preserve">. Na výdajové straně </w:t>
      </w:r>
      <w:r w:rsidR="00264DAF">
        <w:t>nejvýrazněji</w:t>
      </w:r>
      <w:r w:rsidR="00A32AB9">
        <w:t xml:space="preserve"> </w:t>
      </w:r>
      <w:r w:rsidR="00264DAF">
        <w:t>vz</w:t>
      </w:r>
      <w:r w:rsidR="00A32AB9">
        <w:t>rostly výdaje na sociální dávky (</w:t>
      </w:r>
      <w:r w:rsidR="00E30385">
        <w:t>+</w:t>
      </w:r>
      <w:r w:rsidR="00A32AB9">
        <w:t>8 mld. Kč) související zejména s va</w:t>
      </w:r>
      <w:r w:rsidR="00604C56">
        <w:t>lorizací důchodů a jednorázovým příspěvkem</w:t>
      </w:r>
      <w:r w:rsidR="00A32AB9">
        <w:t xml:space="preserve"> důchodcům. </w:t>
      </w:r>
      <w:r w:rsidR="00E30385">
        <w:t>M</w:t>
      </w:r>
      <w:r w:rsidR="00A32AB9">
        <w:t xml:space="preserve">eziroční růst </w:t>
      </w:r>
      <w:r w:rsidR="00E30385">
        <w:t xml:space="preserve">na výdajové straně </w:t>
      </w:r>
      <w:r w:rsidR="00A32AB9">
        <w:t>byl dále zaznamenán v položce náhrad zaměstnancům (</w:t>
      </w:r>
      <w:r w:rsidR="00E30385">
        <w:t>+</w:t>
      </w:r>
      <w:r w:rsidR="00A32AB9">
        <w:t xml:space="preserve">4 mld. Kč) a </w:t>
      </w:r>
      <w:proofErr w:type="spellStart"/>
      <w:r w:rsidR="00A32AB9">
        <w:t>mezispotřeby</w:t>
      </w:r>
      <w:proofErr w:type="spellEnd"/>
      <w:r w:rsidR="00A32AB9">
        <w:t xml:space="preserve"> (</w:t>
      </w:r>
      <w:r w:rsidR="00E30385">
        <w:t>+</w:t>
      </w:r>
      <w:r w:rsidR="00A32AB9">
        <w:t>3 mld. Kč). Meziročně naopak došlo k mírnému poklesu investičních výdajů</w:t>
      </w:r>
      <w:r w:rsidR="00031E89">
        <w:t xml:space="preserve"> vládních institucí</w:t>
      </w:r>
      <w:r w:rsidR="00A32AB9">
        <w:t xml:space="preserve"> (</w:t>
      </w:r>
      <w:r w:rsidR="00E30385">
        <w:t>-</w:t>
      </w:r>
      <w:r w:rsidR="00A32AB9">
        <w:t>0,</w:t>
      </w:r>
      <w:r w:rsidR="00264DAF">
        <w:t>4</w:t>
      </w:r>
      <w:r w:rsidR="00A32AB9">
        <w:t xml:space="preserve"> mld. Kč).</w:t>
      </w:r>
    </w:p>
    <w:p w:rsidR="00A32AB9" w:rsidRPr="00AE7FAA" w:rsidRDefault="00A32AB9" w:rsidP="00AE7FAA"/>
    <w:p w:rsidR="00A94B28" w:rsidRDefault="00A32AB9" w:rsidP="00A94B28">
      <w:r>
        <w:rPr>
          <w:b/>
        </w:rPr>
        <w:t>Míra zadlužení</w:t>
      </w:r>
      <w:r w:rsidR="00A94B28" w:rsidRPr="008D7FDA">
        <w:rPr>
          <w:b/>
        </w:rPr>
        <w:t xml:space="preserve"> </w:t>
      </w:r>
      <w:r w:rsidR="00474A48">
        <w:rPr>
          <w:b/>
        </w:rPr>
        <w:t xml:space="preserve">sektoru </w:t>
      </w:r>
      <w:r w:rsidR="00A94B28" w:rsidRPr="008D7FDA">
        <w:rPr>
          <w:b/>
        </w:rPr>
        <w:t>vládních institucí</w:t>
      </w:r>
      <w:r w:rsidR="00A94B28">
        <w:t xml:space="preserve"> </w:t>
      </w:r>
      <w:r w:rsidR="00546A7F">
        <w:t>poklesl</w:t>
      </w:r>
      <w:r>
        <w:t>a</w:t>
      </w:r>
      <w:r w:rsidR="00546A7F">
        <w:t xml:space="preserve"> meziročně z úrovně </w:t>
      </w:r>
      <w:r w:rsidR="00B3245E">
        <w:t>41,94</w:t>
      </w:r>
      <w:r w:rsidR="00546A7F">
        <w:t xml:space="preserve"> na </w:t>
      </w:r>
      <w:r w:rsidR="00B3245E">
        <w:rPr>
          <w:b/>
        </w:rPr>
        <w:t>40,4</w:t>
      </w:r>
      <w:r w:rsidR="002A56D6">
        <w:rPr>
          <w:b/>
        </w:rPr>
        <w:t>3</w:t>
      </w:r>
      <w:r w:rsidR="00474A48" w:rsidRPr="00474A48">
        <w:rPr>
          <w:b/>
        </w:rPr>
        <w:t xml:space="preserve"> % HDP</w:t>
      </w:r>
      <w:r w:rsidR="00264DAF">
        <w:rPr>
          <w:b/>
        </w:rPr>
        <w:t xml:space="preserve">, </w:t>
      </w:r>
      <w:r w:rsidR="00264DAF" w:rsidRPr="00264DAF">
        <w:t>neboť</w:t>
      </w:r>
      <w:r w:rsidR="00264DAF">
        <w:rPr>
          <w:b/>
        </w:rPr>
        <w:t xml:space="preserve"> </w:t>
      </w:r>
      <w:r w:rsidR="00264DAF" w:rsidRPr="00264DAF">
        <w:t>t</w:t>
      </w:r>
      <w:r w:rsidR="00031E89">
        <w:t xml:space="preserve">empo </w:t>
      </w:r>
      <w:r w:rsidR="00264DAF">
        <w:t xml:space="preserve">meziročního </w:t>
      </w:r>
      <w:r>
        <w:t>růst</w:t>
      </w:r>
      <w:r w:rsidR="00264DAF">
        <w:t>u</w:t>
      </w:r>
      <w:r>
        <w:t xml:space="preserve"> nominálního </w:t>
      </w:r>
      <w:r w:rsidR="00031E89">
        <w:t>dluhu</w:t>
      </w:r>
      <w:r w:rsidR="00546A7F">
        <w:t xml:space="preserve"> </w:t>
      </w:r>
      <w:r w:rsidR="00264DAF">
        <w:t>bylo</w:t>
      </w:r>
      <w:r w:rsidR="00E30385">
        <w:t xml:space="preserve"> více než kompenzován</w:t>
      </w:r>
      <w:r w:rsidR="00031E89">
        <w:t>o</w:t>
      </w:r>
      <w:r>
        <w:t xml:space="preserve"> </w:t>
      </w:r>
      <w:r w:rsidR="00264DAF">
        <w:t xml:space="preserve">tempem </w:t>
      </w:r>
      <w:r w:rsidR="00031E89">
        <w:t>r</w:t>
      </w:r>
      <w:r w:rsidR="00264DAF">
        <w:t>ůstu</w:t>
      </w:r>
      <w:r w:rsidR="00031E89">
        <w:t xml:space="preserve"> nominálního</w:t>
      </w:r>
      <w:r w:rsidR="00E30385">
        <w:t xml:space="preserve"> </w:t>
      </w:r>
      <w:r>
        <w:t xml:space="preserve">HDP. </w:t>
      </w:r>
      <w:r w:rsidR="00031E89">
        <w:t>Na mezičtvrtletní bázi</w:t>
      </w:r>
      <w:r w:rsidR="00264DAF">
        <w:t xml:space="preserve"> ovšem vývoj míry zadlužení přerušil sérii poklesů a míra zadlužení vládních institucí oproti předchozímu čtvrtletí vzrostla o 0,1</w:t>
      </w:r>
      <w:r w:rsidR="00917C75">
        <w:t>2</w:t>
      </w:r>
      <w:r w:rsidR="00264DAF">
        <w:t xml:space="preserve"> procentního bodu.</w:t>
      </w:r>
    </w:p>
    <w:p w:rsidR="00A94B28" w:rsidRDefault="00A94B28" w:rsidP="00A94B28"/>
    <w:p w:rsidR="00A94B28" w:rsidRPr="00043BF4" w:rsidRDefault="00A94B28" w:rsidP="00A94B28">
      <w:pPr>
        <w:pStyle w:val="TabulkaGraf"/>
      </w:pPr>
      <w:r>
        <w:t xml:space="preserve">Dluh sektoru vládních institucí, Česká </w:t>
      </w:r>
      <w:proofErr w:type="gramStart"/>
      <w:r w:rsidR="00B7752A">
        <w:t>republika, 1.Q 201</w:t>
      </w:r>
      <w:r w:rsidR="00815D15">
        <w:t>5</w:t>
      </w:r>
      <w:proofErr w:type="gramEnd"/>
      <w:r w:rsidR="00B85D5E">
        <w:t xml:space="preserve"> </w:t>
      </w:r>
      <w:r>
        <w:t>-</w:t>
      </w:r>
      <w:r w:rsidR="00B85D5E">
        <w:t xml:space="preserve"> </w:t>
      </w:r>
      <w:r>
        <w:t>1.Q</w:t>
      </w:r>
      <w:r w:rsidR="00990C86">
        <w:t xml:space="preserve"> </w:t>
      </w:r>
      <w:r>
        <w:t>201</w:t>
      </w:r>
      <w:r w:rsidR="00815D15">
        <w:t>6</w:t>
      </w:r>
    </w:p>
    <w:tbl>
      <w:tblPr>
        <w:tblStyle w:val="Mkatabulky"/>
        <w:tblW w:w="8931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70"/>
        <w:gridCol w:w="1170"/>
        <w:gridCol w:w="1204"/>
        <w:gridCol w:w="1168"/>
      </w:tblGrid>
      <w:tr w:rsidR="00A94B28" w:rsidTr="00281B97">
        <w:tc>
          <w:tcPr>
            <w:tcW w:w="1951" w:type="dxa"/>
            <w:vMerge w:val="restart"/>
            <w:vAlign w:val="center"/>
          </w:tcPr>
          <w:p w:rsidR="00A94B28" w:rsidRDefault="00A94B28" w:rsidP="00372699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A94B28" w:rsidRDefault="00A94B28" w:rsidP="00372699">
            <w:pPr>
              <w:jc w:val="center"/>
            </w:pPr>
            <w:r>
              <w:t>Jednotka</w:t>
            </w:r>
          </w:p>
        </w:tc>
        <w:tc>
          <w:tcPr>
            <w:tcW w:w="4678" w:type="dxa"/>
            <w:gridSpan w:val="4"/>
          </w:tcPr>
          <w:p w:rsidR="00A94B28" w:rsidRDefault="00A94B28" w:rsidP="00815D15">
            <w:pPr>
              <w:jc w:val="center"/>
            </w:pPr>
            <w:r>
              <w:t>201</w:t>
            </w:r>
            <w:r w:rsidR="00815D15">
              <w:t>5</w:t>
            </w:r>
          </w:p>
        </w:tc>
        <w:tc>
          <w:tcPr>
            <w:tcW w:w="1168" w:type="dxa"/>
          </w:tcPr>
          <w:p w:rsidR="00A94B28" w:rsidRDefault="00815D15" w:rsidP="00372699">
            <w:pPr>
              <w:jc w:val="center"/>
            </w:pPr>
            <w:r>
              <w:t>2016</w:t>
            </w:r>
          </w:p>
        </w:tc>
      </w:tr>
      <w:tr w:rsidR="00A94B28" w:rsidTr="00281B97">
        <w:tc>
          <w:tcPr>
            <w:tcW w:w="1951" w:type="dxa"/>
            <w:vMerge/>
          </w:tcPr>
          <w:p w:rsidR="00A94B28" w:rsidRDefault="00A94B28" w:rsidP="00372699"/>
        </w:tc>
        <w:tc>
          <w:tcPr>
            <w:tcW w:w="1134" w:type="dxa"/>
            <w:vMerge/>
          </w:tcPr>
          <w:p w:rsidR="00A94B28" w:rsidRDefault="00A94B28" w:rsidP="00372699"/>
        </w:tc>
        <w:tc>
          <w:tcPr>
            <w:tcW w:w="1134" w:type="dxa"/>
          </w:tcPr>
          <w:p w:rsidR="00A94B28" w:rsidRDefault="00A94B28" w:rsidP="00372699">
            <w:pPr>
              <w:jc w:val="center"/>
            </w:pPr>
            <w:r>
              <w:t>1. čtvrtletí</w:t>
            </w:r>
          </w:p>
        </w:tc>
        <w:tc>
          <w:tcPr>
            <w:tcW w:w="1170" w:type="dxa"/>
          </w:tcPr>
          <w:p w:rsidR="00A94B28" w:rsidRDefault="00A94B28" w:rsidP="00372699">
            <w:pPr>
              <w:jc w:val="center"/>
            </w:pPr>
            <w:r>
              <w:t>2. čtvrtletí</w:t>
            </w:r>
          </w:p>
        </w:tc>
        <w:tc>
          <w:tcPr>
            <w:tcW w:w="1170" w:type="dxa"/>
          </w:tcPr>
          <w:p w:rsidR="00A94B28" w:rsidRDefault="00A94B28" w:rsidP="00372699">
            <w:pPr>
              <w:jc w:val="center"/>
            </w:pPr>
            <w:r>
              <w:t>3. čtvrtletí</w:t>
            </w:r>
          </w:p>
        </w:tc>
        <w:tc>
          <w:tcPr>
            <w:tcW w:w="1204" w:type="dxa"/>
          </w:tcPr>
          <w:p w:rsidR="00A94B28" w:rsidRDefault="00A94B28" w:rsidP="00372699">
            <w:pPr>
              <w:jc w:val="center"/>
            </w:pPr>
            <w:r>
              <w:t>4. čtvrtletí</w:t>
            </w:r>
          </w:p>
        </w:tc>
        <w:tc>
          <w:tcPr>
            <w:tcW w:w="1168" w:type="dxa"/>
          </w:tcPr>
          <w:p w:rsidR="00A94B28" w:rsidRDefault="00A94B28" w:rsidP="00372699">
            <w:pPr>
              <w:jc w:val="center"/>
            </w:pPr>
            <w:r>
              <w:t>1. čtvrtletí</w:t>
            </w:r>
          </w:p>
        </w:tc>
      </w:tr>
      <w:tr w:rsidR="00A94B28" w:rsidTr="005F0EFC">
        <w:tc>
          <w:tcPr>
            <w:tcW w:w="1951" w:type="dxa"/>
            <w:vMerge w:val="restart"/>
          </w:tcPr>
          <w:p w:rsidR="00A94B28" w:rsidRDefault="00EA2DE9" w:rsidP="00372699">
            <w:pPr>
              <w:jc w:val="left"/>
            </w:pPr>
            <w:r>
              <w:rPr>
                <w:rFonts w:cs="Arial"/>
                <w:szCs w:val="20"/>
              </w:rPr>
              <w:t>Konsolidovaný hrubý dluh sektoru vládních institucí</w:t>
            </w:r>
            <w:r w:rsidR="00A94B28" w:rsidRPr="00E155B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94B28" w:rsidRDefault="00A94B28" w:rsidP="005F0EFC">
            <w:pPr>
              <w:jc w:val="center"/>
            </w:pPr>
            <w:r>
              <w:t>mil. Kč</w:t>
            </w:r>
          </w:p>
        </w:tc>
        <w:tc>
          <w:tcPr>
            <w:tcW w:w="1134" w:type="dxa"/>
            <w:vAlign w:val="center"/>
          </w:tcPr>
          <w:p w:rsidR="00A94B28" w:rsidRDefault="00EA2DE9" w:rsidP="00B3245E">
            <w:pPr>
              <w:jc w:val="center"/>
            </w:pPr>
            <w:r>
              <w:t>1</w:t>
            </w:r>
            <w:r w:rsidR="00B3245E">
              <w:t> 835 431</w:t>
            </w:r>
          </w:p>
        </w:tc>
        <w:tc>
          <w:tcPr>
            <w:tcW w:w="1170" w:type="dxa"/>
            <w:vAlign w:val="center"/>
          </w:tcPr>
          <w:p w:rsidR="00A94B28" w:rsidRDefault="00B3245E" w:rsidP="00917C75">
            <w:pPr>
              <w:jc w:val="center"/>
            </w:pPr>
            <w:r>
              <w:t>1 827 9</w:t>
            </w:r>
            <w:r w:rsidR="00917C75">
              <w:t>9</w:t>
            </w:r>
            <w:r>
              <w:t>0</w:t>
            </w:r>
          </w:p>
        </w:tc>
        <w:tc>
          <w:tcPr>
            <w:tcW w:w="1170" w:type="dxa"/>
            <w:vAlign w:val="center"/>
          </w:tcPr>
          <w:p w:rsidR="00A94B28" w:rsidRDefault="00B3245E" w:rsidP="00281B97">
            <w:pPr>
              <w:jc w:val="center"/>
            </w:pPr>
            <w:r>
              <w:t>1 829 039</w:t>
            </w:r>
          </w:p>
        </w:tc>
        <w:tc>
          <w:tcPr>
            <w:tcW w:w="1204" w:type="dxa"/>
            <w:vAlign w:val="center"/>
          </w:tcPr>
          <w:p w:rsidR="00A94B28" w:rsidRDefault="00B3245E" w:rsidP="00281B97">
            <w:pPr>
              <w:jc w:val="center"/>
            </w:pPr>
            <w:r>
              <w:t>1 836 166</w:t>
            </w:r>
          </w:p>
        </w:tc>
        <w:tc>
          <w:tcPr>
            <w:tcW w:w="1168" w:type="dxa"/>
            <w:vAlign w:val="center"/>
          </w:tcPr>
          <w:p w:rsidR="00A94B28" w:rsidRDefault="00B3245E" w:rsidP="00917C75">
            <w:pPr>
              <w:jc w:val="center"/>
            </w:pPr>
            <w:r>
              <w:t xml:space="preserve">1 857 </w:t>
            </w:r>
            <w:r w:rsidR="00917C75">
              <w:t>8</w:t>
            </w:r>
            <w:r>
              <w:t>90</w:t>
            </w:r>
          </w:p>
        </w:tc>
      </w:tr>
      <w:tr w:rsidR="00A94B28" w:rsidTr="005F0EFC">
        <w:tc>
          <w:tcPr>
            <w:tcW w:w="1951" w:type="dxa"/>
            <w:vMerge/>
          </w:tcPr>
          <w:p w:rsidR="00A94B28" w:rsidRDefault="00A94B28" w:rsidP="00372699"/>
        </w:tc>
        <w:tc>
          <w:tcPr>
            <w:tcW w:w="1134" w:type="dxa"/>
            <w:vAlign w:val="center"/>
          </w:tcPr>
          <w:p w:rsidR="00A94B28" w:rsidRDefault="00A94B28" w:rsidP="005F0EFC">
            <w:pPr>
              <w:jc w:val="center"/>
            </w:pPr>
            <w:r>
              <w:t>% (HDP)</w:t>
            </w:r>
          </w:p>
        </w:tc>
        <w:tc>
          <w:tcPr>
            <w:tcW w:w="1134" w:type="dxa"/>
            <w:vAlign w:val="center"/>
          </w:tcPr>
          <w:p w:rsidR="00A94B28" w:rsidRDefault="00B3245E" w:rsidP="00281B97">
            <w:pPr>
              <w:jc w:val="center"/>
            </w:pPr>
            <w:r>
              <w:t>41,94</w:t>
            </w:r>
          </w:p>
        </w:tc>
        <w:tc>
          <w:tcPr>
            <w:tcW w:w="1170" w:type="dxa"/>
            <w:vAlign w:val="center"/>
          </w:tcPr>
          <w:p w:rsidR="00A94B28" w:rsidRDefault="00B3245E" w:rsidP="003B416A">
            <w:pPr>
              <w:jc w:val="center"/>
            </w:pPr>
            <w:r>
              <w:t>41,1</w:t>
            </w:r>
            <w:r w:rsidR="003B416A">
              <w:t>7</w:t>
            </w:r>
          </w:p>
        </w:tc>
        <w:tc>
          <w:tcPr>
            <w:tcW w:w="1170" w:type="dxa"/>
            <w:vAlign w:val="center"/>
          </w:tcPr>
          <w:p w:rsidR="00A94B28" w:rsidRDefault="00B3245E" w:rsidP="00281B97">
            <w:pPr>
              <w:jc w:val="center"/>
            </w:pPr>
            <w:r>
              <w:t>40,67</w:t>
            </w:r>
          </w:p>
        </w:tc>
        <w:tc>
          <w:tcPr>
            <w:tcW w:w="1204" w:type="dxa"/>
            <w:vAlign w:val="center"/>
          </w:tcPr>
          <w:p w:rsidR="00A94B28" w:rsidRDefault="00B3245E" w:rsidP="00281B97">
            <w:pPr>
              <w:jc w:val="center"/>
            </w:pPr>
            <w:r>
              <w:t>40,31</w:t>
            </w:r>
          </w:p>
        </w:tc>
        <w:tc>
          <w:tcPr>
            <w:tcW w:w="1168" w:type="dxa"/>
            <w:vAlign w:val="center"/>
          </w:tcPr>
          <w:p w:rsidR="00A94B28" w:rsidRDefault="00B3245E" w:rsidP="00917C75">
            <w:pPr>
              <w:jc w:val="center"/>
            </w:pPr>
            <w:r>
              <w:t>40,4</w:t>
            </w:r>
            <w:r w:rsidR="00917C75">
              <w:t>3</w:t>
            </w:r>
          </w:p>
        </w:tc>
      </w:tr>
    </w:tbl>
    <w:p w:rsidR="00A94B28" w:rsidRDefault="00A94B28" w:rsidP="00A94B28"/>
    <w:p w:rsidR="00546A7F" w:rsidRDefault="00712924" w:rsidP="00A94B28">
      <w:r>
        <w:t xml:space="preserve">Podíl jednotlivých instrumentů na celkovém dluhu zůstává na stabilní úrovni s dominantním </w:t>
      </w:r>
      <w:r w:rsidR="0057429D">
        <w:t>zastoupením</w:t>
      </w:r>
      <w:r>
        <w:t xml:space="preserve"> dluhových cenných papírů (kolem 90 %).</w:t>
      </w:r>
    </w:p>
    <w:p w:rsidR="0005106B" w:rsidRDefault="0005106B" w:rsidP="00A94B28"/>
    <w:p w:rsidR="0005106B" w:rsidRDefault="0064756E" w:rsidP="00A94B2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58FB7">
                <wp:simplePos x="0" y="0"/>
                <wp:positionH relativeFrom="column">
                  <wp:posOffset>829310</wp:posOffset>
                </wp:positionH>
                <wp:positionV relativeFrom="paragraph">
                  <wp:posOffset>39370</wp:posOffset>
                </wp:positionV>
                <wp:extent cx="3841750" cy="0"/>
                <wp:effectExtent l="10160" t="10795" r="5715" b="825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5.3pt;margin-top:3.1pt;width:3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em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"/>
            </w:pict>
          </mc:Fallback>
        </mc:AlternateContent>
      </w:r>
    </w:p>
    <w:p w:rsidR="0005106B" w:rsidRDefault="0005106B" w:rsidP="00A94B28"/>
    <w:p w:rsidR="008F7147" w:rsidRDefault="00546A7F" w:rsidP="00043BF4">
      <w:r>
        <w:t>Indikátory salda</w:t>
      </w:r>
      <w:r w:rsidR="0005106B">
        <w:t xml:space="preserve"> hospodaření a dluh</w:t>
      </w:r>
      <w:r>
        <w:t>u</w:t>
      </w:r>
      <w:r w:rsidR="0005106B">
        <w:t xml:space="preserve"> vládních institucí jsou založeny na akruálním principu požadovan</w:t>
      </w:r>
      <w:r w:rsidR="00635BB1">
        <w:t>é</w:t>
      </w:r>
      <w:r w:rsidR="0005106B">
        <w:t>m metodikou ESA2010 a Manuálem</w:t>
      </w:r>
      <w:r w:rsidR="008F7147">
        <w:t xml:space="preserve"> k deficitu a dluhu</w:t>
      </w:r>
      <w:r w:rsidR="0005106B">
        <w:t xml:space="preserve">. </w:t>
      </w:r>
      <w:r w:rsidR="00BB2C9A">
        <w:t xml:space="preserve">Dle akruálního principu </w:t>
      </w:r>
      <w:r w:rsidR="00705916">
        <w:t xml:space="preserve">jsou příjmy a výdaje </w:t>
      </w:r>
      <w:r w:rsidR="00BB2C9A">
        <w:t>přiřazen</w:t>
      </w:r>
      <w:r w:rsidR="00705916">
        <w:t>y</w:t>
      </w:r>
      <w:r w:rsidR="00BB2C9A">
        <w:t xml:space="preserve"> období, se kterým věcně souvisí, </w:t>
      </w:r>
      <w:r w:rsidR="00705916">
        <w:t>bez ohledu na období uskutečnění hotovostního toku</w:t>
      </w:r>
      <w:r w:rsidR="00BB2C9A">
        <w:t xml:space="preserve">. </w:t>
      </w:r>
      <w:r w:rsidR="00506867" w:rsidRPr="00506867">
        <w:rPr>
          <w:rFonts w:cs="Arial"/>
          <w:szCs w:val="20"/>
        </w:rPr>
        <w:t>Přebytek/deficit vládních institucí</w:t>
      </w:r>
      <w:r w:rsidR="00506867" w:rsidRPr="00E155B6">
        <w:rPr>
          <w:rFonts w:cs="Arial"/>
          <w:szCs w:val="20"/>
        </w:rPr>
        <w:t xml:space="preserve"> </w:t>
      </w:r>
      <w:r w:rsidR="00506867">
        <w:rPr>
          <w:rFonts w:cs="Arial"/>
          <w:szCs w:val="20"/>
        </w:rPr>
        <w:t>představuje výši</w:t>
      </w:r>
      <w:r w:rsidR="00506867" w:rsidRPr="00E155B6">
        <w:rPr>
          <w:rFonts w:cs="Arial"/>
          <w:szCs w:val="20"/>
        </w:rPr>
        <w:t xml:space="preserve"> čistých půjček (+) nebo výpůjček (-) v systému národního účetnictví. </w:t>
      </w:r>
      <w:r w:rsidR="0005106B">
        <w:t xml:space="preserve">Uvedené údaje jsou v metodickém souladu s údaji sloužícími pro účely EDP a pro hodnocení plnění maastrichtských kritérií. </w:t>
      </w:r>
    </w:p>
    <w:p w:rsidR="00A94B28" w:rsidRDefault="0005106B" w:rsidP="00043BF4">
      <w:r>
        <w:t xml:space="preserve">Saldo hospodaření v daném čtvrtletí je porovnáno s výší HDP </w:t>
      </w:r>
      <w:r w:rsidR="00C3546B">
        <w:t xml:space="preserve">v daném čtvrtletí </w:t>
      </w:r>
      <w:r>
        <w:t xml:space="preserve">v běžných cenách. Výše </w:t>
      </w:r>
      <w:r w:rsidR="00712924">
        <w:t xml:space="preserve">konsolidovaného </w:t>
      </w:r>
      <w:r>
        <w:t>dluhu vládních institucí</w:t>
      </w:r>
      <w:r w:rsidR="00712924">
        <w:t xml:space="preserve"> definovaného jako</w:t>
      </w:r>
      <w:r>
        <w:t xml:space="preserve"> </w:t>
      </w:r>
      <w:r w:rsidR="00712924">
        <w:t>součet položek Vklady a oběživo, Dluhové cenné papíry a</w:t>
      </w:r>
      <w:r w:rsidR="00F75711">
        <w:t xml:space="preserve"> </w:t>
      </w:r>
      <w:r w:rsidR="00712924">
        <w:t xml:space="preserve">Půjčky, </w:t>
      </w:r>
      <w:r>
        <w:t xml:space="preserve">je porovnána s výší HDP, jež je součtem HDP v běžných cenách za poslední čtyři čtvrtletí. </w:t>
      </w:r>
      <w:r w:rsidR="00A12EB7">
        <w:t>Údaje o saldu hospodaření a dluhu vládních institucí jsou součástí tabulek Transmisního programu (tabulka 25 a tabulka 2</w:t>
      </w:r>
      <w:r w:rsidR="00545931">
        <w:t>8</w:t>
      </w:r>
      <w:r w:rsidR="00A12EB7">
        <w:t xml:space="preserve">) publikovaných na </w:t>
      </w:r>
      <w:r w:rsidR="00667CB5">
        <w:t>webu</w:t>
      </w:r>
      <w:r w:rsidR="00A12EB7">
        <w:t xml:space="preserve"> ČSÚ</w:t>
      </w:r>
      <w:r w:rsidR="00AE305A">
        <w:t xml:space="preserve"> v sekci „HDP, </w:t>
      </w:r>
      <w:r w:rsidR="00AD1D04">
        <w:t>N</w:t>
      </w:r>
      <w:r w:rsidR="00990C86">
        <w:t>árodní účty“ (</w:t>
      </w:r>
      <w:hyperlink r:id="rId8" w:history="1">
        <w:r w:rsidR="00990C86" w:rsidRPr="00990C86">
          <w:rPr>
            <w:rStyle w:val="Hypertextovodkaz"/>
            <w:i/>
          </w:rPr>
          <w:t>http://apl.czso.cz/pll/rocenka/rocenka.indexnu_gov</w:t>
        </w:r>
      </w:hyperlink>
      <w:r w:rsidR="00990C86">
        <w:t>)</w:t>
      </w:r>
      <w:r w:rsidR="00667CB5">
        <w:t xml:space="preserve">. 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EA2DE9" w:rsidRPr="00F665DC" w:rsidRDefault="00EA2DE9" w:rsidP="00EA2DE9">
      <w:r w:rsidRPr="00F665DC">
        <w:rPr>
          <w:i/>
          <w:iCs/>
        </w:rPr>
        <w:t xml:space="preserve">Zodpovědný vedoucí pracovník ČSÚ: </w:t>
      </w:r>
      <w:r>
        <w:rPr>
          <w:i/>
          <w:iCs/>
        </w:rPr>
        <w:t>Ing. Václav Rybáček, Ph.D.</w:t>
      </w:r>
      <w:r w:rsidRPr="00F665DC">
        <w:rPr>
          <w:i/>
          <w:iCs/>
        </w:rPr>
        <w:t>, tel.: 274052</w:t>
      </w:r>
      <w:r>
        <w:rPr>
          <w:i/>
          <w:iCs/>
        </w:rPr>
        <w:t>5</w:t>
      </w:r>
      <w:r w:rsidRPr="00F665DC">
        <w:rPr>
          <w:i/>
          <w:iCs/>
        </w:rPr>
        <w:t>9</w:t>
      </w:r>
      <w:r>
        <w:rPr>
          <w:i/>
          <w:iCs/>
        </w:rPr>
        <w:t>6</w:t>
      </w:r>
      <w:r w:rsidRPr="00F665DC">
        <w:rPr>
          <w:i/>
          <w:iCs/>
        </w:rPr>
        <w:t xml:space="preserve">, e-mail: </w:t>
      </w:r>
      <w:hyperlink r:id="rId9" w:history="1">
        <w:r w:rsidRPr="000249DE">
          <w:rPr>
            <w:rStyle w:val="Hypertextovodkaz"/>
            <w:i/>
            <w:iCs/>
          </w:rPr>
          <w:t>vaclav.rybacek@czso.cz</w:t>
        </w:r>
      </w:hyperlink>
      <w:r w:rsidRPr="00F665DC">
        <w:br/>
      </w:r>
      <w:r w:rsidRPr="00F665DC">
        <w:rPr>
          <w:i/>
          <w:iCs/>
        </w:rPr>
        <w:t xml:space="preserve">Kontaktní osoba: </w:t>
      </w:r>
      <w:r>
        <w:rPr>
          <w:i/>
          <w:iCs/>
        </w:rPr>
        <w:t xml:space="preserve">Ing. </w:t>
      </w:r>
      <w:r w:rsidR="00B70E16">
        <w:rPr>
          <w:i/>
          <w:iCs/>
        </w:rPr>
        <w:t>Jaroslav Kahoun</w:t>
      </w:r>
      <w:r w:rsidRPr="00F665DC">
        <w:rPr>
          <w:i/>
          <w:iCs/>
        </w:rPr>
        <w:t>, tel.: 27405</w:t>
      </w:r>
      <w:r w:rsidR="00B70E16">
        <w:rPr>
          <w:i/>
          <w:iCs/>
        </w:rPr>
        <w:t>4232</w:t>
      </w:r>
      <w:r w:rsidRPr="00F665DC">
        <w:rPr>
          <w:i/>
          <w:iCs/>
        </w:rPr>
        <w:t xml:space="preserve">, e-mail: </w:t>
      </w:r>
      <w:hyperlink r:id="rId10" w:history="1">
        <w:r w:rsidR="00815D15" w:rsidRPr="009B1035">
          <w:rPr>
            <w:rStyle w:val="Hypertextovodkaz"/>
            <w:i/>
            <w:iCs/>
          </w:rPr>
          <w:t>jaroslav.kahoun@czso.cz</w:t>
        </w:r>
      </w:hyperlink>
      <w:r w:rsidRPr="00F665DC">
        <w:br/>
      </w:r>
      <w:r w:rsidRPr="00F665DC">
        <w:rPr>
          <w:i/>
          <w:iCs/>
        </w:rPr>
        <w:t xml:space="preserve">Termín zveřejnění další </w:t>
      </w:r>
      <w:proofErr w:type="spellStart"/>
      <w:r w:rsidRPr="00F665DC">
        <w:rPr>
          <w:i/>
          <w:iCs/>
        </w:rPr>
        <w:t>RI</w:t>
      </w:r>
      <w:proofErr w:type="spellEnd"/>
      <w:r w:rsidRPr="00F665DC">
        <w:rPr>
          <w:i/>
          <w:iCs/>
        </w:rPr>
        <w:t xml:space="preserve">: </w:t>
      </w:r>
      <w:r w:rsidR="00B70E16">
        <w:rPr>
          <w:i/>
          <w:iCs/>
        </w:rPr>
        <w:t>3</w:t>
      </w:r>
      <w:r w:rsidRPr="00F665DC">
        <w:rPr>
          <w:i/>
          <w:iCs/>
        </w:rPr>
        <w:t xml:space="preserve">. </w:t>
      </w:r>
      <w:r>
        <w:rPr>
          <w:i/>
          <w:iCs/>
        </w:rPr>
        <w:t>10. 201</w:t>
      </w:r>
      <w:r w:rsidR="00B70E16">
        <w:rPr>
          <w:i/>
          <w:iCs/>
        </w:rPr>
        <w:t>6</w:t>
      </w:r>
    </w:p>
    <w:p w:rsidR="00EA2DE9" w:rsidRPr="00EA2DE9" w:rsidRDefault="00EA2DE9" w:rsidP="00EA2DE9"/>
    <w:sectPr w:rsidR="00EA2DE9" w:rsidRPr="00EA2DE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DA" w:rsidRDefault="00024DDA" w:rsidP="00BA6370">
      <w:r>
        <w:separator/>
      </w:r>
    </w:p>
  </w:endnote>
  <w:endnote w:type="continuationSeparator" w:id="0">
    <w:p w:rsidR="00024DDA" w:rsidRDefault="00024DD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4756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B7DD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B7DD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DA" w:rsidRDefault="00024DDA" w:rsidP="00BA6370">
      <w:r>
        <w:separator/>
      </w:r>
    </w:p>
  </w:footnote>
  <w:footnote w:type="continuationSeparator" w:id="0">
    <w:p w:rsidR="00024DDA" w:rsidRDefault="00024DD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4756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3072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76"/>
    <w:rsid w:val="00024DDA"/>
    <w:rsid w:val="00031874"/>
    <w:rsid w:val="00031E89"/>
    <w:rsid w:val="00043BF4"/>
    <w:rsid w:val="0005106B"/>
    <w:rsid w:val="000843A5"/>
    <w:rsid w:val="000910DA"/>
    <w:rsid w:val="00096D6C"/>
    <w:rsid w:val="000A18CB"/>
    <w:rsid w:val="000B6F63"/>
    <w:rsid w:val="000D093F"/>
    <w:rsid w:val="000E43CC"/>
    <w:rsid w:val="001404AB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406FA"/>
    <w:rsid w:val="0026107B"/>
    <w:rsid w:val="00264DAF"/>
    <w:rsid w:val="00281B97"/>
    <w:rsid w:val="002A56D6"/>
    <w:rsid w:val="002B2E47"/>
    <w:rsid w:val="00304176"/>
    <w:rsid w:val="003301A3"/>
    <w:rsid w:val="0036141C"/>
    <w:rsid w:val="0036777B"/>
    <w:rsid w:val="0038282A"/>
    <w:rsid w:val="00397580"/>
    <w:rsid w:val="003A45C8"/>
    <w:rsid w:val="003B416A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74A48"/>
    <w:rsid w:val="004920AD"/>
    <w:rsid w:val="004D05B3"/>
    <w:rsid w:val="004D7CFA"/>
    <w:rsid w:val="004E479E"/>
    <w:rsid w:val="004F686C"/>
    <w:rsid w:val="004F78E6"/>
    <w:rsid w:val="0050420E"/>
    <w:rsid w:val="00506867"/>
    <w:rsid w:val="00512D99"/>
    <w:rsid w:val="00531DBB"/>
    <w:rsid w:val="00545931"/>
    <w:rsid w:val="00546A7F"/>
    <w:rsid w:val="005543FD"/>
    <w:rsid w:val="00573994"/>
    <w:rsid w:val="0057429D"/>
    <w:rsid w:val="005B0489"/>
    <w:rsid w:val="005F0EFC"/>
    <w:rsid w:val="005F79FB"/>
    <w:rsid w:val="00604406"/>
    <w:rsid w:val="00604C56"/>
    <w:rsid w:val="00605F4A"/>
    <w:rsid w:val="00607822"/>
    <w:rsid w:val="006103AA"/>
    <w:rsid w:val="00613BBF"/>
    <w:rsid w:val="00622B80"/>
    <w:rsid w:val="00635BB1"/>
    <w:rsid w:val="0064139A"/>
    <w:rsid w:val="0064756E"/>
    <w:rsid w:val="00667CB5"/>
    <w:rsid w:val="006931CF"/>
    <w:rsid w:val="006E024F"/>
    <w:rsid w:val="006E4E81"/>
    <w:rsid w:val="00705916"/>
    <w:rsid w:val="00707F7D"/>
    <w:rsid w:val="00712924"/>
    <w:rsid w:val="00717EC5"/>
    <w:rsid w:val="00754C20"/>
    <w:rsid w:val="007A2048"/>
    <w:rsid w:val="007A57F2"/>
    <w:rsid w:val="007B1333"/>
    <w:rsid w:val="007F4AEB"/>
    <w:rsid w:val="007F75B2"/>
    <w:rsid w:val="00803993"/>
    <w:rsid w:val="008043C4"/>
    <w:rsid w:val="00815D15"/>
    <w:rsid w:val="00831B1B"/>
    <w:rsid w:val="00855FB3"/>
    <w:rsid w:val="00861D0E"/>
    <w:rsid w:val="008662BB"/>
    <w:rsid w:val="00867569"/>
    <w:rsid w:val="00885B92"/>
    <w:rsid w:val="008A750A"/>
    <w:rsid w:val="008B3970"/>
    <w:rsid w:val="008C384C"/>
    <w:rsid w:val="008D0F11"/>
    <w:rsid w:val="008D7FDA"/>
    <w:rsid w:val="008F7147"/>
    <w:rsid w:val="008F73B4"/>
    <w:rsid w:val="00915A3B"/>
    <w:rsid w:val="00917C75"/>
    <w:rsid w:val="00927342"/>
    <w:rsid w:val="00986DD7"/>
    <w:rsid w:val="00990C86"/>
    <w:rsid w:val="009B026E"/>
    <w:rsid w:val="009B55B1"/>
    <w:rsid w:val="00A0762A"/>
    <w:rsid w:val="00A12EB7"/>
    <w:rsid w:val="00A32AB9"/>
    <w:rsid w:val="00A4343D"/>
    <w:rsid w:val="00A502F1"/>
    <w:rsid w:val="00A70A83"/>
    <w:rsid w:val="00A81EB3"/>
    <w:rsid w:val="00A86C04"/>
    <w:rsid w:val="00A94B28"/>
    <w:rsid w:val="00AB3410"/>
    <w:rsid w:val="00AD1D04"/>
    <w:rsid w:val="00AD5011"/>
    <w:rsid w:val="00AE305A"/>
    <w:rsid w:val="00AE7FAA"/>
    <w:rsid w:val="00B00C1D"/>
    <w:rsid w:val="00B3245E"/>
    <w:rsid w:val="00B55375"/>
    <w:rsid w:val="00B56382"/>
    <w:rsid w:val="00B632CC"/>
    <w:rsid w:val="00B70E16"/>
    <w:rsid w:val="00B7682C"/>
    <w:rsid w:val="00B7752A"/>
    <w:rsid w:val="00B85D5E"/>
    <w:rsid w:val="00BA12F1"/>
    <w:rsid w:val="00BA439F"/>
    <w:rsid w:val="00BA6370"/>
    <w:rsid w:val="00BB2C9A"/>
    <w:rsid w:val="00BD66E4"/>
    <w:rsid w:val="00BF02C9"/>
    <w:rsid w:val="00C135E6"/>
    <w:rsid w:val="00C269D4"/>
    <w:rsid w:val="00C3546B"/>
    <w:rsid w:val="00C37ADB"/>
    <w:rsid w:val="00C4160D"/>
    <w:rsid w:val="00C60D47"/>
    <w:rsid w:val="00C65A6E"/>
    <w:rsid w:val="00C8406E"/>
    <w:rsid w:val="00CB2709"/>
    <w:rsid w:val="00CB6F89"/>
    <w:rsid w:val="00CC0AE9"/>
    <w:rsid w:val="00CC6422"/>
    <w:rsid w:val="00CE228C"/>
    <w:rsid w:val="00CE71D9"/>
    <w:rsid w:val="00CF545B"/>
    <w:rsid w:val="00D208F1"/>
    <w:rsid w:val="00D209A7"/>
    <w:rsid w:val="00D27D69"/>
    <w:rsid w:val="00D33658"/>
    <w:rsid w:val="00D448C2"/>
    <w:rsid w:val="00D666C3"/>
    <w:rsid w:val="00D9189F"/>
    <w:rsid w:val="00DB7DDE"/>
    <w:rsid w:val="00DF1723"/>
    <w:rsid w:val="00DF47FE"/>
    <w:rsid w:val="00E0156A"/>
    <w:rsid w:val="00E26704"/>
    <w:rsid w:val="00E30385"/>
    <w:rsid w:val="00E31980"/>
    <w:rsid w:val="00E6423C"/>
    <w:rsid w:val="00E93830"/>
    <w:rsid w:val="00E93E0E"/>
    <w:rsid w:val="00EA2DE9"/>
    <w:rsid w:val="00EB1ED3"/>
    <w:rsid w:val="00EB44BC"/>
    <w:rsid w:val="00EE06E6"/>
    <w:rsid w:val="00F75711"/>
    <w:rsid w:val="00F75F2A"/>
    <w:rsid w:val="00FA5B92"/>
    <w:rsid w:val="00FB1DDD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.indexnu_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roslav.kahoun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lav.rybac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6A92-4E04-45AF-B1EE-482A54DA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Václav Rybáček</cp:lastModifiedBy>
  <cp:revision>4</cp:revision>
  <cp:lastPrinted>2016-06-30T09:05:00Z</cp:lastPrinted>
  <dcterms:created xsi:type="dcterms:W3CDTF">2016-06-30T09:06:00Z</dcterms:created>
  <dcterms:modified xsi:type="dcterms:W3CDTF">2016-07-01T07:07:00Z</dcterms:modified>
</cp:coreProperties>
</file>