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4D2F0E" w:rsidP="00867569">
      <w:pPr>
        <w:pStyle w:val="Datum"/>
      </w:pPr>
      <w:r>
        <w:t>03.</w:t>
      </w:r>
      <w:r w:rsidR="0036494C">
        <w:t xml:space="preserve"> </w:t>
      </w:r>
      <w:r>
        <w:t>10.</w:t>
      </w:r>
      <w:r w:rsidR="0036494C">
        <w:t xml:space="preserve"> </w:t>
      </w:r>
      <w:r w:rsidR="0036494C">
        <w:tab/>
      </w:r>
      <w:r>
        <w:t>2016</w:t>
      </w:r>
    </w:p>
    <w:p w:rsidR="008B3970" w:rsidRPr="008B3970" w:rsidRDefault="00F566FC" w:rsidP="008A10CA">
      <w:pPr>
        <w:pStyle w:val="Nzev"/>
      </w:pPr>
      <w:r>
        <w:t>N</w:t>
      </w:r>
      <w:r w:rsidR="00830829">
        <w:t>otification of government deficit and debt - 201</w:t>
      </w:r>
      <w:r w:rsidR="004D2F0E">
        <w:t>5</w:t>
      </w:r>
    </w:p>
    <w:p w:rsidR="004D2F0E" w:rsidRPr="00A475E7" w:rsidRDefault="00A475E7" w:rsidP="002F294F">
      <w:pPr>
        <w:pStyle w:val="Perex"/>
        <w:rPr>
          <w:sz w:val="24"/>
        </w:rPr>
      </w:pPr>
      <w:r>
        <w:rPr>
          <w:sz w:val="24"/>
        </w:rPr>
        <w:br/>
      </w:r>
      <w:r w:rsidR="00A1050F" w:rsidRPr="00A475E7">
        <w:rPr>
          <w:sz w:val="24"/>
        </w:rPr>
        <w:t>C</w:t>
      </w:r>
      <w:r w:rsidR="004D2F0E" w:rsidRPr="00A475E7">
        <w:rPr>
          <w:sz w:val="24"/>
        </w:rPr>
        <w:t xml:space="preserve">urrent revision </w:t>
      </w:r>
      <w:r w:rsidR="00EF6AB7" w:rsidRPr="00A475E7">
        <w:rPr>
          <w:sz w:val="24"/>
        </w:rPr>
        <w:t>increased general</w:t>
      </w:r>
      <w:r w:rsidR="004D2F0E" w:rsidRPr="00A475E7">
        <w:rPr>
          <w:sz w:val="24"/>
        </w:rPr>
        <w:t xml:space="preserve"> government deficit</w:t>
      </w:r>
      <w:r w:rsidR="00F07240" w:rsidRPr="00A475E7">
        <w:rPr>
          <w:sz w:val="24"/>
        </w:rPr>
        <w:t xml:space="preserve"> in 2015</w:t>
      </w:r>
      <w:r w:rsidR="004D2F0E" w:rsidRPr="00A475E7">
        <w:rPr>
          <w:sz w:val="24"/>
        </w:rPr>
        <w:t>, indebtedness continues to decline</w:t>
      </w:r>
    </w:p>
    <w:p w:rsidR="002F294F" w:rsidRDefault="00EF6AB7" w:rsidP="002F294F">
      <w:r>
        <w:t>General</w:t>
      </w:r>
      <w:r w:rsidR="002C37B6" w:rsidRPr="008A10CA">
        <w:t xml:space="preserve"> government deficit </w:t>
      </w:r>
      <w:r w:rsidR="006060B4">
        <w:t>reached</w:t>
      </w:r>
      <w:r>
        <w:t xml:space="preserve"> </w:t>
      </w:r>
      <w:r w:rsidRPr="00EF6AB7">
        <w:rPr>
          <w:b/>
        </w:rPr>
        <w:t>CZK</w:t>
      </w:r>
      <w:r w:rsidR="002C37B6" w:rsidRPr="008A10CA">
        <w:t xml:space="preserve"> </w:t>
      </w:r>
      <w:r w:rsidR="00A42469">
        <w:rPr>
          <w:b/>
        </w:rPr>
        <w:t>28</w:t>
      </w:r>
      <w:r w:rsidR="00F3305A">
        <w:rPr>
          <w:b/>
        </w:rPr>
        <w:t>.</w:t>
      </w:r>
      <w:r w:rsidR="00A42469">
        <w:rPr>
          <w:b/>
        </w:rPr>
        <w:t>6</w:t>
      </w:r>
      <w:r w:rsidR="002C37B6" w:rsidRPr="008A10CA">
        <w:rPr>
          <w:b/>
        </w:rPr>
        <w:t xml:space="preserve"> billion </w:t>
      </w:r>
      <w:r w:rsidRPr="00EF6AB7">
        <w:t>in the year 2015</w:t>
      </w:r>
      <w:r w:rsidR="006060B4">
        <w:rPr>
          <w:rFonts w:cs="Arial"/>
        </w:rPr>
        <w:t xml:space="preserve">. It equals to </w:t>
      </w:r>
      <w:r w:rsidR="00A42469">
        <w:rPr>
          <w:b/>
        </w:rPr>
        <w:t>0.63</w:t>
      </w:r>
      <w:r w:rsidR="004A7837" w:rsidRPr="008A10CA">
        <w:rPr>
          <w:b/>
        </w:rPr>
        <w:t xml:space="preserve"> percent of</w:t>
      </w:r>
      <w:r>
        <w:rPr>
          <w:b/>
        </w:rPr>
        <w:t xml:space="preserve"> nominal</w:t>
      </w:r>
      <w:r w:rsidR="004A7837" w:rsidRPr="008A10CA">
        <w:rPr>
          <w:b/>
        </w:rPr>
        <w:t xml:space="preserve"> GDP</w:t>
      </w:r>
      <w:r w:rsidR="004A7837" w:rsidRPr="008A10CA">
        <w:t>, i.e. below the reference rate set by the Maastricht Treaty.</w:t>
      </w:r>
      <w:r w:rsidR="00F3305A">
        <w:t xml:space="preserve"> Compared to the notification in April 201</w:t>
      </w:r>
      <w:r w:rsidR="006060B4">
        <w:t>6</w:t>
      </w:r>
      <w:r w:rsidR="00F3305A">
        <w:t xml:space="preserve">, the deficit </w:t>
      </w:r>
      <w:r w:rsidR="006060B4">
        <w:t>was</w:t>
      </w:r>
      <w:r w:rsidR="00F3305A">
        <w:t xml:space="preserve"> revised </w:t>
      </w:r>
      <w:r w:rsidR="005A164C">
        <w:t xml:space="preserve">upward </w:t>
      </w:r>
      <w:r w:rsidR="00F3305A">
        <w:t>by 0.</w:t>
      </w:r>
      <w:r w:rsidR="006060B4">
        <w:t>21</w:t>
      </w:r>
      <w:r w:rsidR="00F3305A">
        <w:t xml:space="preserve"> percentage point (p.p.).</w:t>
      </w:r>
      <w:r w:rsidR="004A7837" w:rsidRPr="008A10CA">
        <w:t xml:space="preserve"> </w:t>
      </w:r>
      <w:r>
        <w:t>G</w:t>
      </w:r>
      <w:r w:rsidR="004A7837" w:rsidRPr="008A10CA">
        <w:t xml:space="preserve">overnment gross debt </w:t>
      </w:r>
      <w:r>
        <w:t>was equivalent to</w:t>
      </w:r>
      <w:r w:rsidR="004A7837" w:rsidRPr="008A10CA">
        <w:t xml:space="preserve"> </w:t>
      </w:r>
      <w:r w:rsidR="004A7837" w:rsidRPr="008A10CA">
        <w:rPr>
          <w:b/>
        </w:rPr>
        <w:t>4</w:t>
      </w:r>
      <w:r>
        <w:rPr>
          <w:b/>
        </w:rPr>
        <w:t>0</w:t>
      </w:r>
      <w:r w:rsidR="004A7837" w:rsidRPr="008A10CA">
        <w:rPr>
          <w:b/>
        </w:rPr>
        <w:t>.</w:t>
      </w:r>
      <w:r>
        <w:rPr>
          <w:b/>
        </w:rPr>
        <w:t>32</w:t>
      </w:r>
      <w:r w:rsidR="004A7837" w:rsidRPr="008A10CA">
        <w:rPr>
          <w:b/>
        </w:rPr>
        <w:t xml:space="preserve"> percent of GDP</w:t>
      </w:r>
      <w:r>
        <w:rPr>
          <w:b/>
        </w:rPr>
        <w:t xml:space="preserve"> </w:t>
      </w:r>
      <w:r>
        <w:t>at the end of 2015</w:t>
      </w:r>
      <w:r w:rsidR="00F3305A" w:rsidRPr="0015165C">
        <w:rPr>
          <w:lang w:val="en-US"/>
        </w:rPr>
        <w:t xml:space="preserve">; compared to the </w:t>
      </w:r>
      <w:r w:rsidR="005A164C">
        <w:rPr>
          <w:lang w:val="en-US"/>
        </w:rPr>
        <w:t>notification</w:t>
      </w:r>
      <w:r>
        <w:rPr>
          <w:lang w:val="en-US"/>
        </w:rPr>
        <w:t xml:space="preserve"> in April 2016</w:t>
      </w:r>
      <w:r w:rsidR="006060B4">
        <w:rPr>
          <w:lang w:val="en-US"/>
        </w:rPr>
        <w:t>, the debt</w:t>
      </w:r>
      <w:r w:rsidR="00F3305A" w:rsidRPr="0015165C">
        <w:rPr>
          <w:lang w:val="en-US"/>
        </w:rPr>
        <w:t xml:space="preserve"> </w:t>
      </w:r>
      <w:r w:rsidR="006060B4">
        <w:rPr>
          <w:lang w:val="en-US"/>
        </w:rPr>
        <w:t xml:space="preserve">was </w:t>
      </w:r>
      <w:r w:rsidR="00F3305A" w:rsidRPr="0015165C">
        <w:rPr>
          <w:lang w:val="en-US"/>
        </w:rPr>
        <w:t xml:space="preserve">revised </w:t>
      </w:r>
      <w:r w:rsidR="006060B4">
        <w:rPr>
          <w:lang w:val="en-US"/>
        </w:rPr>
        <w:t xml:space="preserve">downward </w:t>
      </w:r>
      <w:r w:rsidR="00F3305A" w:rsidRPr="0015165C">
        <w:rPr>
          <w:lang w:val="en-US"/>
        </w:rPr>
        <w:t>by 0.</w:t>
      </w:r>
      <w:r w:rsidR="006060B4">
        <w:rPr>
          <w:lang w:val="en-US"/>
        </w:rPr>
        <w:t>74</w:t>
      </w:r>
      <w:r w:rsidR="00F3305A" w:rsidRPr="0015165C">
        <w:rPr>
          <w:lang w:val="en-US"/>
        </w:rPr>
        <w:t xml:space="preserve"> p.p.</w:t>
      </w:r>
      <w:r w:rsidR="004A7837" w:rsidRPr="0015165C">
        <w:rPr>
          <w:lang w:val="en-US"/>
        </w:rPr>
        <w:t xml:space="preserve"> </w:t>
      </w:r>
      <w:r w:rsidR="00A475E7">
        <w:rPr>
          <w:lang w:val="en-US"/>
        </w:rPr>
        <w:t>Data</w:t>
      </w:r>
      <w:r w:rsidR="005A164C">
        <w:rPr>
          <w:lang w:val="en-US"/>
        </w:rPr>
        <w:t xml:space="preserve"> for previous years (2012-2014) were not changed. </w:t>
      </w:r>
      <w:r w:rsidR="00F566FC" w:rsidRPr="0015165C">
        <w:rPr>
          <w:lang w:val="en-US"/>
        </w:rPr>
        <w:t xml:space="preserve">The </w:t>
      </w:r>
      <w:r w:rsidR="0051558E">
        <w:t xml:space="preserve">figures </w:t>
      </w:r>
      <w:r w:rsidR="006060B4">
        <w:t>were</w:t>
      </w:r>
      <w:r w:rsidR="00F566FC">
        <w:t xml:space="preserve"> sent to </w:t>
      </w:r>
      <w:r w:rsidR="005A164C">
        <w:t>the European Commission with</w:t>
      </w:r>
      <w:r w:rsidR="0051558E">
        <w:t>in the framework of</w:t>
      </w:r>
      <w:r w:rsidR="00F566FC">
        <w:t xml:space="preserve"> the </w:t>
      </w:r>
      <w:r w:rsidR="00F3305A">
        <w:t xml:space="preserve">second </w:t>
      </w:r>
      <w:r w:rsidR="00F566FC">
        <w:t>notification of government deficit and debt in 201</w:t>
      </w:r>
      <w:r w:rsidR="006060B4">
        <w:t>6</w:t>
      </w:r>
      <w:r w:rsidR="00F566FC">
        <w:t>.</w:t>
      </w:r>
    </w:p>
    <w:p w:rsidR="00A42469" w:rsidRDefault="00A42469" w:rsidP="002F294F"/>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A42469">
        <w:rPr>
          <w:rFonts w:ascii="Arial" w:hAnsi="Arial" w:cs="Arial"/>
          <w:b/>
          <w:sz w:val="20"/>
          <w:szCs w:val="20"/>
        </w:rPr>
        <w:t>2</w:t>
      </w:r>
      <w:r>
        <w:rPr>
          <w:rFonts w:ascii="Arial" w:hAnsi="Arial" w:cs="Arial"/>
          <w:b/>
          <w:sz w:val="20"/>
          <w:szCs w:val="20"/>
        </w:rPr>
        <w:t>-201</w:t>
      </w:r>
      <w:r w:rsidR="00A42469">
        <w:rPr>
          <w:rFonts w:ascii="Arial" w:hAnsi="Arial" w:cs="Arial"/>
          <w:b/>
          <w:sz w:val="20"/>
          <w:szCs w:val="20"/>
        </w:rPr>
        <w:t>5</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969"/>
        <w:gridCol w:w="1042"/>
        <w:gridCol w:w="1042"/>
        <w:gridCol w:w="1042"/>
        <w:gridCol w:w="1088"/>
      </w:tblGrid>
      <w:tr w:rsidR="00B07B5B" w:rsidRPr="00B07B5B" w:rsidTr="008A44AB">
        <w:trPr>
          <w:cantSplit/>
        </w:trPr>
        <w:tc>
          <w:tcPr>
            <w:tcW w:w="3461" w:type="dxa"/>
            <w:vMerge w:val="restart"/>
            <w:vAlign w:val="center"/>
          </w:tcPr>
          <w:p w:rsidR="00B07B5B" w:rsidRPr="00B07B5B" w:rsidRDefault="00B07B5B" w:rsidP="00B07B5B">
            <w:pPr>
              <w:rPr>
                <w:rFonts w:cs="Arial"/>
                <w:szCs w:val="20"/>
              </w:rPr>
            </w:pPr>
          </w:p>
        </w:tc>
        <w:tc>
          <w:tcPr>
            <w:tcW w:w="969" w:type="dxa"/>
            <w:vMerge w:val="restart"/>
            <w:vAlign w:val="center"/>
          </w:tcPr>
          <w:p w:rsidR="00B07B5B" w:rsidRPr="00B07B5B" w:rsidRDefault="00B07B5B" w:rsidP="00B07B5B">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B07B5B">
            <w:pPr>
              <w:jc w:val="center"/>
              <w:rPr>
                <w:rFonts w:cs="Arial"/>
                <w:szCs w:val="20"/>
              </w:rPr>
            </w:pPr>
            <w:r w:rsidRPr="00B07B5B">
              <w:rPr>
                <w:rFonts w:cs="Arial"/>
                <w:szCs w:val="20"/>
              </w:rPr>
              <w:t>Year</w:t>
            </w:r>
          </w:p>
        </w:tc>
      </w:tr>
      <w:tr w:rsidR="00A42469" w:rsidRPr="00B07B5B" w:rsidTr="008A44AB">
        <w:trPr>
          <w:cantSplit/>
        </w:trPr>
        <w:tc>
          <w:tcPr>
            <w:tcW w:w="3461" w:type="dxa"/>
            <w:vMerge/>
            <w:vAlign w:val="center"/>
          </w:tcPr>
          <w:p w:rsidR="00A42469" w:rsidRPr="00B07B5B" w:rsidRDefault="00A42469" w:rsidP="00B07B5B">
            <w:pPr>
              <w:rPr>
                <w:rFonts w:cs="Arial"/>
                <w:szCs w:val="20"/>
              </w:rPr>
            </w:pPr>
          </w:p>
        </w:tc>
        <w:tc>
          <w:tcPr>
            <w:tcW w:w="969" w:type="dxa"/>
            <w:vMerge/>
            <w:vAlign w:val="center"/>
          </w:tcPr>
          <w:p w:rsidR="00A42469" w:rsidRPr="00B07B5B" w:rsidRDefault="00A42469" w:rsidP="00B07B5B">
            <w:pPr>
              <w:jc w:val="center"/>
              <w:rPr>
                <w:rFonts w:cs="Arial"/>
                <w:szCs w:val="20"/>
              </w:rPr>
            </w:pPr>
          </w:p>
        </w:tc>
        <w:tc>
          <w:tcPr>
            <w:tcW w:w="1042" w:type="dxa"/>
            <w:vAlign w:val="center"/>
          </w:tcPr>
          <w:p w:rsidR="00A42469" w:rsidRPr="00E155B6" w:rsidRDefault="00A42469" w:rsidP="008A6445">
            <w:pPr>
              <w:jc w:val="center"/>
              <w:rPr>
                <w:rFonts w:cs="Arial"/>
                <w:szCs w:val="20"/>
              </w:rPr>
            </w:pPr>
            <w:r>
              <w:rPr>
                <w:rFonts w:cs="Arial"/>
                <w:szCs w:val="20"/>
              </w:rPr>
              <w:t>2012</w:t>
            </w:r>
          </w:p>
        </w:tc>
        <w:tc>
          <w:tcPr>
            <w:tcW w:w="1042" w:type="dxa"/>
            <w:vAlign w:val="center"/>
          </w:tcPr>
          <w:p w:rsidR="00A42469" w:rsidRPr="00E155B6" w:rsidRDefault="00A42469" w:rsidP="008A6445">
            <w:pPr>
              <w:jc w:val="center"/>
              <w:rPr>
                <w:rFonts w:cs="Arial"/>
                <w:szCs w:val="20"/>
              </w:rPr>
            </w:pPr>
            <w:r>
              <w:rPr>
                <w:rFonts w:cs="Arial"/>
                <w:szCs w:val="20"/>
              </w:rPr>
              <w:t>2013</w:t>
            </w:r>
          </w:p>
        </w:tc>
        <w:tc>
          <w:tcPr>
            <w:tcW w:w="1042" w:type="dxa"/>
            <w:vAlign w:val="center"/>
          </w:tcPr>
          <w:p w:rsidR="00A42469" w:rsidRPr="00E155B6" w:rsidRDefault="00A42469" w:rsidP="008A6445">
            <w:pPr>
              <w:jc w:val="center"/>
              <w:rPr>
                <w:rFonts w:cs="Arial"/>
                <w:szCs w:val="20"/>
              </w:rPr>
            </w:pPr>
            <w:r>
              <w:rPr>
                <w:rFonts w:cs="Arial"/>
                <w:szCs w:val="20"/>
              </w:rPr>
              <w:t>2014</w:t>
            </w:r>
          </w:p>
        </w:tc>
        <w:tc>
          <w:tcPr>
            <w:tcW w:w="1088" w:type="dxa"/>
            <w:vAlign w:val="center"/>
          </w:tcPr>
          <w:p w:rsidR="00A42469" w:rsidRPr="00E155B6" w:rsidRDefault="00A42469" w:rsidP="008A6445">
            <w:pPr>
              <w:jc w:val="center"/>
              <w:rPr>
                <w:rFonts w:cs="Arial"/>
                <w:szCs w:val="20"/>
              </w:rPr>
            </w:pPr>
            <w:r>
              <w:rPr>
                <w:rFonts w:cs="Arial"/>
                <w:szCs w:val="20"/>
              </w:rPr>
              <w:t>2015</w:t>
            </w:r>
          </w:p>
        </w:tc>
      </w:tr>
      <w:tr w:rsidR="00A42469" w:rsidRPr="00B07B5B" w:rsidTr="008A44AB">
        <w:tc>
          <w:tcPr>
            <w:tcW w:w="3461" w:type="dxa"/>
            <w:vAlign w:val="center"/>
          </w:tcPr>
          <w:p w:rsidR="00A42469" w:rsidRPr="00B07B5B" w:rsidRDefault="00A42469" w:rsidP="00B07B5B">
            <w:pPr>
              <w:rPr>
                <w:rFonts w:cs="Arial"/>
                <w:szCs w:val="20"/>
              </w:rPr>
            </w:pPr>
            <w:r w:rsidRPr="00B07B5B">
              <w:rPr>
                <w:rFonts w:cs="Arial"/>
                <w:szCs w:val="20"/>
              </w:rPr>
              <w:t>Net borrowing (deficit) of general government (in current year)</w:t>
            </w:r>
          </w:p>
        </w:tc>
        <w:tc>
          <w:tcPr>
            <w:tcW w:w="969" w:type="dxa"/>
            <w:vAlign w:val="center"/>
          </w:tcPr>
          <w:p w:rsidR="00A42469" w:rsidRPr="00B07B5B" w:rsidRDefault="00A42469" w:rsidP="00B07B5B">
            <w:pPr>
              <w:jc w:val="center"/>
              <w:rPr>
                <w:rFonts w:cs="Arial"/>
                <w:szCs w:val="20"/>
              </w:rPr>
            </w:pPr>
            <w:r w:rsidRPr="00B07B5B">
              <w:rPr>
                <w:rFonts w:cs="Arial"/>
                <w:szCs w:val="20"/>
              </w:rPr>
              <w:t>CZK mil.</w:t>
            </w:r>
          </w:p>
        </w:tc>
        <w:tc>
          <w:tcPr>
            <w:tcW w:w="1042" w:type="dxa"/>
            <w:vAlign w:val="center"/>
          </w:tcPr>
          <w:p w:rsidR="00A42469" w:rsidRPr="00E155B6" w:rsidRDefault="00A42469" w:rsidP="008A6445">
            <w:pPr>
              <w:jc w:val="center"/>
              <w:rPr>
                <w:rFonts w:cs="Arial"/>
                <w:szCs w:val="20"/>
              </w:rPr>
            </w:pPr>
            <w:r>
              <w:rPr>
                <w:rFonts w:cs="Arial"/>
                <w:szCs w:val="20"/>
              </w:rPr>
              <w:t>-159 552</w:t>
            </w:r>
          </w:p>
        </w:tc>
        <w:tc>
          <w:tcPr>
            <w:tcW w:w="1042" w:type="dxa"/>
            <w:vAlign w:val="center"/>
          </w:tcPr>
          <w:p w:rsidR="00A42469" w:rsidRPr="00E155B6" w:rsidRDefault="00A42469" w:rsidP="008A6445">
            <w:pPr>
              <w:jc w:val="center"/>
              <w:rPr>
                <w:rFonts w:cs="Arial"/>
                <w:szCs w:val="20"/>
              </w:rPr>
            </w:pPr>
            <w:r>
              <w:rPr>
                <w:rFonts w:cs="Arial"/>
                <w:szCs w:val="20"/>
              </w:rPr>
              <w:t>-51 129</w:t>
            </w:r>
          </w:p>
        </w:tc>
        <w:tc>
          <w:tcPr>
            <w:tcW w:w="1042" w:type="dxa"/>
            <w:vAlign w:val="center"/>
          </w:tcPr>
          <w:p w:rsidR="00A42469" w:rsidRPr="00E155B6" w:rsidRDefault="00A42469" w:rsidP="008A6445">
            <w:pPr>
              <w:jc w:val="center"/>
              <w:rPr>
                <w:rFonts w:cs="Arial"/>
                <w:szCs w:val="20"/>
              </w:rPr>
            </w:pPr>
            <w:r>
              <w:rPr>
                <w:rFonts w:cs="Arial"/>
                <w:szCs w:val="20"/>
              </w:rPr>
              <w:t>-83 063</w:t>
            </w:r>
          </w:p>
        </w:tc>
        <w:tc>
          <w:tcPr>
            <w:tcW w:w="1088" w:type="dxa"/>
            <w:vAlign w:val="center"/>
          </w:tcPr>
          <w:p w:rsidR="00A42469" w:rsidRPr="00E155B6" w:rsidRDefault="00A42469" w:rsidP="008A6445">
            <w:pPr>
              <w:jc w:val="center"/>
              <w:rPr>
                <w:rFonts w:cs="Arial"/>
                <w:szCs w:val="20"/>
              </w:rPr>
            </w:pPr>
            <w:r>
              <w:rPr>
                <w:rFonts w:cs="Arial"/>
                <w:szCs w:val="20"/>
              </w:rPr>
              <w:t>-28 607</w:t>
            </w:r>
          </w:p>
        </w:tc>
      </w:tr>
      <w:tr w:rsidR="00A42469" w:rsidRPr="00B07B5B" w:rsidTr="008A44AB">
        <w:tc>
          <w:tcPr>
            <w:tcW w:w="3461" w:type="dxa"/>
            <w:vAlign w:val="center"/>
          </w:tcPr>
          <w:p w:rsidR="00A42469" w:rsidRPr="00B07B5B" w:rsidRDefault="00A42469" w:rsidP="00B07B5B">
            <w:pPr>
              <w:rPr>
                <w:rFonts w:cs="Arial"/>
                <w:szCs w:val="20"/>
              </w:rPr>
            </w:pPr>
            <w:r w:rsidRPr="00B07B5B">
              <w:rPr>
                <w:rFonts w:cs="Arial"/>
                <w:szCs w:val="20"/>
              </w:rPr>
              <w:t>General government consolidated gross debt (at end of year)</w:t>
            </w:r>
          </w:p>
        </w:tc>
        <w:tc>
          <w:tcPr>
            <w:tcW w:w="969" w:type="dxa"/>
            <w:vAlign w:val="center"/>
          </w:tcPr>
          <w:p w:rsidR="00A42469" w:rsidRPr="00B07B5B" w:rsidRDefault="00A42469" w:rsidP="00B07B5B">
            <w:pPr>
              <w:jc w:val="center"/>
              <w:rPr>
                <w:rFonts w:cs="Arial"/>
                <w:szCs w:val="20"/>
              </w:rPr>
            </w:pPr>
            <w:r w:rsidRPr="00B07B5B">
              <w:rPr>
                <w:rFonts w:cs="Arial"/>
                <w:szCs w:val="20"/>
              </w:rPr>
              <w:t>CZK mil.</w:t>
            </w:r>
          </w:p>
        </w:tc>
        <w:tc>
          <w:tcPr>
            <w:tcW w:w="1042" w:type="dxa"/>
            <w:vAlign w:val="center"/>
          </w:tcPr>
          <w:p w:rsidR="00A42469" w:rsidRPr="00E155B6" w:rsidRDefault="00A42469" w:rsidP="008A6445">
            <w:pPr>
              <w:jc w:val="center"/>
              <w:rPr>
                <w:rFonts w:cs="Arial"/>
                <w:szCs w:val="20"/>
              </w:rPr>
            </w:pPr>
            <w:r>
              <w:rPr>
                <w:rFonts w:cs="Arial"/>
                <w:szCs w:val="20"/>
              </w:rPr>
              <w:t>1 805 429</w:t>
            </w:r>
          </w:p>
        </w:tc>
        <w:tc>
          <w:tcPr>
            <w:tcW w:w="1042" w:type="dxa"/>
            <w:vAlign w:val="center"/>
          </w:tcPr>
          <w:p w:rsidR="00A42469" w:rsidRPr="00E155B6" w:rsidRDefault="00A42469" w:rsidP="008A6445">
            <w:pPr>
              <w:jc w:val="center"/>
              <w:rPr>
                <w:rFonts w:cs="Arial"/>
                <w:szCs w:val="20"/>
              </w:rPr>
            </w:pPr>
            <w:r>
              <w:rPr>
                <w:rFonts w:cs="Arial"/>
                <w:szCs w:val="20"/>
              </w:rPr>
              <w:t>1 840 412</w:t>
            </w:r>
          </w:p>
        </w:tc>
        <w:tc>
          <w:tcPr>
            <w:tcW w:w="1042" w:type="dxa"/>
            <w:vAlign w:val="center"/>
          </w:tcPr>
          <w:p w:rsidR="00A42469" w:rsidRPr="00E155B6" w:rsidRDefault="00A42469" w:rsidP="008A6445">
            <w:pPr>
              <w:jc w:val="center"/>
              <w:rPr>
                <w:rFonts w:cs="Arial"/>
                <w:szCs w:val="20"/>
              </w:rPr>
            </w:pPr>
            <w:r>
              <w:rPr>
                <w:rFonts w:cs="Arial"/>
                <w:szCs w:val="20"/>
              </w:rPr>
              <w:t>1 819 098</w:t>
            </w:r>
          </w:p>
        </w:tc>
        <w:tc>
          <w:tcPr>
            <w:tcW w:w="1088" w:type="dxa"/>
            <w:vAlign w:val="center"/>
          </w:tcPr>
          <w:p w:rsidR="00A42469" w:rsidRPr="00E155B6" w:rsidRDefault="00A42469" w:rsidP="008A6445">
            <w:pPr>
              <w:jc w:val="center"/>
              <w:rPr>
                <w:rFonts w:cs="Arial"/>
                <w:szCs w:val="20"/>
              </w:rPr>
            </w:pPr>
            <w:r>
              <w:rPr>
                <w:rFonts w:cs="Arial"/>
                <w:szCs w:val="20"/>
              </w:rPr>
              <w:t>1 836 255</w:t>
            </w:r>
          </w:p>
        </w:tc>
      </w:tr>
      <w:tr w:rsidR="00A42469" w:rsidRPr="00B07B5B" w:rsidTr="008A44AB">
        <w:tc>
          <w:tcPr>
            <w:tcW w:w="3461" w:type="dxa"/>
            <w:vAlign w:val="center"/>
          </w:tcPr>
          <w:p w:rsidR="00A42469" w:rsidRPr="00B07B5B" w:rsidRDefault="00A42469" w:rsidP="00B07B5B">
            <w:pPr>
              <w:rPr>
                <w:rFonts w:cs="Arial"/>
                <w:szCs w:val="20"/>
              </w:rPr>
            </w:pPr>
            <w:r w:rsidRPr="00B07B5B">
              <w:rPr>
                <w:rFonts w:cs="Arial"/>
                <w:szCs w:val="20"/>
              </w:rPr>
              <w:t>Gross domestic product (GDP)</w:t>
            </w:r>
          </w:p>
        </w:tc>
        <w:tc>
          <w:tcPr>
            <w:tcW w:w="969" w:type="dxa"/>
            <w:vAlign w:val="center"/>
          </w:tcPr>
          <w:p w:rsidR="00A42469" w:rsidRPr="00B07B5B" w:rsidRDefault="00A42469" w:rsidP="00B07B5B">
            <w:pPr>
              <w:jc w:val="center"/>
              <w:rPr>
                <w:rFonts w:cs="Arial"/>
                <w:szCs w:val="20"/>
              </w:rPr>
            </w:pPr>
            <w:r w:rsidRPr="00B07B5B">
              <w:rPr>
                <w:rFonts w:cs="Arial"/>
                <w:szCs w:val="20"/>
              </w:rPr>
              <w:t>CZK mil.</w:t>
            </w:r>
          </w:p>
        </w:tc>
        <w:tc>
          <w:tcPr>
            <w:tcW w:w="1042" w:type="dxa"/>
            <w:vAlign w:val="center"/>
          </w:tcPr>
          <w:p w:rsidR="00A42469" w:rsidRPr="00E155B6" w:rsidRDefault="00A42469" w:rsidP="008A6445">
            <w:pPr>
              <w:jc w:val="center"/>
              <w:rPr>
                <w:rFonts w:cs="Arial"/>
                <w:szCs w:val="20"/>
              </w:rPr>
            </w:pPr>
            <w:r>
              <w:rPr>
                <w:rFonts w:cs="Arial"/>
                <w:szCs w:val="20"/>
              </w:rPr>
              <w:t>4 059 912</w:t>
            </w:r>
          </w:p>
        </w:tc>
        <w:tc>
          <w:tcPr>
            <w:tcW w:w="1042" w:type="dxa"/>
            <w:vAlign w:val="center"/>
          </w:tcPr>
          <w:p w:rsidR="00A42469" w:rsidRPr="00E155B6" w:rsidRDefault="00A42469" w:rsidP="008A6445">
            <w:pPr>
              <w:jc w:val="center"/>
              <w:rPr>
                <w:rFonts w:cs="Arial"/>
                <w:szCs w:val="20"/>
              </w:rPr>
            </w:pPr>
            <w:r>
              <w:rPr>
                <w:rFonts w:cs="Arial"/>
                <w:szCs w:val="20"/>
              </w:rPr>
              <w:t>4 098 128</w:t>
            </w:r>
          </w:p>
        </w:tc>
        <w:tc>
          <w:tcPr>
            <w:tcW w:w="1042" w:type="dxa"/>
            <w:vAlign w:val="center"/>
          </w:tcPr>
          <w:p w:rsidR="00A42469" w:rsidRPr="00E155B6" w:rsidRDefault="00A42469" w:rsidP="008A6445">
            <w:pPr>
              <w:jc w:val="center"/>
              <w:rPr>
                <w:rFonts w:cs="Arial"/>
                <w:szCs w:val="20"/>
              </w:rPr>
            </w:pPr>
            <w:r>
              <w:rPr>
                <w:rFonts w:cs="Arial"/>
                <w:szCs w:val="20"/>
              </w:rPr>
              <w:t>4 313 789</w:t>
            </w:r>
          </w:p>
        </w:tc>
        <w:tc>
          <w:tcPr>
            <w:tcW w:w="1088" w:type="dxa"/>
            <w:vAlign w:val="center"/>
          </w:tcPr>
          <w:p w:rsidR="00A42469" w:rsidRPr="00E155B6" w:rsidRDefault="00A42469" w:rsidP="008A6445">
            <w:pPr>
              <w:jc w:val="center"/>
              <w:rPr>
                <w:rFonts w:cs="Arial"/>
                <w:szCs w:val="20"/>
              </w:rPr>
            </w:pPr>
            <w:r>
              <w:rPr>
                <w:rFonts w:cs="Arial"/>
                <w:szCs w:val="20"/>
              </w:rPr>
              <w:t>4 554 615</w:t>
            </w:r>
          </w:p>
        </w:tc>
      </w:tr>
      <w:tr w:rsidR="00A42469" w:rsidRPr="00B07B5B" w:rsidTr="008A44AB">
        <w:tc>
          <w:tcPr>
            <w:tcW w:w="3461" w:type="dxa"/>
            <w:vAlign w:val="center"/>
          </w:tcPr>
          <w:p w:rsidR="00A42469" w:rsidRPr="00B07B5B" w:rsidRDefault="00A42469" w:rsidP="00B07B5B">
            <w:pPr>
              <w:rPr>
                <w:rFonts w:cs="Arial"/>
                <w:szCs w:val="20"/>
              </w:rPr>
            </w:pPr>
            <w:r w:rsidRPr="00B07B5B">
              <w:rPr>
                <w:rFonts w:cs="Arial"/>
                <w:szCs w:val="20"/>
              </w:rPr>
              <w:t>General government deficit in % of GDP</w:t>
            </w:r>
          </w:p>
        </w:tc>
        <w:tc>
          <w:tcPr>
            <w:tcW w:w="969" w:type="dxa"/>
            <w:vAlign w:val="center"/>
          </w:tcPr>
          <w:p w:rsidR="00A42469" w:rsidRPr="00B07B5B" w:rsidRDefault="00A42469" w:rsidP="00B07B5B">
            <w:pPr>
              <w:jc w:val="center"/>
              <w:rPr>
                <w:rFonts w:cs="Arial"/>
                <w:szCs w:val="20"/>
              </w:rPr>
            </w:pPr>
            <w:r w:rsidRPr="00B07B5B">
              <w:rPr>
                <w:rFonts w:cs="Arial"/>
                <w:szCs w:val="20"/>
              </w:rPr>
              <w:t>%</w:t>
            </w:r>
          </w:p>
        </w:tc>
        <w:tc>
          <w:tcPr>
            <w:tcW w:w="1042" w:type="dxa"/>
            <w:vAlign w:val="center"/>
          </w:tcPr>
          <w:p w:rsidR="00A42469" w:rsidRPr="00E155B6" w:rsidRDefault="00A42469" w:rsidP="008A6445">
            <w:pPr>
              <w:jc w:val="center"/>
              <w:rPr>
                <w:rFonts w:cs="Arial"/>
                <w:szCs w:val="20"/>
              </w:rPr>
            </w:pPr>
            <w:r>
              <w:rPr>
                <w:rFonts w:cs="Arial"/>
                <w:szCs w:val="20"/>
              </w:rPr>
              <w:t>-3.93</w:t>
            </w:r>
          </w:p>
        </w:tc>
        <w:tc>
          <w:tcPr>
            <w:tcW w:w="1042" w:type="dxa"/>
            <w:vAlign w:val="center"/>
          </w:tcPr>
          <w:p w:rsidR="00A42469" w:rsidRPr="00E155B6" w:rsidRDefault="00A42469" w:rsidP="008A6445">
            <w:pPr>
              <w:jc w:val="center"/>
              <w:rPr>
                <w:rFonts w:cs="Arial"/>
                <w:szCs w:val="20"/>
              </w:rPr>
            </w:pPr>
            <w:r>
              <w:rPr>
                <w:rFonts w:cs="Arial"/>
                <w:szCs w:val="20"/>
              </w:rPr>
              <w:t>-1.25</w:t>
            </w:r>
          </w:p>
        </w:tc>
        <w:tc>
          <w:tcPr>
            <w:tcW w:w="1042" w:type="dxa"/>
            <w:vAlign w:val="center"/>
          </w:tcPr>
          <w:p w:rsidR="00A42469" w:rsidRPr="00E155B6" w:rsidRDefault="00A42469" w:rsidP="008A6445">
            <w:pPr>
              <w:jc w:val="center"/>
              <w:rPr>
                <w:rFonts w:cs="Arial"/>
                <w:szCs w:val="20"/>
              </w:rPr>
            </w:pPr>
            <w:r>
              <w:rPr>
                <w:rFonts w:cs="Arial"/>
                <w:szCs w:val="20"/>
              </w:rPr>
              <w:t>-1.93</w:t>
            </w:r>
          </w:p>
        </w:tc>
        <w:tc>
          <w:tcPr>
            <w:tcW w:w="1088" w:type="dxa"/>
            <w:vAlign w:val="center"/>
          </w:tcPr>
          <w:p w:rsidR="00A42469" w:rsidRPr="00E155B6" w:rsidRDefault="00A42469" w:rsidP="008A6445">
            <w:pPr>
              <w:jc w:val="center"/>
              <w:rPr>
                <w:rFonts w:cs="Arial"/>
                <w:szCs w:val="20"/>
              </w:rPr>
            </w:pPr>
            <w:r>
              <w:rPr>
                <w:rFonts w:cs="Arial"/>
                <w:szCs w:val="20"/>
              </w:rPr>
              <w:t>-0.63</w:t>
            </w:r>
          </w:p>
        </w:tc>
      </w:tr>
      <w:tr w:rsidR="00A42469" w:rsidRPr="00B07B5B" w:rsidTr="008A44AB">
        <w:tc>
          <w:tcPr>
            <w:tcW w:w="3461" w:type="dxa"/>
            <w:vAlign w:val="center"/>
          </w:tcPr>
          <w:p w:rsidR="00A42469" w:rsidRPr="00B07B5B" w:rsidRDefault="00A42469" w:rsidP="00B07B5B">
            <w:pPr>
              <w:rPr>
                <w:rFonts w:cs="Arial"/>
                <w:szCs w:val="20"/>
              </w:rPr>
            </w:pPr>
            <w:r w:rsidRPr="00B07B5B">
              <w:rPr>
                <w:rFonts w:cs="Arial"/>
                <w:szCs w:val="20"/>
              </w:rPr>
              <w:t xml:space="preserve">General government debt in % of GDP </w:t>
            </w:r>
          </w:p>
        </w:tc>
        <w:tc>
          <w:tcPr>
            <w:tcW w:w="969" w:type="dxa"/>
            <w:vAlign w:val="center"/>
          </w:tcPr>
          <w:p w:rsidR="00A42469" w:rsidRPr="00B07B5B" w:rsidRDefault="00A42469" w:rsidP="00B07B5B">
            <w:pPr>
              <w:jc w:val="center"/>
              <w:rPr>
                <w:rFonts w:cs="Arial"/>
                <w:szCs w:val="20"/>
              </w:rPr>
            </w:pPr>
            <w:r w:rsidRPr="00B07B5B">
              <w:rPr>
                <w:rFonts w:cs="Arial"/>
                <w:szCs w:val="20"/>
              </w:rPr>
              <w:t>%</w:t>
            </w:r>
          </w:p>
        </w:tc>
        <w:tc>
          <w:tcPr>
            <w:tcW w:w="1042" w:type="dxa"/>
            <w:vAlign w:val="center"/>
          </w:tcPr>
          <w:p w:rsidR="00A42469" w:rsidRPr="00E155B6" w:rsidRDefault="00A42469" w:rsidP="008A6445">
            <w:pPr>
              <w:jc w:val="center"/>
              <w:rPr>
                <w:rFonts w:cs="Arial"/>
                <w:szCs w:val="20"/>
              </w:rPr>
            </w:pPr>
            <w:r>
              <w:rPr>
                <w:rFonts w:cs="Arial"/>
                <w:szCs w:val="20"/>
              </w:rPr>
              <w:t>44.47</w:t>
            </w:r>
          </w:p>
        </w:tc>
        <w:tc>
          <w:tcPr>
            <w:tcW w:w="1042" w:type="dxa"/>
            <w:vAlign w:val="center"/>
          </w:tcPr>
          <w:p w:rsidR="00A42469" w:rsidRPr="00E155B6" w:rsidRDefault="00A42469" w:rsidP="008A6445">
            <w:pPr>
              <w:jc w:val="center"/>
              <w:rPr>
                <w:rFonts w:cs="Arial"/>
                <w:szCs w:val="20"/>
              </w:rPr>
            </w:pPr>
            <w:r>
              <w:rPr>
                <w:rFonts w:cs="Arial"/>
                <w:szCs w:val="20"/>
              </w:rPr>
              <w:t>44.91</w:t>
            </w:r>
          </w:p>
        </w:tc>
        <w:tc>
          <w:tcPr>
            <w:tcW w:w="1042" w:type="dxa"/>
            <w:vAlign w:val="center"/>
          </w:tcPr>
          <w:p w:rsidR="00A42469" w:rsidRPr="00E155B6" w:rsidRDefault="00A42469" w:rsidP="008A6445">
            <w:pPr>
              <w:jc w:val="center"/>
              <w:rPr>
                <w:rFonts w:cs="Arial"/>
                <w:szCs w:val="20"/>
              </w:rPr>
            </w:pPr>
            <w:r>
              <w:rPr>
                <w:rFonts w:cs="Arial"/>
                <w:szCs w:val="20"/>
              </w:rPr>
              <w:t>42.17</w:t>
            </w:r>
          </w:p>
        </w:tc>
        <w:tc>
          <w:tcPr>
            <w:tcW w:w="1088" w:type="dxa"/>
            <w:vAlign w:val="center"/>
          </w:tcPr>
          <w:p w:rsidR="00A42469" w:rsidRPr="00E155B6" w:rsidRDefault="00A42469" w:rsidP="008A6445">
            <w:pPr>
              <w:jc w:val="center"/>
              <w:rPr>
                <w:rFonts w:cs="Arial"/>
                <w:szCs w:val="20"/>
              </w:rPr>
            </w:pPr>
            <w:r>
              <w:rPr>
                <w:rFonts w:cs="Arial"/>
                <w:szCs w:val="20"/>
              </w:rPr>
              <w:t>40.32</w:t>
            </w:r>
          </w:p>
        </w:tc>
      </w:tr>
    </w:tbl>
    <w:p w:rsidR="00B07B5B" w:rsidRPr="00B07B5B" w:rsidRDefault="00B07B5B" w:rsidP="00B07B5B">
      <w:pPr>
        <w:pStyle w:val="Zkladntext"/>
        <w:spacing w:line="276" w:lineRule="auto"/>
        <w:rPr>
          <w:rFonts w:ascii="Arial" w:hAnsi="Arial" w:cs="Arial"/>
          <w:sz w:val="20"/>
          <w:szCs w:val="20"/>
        </w:rPr>
      </w:pPr>
    </w:p>
    <w:p w:rsidR="006943F7" w:rsidRDefault="005A164C" w:rsidP="00B07B5B">
      <w:pPr>
        <w:rPr>
          <w:rFonts w:cs="Arial"/>
          <w:szCs w:val="20"/>
        </w:rPr>
      </w:pPr>
      <w:r>
        <w:rPr>
          <w:rFonts w:cs="Arial"/>
          <w:szCs w:val="20"/>
        </w:rPr>
        <w:t>The u</w:t>
      </w:r>
      <w:r w:rsidR="00C30AFC">
        <w:rPr>
          <w:rFonts w:cs="Arial"/>
          <w:szCs w:val="20"/>
        </w:rPr>
        <w:t xml:space="preserve">pward revision </w:t>
      </w:r>
      <w:r>
        <w:rPr>
          <w:rFonts w:cs="Arial"/>
          <w:szCs w:val="20"/>
        </w:rPr>
        <w:t xml:space="preserve">of the general government deficit in </w:t>
      </w:r>
      <w:r w:rsidR="00C30AFC">
        <w:rPr>
          <w:rFonts w:cs="Arial"/>
          <w:szCs w:val="20"/>
        </w:rPr>
        <w:t>2015 by CZK 9</w:t>
      </w:r>
      <w:r w:rsidR="00DB035C">
        <w:rPr>
          <w:rFonts w:cs="Arial"/>
          <w:szCs w:val="20"/>
        </w:rPr>
        <w:t>.</w:t>
      </w:r>
      <w:r w:rsidR="00C30AFC">
        <w:rPr>
          <w:rFonts w:cs="Arial"/>
          <w:szCs w:val="20"/>
        </w:rPr>
        <w:t xml:space="preserve">9 billion was </w:t>
      </w:r>
      <w:r w:rsidR="00B046E2">
        <w:rPr>
          <w:rFonts w:cs="Arial"/>
          <w:szCs w:val="20"/>
        </w:rPr>
        <w:t>brought about</w:t>
      </w:r>
      <w:r w:rsidR="00C30AFC">
        <w:rPr>
          <w:rFonts w:cs="Arial"/>
          <w:szCs w:val="20"/>
        </w:rPr>
        <w:t xml:space="preserve"> mainly by </w:t>
      </w:r>
      <w:r w:rsidR="00DB035C">
        <w:rPr>
          <w:rFonts w:cs="Arial"/>
          <w:szCs w:val="20"/>
        </w:rPr>
        <w:t>new</w:t>
      </w:r>
      <w:r w:rsidR="00C30AFC">
        <w:rPr>
          <w:rFonts w:cs="Arial"/>
          <w:szCs w:val="20"/>
        </w:rPr>
        <w:t xml:space="preserve"> information on </w:t>
      </w:r>
      <w:r w:rsidR="00B046E2">
        <w:rPr>
          <w:rFonts w:cs="Arial"/>
          <w:szCs w:val="20"/>
        </w:rPr>
        <w:t xml:space="preserve">the </w:t>
      </w:r>
      <w:r w:rsidR="00C30AFC">
        <w:rPr>
          <w:rFonts w:cs="Arial"/>
          <w:szCs w:val="20"/>
        </w:rPr>
        <w:t>EU funds</w:t>
      </w:r>
      <w:r w:rsidR="00B046E2">
        <w:rPr>
          <w:rFonts w:cs="Arial"/>
          <w:szCs w:val="20"/>
        </w:rPr>
        <w:t xml:space="preserve"> drawing</w:t>
      </w:r>
      <w:r w:rsidR="00C30AFC">
        <w:rPr>
          <w:rFonts w:cs="Arial"/>
          <w:szCs w:val="20"/>
        </w:rPr>
        <w:t xml:space="preserve">. In relation to the end of the 2007-2013 </w:t>
      </w:r>
      <w:r w:rsidR="00B046E2">
        <w:rPr>
          <w:rFonts w:cs="Arial"/>
          <w:szCs w:val="20"/>
        </w:rPr>
        <w:t xml:space="preserve">programming </w:t>
      </w:r>
      <w:r w:rsidR="00C30AFC">
        <w:rPr>
          <w:rFonts w:cs="Arial"/>
          <w:szCs w:val="20"/>
        </w:rPr>
        <w:t xml:space="preserve">period, </w:t>
      </w:r>
      <w:r w:rsidR="00DB035C">
        <w:rPr>
          <w:rFonts w:cs="Arial"/>
          <w:szCs w:val="20"/>
        </w:rPr>
        <w:t>additional</w:t>
      </w:r>
      <w:r w:rsidR="00C30AFC">
        <w:rPr>
          <w:rFonts w:cs="Arial"/>
          <w:szCs w:val="20"/>
        </w:rPr>
        <w:t xml:space="preserve"> information on the amount which will not be reimbursed became available. </w:t>
      </w:r>
      <w:r w:rsidR="006943F7">
        <w:rPr>
          <w:rFonts w:cs="Arial"/>
          <w:szCs w:val="20"/>
        </w:rPr>
        <w:t>In this respect, t</w:t>
      </w:r>
      <w:r w:rsidR="00C30AFC">
        <w:rPr>
          <w:rFonts w:cs="Arial"/>
          <w:szCs w:val="20"/>
        </w:rPr>
        <w:t>he deficit was deepened by CZK 11.9 billion whereas this amount corresponds</w:t>
      </w:r>
      <w:r w:rsidR="006943F7">
        <w:rPr>
          <w:rFonts w:cs="Arial"/>
          <w:szCs w:val="20"/>
        </w:rPr>
        <w:t xml:space="preserve"> to</w:t>
      </w:r>
      <w:r w:rsidR="00C30AFC">
        <w:rPr>
          <w:rFonts w:cs="Arial"/>
          <w:szCs w:val="20"/>
        </w:rPr>
        <w:t xml:space="preserve"> </w:t>
      </w:r>
      <w:r w:rsidR="006943F7">
        <w:rPr>
          <w:rFonts w:cs="Arial"/>
          <w:szCs w:val="20"/>
        </w:rPr>
        <w:t xml:space="preserve">expenditures of government units made in the past “on behalf of EU”, but which will not be reimbursed. Aside from that, the deficit was further deepened by new information from annual statistical questionnaires and audited </w:t>
      </w:r>
      <w:r w:rsidR="00F07240">
        <w:rPr>
          <w:rFonts w:cs="Arial"/>
          <w:szCs w:val="20"/>
        </w:rPr>
        <w:t xml:space="preserve">financial statements provided by </w:t>
      </w:r>
      <w:r w:rsidR="006943F7">
        <w:rPr>
          <w:rFonts w:cs="Arial"/>
          <w:szCs w:val="20"/>
        </w:rPr>
        <w:t>government institutions (CZK -1.8 billion).</w:t>
      </w:r>
      <w:r w:rsidR="006943F7" w:rsidRPr="006943F7">
        <w:rPr>
          <w:rFonts w:cs="Arial"/>
          <w:szCs w:val="20"/>
        </w:rPr>
        <w:t xml:space="preserve"> </w:t>
      </w:r>
      <w:r w:rsidR="00B046E2">
        <w:rPr>
          <w:rFonts w:cs="Arial"/>
          <w:szCs w:val="20"/>
        </w:rPr>
        <w:t xml:space="preserve">Revision of </w:t>
      </w:r>
      <w:r w:rsidR="00F07240">
        <w:rPr>
          <w:rFonts w:cs="Arial"/>
          <w:szCs w:val="20"/>
        </w:rPr>
        <w:t xml:space="preserve">the </w:t>
      </w:r>
      <w:r w:rsidR="00B046E2">
        <w:rPr>
          <w:rFonts w:cs="Arial"/>
          <w:szCs w:val="20"/>
        </w:rPr>
        <w:t>nominal GDP work</w:t>
      </w:r>
      <w:r>
        <w:rPr>
          <w:rFonts w:cs="Arial"/>
          <w:szCs w:val="20"/>
        </w:rPr>
        <w:t>ed</w:t>
      </w:r>
      <w:r w:rsidR="00B046E2">
        <w:rPr>
          <w:rFonts w:cs="Arial"/>
          <w:szCs w:val="20"/>
        </w:rPr>
        <w:t xml:space="preserve"> in the opposite direction lowering the level of deficit </w:t>
      </w:r>
      <w:proofErr w:type="gramStart"/>
      <w:r w:rsidR="00B046E2">
        <w:rPr>
          <w:rFonts w:cs="Arial"/>
          <w:szCs w:val="20"/>
        </w:rPr>
        <w:t>by 0.01 p.p</w:t>
      </w:r>
      <w:proofErr w:type="gramEnd"/>
      <w:r w:rsidR="00B046E2">
        <w:rPr>
          <w:rFonts w:cs="Arial"/>
          <w:szCs w:val="20"/>
        </w:rPr>
        <w:t>.</w:t>
      </w:r>
    </w:p>
    <w:p w:rsidR="00C30AFC" w:rsidRDefault="00C30AFC" w:rsidP="00B07B5B">
      <w:pPr>
        <w:rPr>
          <w:rFonts w:cs="Arial"/>
          <w:szCs w:val="20"/>
        </w:rPr>
      </w:pPr>
    </w:p>
    <w:p w:rsidR="00F10601" w:rsidRDefault="00F10601" w:rsidP="000B5B80">
      <w:pPr>
        <w:rPr>
          <w:rFonts w:cs="Arial"/>
          <w:szCs w:val="20"/>
        </w:rPr>
      </w:pPr>
      <w:r>
        <w:rPr>
          <w:rFonts w:cs="Arial"/>
          <w:szCs w:val="20"/>
        </w:rPr>
        <w:t xml:space="preserve">The </w:t>
      </w:r>
      <w:r w:rsidR="00F07240">
        <w:rPr>
          <w:rFonts w:cs="Arial"/>
          <w:szCs w:val="20"/>
        </w:rPr>
        <w:t xml:space="preserve">upward </w:t>
      </w:r>
      <w:r>
        <w:rPr>
          <w:rFonts w:cs="Arial"/>
          <w:szCs w:val="20"/>
        </w:rPr>
        <w:t>revision</w:t>
      </w:r>
      <w:r w:rsidR="00F07240">
        <w:rPr>
          <w:rFonts w:cs="Arial"/>
          <w:szCs w:val="20"/>
        </w:rPr>
        <w:t xml:space="preserve"> of the deficit</w:t>
      </w:r>
      <w:r>
        <w:rPr>
          <w:rFonts w:cs="Arial"/>
          <w:szCs w:val="20"/>
        </w:rPr>
        <w:t xml:space="preserve"> concerned almost exclusively the subsector of central government institution. </w:t>
      </w:r>
      <w:r w:rsidR="005A164C">
        <w:rPr>
          <w:rFonts w:cs="Arial"/>
          <w:szCs w:val="20"/>
        </w:rPr>
        <w:t>Nevertheless</w:t>
      </w:r>
      <w:r>
        <w:rPr>
          <w:rFonts w:cs="Arial"/>
          <w:szCs w:val="20"/>
        </w:rPr>
        <w:t xml:space="preserve">, </w:t>
      </w:r>
      <w:r w:rsidR="005A164C">
        <w:rPr>
          <w:rFonts w:cs="Arial"/>
          <w:szCs w:val="20"/>
        </w:rPr>
        <w:t>lowered</w:t>
      </w:r>
      <w:r>
        <w:rPr>
          <w:rFonts w:cs="Arial"/>
          <w:szCs w:val="20"/>
        </w:rPr>
        <w:t xml:space="preserve"> deficit or </w:t>
      </w:r>
      <w:r w:rsidR="005A164C">
        <w:rPr>
          <w:rFonts w:cs="Arial"/>
          <w:szCs w:val="20"/>
        </w:rPr>
        <w:t xml:space="preserve">increasing </w:t>
      </w:r>
      <w:r>
        <w:rPr>
          <w:rFonts w:cs="Arial"/>
          <w:szCs w:val="20"/>
        </w:rPr>
        <w:t xml:space="preserve">surplus </w:t>
      </w:r>
      <w:r w:rsidR="00DB035C">
        <w:rPr>
          <w:rFonts w:cs="Arial"/>
          <w:szCs w:val="20"/>
        </w:rPr>
        <w:t xml:space="preserve">was achieved </w:t>
      </w:r>
      <w:r>
        <w:rPr>
          <w:rFonts w:cs="Arial"/>
          <w:szCs w:val="20"/>
        </w:rPr>
        <w:t>at all level</w:t>
      </w:r>
      <w:r w:rsidR="00DB035C">
        <w:rPr>
          <w:rFonts w:cs="Arial"/>
          <w:szCs w:val="20"/>
        </w:rPr>
        <w:t>s</w:t>
      </w:r>
      <w:r>
        <w:rPr>
          <w:rFonts w:cs="Arial"/>
          <w:szCs w:val="20"/>
        </w:rPr>
        <w:t xml:space="preserve"> of the general government</w:t>
      </w:r>
      <w:r w:rsidR="005A164C">
        <w:rPr>
          <w:rFonts w:cs="Arial"/>
          <w:szCs w:val="20"/>
        </w:rPr>
        <w:t xml:space="preserve"> sector</w:t>
      </w:r>
      <w:r>
        <w:rPr>
          <w:rFonts w:cs="Arial"/>
          <w:szCs w:val="20"/>
        </w:rPr>
        <w:t>. The deficit of central government institution finished at a level CZK 56.8 bill</w:t>
      </w:r>
      <w:r w:rsidR="007D5E4D">
        <w:rPr>
          <w:rFonts w:cs="Arial"/>
          <w:szCs w:val="20"/>
        </w:rPr>
        <w:t>ion</w:t>
      </w:r>
      <w:r>
        <w:rPr>
          <w:rFonts w:cs="Arial"/>
          <w:szCs w:val="20"/>
        </w:rPr>
        <w:t xml:space="preserve">, </w:t>
      </w:r>
      <w:r w:rsidR="00F07240">
        <w:rPr>
          <w:rFonts w:cs="Arial"/>
          <w:szCs w:val="20"/>
        </w:rPr>
        <w:t>down from CZK 88</w:t>
      </w:r>
      <w:r w:rsidR="007D5E4D">
        <w:rPr>
          <w:rFonts w:cs="Arial"/>
          <w:szCs w:val="20"/>
        </w:rPr>
        <w:t xml:space="preserve"> billion</w:t>
      </w:r>
      <w:r w:rsidR="00F07240">
        <w:rPr>
          <w:rFonts w:cs="Arial"/>
          <w:szCs w:val="20"/>
        </w:rPr>
        <w:t xml:space="preserve"> in the last year.</w:t>
      </w:r>
      <w:r>
        <w:rPr>
          <w:rFonts w:cs="Arial"/>
          <w:szCs w:val="20"/>
        </w:rPr>
        <w:t xml:space="preserve"> Surplus of local government institutions soared to record level </w:t>
      </w:r>
      <w:r w:rsidR="000B5B80">
        <w:rPr>
          <w:rFonts w:cs="Arial"/>
          <w:szCs w:val="20"/>
        </w:rPr>
        <w:t xml:space="preserve">when reaching the amount </w:t>
      </w:r>
      <w:r>
        <w:rPr>
          <w:rFonts w:cs="Arial"/>
          <w:szCs w:val="20"/>
        </w:rPr>
        <w:t>of CZK 26.3 bill. (</w:t>
      </w:r>
      <w:proofErr w:type="gramStart"/>
      <w:r>
        <w:rPr>
          <w:rFonts w:cs="Arial"/>
          <w:szCs w:val="20"/>
        </w:rPr>
        <w:t>an</w:t>
      </w:r>
      <w:proofErr w:type="gramEnd"/>
      <w:r>
        <w:rPr>
          <w:rFonts w:cs="Arial"/>
          <w:szCs w:val="20"/>
        </w:rPr>
        <w:t xml:space="preserve"> annual </w:t>
      </w:r>
      <w:r>
        <w:rPr>
          <w:rFonts w:cs="Arial"/>
          <w:szCs w:val="20"/>
        </w:rPr>
        <w:lastRenderedPageBreak/>
        <w:t xml:space="preserve">increase </w:t>
      </w:r>
      <w:r w:rsidR="00A1050F">
        <w:rPr>
          <w:rFonts w:cs="Arial"/>
          <w:szCs w:val="20"/>
        </w:rPr>
        <w:t>of</w:t>
      </w:r>
      <w:r>
        <w:rPr>
          <w:rFonts w:cs="Arial"/>
          <w:szCs w:val="20"/>
        </w:rPr>
        <w:t xml:space="preserve"> CZK 18.6 bill</w:t>
      </w:r>
      <w:r w:rsidR="007D5E4D">
        <w:rPr>
          <w:rFonts w:cs="Arial"/>
          <w:szCs w:val="20"/>
        </w:rPr>
        <w:t>ion</w:t>
      </w:r>
      <w:r>
        <w:rPr>
          <w:rFonts w:cs="Arial"/>
          <w:szCs w:val="20"/>
        </w:rPr>
        <w:t xml:space="preserve">). </w:t>
      </w:r>
      <w:r w:rsidR="000B5B80">
        <w:rPr>
          <w:rFonts w:cs="Arial"/>
          <w:szCs w:val="20"/>
        </w:rPr>
        <w:t xml:space="preserve">A positive </w:t>
      </w:r>
      <w:r w:rsidR="00A1050F">
        <w:rPr>
          <w:rFonts w:cs="Arial"/>
          <w:szCs w:val="20"/>
        </w:rPr>
        <w:t>balance</w:t>
      </w:r>
      <w:r w:rsidR="000B5B80">
        <w:rPr>
          <w:rFonts w:cs="Arial"/>
          <w:szCs w:val="20"/>
        </w:rPr>
        <w:t xml:space="preserve"> was achieved also in the case of social security fund</w:t>
      </w:r>
      <w:r w:rsidR="007D5E4D">
        <w:rPr>
          <w:rFonts w:cs="Arial"/>
          <w:szCs w:val="20"/>
        </w:rPr>
        <w:t>s (CZK 1.9 billion</w:t>
      </w:r>
      <w:r w:rsidR="000B5B80">
        <w:rPr>
          <w:rFonts w:cs="Arial"/>
          <w:szCs w:val="20"/>
        </w:rPr>
        <w:t xml:space="preserve">). </w:t>
      </w:r>
    </w:p>
    <w:p w:rsidR="00F10601" w:rsidRDefault="00F10601" w:rsidP="00B07B5B">
      <w:pPr>
        <w:rPr>
          <w:rFonts w:cs="Arial"/>
          <w:szCs w:val="20"/>
        </w:rPr>
      </w:pPr>
    </w:p>
    <w:p w:rsidR="00B07B5B" w:rsidRDefault="000B5B80" w:rsidP="000E3FAC">
      <w:pPr>
        <w:rPr>
          <w:rFonts w:cs="Arial"/>
          <w:szCs w:val="20"/>
        </w:rPr>
      </w:pPr>
      <w:r>
        <w:rPr>
          <w:rFonts w:cs="Arial"/>
          <w:szCs w:val="20"/>
        </w:rPr>
        <w:t>On the revenue side, the most significant increase was recorded in</w:t>
      </w:r>
      <w:r w:rsidR="00A1050F">
        <w:rPr>
          <w:rFonts w:cs="Arial"/>
          <w:szCs w:val="20"/>
        </w:rPr>
        <w:t xml:space="preserve"> the form of</w:t>
      </w:r>
      <w:r>
        <w:rPr>
          <w:rFonts w:cs="Arial"/>
          <w:szCs w:val="20"/>
        </w:rPr>
        <w:t xml:space="preserve"> investment grants (annul growth 67 percent) and non-investment transfers from abroad (15 percent). The </w:t>
      </w:r>
      <w:r w:rsidR="00C916AC">
        <w:rPr>
          <w:rFonts w:cs="Arial"/>
          <w:szCs w:val="20"/>
        </w:rPr>
        <w:t>receipts</w:t>
      </w:r>
      <w:r>
        <w:rPr>
          <w:rFonts w:cs="Arial"/>
          <w:szCs w:val="20"/>
        </w:rPr>
        <w:t xml:space="preserve"> from taxes on production and from import rose 10 percent </w:t>
      </w:r>
      <w:r w:rsidR="00C916AC">
        <w:rPr>
          <w:rFonts w:cs="Arial"/>
          <w:szCs w:val="20"/>
        </w:rPr>
        <w:t>annually;</w:t>
      </w:r>
      <w:r>
        <w:rPr>
          <w:rFonts w:cs="Arial"/>
          <w:szCs w:val="20"/>
        </w:rPr>
        <w:t xml:space="preserve"> </w:t>
      </w:r>
      <w:r w:rsidR="00C916AC">
        <w:rPr>
          <w:rFonts w:cs="Arial"/>
          <w:szCs w:val="20"/>
        </w:rPr>
        <w:t>in case of</w:t>
      </w:r>
      <w:r>
        <w:rPr>
          <w:rFonts w:cs="Arial"/>
          <w:szCs w:val="20"/>
        </w:rPr>
        <w:t xml:space="preserve"> social contribution the annual growth reached 5 percent. </w:t>
      </w:r>
      <w:r w:rsidR="00DB035C">
        <w:rPr>
          <w:rFonts w:cs="Arial"/>
          <w:szCs w:val="20"/>
        </w:rPr>
        <w:t xml:space="preserve">On the expenditure side, a growth in outlays was driven mainly </w:t>
      </w:r>
      <w:r w:rsidR="00336F0F">
        <w:rPr>
          <w:rFonts w:cs="Arial"/>
          <w:szCs w:val="20"/>
        </w:rPr>
        <w:t>expenditures on gross capital formation (</w:t>
      </w:r>
      <w:r>
        <w:rPr>
          <w:rFonts w:cs="Arial"/>
          <w:szCs w:val="20"/>
        </w:rPr>
        <w:t xml:space="preserve">33 </w:t>
      </w:r>
      <w:r w:rsidR="00336F0F">
        <w:rPr>
          <w:rFonts w:cs="Arial"/>
          <w:szCs w:val="20"/>
        </w:rPr>
        <w:t xml:space="preserve">percent), </w:t>
      </w:r>
      <w:r w:rsidR="000E3FAC">
        <w:rPr>
          <w:rFonts w:cs="Arial"/>
          <w:szCs w:val="20"/>
        </w:rPr>
        <w:t xml:space="preserve">subsidies (6 percent) and compensation to employees (5 percent). On the contrary, the amount of interest paid by government units declined by 13 percent. Moreover, a strong decline was recorded in form of capital transfers (33 percent), especially due to base effect. </w:t>
      </w:r>
    </w:p>
    <w:p w:rsidR="004A7837" w:rsidRDefault="004A7837" w:rsidP="004A7837">
      <w:pPr>
        <w:rPr>
          <w:rFonts w:cs="Arial"/>
          <w:szCs w:val="20"/>
        </w:rPr>
      </w:pPr>
    </w:p>
    <w:p w:rsidR="008374BE" w:rsidRDefault="001A387B" w:rsidP="000E3FAC">
      <w:pPr>
        <w:rPr>
          <w:rFonts w:cs="Arial"/>
          <w:szCs w:val="20"/>
        </w:rPr>
      </w:pPr>
      <w:r>
        <w:rPr>
          <w:rFonts w:cs="Arial"/>
          <w:szCs w:val="20"/>
        </w:rPr>
        <w:t>General</w:t>
      </w:r>
      <w:r w:rsidR="00663A94">
        <w:rPr>
          <w:rFonts w:cs="Arial"/>
          <w:szCs w:val="20"/>
        </w:rPr>
        <w:t xml:space="preserve"> government gross debt </w:t>
      </w:r>
      <w:r>
        <w:rPr>
          <w:rFonts w:cs="Arial"/>
          <w:szCs w:val="20"/>
        </w:rPr>
        <w:t xml:space="preserve">was </w:t>
      </w:r>
      <w:r w:rsidR="00663A94">
        <w:rPr>
          <w:rFonts w:cs="Arial"/>
          <w:szCs w:val="20"/>
        </w:rPr>
        <w:t>4</w:t>
      </w:r>
      <w:r w:rsidR="000E3FAC">
        <w:rPr>
          <w:rFonts w:cs="Arial"/>
          <w:szCs w:val="20"/>
        </w:rPr>
        <w:t>0</w:t>
      </w:r>
      <w:r w:rsidR="00663A94">
        <w:rPr>
          <w:rFonts w:cs="Arial"/>
          <w:szCs w:val="20"/>
        </w:rPr>
        <w:t>.</w:t>
      </w:r>
      <w:r w:rsidR="000E3FAC">
        <w:rPr>
          <w:rFonts w:cs="Arial"/>
          <w:szCs w:val="20"/>
        </w:rPr>
        <w:t>32</w:t>
      </w:r>
      <w:r w:rsidR="00663A94">
        <w:rPr>
          <w:rFonts w:cs="Arial"/>
          <w:szCs w:val="20"/>
        </w:rPr>
        <w:t xml:space="preserve"> percent of GDP</w:t>
      </w:r>
      <w:r>
        <w:rPr>
          <w:rFonts w:cs="Arial"/>
          <w:szCs w:val="20"/>
        </w:rPr>
        <w:t xml:space="preserve"> at the end of 2015</w:t>
      </w:r>
      <w:r w:rsidR="00663A94">
        <w:rPr>
          <w:rFonts w:cs="Arial"/>
          <w:szCs w:val="20"/>
        </w:rPr>
        <w:t xml:space="preserve">. Compared </w:t>
      </w:r>
      <w:r w:rsidR="000E3FAC">
        <w:rPr>
          <w:rFonts w:cs="Arial"/>
          <w:szCs w:val="20"/>
        </w:rPr>
        <w:t xml:space="preserve">to the figures released in April 2016 (41.16 percent), the indebtedness decreased by 0.74 p.p. exclusively due to revision in nominal GDP. </w:t>
      </w:r>
      <w:r w:rsidR="00DB035C">
        <w:rPr>
          <w:rFonts w:cs="Arial"/>
          <w:szCs w:val="20"/>
        </w:rPr>
        <w:t xml:space="preserve">The annual decline in indebtedness reached </w:t>
      </w:r>
      <w:proofErr w:type="gramStart"/>
      <w:r w:rsidR="00DB035C">
        <w:rPr>
          <w:rFonts w:cs="Arial"/>
          <w:szCs w:val="20"/>
        </w:rPr>
        <w:t>1.85 p.p</w:t>
      </w:r>
      <w:proofErr w:type="gramEnd"/>
      <w:r w:rsidR="00DB035C">
        <w:rPr>
          <w:rFonts w:cs="Arial"/>
          <w:szCs w:val="20"/>
        </w:rPr>
        <w:t>. In nominal terms</w:t>
      </w:r>
      <w:r w:rsidR="000E3FAC">
        <w:rPr>
          <w:rFonts w:cs="Arial"/>
          <w:szCs w:val="20"/>
        </w:rPr>
        <w:t>, the amount of debt grew annually by CZK 17 bill</w:t>
      </w:r>
      <w:r w:rsidR="007D5E4D">
        <w:rPr>
          <w:rFonts w:cs="Arial"/>
          <w:szCs w:val="20"/>
        </w:rPr>
        <w:t>ion</w:t>
      </w:r>
      <w:r w:rsidR="000E3FAC">
        <w:rPr>
          <w:rFonts w:cs="Arial"/>
          <w:szCs w:val="20"/>
        </w:rPr>
        <w:t xml:space="preserve">. </w:t>
      </w:r>
      <w:r>
        <w:rPr>
          <w:rFonts w:cs="Arial"/>
          <w:szCs w:val="20"/>
        </w:rPr>
        <w:t>This</w:t>
      </w:r>
      <w:r w:rsidR="000E3FAC">
        <w:rPr>
          <w:rFonts w:cs="Arial"/>
          <w:szCs w:val="20"/>
        </w:rPr>
        <w:t xml:space="preserve"> </w:t>
      </w:r>
      <w:r>
        <w:rPr>
          <w:rFonts w:cs="Arial"/>
          <w:szCs w:val="20"/>
        </w:rPr>
        <w:t xml:space="preserve">annual </w:t>
      </w:r>
      <w:r w:rsidR="000E3FAC">
        <w:rPr>
          <w:rFonts w:cs="Arial"/>
          <w:szCs w:val="20"/>
        </w:rPr>
        <w:t xml:space="preserve">change relates to new </w:t>
      </w:r>
      <w:r>
        <w:rPr>
          <w:rFonts w:cs="Arial"/>
          <w:szCs w:val="20"/>
        </w:rPr>
        <w:t>issues</w:t>
      </w:r>
      <w:r w:rsidR="000E3FAC">
        <w:rPr>
          <w:rFonts w:cs="Arial"/>
          <w:szCs w:val="20"/>
        </w:rPr>
        <w:t xml:space="preserve"> of </w:t>
      </w:r>
      <w:r>
        <w:rPr>
          <w:rFonts w:cs="Arial"/>
          <w:szCs w:val="20"/>
        </w:rPr>
        <w:t xml:space="preserve">government </w:t>
      </w:r>
      <w:r w:rsidR="000E3FAC">
        <w:rPr>
          <w:rFonts w:cs="Arial"/>
          <w:szCs w:val="20"/>
        </w:rPr>
        <w:t xml:space="preserve">bonds made by </w:t>
      </w:r>
      <w:r w:rsidR="00DB035C">
        <w:rPr>
          <w:rFonts w:cs="Arial"/>
          <w:szCs w:val="20"/>
        </w:rPr>
        <w:t xml:space="preserve">the </w:t>
      </w:r>
      <w:r>
        <w:rPr>
          <w:rFonts w:cs="Arial"/>
          <w:szCs w:val="20"/>
        </w:rPr>
        <w:t>budgetary institutions</w:t>
      </w:r>
      <w:r w:rsidR="000E3FAC">
        <w:rPr>
          <w:rFonts w:cs="Arial"/>
          <w:szCs w:val="20"/>
        </w:rPr>
        <w:t xml:space="preserve">. The nominal debt of other </w:t>
      </w:r>
      <w:r w:rsidR="005A164C">
        <w:rPr>
          <w:rFonts w:cs="Arial"/>
          <w:szCs w:val="20"/>
        </w:rPr>
        <w:t xml:space="preserve">government </w:t>
      </w:r>
      <w:r w:rsidR="000E3FAC">
        <w:rPr>
          <w:rFonts w:cs="Arial"/>
          <w:szCs w:val="20"/>
        </w:rPr>
        <w:t xml:space="preserve">units showed a decreasing trend. </w:t>
      </w:r>
    </w:p>
    <w:p w:rsidR="008374BE" w:rsidRDefault="008374BE" w:rsidP="004A7837">
      <w:pPr>
        <w:rPr>
          <w:rFonts w:cs="Arial"/>
          <w:szCs w:val="20"/>
        </w:rPr>
      </w:pPr>
    </w:p>
    <w:p w:rsidR="000E3FAC" w:rsidRDefault="00A475E7" w:rsidP="000E3FAC">
      <w:r>
        <w:rPr>
          <w:rFonts w:cs="Arial"/>
          <w:szCs w:val="20"/>
        </w:rPr>
        <w:t>I</w:t>
      </w:r>
      <w:r w:rsidR="000E3FAC">
        <w:rPr>
          <w:rFonts w:cs="Arial"/>
          <w:szCs w:val="20"/>
        </w:rPr>
        <w:t xml:space="preserve">ndicators presented in the table </w:t>
      </w:r>
      <w:r w:rsidR="000E3FAC" w:rsidRPr="00B07B5B">
        <w:rPr>
          <w:rFonts w:cs="Arial"/>
          <w:szCs w:val="20"/>
        </w:rPr>
        <w:t xml:space="preserve">were transmitted to Eurostat </w:t>
      </w:r>
      <w:r w:rsidR="000E3FAC" w:rsidRPr="00B07B5B">
        <w:rPr>
          <w:rStyle w:val="hps"/>
          <w:rFonts w:cs="Arial"/>
          <w:color w:val="333333"/>
          <w:szCs w:val="20"/>
        </w:rPr>
        <w:t xml:space="preserve">at the end of </w:t>
      </w:r>
      <w:r w:rsidR="000E3FAC">
        <w:rPr>
          <w:rStyle w:val="hps"/>
          <w:rFonts w:cs="Arial"/>
          <w:color w:val="333333"/>
          <w:szCs w:val="20"/>
        </w:rPr>
        <w:t>September</w:t>
      </w:r>
      <w:r w:rsidR="000E3FAC" w:rsidRPr="00B07B5B">
        <w:rPr>
          <w:rFonts w:cs="Arial"/>
          <w:szCs w:val="20"/>
        </w:rPr>
        <w:t xml:space="preserve"> 201</w:t>
      </w:r>
      <w:r w:rsidR="000E3FAC">
        <w:rPr>
          <w:rFonts w:cs="Arial"/>
          <w:szCs w:val="20"/>
        </w:rPr>
        <w:t>5</w:t>
      </w:r>
      <w:r w:rsidR="000E3FAC" w:rsidRPr="00B07B5B">
        <w:rPr>
          <w:rFonts w:cs="Arial"/>
          <w:szCs w:val="20"/>
        </w:rPr>
        <w:t>.</w:t>
      </w:r>
    </w:p>
    <w:p w:rsidR="00A475E7" w:rsidRDefault="00A475E7" w:rsidP="00A475E7">
      <w:pPr>
        <w:pStyle w:val="Poznmky0"/>
      </w:pPr>
      <w:r>
        <w:t>Notices:</w:t>
      </w:r>
    </w:p>
    <w:p w:rsidR="009266AF" w:rsidRPr="00A475E7" w:rsidRDefault="009266AF" w:rsidP="009266AF">
      <w:pPr>
        <w:pStyle w:val="Zkladntext"/>
        <w:spacing w:line="276" w:lineRule="auto"/>
        <w:rPr>
          <w:rFonts w:ascii="Arial" w:hAnsi="Arial" w:cs="Arial"/>
          <w:i/>
          <w:sz w:val="18"/>
          <w:szCs w:val="20"/>
        </w:rPr>
      </w:pPr>
      <w:r w:rsidRPr="00A475E7">
        <w:rPr>
          <w:rFonts w:ascii="Arial" w:hAnsi="Arial" w:cs="Arial"/>
          <w:i/>
          <w:sz w:val="18"/>
          <w:szCs w:val="20"/>
        </w:rPr>
        <w:t>Notification of government deficit and debt is compiled for past four years and submitted to the European Commission by each Member State of the EU at the end of September and March each year under the terms of the Maastricht treaty, including a projection for the current year. Pursuant to the Maastricht criteria, fiscal indicators should comply with reference values for a deficit (3</w:t>
      </w:r>
      <w:r w:rsidR="005A164C" w:rsidRPr="00A475E7">
        <w:rPr>
          <w:rFonts w:ascii="Arial" w:hAnsi="Arial" w:cs="Arial"/>
          <w:i/>
          <w:sz w:val="18"/>
          <w:szCs w:val="20"/>
        </w:rPr>
        <w:t xml:space="preserve"> percent</w:t>
      </w:r>
      <w:r w:rsidRPr="00A475E7">
        <w:rPr>
          <w:rFonts w:ascii="Arial" w:hAnsi="Arial" w:cs="Arial"/>
          <w:i/>
          <w:sz w:val="18"/>
          <w:szCs w:val="20"/>
        </w:rPr>
        <w:t xml:space="preserve"> of GDP) and a debt (60</w:t>
      </w:r>
      <w:r w:rsidR="005A164C" w:rsidRPr="00A475E7">
        <w:rPr>
          <w:rFonts w:ascii="Arial" w:hAnsi="Arial" w:cs="Arial"/>
          <w:i/>
          <w:sz w:val="18"/>
          <w:szCs w:val="20"/>
        </w:rPr>
        <w:t xml:space="preserve"> percent</w:t>
      </w:r>
      <w:r w:rsidRPr="00A475E7">
        <w:rPr>
          <w:rFonts w:ascii="Arial" w:hAnsi="Arial" w:cs="Arial"/>
          <w:i/>
          <w:sz w:val="18"/>
          <w:szCs w:val="20"/>
        </w:rPr>
        <w:t xml:space="preserve"> of GDP). </w:t>
      </w:r>
    </w:p>
    <w:p w:rsidR="009266AF" w:rsidRPr="00A475E7" w:rsidRDefault="009266AF" w:rsidP="009266AF">
      <w:pPr>
        <w:pStyle w:val="Zkladntext"/>
        <w:spacing w:line="276" w:lineRule="auto"/>
        <w:rPr>
          <w:rFonts w:ascii="Arial" w:hAnsi="Arial" w:cs="Arial"/>
          <w:i/>
          <w:sz w:val="18"/>
          <w:szCs w:val="20"/>
        </w:rPr>
      </w:pPr>
    </w:p>
    <w:p w:rsidR="009266AF" w:rsidRPr="00A475E7" w:rsidRDefault="009266AF" w:rsidP="009266AF">
      <w:pPr>
        <w:pStyle w:val="Zkladntext"/>
        <w:spacing w:line="276" w:lineRule="auto"/>
        <w:rPr>
          <w:rFonts w:ascii="Arial" w:hAnsi="Arial" w:cs="Arial"/>
          <w:i/>
          <w:sz w:val="18"/>
          <w:szCs w:val="20"/>
        </w:rPr>
      </w:pPr>
      <w:r w:rsidRPr="00A475E7">
        <w:rPr>
          <w:rFonts w:ascii="Arial" w:hAnsi="Arial" w:cs="Arial"/>
          <w:i/>
          <w:sz w:val="18"/>
          <w:szCs w:val="20"/>
          <w:u w:val="single"/>
        </w:rPr>
        <w:t>Government surplus/deficit</w:t>
      </w:r>
      <w:r w:rsidRPr="00A475E7">
        <w:rPr>
          <w:rFonts w:ascii="Arial" w:hAnsi="Arial" w:cs="Arial"/>
          <w:i/>
          <w:sz w:val="18"/>
          <w:szCs w:val="20"/>
        </w:rPr>
        <w:t xml:space="preserve"> is represented by item B.9 “net borrowing (-) or net lending (+)” in national accounts. It refers to the ability of general government sector to finance other sectors (+) or the need of general government sector to be financed (-) by other economic sectors.</w:t>
      </w:r>
    </w:p>
    <w:p w:rsidR="009266AF" w:rsidRPr="00A475E7" w:rsidRDefault="009266AF" w:rsidP="009266AF">
      <w:pPr>
        <w:pStyle w:val="Zkladntext"/>
        <w:spacing w:line="276" w:lineRule="auto"/>
        <w:rPr>
          <w:rFonts w:ascii="Arial" w:hAnsi="Arial" w:cs="Arial"/>
          <w:i/>
          <w:sz w:val="18"/>
          <w:szCs w:val="20"/>
        </w:rPr>
      </w:pPr>
    </w:p>
    <w:p w:rsidR="009266AF" w:rsidRPr="00A475E7" w:rsidRDefault="009266AF" w:rsidP="009266AF">
      <w:pPr>
        <w:pStyle w:val="Zkladntext"/>
        <w:spacing w:line="276" w:lineRule="auto"/>
        <w:rPr>
          <w:rFonts w:ascii="Arial" w:hAnsi="Arial" w:cs="Arial"/>
          <w:i/>
          <w:sz w:val="18"/>
          <w:szCs w:val="20"/>
        </w:rPr>
      </w:pPr>
      <w:r w:rsidRPr="00A475E7">
        <w:rPr>
          <w:rFonts w:ascii="Arial" w:hAnsi="Arial" w:cs="Arial"/>
          <w:i/>
          <w:sz w:val="18"/>
          <w:szCs w:val="20"/>
          <w:u w:val="single"/>
        </w:rPr>
        <w:t>Government debt</w:t>
      </w:r>
      <w:r w:rsidRPr="00A475E7">
        <w:rPr>
          <w:rFonts w:ascii="Arial" w:hAnsi="Arial" w:cs="Arial"/>
          <w:i/>
          <w:sz w:val="18"/>
          <w:szCs w:val="20"/>
        </w:rPr>
        <w:t xml:space="preserve"> consists of liabilities of general government sector in form of deposits, debt securities and loans. In case of foreign exchange debt instruments hedged against currency risk, value in CZK is obtained by means of contractual exchange rate.</w:t>
      </w:r>
    </w:p>
    <w:p w:rsidR="00830829" w:rsidRDefault="00830829" w:rsidP="00830829">
      <w:pPr>
        <w:pStyle w:val="Poznmky0"/>
      </w:pPr>
      <w:bookmarkStart w:id="0" w:name="_GoBack"/>
    </w:p>
    <w:p w:rsidR="00A475E7" w:rsidRDefault="00A475E7" w:rsidP="00830829">
      <w:pPr>
        <w:rPr>
          <w:i/>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475E7" w:rsidTr="00402E0D">
        <w:tc>
          <w:tcPr>
            <w:tcW w:w="3369" w:type="dxa"/>
          </w:tcPr>
          <w:p w:rsidR="00A475E7" w:rsidRDefault="00A475E7" w:rsidP="00402E0D">
            <w:pPr>
              <w:rPr>
                <w:i/>
                <w:iCs/>
                <w:sz w:val="18"/>
                <w:szCs w:val="18"/>
              </w:rPr>
            </w:pPr>
            <w:r>
              <w:rPr>
                <w:i/>
                <w:iCs/>
                <w:sz w:val="18"/>
                <w:szCs w:val="18"/>
              </w:rPr>
              <w:t>Responsible manager</w:t>
            </w:r>
            <w:r w:rsidRPr="002C1411">
              <w:rPr>
                <w:i/>
                <w:iCs/>
                <w:sz w:val="18"/>
                <w:szCs w:val="18"/>
              </w:rPr>
              <w:t>:</w:t>
            </w:r>
          </w:p>
        </w:tc>
        <w:tc>
          <w:tcPr>
            <w:tcW w:w="5275" w:type="dxa"/>
          </w:tcPr>
          <w:p w:rsidR="00A475E7" w:rsidRDefault="00A475E7" w:rsidP="00402E0D">
            <w:pPr>
              <w:rPr>
                <w:i/>
                <w:iCs/>
                <w:sz w:val="18"/>
                <w:szCs w:val="18"/>
              </w:rPr>
            </w:pPr>
            <w:r>
              <w:rPr>
                <w:i/>
                <w:iCs/>
                <w:sz w:val="18"/>
                <w:szCs w:val="18"/>
              </w:rPr>
              <w:t xml:space="preserve">Vaclav </w:t>
            </w:r>
            <w:proofErr w:type="spellStart"/>
            <w:r>
              <w:rPr>
                <w:i/>
                <w:iCs/>
                <w:sz w:val="18"/>
                <w:szCs w:val="18"/>
              </w:rPr>
              <w:t>Rybacek</w:t>
            </w:r>
            <w:proofErr w:type="spellEnd"/>
            <w:r w:rsidRPr="002C1411">
              <w:rPr>
                <w:i/>
                <w:iCs/>
                <w:sz w:val="18"/>
                <w:szCs w:val="18"/>
              </w:rPr>
              <w:t>, Ph.D., 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8" w:history="1">
              <w:r w:rsidRPr="00702415">
                <w:rPr>
                  <w:rStyle w:val="Hypertextovodkaz"/>
                  <w:sz w:val="18"/>
                </w:rPr>
                <w:t>vaclav.rybacek@czso.cz</w:t>
              </w:r>
            </w:hyperlink>
            <w:r w:rsidRPr="00702415">
              <w:rPr>
                <w:sz w:val="18"/>
              </w:rPr>
              <w:t xml:space="preserve"> </w:t>
            </w:r>
          </w:p>
        </w:tc>
      </w:tr>
      <w:tr w:rsidR="00A475E7" w:rsidTr="00402E0D">
        <w:tc>
          <w:tcPr>
            <w:tcW w:w="3369" w:type="dxa"/>
          </w:tcPr>
          <w:p w:rsidR="00A475E7" w:rsidRDefault="00A475E7" w:rsidP="00402E0D">
            <w:pPr>
              <w:rPr>
                <w:i/>
                <w:iCs/>
                <w:sz w:val="18"/>
                <w:szCs w:val="18"/>
              </w:rPr>
            </w:pPr>
            <w:r>
              <w:rPr>
                <w:i/>
                <w:iCs/>
                <w:sz w:val="18"/>
                <w:szCs w:val="18"/>
              </w:rPr>
              <w:t>Contact person</w:t>
            </w:r>
            <w:r w:rsidRPr="002C1411">
              <w:rPr>
                <w:i/>
                <w:iCs/>
                <w:sz w:val="18"/>
                <w:szCs w:val="18"/>
              </w:rPr>
              <w:t>:</w:t>
            </w:r>
          </w:p>
        </w:tc>
        <w:tc>
          <w:tcPr>
            <w:tcW w:w="5275" w:type="dxa"/>
          </w:tcPr>
          <w:p w:rsidR="00A475E7" w:rsidRDefault="00A475E7" w:rsidP="00402E0D">
            <w:pPr>
              <w:rPr>
                <w:i/>
                <w:iCs/>
                <w:sz w:val="18"/>
                <w:szCs w:val="18"/>
              </w:rPr>
            </w:pPr>
            <w:r w:rsidRPr="002C1411">
              <w:rPr>
                <w:i/>
                <w:iCs/>
                <w:sz w:val="18"/>
                <w:szCs w:val="18"/>
              </w:rPr>
              <w:t xml:space="preserve">Jaroslav </w:t>
            </w:r>
            <w:proofErr w:type="spellStart"/>
            <w:r w:rsidRPr="002C1411">
              <w:rPr>
                <w:i/>
                <w:iCs/>
                <w:sz w:val="18"/>
                <w:szCs w:val="18"/>
              </w:rPr>
              <w:t>Kahoun</w:t>
            </w:r>
            <w:proofErr w:type="spellEnd"/>
            <w:r w:rsidRPr="002C1411">
              <w:rPr>
                <w:i/>
                <w:iCs/>
                <w:sz w:val="18"/>
                <w:szCs w:val="18"/>
              </w:rPr>
              <w:t>, 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9" w:history="1">
              <w:r w:rsidRPr="00702415">
                <w:rPr>
                  <w:rStyle w:val="Hypertextovodkaz"/>
                  <w:sz w:val="18"/>
                </w:rPr>
                <w:t>jaroslav.kahoun@czso.cz</w:t>
              </w:r>
            </w:hyperlink>
            <w:r w:rsidRPr="00702415">
              <w:rPr>
                <w:sz w:val="18"/>
              </w:rPr>
              <w:t xml:space="preserve"> </w:t>
            </w:r>
          </w:p>
        </w:tc>
      </w:tr>
      <w:tr w:rsidR="00A475E7" w:rsidTr="00402E0D">
        <w:tc>
          <w:tcPr>
            <w:tcW w:w="3369" w:type="dxa"/>
          </w:tcPr>
          <w:p w:rsidR="00A475E7" w:rsidRDefault="00A475E7" w:rsidP="00402E0D">
            <w:pPr>
              <w:rPr>
                <w:i/>
                <w:iCs/>
                <w:sz w:val="18"/>
                <w:szCs w:val="18"/>
              </w:rPr>
            </w:pPr>
            <w:r>
              <w:rPr>
                <w:i/>
                <w:iCs/>
                <w:sz w:val="18"/>
                <w:szCs w:val="18"/>
              </w:rPr>
              <w:t>Coming News Release</w:t>
            </w:r>
            <w:r w:rsidRPr="002C1411">
              <w:rPr>
                <w:i/>
                <w:iCs/>
                <w:sz w:val="18"/>
                <w:szCs w:val="18"/>
              </w:rPr>
              <w:t>:</w:t>
            </w:r>
          </w:p>
        </w:tc>
        <w:tc>
          <w:tcPr>
            <w:tcW w:w="5275" w:type="dxa"/>
          </w:tcPr>
          <w:p w:rsidR="00A475E7" w:rsidRDefault="00A475E7" w:rsidP="00402E0D">
            <w:pPr>
              <w:rPr>
                <w:i/>
                <w:iCs/>
                <w:sz w:val="18"/>
                <w:szCs w:val="18"/>
              </w:rPr>
            </w:pPr>
            <w:r>
              <w:rPr>
                <w:i/>
                <w:iCs/>
                <w:sz w:val="18"/>
                <w:szCs w:val="18"/>
              </w:rPr>
              <w:t>03. 04</w:t>
            </w:r>
            <w:r w:rsidRPr="002C1411">
              <w:rPr>
                <w:i/>
                <w:iCs/>
                <w:sz w:val="18"/>
                <w:szCs w:val="18"/>
              </w:rPr>
              <w:t>.</w:t>
            </w:r>
            <w:r>
              <w:rPr>
                <w:i/>
                <w:iCs/>
                <w:sz w:val="18"/>
                <w:szCs w:val="18"/>
              </w:rPr>
              <w:t xml:space="preserve"> </w:t>
            </w:r>
            <w:r w:rsidRPr="002C1411">
              <w:rPr>
                <w:i/>
                <w:iCs/>
                <w:sz w:val="18"/>
                <w:szCs w:val="18"/>
              </w:rPr>
              <w:t>2017</w:t>
            </w:r>
          </w:p>
        </w:tc>
      </w:tr>
    </w:tbl>
    <w:p w:rsidR="00830829" w:rsidRDefault="00830829" w:rsidP="00830829">
      <w:pPr>
        <w:rPr>
          <w:i/>
          <w:iCs/>
        </w:rPr>
      </w:pPr>
    </w:p>
    <w:p w:rsidR="00D209A7" w:rsidRPr="0036494C" w:rsidRDefault="00830829" w:rsidP="00830829">
      <w:pPr>
        <w:rPr>
          <w:i/>
          <w:sz w:val="18"/>
        </w:rPr>
      </w:pPr>
      <w:r w:rsidRPr="0036494C">
        <w:rPr>
          <w:i/>
          <w:sz w:val="18"/>
        </w:rPr>
        <w:t>This press release was not edited for language.</w:t>
      </w:r>
      <w:bookmarkEnd w:id="0"/>
    </w:p>
    <w:sectPr w:rsidR="00D209A7" w:rsidRPr="0036494C"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6494C">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475E7" w:rsidRPr="00D52A09" w:rsidRDefault="00A475E7" w:rsidP="00A475E7">
                <w:pPr>
                  <w:spacing w:line="220" w:lineRule="atLeast"/>
                  <w:rPr>
                    <w:rFonts w:cs="Arial"/>
                    <w:b/>
                    <w:bCs/>
                    <w:sz w:val="15"/>
                    <w:szCs w:val="15"/>
                  </w:rPr>
                </w:pPr>
                <w:r w:rsidRPr="00D52A09">
                  <w:rPr>
                    <w:rFonts w:cs="Arial"/>
                    <w:b/>
                    <w:bCs/>
                    <w:sz w:val="15"/>
                    <w:szCs w:val="15"/>
                  </w:rPr>
                  <w:t>Information Services Unit – Headquarters</w:t>
                </w:r>
              </w:p>
              <w:p w:rsidR="00A475E7" w:rsidRDefault="00A475E7" w:rsidP="00A475E7">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475E7" w:rsidRPr="00D52A09" w:rsidRDefault="00A475E7" w:rsidP="00A475E7">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A475E7" w:rsidP="00A475E7">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sidR="00380178">
                  <w:rPr>
                    <w:rFonts w:cs="Arial"/>
                    <w:sz w:val="15"/>
                    <w:szCs w:val="15"/>
                  </w:rPr>
                  <w:tab/>
                </w:r>
                <w:r w:rsidR="0013242C" w:rsidRPr="007E75DE">
                  <w:rPr>
                    <w:rFonts w:cs="Arial"/>
                    <w:szCs w:val="15"/>
                  </w:rPr>
                  <w:fldChar w:fldCharType="begin"/>
                </w:r>
                <w:r w:rsidR="00380178" w:rsidRPr="007E75DE">
                  <w:rPr>
                    <w:rFonts w:cs="Arial"/>
                    <w:szCs w:val="15"/>
                  </w:rPr>
                  <w:instrText xml:space="preserve"> PAGE   \* MERGEFORMAT </w:instrText>
                </w:r>
                <w:r w:rsidR="0013242C" w:rsidRPr="007E75DE">
                  <w:rPr>
                    <w:rFonts w:cs="Arial"/>
                    <w:szCs w:val="15"/>
                  </w:rPr>
                  <w:fldChar w:fldCharType="separate"/>
                </w:r>
                <w:r w:rsidR="0036494C">
                  <w:rPr>
                    <w:rFonts w:cs="Arial"/>
                    <w:noProof/>
                    <w:szCs w:val="15"/>
                  </w:rPr>
                  <w:t>2</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6494C">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843A5"/>
    <w:rsid w:val="00091722"/>
    <w:rsid w:val="000B5B80"/>
    <w:rsid w:val="000B6F63"/>
    <w:rsid w:val="000E3FAC"/>
    <w:rsid w:val="000F47E8"/>
    <w:rsid w:val="00116ED1"/>
    <w:rsid w:val="0013242C"/>
    <w:rsid w:val="001404AB"/>
    <w:rsid w:val="0015165C"/>
    <w:rsid w:val="0017231D"/>
    <w:rsid w:val="00176E26"/>
    <w:rsid w:val="0018061F"/>
    <w:rsid w:val="001810DC"/>
    <w:rsid w:val="001A387B"/>
    <w:rsid w:val="001B607F"/>
    <w:rsid w:val="001C71FD"/>
    <w:rsid w:val="001D369A"/>
    <w:rsid w:val="001D766D"/>
    <w:rsid w:val="001F08B3"/>
    <w:rsid w:val="002070FB"/>
    <w:rsid w:val="00213729"/>
    <w:rsid w:val="002406FA"/>
    <w:rsid w:val="002A2103"/>
    <w:rsid w:val="002B2E47"/>
    <w:rsid w:val="002C37B6"/>
    <w:rsid w:val="002D37F5"/>
    <w:rsid w:val="002F294F"/>
    <w:rsid w:val="00314D8F"/>
    <w:rsid w:val="0032398D"/>
    <w:rsid w:val="003301A3"/>
    <w:rsid w:val="00336F0F"/>
    <w:rsid w:val="0036494C"/>
    <w:rsid w:val="0036777B"/>
    <w:rsid w:val="00380178"/>
    <w:rsid w:val="0038282A"/>
    <w:rsid w:val="00397580"/>
    <w:rsid w:val="003A45C8"/>
    <w:rsid w:val="003B7F42"/>
    <w:rsid w:val="003C2DCF"/>
    <w:rsid w:val="003C3372"/>
    <w:rsid w:val="003C7FE7"/>
    <w:rsid w:val="003D0499"/>
    <w:rsid w:val="003D3576"/>
    <w:rsid w:val="003F26A7"/>
    <w:rsid w:val="003F526A"/>
    <w:rsid w:val="00405244"/>
    <w:rsid w:val="00436D82"/>
    <w:rsid w:val="004436EE"/>
    <w:rsid w:val="00447361"/>
    <w:rsid w:val="004507E3"/>
    <w:rsid w:val="0045547F"/>
    <w:rsid w:val="00491EA1"/>
    <w:rsid w:val="004920AD"/>
    <w:rsid w:val="004A7837"/>
    <w:rsid w:val="004D05B3"/>
    <w:rsid w:val="004D2F0E"/>
    <w:rsid w:val="004E479E"/>
    <w:rsid w:val="004F78E6"/>
    <w:rsid w:val="00512D99"/>
    <w:rsid w:val="0051558E"/>
    <w:rsid w:val="00531DBB"/>
    <w:rsid w:val="00564213"/>
    <w:rsid w:val="005A164C"/>
    <w:rsid w:val="005F79FB"/>
    <w:rsid w:val="00604406"/>
    <w:rsid w:val="00605F4A"/>
    <w:rsid w:val="006060B4"/>
    <w:rsid w:val="00607822"/>
    <w:rsid w:val="006103AA"/>
    <w:rsid w:val="00613BBF"/>
    <w:rsid w:val="00622B80"/>
    <w:rsid w:val="0064139A"/>
    <w:rsid w:val="00663A94"/>
    <w:rsid w:val="006943F7"/>
    <w:rsid w:val="006D5C60"/>
    <w:rsid w:val="006E024F"/>
    <w:rsid w:val="006E4E81"/>
    <w:rsid w:val="00707F7D"/>
    <w:rsid w:val="00717EC5"/>
    <w:rsid w:val="00755D8B"/>
    <w:rsid w:val="00763787"/>
    <w:rsid w:val="007A0CA5"/>
    <w:rsid w:val="007A57F2"/>
    <w:rsid w:val="007B1333"/>
    <w:rsid w:val="007C03F5"/>
    <w:rsid w:val="007D5E4D"/>
    <w:rsid w:val="007F4AEB"/>
    <w:rsid w:val="007F75B2"/>
    <w:rsid w:val="008043C4"/>
    <w:rsid w:val="00830829"/>
    <w:rsid w:val="00831B1B"/>
    <w:rsid w:val="008374BE"/>
    <w:rsid w:val="00855FB3"/>
    <w:rsid w:val="00861D0E"/>
    <w:rsid w:val="00867569"/>
    <w:rsid w:val="00885C0D"/>
    <w:rsid w:val="008A10CA"/>
    <w:rsid w:val="008A44AB"/>
    <w:rsid w:val="008A750A"/>
    <w:rsid w:val="008B3970"/>
    <w:rsid w:val="008C384C"/>
    <w:rsid w:val="008D0F11"/>
    <w:rsid w:val="008D4312"/>
    <w:rsid w:val="008F73B4"/>
    <w:rsid w:val="009035E8"/>
    <w:rsid w:val="009266AF"/>
    <w:rsid w:val="00971374"/>
    <w:rsid w:val="009B55B1"/>
    <w:rsid w:val="009E39C5"/>
    <w:rsid w:val="00A1050F"/>
    <w:rsid w:val="00A42469"/>
    <w:rsid w:val="00A4343D"/>
    <w:rsid w:val="00A449AA"/>
    <w:rsid w:val="00A475E7"/>
    <w:rsid w:val="00A502F1"/>
    <w:rsid w:val="00A70A83"/>
    <w:rsid w:val="00A81EB3"/>
    <w:rsid w:val="00AC3140"/>
    <w:rsid w:val="00AF182A"/>
    <w:rsid w:val="00B00C1D"/>
    <w:rsid w:val="00B046E2"/>
    <w:rsid w:val="00B072C8"/>
    <w:rsid w:val="00B07B5B"/>
    <w:rsid w:val="00B30303"/>
    <w:rsid w:val="00B632CC"/>
    <w:rsid w:val="00BA12F1"/>
    <w:rsid w:val="00BA439F"/>
    <w:rsid w:val="00BA6370"/>
    <w:rsid w:val="00C269D4"/>
    <w:rsid w:val="00C30AFC"/>
    <w:rsid w:val="00C4160D"/>
    <w:rsid w:val="00C8406E"/>
    <w:rsid w:val="00C916AC"/>
    <w:rsid w:val="00CB2709"/>
    <w:rsid w:val="00CB6F89"/>
    <w:rsid w:val="00CE228C"/>
    <w:rsid w:val="00CE71D9"/>
    <w:rsid w:val="00CF545B"/>
    <w:rsid w:val="00D209A7"/>
    <w:rsid w:val="00D27D69"/>
    <w:rsid w:val="00D35C7D"/>
    <w:rsid w:val="00D448C2"/>
    <w:rsid w:val="00D666C3"/>
    <w:rsid w:val="00D73F28"/>
    <w:rsid w:val="00D811AB"/>
    <w:rsid w:val="00DB035C"/>
    <w:rsid w:val="00DF47FE"/>
    <w:rsid w:val="00E0156A"/>
    <w:rsid w:val="00E26704"/>
    <w:rsid w:val="00E31980"/>
    <w:rsid w:val="00E6423C"/>
    <w:rsid w:val="00E71483"/>
    <w:rsid w:val="00E7721A"/>
    <w:rsid w:val="00E93830"/>
    <w:rsid w:val="00E93E0E"/>
    <w:rsid w:val="00EB1A25"/>
    <w:rsid w:val="00EB1ED3"/>
    <w:rsid w:val="00EE70B7"/>
    <w:rsid w:val="00EF6AB7"/>
    <w:rsid w:val="00F07240"/>
    <w:rsid w:val="00F10601"/>
    <w:rsid w:val="00F16128"/>
    <w:rsid w:val="00F314B7"/>
    <w:rsid w:val="00F3305A"/>
    <w:rsid w:val="00F566FC"/>
    <w:rsid w:val="00F83C49"/>
    <w:rsid w:val="00FA1974"/>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unhideWhenUsed/>
    <w:rsid w:val="00AF182A"/>
    <w:pPr>
      <w:spacing w:after="120" w:line="480" w:lineRule="auto"/>
    </w:pPr>
  </w:style>
  <w:style w:type="character" w:customStyle="1" w:styleId="Zkladntext2Char">
    <w:name w:val="Základní text 2 Char"/>
    <w:basedOn w:val="Standardnpsmoodstavce"/>
    <w:link w:val="Zkladntext2"/>
    <w:uiPriority w:val="99"/>
    <w:rsid w:val="00AF182A"/>
    <w:rPr>
      <w:rFonts w:ascii="Arial" w:hAnsi="Arial"/>
      <w:szCs w:val="22"/>
      <w:lang w:val="en-GB" w:eastAsia="en-US"/>
    </w:rPr>
  </w:style>
  <w:style w:type="table" w:styleId="Mkatabulky">
    <w:name w:val="Table Grid"/>
    <w:basedOn w:val="Normlntabulka"/>
    <w:uiPriority w:val="59"/>
    <w:rsid w:val="00A4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F2DA-93A2-44A3-A531-E03ED680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30</TotalTime>
  <Pages>2</Pages>
  <Words>783</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5399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8</cp:revision>
  <dcterms:created xsi:type="dcterms:W3CDTF">2016-09-27T12:17:00Z</dcterms:created>
  <dcterms:modified xsi:type="dcterms:W3CDTF">2016-09-30T08:53:00Z</dcterms:modified>
</cp:coreProperties>
</file>