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AF52E4" w:rsidP="00867569">
      <w:pPr>
        <w:pStyle w:val="Datum"/>
      </w:pPr>
      <w:r>
        <w:t>4</w:t>
      </w:r>
      <w:r w:rsidR="00304176">
        <w:t>.</w:t>
      </w:r>
      <w:r w:rsidR="00915A3B">
        <w:t xml:space="preserve"> </w:t>
      </w:r>
      <w:r>
        <w:t>4</w:t>
      </w:r>
      <w:r w:rsidR="00A93DE1">
        <w:t>.</w:t>
      </w:r>
      <w:r w:rsidR="00022194">
        <w:t xml:space="preserve"> </w:t>
      </w:r>
      <w:r w:rsidR="00304176">
        <w:t>201</w:t>
      </w:r>
      <w:r w:rsidR="00CB2EC7">
        <w:t>8</w:t>
      </w:r>
    </w:p>
    <w:p w:rsidR="00DB7DDE" w:rsidRPr="00DB7DDE" w:rsidRDefault="001B13D2" w:rsidP="00A60967">
      <w:pPr>
        <w:pStyle w:val="Podtitulek"/>
        <w:spacing w:before="24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 xml:space="preserve">Saldo hospodaření </w:t>
      </w:r>
      <w:r w:rsidR="00E14573">
        <w:rPr>
          <w:color w:val="BD1B21"/>
          <w:sz w:val="32"/>
          <w:szCs w:val="32"/>
        </w:rPr>
        <w:t xml:space="preserve">v </w:t>
      </w:r>
      <w:r w:rsidR="006A7EAB">
        <w:rPr>
          <w:color w:val="BD1B21"/>
          <w:sz w:val="32"/>
          <w:szCs w:val="32"/>
        </w:rPr>
        <w:t>přebytku</w:t>
      </w:r>
      <w:r>
        <w:rPr>
          <w:color w:val="BD1B21"/>
          <w:sz w:val="32"/>
          <w:szCs w:val="32"/>
        </w:rPr>
        <w:t xml:space="preserve">, </w:t>
      </w:r>
      <w:r w:rsidR="00CA679D">
        <w:rPr>
          <w:color w:val="BD1B21"/>
          <w:sz w:val="32"/>
          <w:szCs w:val="32"/>
        </w:rPr>
        <w:t xml:space="preserve">míra </w:t>
      </w:r>
      <w:r w:rsidR="00DB7DDE" w:rsidRPr="00DB7DDE">
        <w:rPr>
          <w:color w:val="BD1B21"/>
          <w:sz w:val="32"/>
          <w:szCs w:val="32"/>
        </w:rPr>
        <w:t>zadlužení</w:t>
      </w:r>
      <w:r>
        <w:rPr>
          <w:color w:val="BD1B21"/>
          <w:sz w:val="32"/>
          <w:szCs w:val="32"/>
        </w:rPr>
        <w:t xml:space="preserve"> </w:t>
      </w:r>
      <w:r w:rsidR="00E14573">
        <w:rPr>
          <w:color w:val="BD1B21"/>
          <w:sz w:val="32"/>
          <w:szCs w:val="32"/>
        </w:rPr>
        <w:t>po</w:t>
      </w:r>
      <w:r w:rsidR="00B06A45">
        <w:rPr>
          <w:color w:val="BD1B21"/>
          <w:sz w:val="32"/>
          <w:szCs w:val="32"/>
        </w:rPr>
        <w:t>klesla</w:t>
      </w:r>
    </w:p>
    <w:p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AF52E4">
        <w:t>4</w:t>
      </w:r>
      <w:r w:rsidR="00B973E6">
        <w:t>. čtvrtletí 2017</w:t>
      </w:r>
    </w:p>
    <w:p w:rsidR="00EB44BC" w:rsidRDefault="0035564A" w:rsidP="00043BF4">
      <w:r w:rsidRPr="00A36CFE">
        <w:rPr>
          <w:b/>
        </w:rPr>
        <w:t>Saldo hospodaření</w:t>
      </w:r>
      <w:r w:rsidR="00EB44BC" w:rsidRPr="00A36CFE">
        <w:rPr>
          <w:b/>
        </w:rPr>
        <w:t xml:space="preserve"> </w:t>
      </w:r>
      <w:r w:rsidR="00474A48" w:rsidRPr="00A36CFE">
        <w:rPr>
          <w:b/>
        </w:rPr>
        <w:t xml:space="preserve">sektoru </w:t>
      </w:r>
      <w:r w:rsidR="00EB44BC" w:rsidRPr="00A36CFE">
        <w:rPr>
          <w:b/>
        </w:rPr>
        <w:t>vládních institucí</w:t>
      </w:r>
      <w:r w:rsidR="00E22A62" w:rsidRPr="00A36CFE">
        <w:t xml:space="preserve"> </w:t>
      </w:r>
      <w:r w:rsidR="00A36CFE" w:rsidRPr="00A36CFE">
        <w:t xml:space="preserve">dosáhlo </w:t>
      </w:r>
      <w:r w:rsidR="00E22A62" w:rsidRPr="00A36CFE">
        <w:t xml:space="preserve">ve </w:t>
      </w:r>
      <w:r w:rsidR="00A36CFE" w:rsidRPr="00A36CFE">
        <w:t xml:space="preserve">čtvrtém </w:t>
      </w:r>
      <w:r w:rsidR="00EB44BC" w:rsidRPr="00A36CFE">
        <w:t>čtvrtletí 201</w:t>
      </w:r>
      <w:r w:rsidRPr="00A36CFE">
        <w:t>7</w:t>
      </w:r>
      <w:r w:rsidR="00EB44BC" w:rsidRPr="00A36CFE">
        <w:t xml:space="preserve"> </w:t>
      </w:r>
      <w:r w:rsidR="006A7EAB">
        <w:rPr>
          <w:b/>
        </w:rPr>
        <w:t>přebytk</w:t>
      </w:r>
      <w:r w:rsidR="00AD450F">
        <w:rPr>
          <w:b/>
        </w:rPr>
        <w:t>u</w:t>
      </w:r>
      <w:r w:rsidR="001614B5" w:rsidRPr="00A36CFE">
        <w:br/>
      </w:r>
      <w:r w:rsidR="00A36CFE" w:rsidRPr="007D7C61">
        <w:rPr>
          <w:b/>
        </w:rPr>
        <w:t>0</w:t>
      </w:r>
      <w:r w:rsidR="00EF38A3" w:rsidRPr="007D7C61">
        <w:rPr>
          <w:b/>
        </w:rPr>
        <w:t>,</w:t>
      </w:r>
      <w:r w:rsidR="00830643">
        <w:rPr>
          <w:b/>
        </w:rPr>
        <w:t>06</w:t>
      </w:r>
      <w:r w:rsidR="00EB44BC" w:rsidRPr="007D7C61">
        <w:rPr>
          <w:b/>
        </w:rPr>
        <w:t xml:space="preserve"> % HDP</w:t>
      </w:r>
      <w:r w:rsidR="00E3211D" w:rsidRPr="007D7C61">
        <w:t xml:space="preserve">, </w:t>
      </w:r>
      <w:r w:rsidR="00AD450F">
        <w:t>při meziroční</w:t>
      </w:r>
      <w:r w:rsidR="00B06A45" w:rsidRPr="007D7C61">
        <w:t xml:space="preserve"> </w:t>
      </w:r>
      <w:r w:rsidR="006A7EAB">
        <w:t xml:space="preserve">změně </w:t>
      </w:r>
      <w:r w:rsidR="00A36CFE" w:rsidRPr="007D7C61">
        <w:t>1</w:t>
      </w:r>
      <w:r w:rsidR="00AA66CB" w:rsidRPr="007D7C61">
        <w:t>,</w:t>
      </w:r>
      <w:r w:rsidR="006A7EAB">
        <w:t>5</w:t>
      </w:r>
      <w:r w:rsidR="00F214B3">
        <w:t>4</w:t>
      </w:r>
      <w:r w:rsidR="00E22A62" w:rsidRPr="007D7C61">
        <w:t xml:space="preserve"> procentního bodu</w:t>
      </w:r>
      <w:r w:rsidR="00A93DE1" w:rsidRPr="007D7C61">
        <w:t xml:space="preserve"> (p.</w:t>
      </w:r>
      <w:r w:rsidR="00982CA8">
        <w:t xml:space="preserve"> </w:t>
      </w:r>
      <w:r w:rsidR="00A93DE1" w:rsidRPr="007D7C61">
        <w:t>b.)</w:t>
      </w:r>
      <w:r w:rsidR="00EF38A3" w:rsidRPr="007D7C61">
        <w:t xml:space="preserve">. </w:t>
      </w:r>
      <w:r w:rsidR="008F31E9" w:rsidRPr="007D7C61">
        <w:rPr>
          <w:b/>
        </w:rPr>
        <w:t>Míra</w:t>
      </w:r>
      <w:r w:rsidR="008F31E9" w:rsidRPr="007D7C61">
        <w:t xml:space="preserve"> </w:t>
      </w:r>
      <w:r w:rsidR="008F31E9" w:rsidRPr="007D7C61">
        <w:rPr>
          <w:b/>
        </w:rPr>
        <w:t>z</w:t>
      </w:r>
      <w:r w:rsidR="00EF38A3" w:rsidRPr="007D7C61">
        <w:rPr>
          <w:b/>
        </w:rPr>
        <w:t xml:space="preserve">adlužení sektoru vládních institucí </w:t>
      </w:r>
      <w:r w:rsidR="00AA4564" w:rsidRPr="007D7C61">
        <w:t>k</w:t>
      </w:r>
      <w:r w:rsidR="00B06A45" w:rsidRPr="007D7C61">
        <w:t>les</w:t>
      </w:r>
      <w:r w:rsidR="00AA4564" w:rsidRPr="007D7C61">
        <w:t>l</w:t>
      </w:r>
      <w:r w:rsidR="00B06A45" w:rsidRPr="007D7C61">
        <w:t xml:space="preserve">a </w:t>
      </w:r>
      <w:r w:rsidR="00171CC7" w:rsidRPr="007D7C61">
        <w:t>mezir</w:t>
      </w:r>
      <w:r w:rsidR="00B06A45" w:rsidRPr="007D7C61">
        <w:t>o</w:t>
      </w:r>
      <w:r w:rsidR="00171CC7" w:rsidRPr="007D7C61">
        <w:t>čně</w:t>
      </w:r>
      <w:r w:rsidR="00FA3792">
        <w:t xml:space="preserve"> o</w:t>
      </w:r>
      <w:r w:rsidR="00B06A45" w:rsidRPr="007D7C61">
        <w:t xml:space="preserve"> </w:t>
      </w:r>
      <w:r w:rsidR="007D7C61" w:rsidRPr="007D7C61">
        <w:t>2</w:t>
      </w:r>
      <w:r w:rsidR="00B06A45" w:rsidRPr="007D7C61">
        <w:t>,1</w:t>
      </w:r>
      <w:r w:rsidR="007D7C61" w:rsidRPr="007D7C61">
        <w:t>7</w:t>
      </w:r>
      <w:r w:rsidR="00B06A45" w:rsidRPr="007D7C61">
        <w:t xml:space="preserve"> p.</w:t>
      </w:r>
      <w:r w:rsidR="00982CA8">
        <w:t xml:space="preserve"> </w:t>
      </w:r>
      <w:r w:rsidR="00B06A45" w:rsidRPr="007D7C61">
        <w:t>b.</w:t>
      </w:r>
      <w:r w:rsidR="000A2AF1" w:rsidRPr="007D7C61">
        <w:t xml:space="preserve"> </w:t>
      </w:r>
      <w:r w:rsidR="00EF38A3" w:rsidRPr="007D7C61">
        <w:t>na</w:t>
      </w:r>
      <w:r w:rsidR="00EF38A3" w:rsidRPr="007D7C61">
        <w:rPr>
          <w:b/>
        </w:rPr>
        <w:t xml:space="preserve"> 3</w:t>
      </w:r>
      <w:r w:rsidR="007D7C61" w:rsidRPr="007D7C61">
        <w:rPr>
          <w:b/>
        </w:rPr>
        <w:t>4</w:t>
      </w:r>
      <w:r w:rsidR="00EF38A3" w:rsidRPr="007D7C61">
        <w:rPr>
          <w:b/>
        </w:rPr>
        <w:t>,</w:t>
      </w:r>
      <w:r w:rsidR="007D7C61" w:rsidRPr="007D7C61">
        <w:rPr>
          <w:b/>
        </w:rPr>
        <w:t>60</w:t>
      </w:r>
      <w:r w:rsidR="00EF38A3" w:rsidRPr="007D7C61">
        <w:rPr>
          <w:b/>
        </w:rPr>
        <w:t xml:space="preserve"> % HDP</w:t>
      </w:r>
      <w:r w:rsidR="00171CC7" w:rsidRPr="007D7C61">
        <w:rPr>
          <w:b/>
        </w:rPr>
        <w:t xml:space="preserve">, </w:t>
      </w:r>
      <w:r w:rsidR="00171CC7" w:rsidRPr="007D7C61">
        <w:t xml:space="preserve">oproti předchozímu čtvrtletí o 0,49 </w:t>
      </w:r>
      <w:proofErr w:type="gramStart"/>
      <w:r w:rsidR="00171CC7" w:rsidRPr="007D7C61">
        <w:t>p.b.</w:t>
      </w:r>
      <w:proofErr w:type="gramEnd"/>
    </w:p>
    <w:p w:rsidR="00A94B28" w:rsidRDefault="00A94B28" w:rsidP="00043BF4"/>
    <w:p w:rsidR="00A94B28" w:rsidRPr="00043BF4" w:rsidRDefault="00A94B28" w:rsidP="00A94B28">
      <w:pPr>
        <w:pStyle w:val="TabulkaGraf"/>
      </w:pPr>
      <w:r>
        <w:t xml:space="preserve">Saldo hospodaření sektoru vládních institucí, </w:t>
      </w:r>
      <w:r w:rsidR="00AF52E4">
        <w:t>4</w:t>
      </w:r>
      <w:r w:rsidR="00B7752A">
        <w:t>.</w:t>
      </w:r>
      <w:r w:rsidR="00A60967">
        <w:t xml:space="preserve"> čtvrtletí</w:t>
      </w:r>
      <w:r w:rsidR="00B7752A">
        <w:t xml:space="preserve"> 201</w:t>
      </w:r>
      <w:r w:rsidR="0035564A">
        <w:t>6</w:t>
      </w:r>
      <w:r w:rsidR="00B85D5E">
        <w:t xml:space="preserve"> </w:t>
      </w:r>
      <w:r w:rsidR="000A2AF1" w:rsidRPr="007F7CB9">
        <w:t xml:space="preserve">– </w:t>
      </w:r>
      <w:r w:rsidR="00AF52E4">
        <w:t>4</w:t>
      </w:r>
      <w:r>
        <w:t>.</w:t>
      </w:r>
      <w:r w:rsidR="00A60967">
        <w:t xml:space="preserve"> čtvrtletí</w:t>
      </w:r>
      <w:r w:rsidR="00990C86">
        <w:t xml:space="preserve"> </w:t>
      </w:r>
      <w:r>
        <w:t>201</w:t>
      </w:r>
      <w:r w:rsidR="0035564A">
        <w:t>7</w:t>
      </w:r>
    </w:p>
    <w:tbl>
      <w:tblPr>
        <w:tblStyle w:val="Mkatabulky"/>
        <w:tblW w:w="85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044"/>
        <w:gridCol w:w="1101"/>
        <w:gridCol w:w="1169"/>
        <w:gridCol w:w="1134"/>
        <w:gridCol w:w="1134"/>
        <w:gridCol w:w="1134"/>
      </w:tblGrid>
      <w:tr w:rsidR="00AF52E4" w:rsidTr="00AF52E4">
        <w:tc>
          <w:tcPr>
            <w:tcW w:w="1843" w:type="dxa"/>
            <w:vMerge w:val="restart"/>
            <w:vAlign w:val="center"/>
          </w:tcPr>
          <w:p w:rsidR="00AF52E4" w:rsidRDefault="00AF52E4" w:rsidP="008D7FDA">
            <w:pPr>
              <w:jc w:val="center"/>
            </w:pPr>
          </w:p>
        </w:tc>
        <w:tc>
          <w:tcPr>
            <w:tcW w:w="1044" w:type="dxa"/>
            <w:vMerge w:val="restart"/>
            <w:vAlign w:val="center"/>
          </w:tcPr>
          <w:p w:rsidR="00AF52E4" w:rsidRDefault="00AF52E4" w:rsidP="008D7FDA">
            <w:pPr>
              <w:jc w:val="center"/>
            </w:pPr>
            <w:r>
              <w:t>Jednotka</w:t>
            </w:r>
          </w:p>
        </w:tc>
        <w:tc>
          <w:tcPr>
            <w:tcW w:w="1101" w:type="dxa"/>
          </w:tcPr>
          <w:p w:rsidR="00AF52E4" w:rsidRDefault="00AF52E4" w:rsidP="00B973E6">
            <w:pPr>
              <w:jc w:val="center"/>
            </w:pPr>
            <w:r>
              <w:t>2016</w:t>
            </w:r>
          </w:p>
        </w:tc>
        <w:tc>
          <w:tcPr>
            <w:tcW w:w="4571" w:type="dxa"/>
            <w:gridSpan w:val="4"/>
          </w:tcPr>
          <w:p w:rsidR="00AF52E4" w:rsidRDefault="00AF52E4" w:rsidP="00B973E6">
            <w:pPr>
              <w:jc w:val="center"/>
            </w:pPr>
            <w:r>
              <w:t>2017</w:t>
            </w:r>
          </w:p>
        </w:tc>
      </w:tr>
      <w:tr w:rsidR="00AF52E4" w:rsidTr="00AF52E4">
        <w:tc>
          <w:tcPr>
            <w:tcW w:w="1843" w:type="dxa"/>
            <w:vMerge/>
          </w:tcPr>
          <w:p w:rsidR="00AF52E4" w:rsidRDefault="00AF52E4" w:rsidP="00043BF4"/>
        </w:tc>
        <w:tc>
          <w:tcPr>
            <w:tcW w:w="1044" w:type="dxa"/>
            <w:vMerge/>
          </w:tcPr>
          <w:p w:rsidR="00AF52E4" w:rsidRDefault="00AF52E4" w:rsidP="00043BF4"/>
        </w:tc>
        <w:tc>
          <w:tcPr>
            <w:tcW w:w="1101" w:type="dxa"/>
          </w:tcPr>
          <w:p w:rsidR="00AF52E4" w:rsidRDefault="00AF52E4" w:rsidP="00A03B92">
            <w:pPr>
              <w:jc w:val="center"/>
            </w:pPr>
            <w:r>
              <w:t>4. čtvrtletí</w:t>
            </w:r>
          </w:p>
        </w:tc>
        <w:tc>
          <w:tcPr>
            <w:tcW w:w="1169" w:type="dxa"/>
          </w:tcPr>
          <w:p w:rsidR="00AF52E4" w:rsidRDefault="00AF52E4" w:rsidP="008D7FDA">
            <w:pPr>
              <w:jc w:val="center"/>
            </w:pPr>
            <w:r>
              <w:t>1. čtvrtletí</w:t>
            </w:r>
          </w:p>
        </w:tc>
        <w:tc>
          <w:tcPr>
            <w:tcW w:w="1134" w:type="dxa"/>
          </w:tcPr>
          <w:p w:rsidR="00AF52E4" w:rsidRDefault="00AF52E4" w:rsidP="008D7FDA">
            <w:pPr>
              <w:jc w:val="center"/>
            </w:pPr>
            <w:r>
              <w:t>2. čtvrtletí</w:t>
            </w:r>
          </w:p>
        </w:tc>
        <w:tc>
          <w:tcPr>
            <w:tcW w:w="1134" w:type="dxa"/>
          </w:tcPr>
          <w:p w:rsidR="00AF52E4" w:rsidRDefault="00AF52E4" w:rsidP="008D7FDA">
            <w:pPr>
              <w:jc w:val="center"/>
            </w:pPr>
            <w:r>
              <w:t>3. čtvrtletí</w:t>
            </w:r>
          </w:p>
        </w:tc>
        <w:tc>
          <w:tcPr>
            <w:tcW w:w="1134" w:type="dxa"/>
          </w:tcPr>
          <w:p w:rsidR="00AF52E4" w:rsidRDefault="00AF52E4" w:rsidP="008D7FDA">
            <w:pPr>
              <w:jc w:val="center"/>
            </w:pPr>
            <w:r>
              <w:t>4. čtvrtletí</w:t>
            </w:r>
          </w:p>
        </w:tc>
      </w:tr>
      <w:tr w:rsidR="00AF52E4" w:rsidTr="00AF52E4">
        <w:tc>
          <w:tcPr>
            <w:tcW w:w="1843" w:type="dxa"/>
            <w:vMerge w:val="restart"/>
          </w:tcPr>
          <w:p w:rsidR="00AF52E4" w:rsidRDefault="00AF52E4" w:rsidP="00BF02C9">
            <w:pPr>
              <w:jc w:val="left"/>
            </w:pPr>
            <w:r>
              <w:rPr>
                <w:rFonts w:cs="Arial"/>
                <w:szCs w:val="20"/>
              </w:rPr>
              <w:t>Přebytek/Deficit sektoru vládních institucí</w:t>
            </w:r>
          </w:p>
        </w:tc>
        <w:tc>
          <w:tcPr>
            <w:tcW w:w="1044" w:type="dxa"/>
            <w:vAlign w:val="center"/>
          </w:tcPr>
          <w:p w:rsidR="00AF52E4" w:rsidRDefault="00AF52E4" w:rsidP="002E7C61">
            <w:pPr>
              <w:jc w:val="center"/>
            </w:pPr>
            <w:r>
              <w:t>mil. Kč</w:t>
            </w:r>
          </w:p>
        </w:tc>
        <w:tc>
          <w:tcPr>
            <w:tcW w:w="1101" w:type="dxa"/>
          </w:tcPr>
          <w:p w:rsidR="00AF52E4" w:rsidRDefault="00AF52E4" w:rsidP="00A36CFE">
            <w:pPr>
              <w:jc w:val="center"/>
            </w:pPr>
            <w:r>
              <w:t>-</w:t>
            </w:r>
            <w:r w:rsidR="00A36CFE">
              <w:t>18 404</w:t>
            </w:r>
          </w:p>
        </w:tc>
        <w:tc>
          <w:tcPr>
            <w:tcW w:w="1169" w:type="dxa"/>
          </w:tcPr>
          <w:p w:rsidR="00AF52E4" w:rsidRDefault="006A7EAB" w:rsidP="00171CC7">
            <w:pPr>
              <w:jc w:val="center"/>
            </w:pPr>
            <w:r>
              <w:t>3 230</w:t>
            </w:r>
          </w:p>
        </w:tc>
        <w:tc>
          <w:tcPr>
            <w:tcW w:w="1134" w:type="dxa"/>
          </w:tcPr>
          <w:p w:rsidR="00AF52E4" w:rsidRDefault="006A7EAB" w:rsidP="00171CC7">
            <w:pPr>
              <w:jc w:val="center"/>
            </w:pPr>
            <w:r>
              <w:t>42 099</w:t>
            </w:r>
          </w:p>
        </w:tc>
        <w:tc>
          <w:tcPr>
            <w:tcW w:w="1134" w:type="dxa"/>
          </w:tcPr>
          <w:p w:rsidR="00AF52E4" w:rsidRDefault="006A7EAB" w:rsidP="00171CC7">
            <w:pPr>
              <w:jc w:val="center"/>
            </w:pPr>
            <w:r>
              <w:t>34 485</w:t>
            </w:r>
          </w:p>
        </w:tc>
        <w:tc>
          <w:tcPr>
            <w:tcW w:w="1134" w:type="dxa"/>
          </w:tcPr>
          <w:p w:rsidR="00AF52E4" w:rsidRDefault="006A7EAB" w:rsidP="00171CC7">
            <w:pPr>
              <w:jc w:val="center"/>
            </w:pPr>
            <w:r>
              <w:t>807</w:t>
            </w:r>
          </w:p>
        </w:tc>
      </w:tr>
      <w:tr w:rsidR="00AF52E4" w:rsidTr="00A36CFE">
        <w:tc>
          <w:tcPr>
            <w:tcW w:w="1843" w:type="dxa"/>
            <w:vMerge/>
          </w:tcPr>
          <w:p w:rsidR="00AF52E4" w:rsidRDefault="00AF52E4" w:rsidP="00043BF4"/>
        </w:tc>
        <w:tc>
          <w:tcPr>
            <w:tcW w:w="1044" w:type="dxa"/>
            <w:vAlign w:val="center"/>
          </w:tcPr>
          <w:p w:rsidR="00AF52E4" w:rsidRDefault="00AF52E4" w:rsidP="002E7C61">
            <w:pPr>
              <w:jc w:val="center"/>
            </w:pPr>
            <w:r>
              <w:t>% (HDP)</w:t>
            </w:r>
          </w:p>
        </w:tc>
        <w:tc>
          <w:tcPr>
            <w:tcW w:w="1101" w:type="dxa"/>
            <w:vAlign w:val="center"/>
          </w:tcPr>
          <w:p w:rsidR="00AF52E4" w:rsidRDefault="00AF52E4" w:rsidP="00A36CFE">
            <w:pPr>
              <w:jc w:val="center"/>
            </w:pPr>
            <w:r>
              <w:t>-1,</w:t>
            </w:r>
            <w:r w:rsidR="00A36CFE">
              <w:t>48</w:t>
            </w:r>
          </w:p>
        </w:tc>
        <w:tc>
          <w:tcPr>
            <w:tcW w:w="1169" w:type="dxa"/>
            <w:vAlign w:val="center"/>
          </w:tcPr>
          <w:p w:rsidR="00AF52E4" w:rsidRDefault="00AF52E4" w:rsidP="006A7EAB">
            <w:pPr>
              <w:jc w:val="center"/>
            </w:pPr>
            <w:r>
              <w:t>0,</w:t>
            </w:r>
            <w:r w:rsidR="006A7EAB">
              <w:t>28</w:t>
            </w:r>
          </w:p>
        </w:tc>
        <w:tc>
          <w:tcPr>
            <w:tcW w:w="1134" w:type="dxa"/>
            <w:vAlign w:val="center"/>
          </w:tcPr>
          <w:p w:rsidR="00AF52E4" w:rsidRDefault="00AF52E4" w:rsidP="006A7EAB">
            <w:pPr>
              <w:jc w:val="center"/>
            </w:pPr>
            <w:r>
              <w:t>3,</w:t>
            </w:r>
            <w:r w:rsidR="006A7EAB">
              <w:t>32</w:t>
            </w:r>
          </w:p>
        </w:tc>
        <w:tc>
          <w:tcPr>
            <w:tcW w:w="1134" w:type="dxa"/>
            <w:vAlign w:val="center"/>
          </w:tcPr>
          <w:p w:rsidR="00AF52E4" w:rsidRDefault="00AF52E4" w:rsidP="006A7EAB">
            <w:pPr>
              <w:jc w:val="center"/>
            </w:pPr>
            <w:r>
              <w:t>2,</w:t>
            </w:r>
            <w:r w:rsidR="006A7EAB">
              <w:t>68</w:t>
            </w:r>
          </w:p>
        </w:tc>
        <w:tc>
          <w:tcPr>
            <w:tcW w:w="1134" w:type="dxa"/>
            <w:vAlign w:val="center"/>
          </w:tcPr>
          <w:p w:rsidR="00AF52E4" w:rsidRDefault="00A36CFE" w:rsidP="006A7EAB">
            <w:pPr>
              <w:jc w:val="center"/>
            </w:pPr>
            <w:r>
              <w:t>0,</w:t>
            </w:r>
            <w:r w:rsidR="006A7EAB">
              <w:t>06</w:t>
            </w:r>
          </w:p>
        </w:tc>
      </w:tr>
    </w:tbl>
    <w:p w:rsidR="008D7FDA" w:rsidRPr="000A18CB" w:rsidRDefault="000A18CB" w:rsidP="00043BF4">
      <w:pPr>
        <w:rPr>
          <w:i/>
        </w:rPr>
      </w:pPr>
      <w:r w:rsidRPr="000A18CB">
        <w:rPr>
          <w:i/>
        </w:rPr>
        <w:t xml:space="preserve">Poznámka: </w:t>
      </w:r>
      <w:r w:rsidR="000A2AF1">
        <w:rPr>
          <w:i/>
        </w:rPr>
        <w:t>Ú</w:t>
      </w:r>
      <w:r>
        <w:rPr>
          <w:i/>
        </w:rPr>
        <w:t xml:space="preserve">daje v tabulce nejsou sezónně očištěny, nelze je srovnávat </w:t>
      </w:r>
      <w:proofErr w:type="spellStart"/>
      <w:r>
        <w:rPr>
          <w:i/>
        </w:rPr>
        <w:t>mezičtvrtletně</w:t>
      </w:r>
      <w:proofErr w:type="spellEnd"/>
      <w:r w:rsidR="000A2AF1">
        <w:rPr>
          <w:i/>
        </w:rPr>
        <w:t>.</w:t>
      </w:r>
    </w:p>
    <w:p w:rsidR="000A18CB" w:rsidRDefault="000A18CB" w:rsidP="00043BF4"/>
    <w:p w:rsidR="00A15D66" w:rsidRPr="00BF41B9" w:rsidRDefault="006A7EAB" w:rsidP="00A927E3">
      <w:r>
        <w:t xml:space="preserve">K dosažení přebytku </w:t>
      </w:r>
      <w:r w:rsidR="00A927E3">
        <w:t xml:space="preserve">zásadně přispěla meziroční změna salda hospodaření </w:t>
      </w:r>
      <w:r w:rsidR="00A15D66" w:rsidRPr="00BF41B9">
        <w:t>ústřední</w:t>
      </w:r>
      <w:r w:rsidR="00A927E3">
        <w:t>ch</w:t>
      </w:r>
      <w:r w:rsidR="00A15D66" w:rsidRPr="00BF41B9">
        <w:t xml:space="preserve"> vládní</w:t>
      </w:r>
      <w:r w:rsidR="00A927E3">
        <w:t>ch institucí</w:t>
      </w:r>
      <w:r w:rsidR="00A15D66" w:rsidRPr="00BF41B9">
        <w:t xml:space="preserve"> (</w:t>
      </w:r>
      <w:r w:rsidR="0015543C" w:rsidRPr="00BF41B9">
        <w:t>+</w:t>
      </w:r>
      <w:r w:rsidR="00BF41B9" w:rsidRPr="00BF41B9">
        <w:t>2</w:t>
      </w:r>
      <w:r>
        <w:t>3</w:t>
      </w:r>
      <w:r w:rsidR="00A15D66" w:rsidRPr="00BF41B9">
        <w:t>,</w:t>
      </w:r>
      <w:r>
        <w:t>8</w:t>
      </w:r>
      <w:r w:rsidR="00A15D66" w:rsidRPr="00BF41B9">
        <w:t xml:space="preserve"> mld. Kč)</w:t>
      </w:r>
      <w:r w:rsidR="00447B75">
        <w:t xml:space="preserve">. Celkově ústřední vládní instituce </w:t>
      </w:r>
      <w:r w:rsidR="00A927E3">
        <w:t xml:space="preserve">dosáhly ve 4. čtvrtletí 2017 přebytku </w:t>
      </w:r>
      <w:r>
        <w:t>10</w:t>
      </w:r>
      <w:r w:rsidR="00A927E3">
        <w:t>,</w:t>
      </w:r>
      <w:r>
        <w:t>4</w:t>
      </w:r>
      <w:r w:rsidR="00982CA8">
        <w:t xml:space="preserve"> mld. Kč oproti deficitu </w:t>
      </w:r>
      <w:r w:rsidR="00A927E3">
        <w:t>13,</w:t>
      </w:r>
      <w:r w:rsidR="00447B75">
        <w:t>4</w:t>
      </w:r>
      <w:r w:rsidR="00A927E3">
        <w:t xml:space="preserve"> mld. Kč ve stejném období předchozího roku. Místní vládní ins</w:t>
      </w:r>
      <w:r w:rsidR="00982CA8">
        <w:t xml:space="preserve">tituce hospodařily s deficitem </w:t>
      </w:r>
      <w:r>
        <w:t>6,4</w:t>
      </w:r>
      <w:r w:rsidR="00A927E3">
        <w:t xml:space="preserve"> mld. Kč, při meziročním růstu deficitu o </w:t>
      </w:r>
      <w:r>
        <w:t>2</w:t>
      </w:r>
      <w:r w:rsidR="00A927E3">
        <w:t>,</w:t>
      </w:r>
      <w:r>
        <w:t>8</w:t>
      </w:r>
      <w:r w:rsidR="00A927E3">
        <w:t xml:space="preserve"> mld. Kč. </w:t>
      </w:r>
      <w:r w:rsidR="00447B75">
        <w:t>Deficit fondů sociálního zabezpečení meziročně vzrostl o 1,8 mld. na 3,2 mld. Kč.</w:t>
      </w:r>
    </w:p>
    <w:p w:rsidR="00A15D66" w:rsidRPr="00BF41B9" w:rsidRDefault="00A15D66" w:rsidP="00AE7FAA"/>
    <w:p w:rsidR="00642760" w:rsidRPr="00BF41B9" w:rsidRDefault="00642760" w:rsidP="00AE7FAA">
      <w:r w:rsidRPr="00BF41B9">
        <w:t xml:space="preserve">Celkové příjmy sektoru vládních institucí vzrostly </w:t>
      </w:r>
      <w:r w:rsidR="001B7272" w:rsidRPr="00BF41B9">
        <w:t xml:space="preserve">ve </w:t>
      </w:r>
      <w:r w:rsidR="00AD450F">
        <w:t>čtvrtém</w:t>
      </w:r>
      <w:r w:rsidR="001B7272" w:rsidRPr="00BF41B9">
        <w:t xml:space="preserve"> čtvrtletí </w:t>
      </w:r>
      <w:r w:rsidRPr="00BF41B9">
        <w:t xml:space="preserve">meziročně o </w:t>
      </w:r>
      <w:r w:rsidR="00F158FD">
        <w:t>7</w:t>
      </w:r>
      <w:r w:rsidRPr="00BF41B9">
        <w:t>,</w:t>
      </w:r>
      <w:r w:rsidR="00F158FD">
        <w:t>2</w:t>
      </w:r>
      <w:r w:rsidRPr="00BF41B9">
        <w:t xml:space="preserve"> %. </w:t>
      </w:r>
      <w:r w:rsidR="004A5D0D" w:rsidRPr="00BF41B9">
        <w:t xml:space="preserve">Na meziročním růstu se nejvíce podílel růst příjmů </w:t>
      </w:r>
      <w:r w:rsidR="00AA4564" w:rsidRPr="00BF41B9">
        <w:t>ve formě</w:t>
      </w:r>
      <w:r w:rsidR="00F158FD">
        <w:t xml:space="preserve"> daní z důchodů (12,5 %),</w:t>
      </w:r>
      <w:r w:rsidR="00982CA8">
        <w:t xml:space="preserve"> daní z výroby a dovozu (</w:t>
      </w:r>
      <w:r w:rsidR="00BF41B9" w:rsidRPr="00BF41B9">
        <w:t>8,1 %)</w:t>
      </w:r>
      <w:r w:rsidR="00F158FD">
        <w:t xml:space="preserve"> </w:t>
      </w:r>
      <w:r w:rsidR="00BF41B9" w:rsidRPr="00BF41B9">
        <w:t xml:space="preserve">a </w:t>
      </w:r>
      <w:r w:rsidR="00AA4564" w:rsidRPr="00BF41B9">
        <w:t xml:space="preserve">sociálních příspěvků </w:t>
      </w:r>
      <w:r w:rsidR="00151F49" w:rsidRPr="00BF41B9">
        <w:t>(</w:t>
      </w:r>
      <w:r w:rsidR="00BF41B9" w:rsidRPr="00BF41B9">
        <w:t>7</w:t>
      </w:r>
      <w:r w:rsidR="00151F49" w:rsidRPr="00BF41B9">
        <w:t>,</w:t>
      </w:r>
      <w:r w:rsidR="00AA4564" w:rsidRPr="00BF41B9">
        <w:t>7</w:t>
      </w:r>
      <w:r w:rsidR="00151F49" w:rsidRPr="00BF41B9">
        <w:t xml:space="preserve"> %). </w:t>
      </w:r>
      <w:r w:rsidR="005E1A31" w:rsidRPr="00BF41B9">
        <w:t>C</w:t>
      </w:r>
      <w:r w:rsidR="00151F49" w:rsidRPr="00BF41B9">
        <w:t xml:space="preserve">elkové výdaje </w:t>
      </w:r>
      <w:r w:rsidR="005E1A31" w:rsidRPr="00BF41B9">
        <w:t xml:space="preserve">vládních institucí </w:t>
      </w:r>
      <w:r w:rsidR="00151F49" w:rsidRPr="00BF41B9">
        <w:t xml:space="preserve">vzrostly </w:t>
      </w:r>
      <w:r w:rsidR="005E1A31" w:rsidRPr="00BF41B9">
        <w:t xml:space="preserve">meziročně </w:t>
      </w:r>
      <w:r w:rsidR="00151F49" w:rsidRPr="00BF41B9">
        <w:t xml:space="preserve">o </w:t>
      </w:r>
      <w:r w:rsidR="00BF41B9" w:rsidRPr="00BF41B9">
        <w:t>3</w:t>
      </w:r>
      <w:r w:rsidR="00151F49" w:rsidRPr="00BF41B9">
        <w:t>,</w:t>
      </w:r>
      <w:r w:rsidR="00BF41B9" w:rsidRPr="00BF41B9">
        <w:t>3</w:t>
      </w:r>
      <w:r w:rsidR="00151F49" w:rsidRPr="00BF41B9">
        <w:t xml:space="preserve"> %</w:t>
      </w:r>
      <w:r w:rsidR="001B7272" w:rsidRPr="00BF41B9">
        <w:t>, přičemž k růstu celkových výd</w:t>
      </w:r>
      <w:r w:rsidR="00BF41B9" w:rsidRPr="00BF41B9">
        <w:t>ajů nejvýrazněji přispěly výdaje na tvorbu hrubé</w:t>
      </w:r>
      <w:r w:rsidR="00AD450F">
        <w:t>ho</w:t>
      </w:r>
      <w:r w:rsidR="00BF41B9" w:rsidRPr="00BF41B9">
        <w:t xml:space="preserve"> kapitálu (14</w:t>
      </w:r>
      <w:r w:rsidR="00AA4564" w:rsidRPr="00BF41B9">
        <w:t>,</w:t>
      </w:r>
      <w:r w:rsidR="00BF41B9" w:rsidRPr="00BF41B9">
        <w:t>5</w:t>
      </w:r>
      <w:r w:rsidR="00AA4564" w:rsidRPr="00BF41B9">
        <w:t xml:space="preserve"> %)</w:t>
      </w:r>
      <w:r w:rsidR="00447B75">
        <w:t>,</w:t>
      </w:r>
      <w:r w:rsidR="004A5D0D" w:rsidRPr="00BF41B9">
        <w:t xml:space="preserve"> </w:t>
      </w:r>
      <w:r w:rsidR="00AD450F">
        <w:t xml:space="preserve">na </w:t>
      </w:r>
      <w:r w:rsidR="004A5D0D" w:rsidRPr="00BF41B9">
        <w:t>náhrad</w:t>
      </w:r>
      <w:r w:rsidR="00AD450F">
        <w:t>y</w:t>
      </w:r>
      <w:r w:rsidR="004A5D0D" w:rsidRPr="00BF41B9">
        <w:t xml:space="preserve"> zaměstnancům (</w:t>
      </w:r>
      <w:r w:rsidR="00BF41B9" w:rsidRPr="00BF41B9">
        <w:t>12</w:t>
      </w:r>
      <w:r w:rsidR="004A5D0D" w:rsidRPr="00BF41B9">
        <w:t>,</w:t>
      </w:r>
      <w:r w:rsidR="00BF41B9" w:rsidRPr="00BF41B9">
        <w:t>2</w:t>
      </w:r>
      <w:r w:rsidR="004A5D0D" w:rsidRPr="00BF41B9">
        <w:t xml:space="preserve"> %)</w:t>
      </w:r>
      <w:r w:rsidR="00447B75">
        <w:t xml:space="preserve"> a </w:t>
      </w:r>
      <w:r w:rsidR="00AD450F">
        <w:t>na sociální dávky</w:t>
      </w:r>
      <w:r w:rsidR="00447B75">
        <w:t xml:space="preserve"> (3,2 %)</w:t>
      </w:r>
      <w:r w:rsidR="00CC08DF" w:rsidRPr="00BF41B9">
        <w:t>.</w:t>
      </w:r>
    </w:p>
    <w:p w:rsidR="00A32AB9" w:rsidRPr="00AF52E4" w:rsidRDefault="00A32AB9" w:rsidP="00AE7FAA">
      <w:pPr>
        <w:rPr>
          <w:highlight w:val="yellow"/>
        </w:rPr>
      </w:pPr>
    </w:p>
    <w:p w:rsidR="00A94B28" w:rsidRPr="00BF41B9" w:rsidRDefault="00A32AB9" w:rsidP="00A94B28">
      <w:pPr>
        <w:rPr>
          <w:highlight w:val="yellow"/>
        </w:rPr>
      </w:pPr>
      <w:r w:rsidRPr="00A544EE">
        <w:rPr>
          <w:b/>
        </w:rPr>
        <w:t>Míra zadlužení</w:t>
      </w:r>
      <w:r w:rsidR="00A94B28" w:rsidRPr="00A544EE">
        <w:rPr>
          <w:b/>
        </w:rPr>
        <w:t xml:space="preserve"> </w:t>
      </w:r>
      <w:r w:rsidR="00474A48" w:rsidRPr="00A544EE">
        <w:rPr>
          <w:b/>
        </w:rPr>
        <w:t xml:space="preserve">sektoru </w:t>
      </w:r>
      <w:r w:rsidR="00A94B28" w:rsidRPr="00A544EE">
        <w:rPr>
          <w:b/>
        </w:rPr>
        <w:t>vládních institucí</w:t>
      </w:r>
      <w:r w:rsidR="00A94B28" w:rsidRPr="00A544EE">
        <w:t xml:space="preserve"> </w:t>
      </w:r>
      <w:r w:rsidR="00546A7F" w:rsidRPr="00A544EE">
        <w:t xml:space="preserve">meziročně </w:t>
      </w:r>
      <w:r w:rsidR="00CC08DF" w:rsidRPr="00A544EE">
        <w:t>poklesla</w:t>
      </w:r>
      <w:r w:rsidR="002E7C61" w:rsidRPr="00A544EE">
        <w:t xml:space="preserve"> </w:t>
      </w:r>
      <w:r w:rsidR="00A93DE1" w:rsidRPr="00A544EE">
        <w:t>z</w:t>
      </w:r>
      <w:r w:rsidR="00546A7F" w:rsidRPr="00A544EE">
        <w:t xml:space="preserve"> </w:t>
      </w:r>
      <w:r w:rsidR="002E7C61" w:rsidRPr="00A544EE">
        <w:t>3</w:t>
      </w:r>
      <w:r w:rsidR="00A544EE" w:rsidRPr="00A544EE">
        <w:t>6</w:t>
      </w:r>
      <w:r w:rsidR="00B3245E" w:rsidRPr="00A544EE">
        <w:t>,</w:t>
      </w:r>
      <w:r w:rsidR="00A544EE" w:rsidRPr="00A544EE">
        <w:t>77</w:t>
      </w:r>
      <w:r w:rsidR="00546A7F" w:rsidRPr="00A544EE">
        <w:t xml:space="preserve"> na </w:t>
      </w:r>
      <w:r w:rsidR="00CC08DF" w:rsidRPr="00A544EE">
        <w:rPr>
          <w:b/>
        </w:rPr>
        <w:t>3</w:t>
      </w:r>
      <w:r w:rsidR="00A544EE" w:rsidRPr="00A544EE">
        <w:rPr>
          <w:b/>
        </w:rPr>
        <w:t>4</w:t>
      </w:r>
      <w:r w:rsidR="00B3245E" w:rsidRPr="00A544EE">
        <w:rPr>
          <w:b/>
        </w:rPr>
        <w:t>,</w:t>
      </w:r>
      <w:r w:rsidR="00A544EE" w:rsidRPr="00A544EE">
        <w:rPr>
          <w:b/>
        </w:rPr>
        <w:t>6</w:t>
      </w:r>
      <w:r w:rsidR="00447B75">
        <w:rPr>
          <w:b/>
        </w:rPr>
        <w:t>0</w:t>
      </w:r>
      <w:r w:rsidR="00474A48" w:rsidRPr="00A544EE">
        <w:rPr>
          <w:b/>
        </w:rPr>
        <w:t xml:space="preserve"> % HDP</w:t>
      </w:r>
      <w:r w:rsidR="00760DE0" w:rsidRPr="00A544EE">
        <w:rPr>
          <w:b/>
        </w:rPr>
        <w:t xml:space="preserve">. </w:t>
      </w:r>
      <w:r w:rsidR="001B1F6A" w:rsidRPr="001B1F6A">
        <w:t>Mezičtvrtletně došlo k poklesu míry zadlužení o 0,49 p.</w:t>
      </w:r>
      <w:r w:rsidR="001D7AFB">
        <w:t xml:space="preserve"> </w:t>
      </w:r>
      <w:bookmarkStart w:id="0" w:name="_GoBack"/>
      <w:bookmarkEnd w:id="0"/>
      <w:r w:rsidR="001B1F6A" w:rsidRPr="001B1F6A">
        <w:t>b.</w:t>
      </w:r>
      <w:r w:rsidR="001B1F6A">
        <w:t xml:space="preserve"> </w:t>
      </w:r>
      <w:r w:rsidR="007D7C61">
        <w:t xml:space="preserve">Vývoj </w:t>
      </w:r>
      <w:r w:rsidR="001B1F6A">
        <w:t>nominálního HDP přispěl k mezičtvrtletnímu poklesu dluhu 0,69 p.</w:t>
      </w:r>
      <w:r w:rsidR="001D7AFB">
        <w:t xml:space="preserve"> </w:t>
      </w:r>
      <w:r w:rsidR="001B1F6A">
        <w:t>b. Růst nominální úrovně dluhu naopak působil směrem k růstu míry zadlužení o 0,2</w:t>
      </w:r>
      <w:r w:rsidR="007D7C61">
        <w:t>0</w:t>
      </w:r>
      <w:r w:rsidR="001B1F6A">
        <w:t xml:space="preserve"> p.</w:t>
      </w:r>
      <w:r w:rsidR="001D7AFB">
        <w:t xml:space="preserve"> </w:t>
      </w:r>
      <w:r w:rsidR="001B1F6A">
        <w:t>b.</w:t>
      </w:r>
    </w:p>
    <w:p w:rsidR="00A94B28" w:rsidRPr="00BF41B9" w:rsidRDefault="00A94B28" w:rsidP="00A94B28">
      <w:pPr>
        <w:rPr>
          <w:highlight w:val="yellow"/>
        </w:rPr>
      </w:pPr>
    </w:p>
    <w:p w:rsidR="00A94B28" w:rsidRPr="00A544EE" w:rsidRDefault="00A94B28" w:rsidP="00A94B28">
      <w:pPr>
        <w:pStyle w:val="TabulkaGraf"/>
      </w:pPr>
      <w:r w:rsidRPr="00A544EE">
        <w:t xml:space="preserve">Dluh sektoru vládních institucí, </w:t>
      </w:r>
      <w:r w:rsidR="00AF52E4" w:rsidRPr="00A544EE">
        <w:t>4</w:t>
      </w:r>
      <w:r w:rsidR="00B7752A" w:rsidRPr="00A544EE">
        <w:t>.</w:t>
      </w:r>
      <w:r w:rsidR="00A60967" w:rsidRPr="00A544EE">
        <w:t xml:space="preserve"> čtvrtletí</w:t>
      </w:r>
      <w:r w:rsidR="00B7752A" w:rsidRPr="00A544EE">
        <w:t xml:space="preserve"> 201</w:t>
      </w:r>
      <w:r w:rsidR="00B973E6" w:rsidRPr="00A544EE">
        <w:t>6</w:t>
      </w:r>
      <w:r w:rsidR="00B85D5E" w:rsidRPr="00A544EE">
        <w:t xml:space="preserve"> </w:t>
      </w:r>
      <w:r w:rsidR="000A2AF1" w:rsidRPr="00A544EE">
        <w:t xml:space="preserve">– </w:t>
      </w:r>
      <w:r w:rsidR="00AF52E4" w:rsidRPr="00A544EE">
        <w:t>4</w:t>
      </w:r>
      <w:r w:rsidRPr="00A544EE">
        <w:t>.</w:t>
      </w:r>
      <w:r w:rsidR="00A60967" w:rsidRPr="00A544EE">
        <w:t xml:space="preserve"> čtvrtletí</w:t>
      </w:r>
      <w:r w:rsidR="00990C86" w:rsidRPr="00A544EE">
        <w:t xml:space="preserve"> </w:t>
      </w:r>
      <w:r w:rsidRPr="00A544EE">
        <w:t>201</w:t>
      </w:r>
      <w:r w:rsidR="00B973E6" w:rsidRPr="00A544EE">
        <w:t>7</w:t>
      </w:r>
    </w:p>
    <w:tbl>
      <w:tblPr>
        <w:tblStyle w:val="Mkatabulky"/>
        <w:tblW w:w="8897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168"/>
        <w:gridCol w:w="1168"/>
        <w:gridCol w:w="1208"/>
      </w:tblGrid>
      <w:tr w:rsidR="00AF52E4" w:rsidRPr="00BF41B9" w:rsidTr="00AF52E4">
        <w:tc>
          <w:tcPr>
            <w:tcW w:w="1951" w:type="dxa"/>
            <w:vMerge w:val="restart"/>
            <w:vAlign w:val="center"/>
          </w:tcPr>
          <w:p w:rsidR="00AF52E4" w:rsidRPr="00A544EE" w:rsidRDefault="00AF52E4" w:rsidP="00372699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AF52E4" w:rsidRPr="00A544EE" w:rsidRDefault="00AF52E4" w:rsidP="00372699">
            <w:pPr>
              <w:jc w:val="center"/>
            </w:pPr>
            <w:r w:rsidRPr="00A544EE">
              <w:t>Jednotka</w:t>
            </w:r>
          </w:p>
        </w:tc>
        <w:tc>
          <w:tcPr>
            <w:tcW w:w="1134" w:type="dxa"/>
          </w:tcPr>
          <w:p w:rsidR="00AF52E4" w:rsidRPr="001B1F6A" w:rsidRDefault="00AF52E4" w:rsidP="00B973E6">
            <w:pPr>
              <w:jc w:val="center"/>
            </w:pPr>
            <w:r w:rsidRPr="001B1F6A">
              <w:t>2016</w:t>
            </w:r>
          </w:p>
        </w:tc>
        <w:tc>
          <w:tcPr>
            <w:tcW w:w="4678" w:type="dxa"/>
            <w:gridSpan w:val="4"/>
          </w:tcPr>
          <w:p w:rsidR="00AF52E4" w:rsidRPr="001B1F6A" w:rsidRDefault="00AF52E4" w:rsidP="00B973E6">
            <w:pPr>
              <w:jc w:val="center"/>
            </w:pPr>
            <w:r w:rsidRPr="001B1F6A">
              <w:t>2017</w:t>
            </w:r>
          </w:p>
        </w:tc>
      </w:tr>
      <w:tr w:rsidR="00AF52E4" w:rsidRPr="00BF41B9" w:rsidTr="00AF52E4">
        <w:tc>
          <w:tcPr>
            <w:tcW w:w="1951" w:type="dxa"/>
            <w:vMerge/>
          </w:tcPr>
          <w:p w:rsidR="00AF52E4" w:rsidRPr="00A544EE" w:rsidRDefault="00AF52E4" w:rsidP="00372699"/>
        </w:tc>
        <w:tc>
          <w:tcPr>
            <w:tcW w:w="1134" w:type="dxa"/>
            <w:vMerge/>
          </w:tcPr>
          <w:p w:rsidR="00AF52E4" w:rsidRPr="00A544EE" w:rsidRDefault="00AF52E4" w:rsidP="00372699"/>
        </w:tc>
        <w:tc>
          <w:tcPr>
            <w:tcW w:w="1134" w:type="dxa"/>
          </w:tcPr>
          <w:p w:rsidR="00AF52E4" w:rsidRPr="001B1F6A" w:rsidRDefault="00AF52E4" w:rsidP="00372699">
            <w:pPr>
              <w:jc w:val="center"/>
            </w:pPr>
            <w:r w:rsidRPr="001B1F6A">
              <w:t>4. čtvrtletí</w:t>
            </w:r>
          </w:p>
        </w:tc>
        <w:tc>
          <w:tcPr>
            <w:tcW w:w="1134" w:type="dxa"/>
          </w:tcPr>
          <w:p w:rsidR="00AF52E4" w:rsidRPr="001B1F6A" w:rsidRDefault="00AF52E4" w:rsidP="00372699">
            <w:pPr>
              <w:jc w:val="center"/>
            </w:pPr>
            <w:r w:rsidRPr="001B1F6A">
              <w:t>1. čtvrtletí</w:t>
            </w:r>
          </w:p>
        </w:tc>
        <w:tc>
          <w:tcPr>
            <w:tcW w:w="1168" w:type="dxa"/>
          </w:tcPr>
          <w:p w:rsidR="00AF52E4" w:rsidRPr="001B1F6A" w:rsidRDefault="00AF52E4" w:rsidP="00372699">
            <w:pPr>
              <w:jc w:val="center"/>
            </w:pPr>
            <w:r w:rsidRPr="001B1F6A">
              <w:t>2. čtvrtletí</w:t>
            </w:r>
          </w:p>
        </w:tc>
        <w:tc>
          <w:tcPr>
            <w:tcW w:w="1168" w:type="dxa"/>
          </w:tcPr>
          <w:p w:rsidR="00AF52E4" w:rsidRPr="001B1F6A" w:rsidRDefault="00AF52E4" w:rsidP="00CE0B66">
            <w:r w:rsidRPr="001B1F6A">
              <w:t>3. čtvrtletí</w:t>
            </w:r>
          </w:p>
        </w:tc>
        <w:tc>
          <w:tcPr>
            <w:tcW w:w="1208" w:type="dxa"/>
          </w:tcPr>
          <w:p w:rsidR="00AF52E4" w:rsidRPr="001B1F6A" w:rsidRDefault="00AF52E4" w:rsidP="00CE0B66">
            <w:r w:rsidRPr="001B1F6A">
              <w:t>4. čtvrtletí</w:t>
            </w:r>
          </w:p>
        </w:tc>
      </w:tr>
      <w:tr w:rsidR="00AF52E4" w:rsidRPr="00BF41B9" w:rsidTr="00AF52E4">
        <w:tc>
          <w:tcPr>
            <w:tcW w:w="1951" w:type="dxa"/>
            <w:vMerge w:val="restart"/>
          </w:tcPr>
          <w:p w:rsidR="00AF52E4" w:rsidRPr="00A544EE" w:rsidRDefault="00AF52E4" w:rsidP="00372699">
            <w:pPr>
              <w:jc w:val="left"/>
            </w:pPr>
            <w:r w:rsidRPr="00A544EE">
              <w:rPr>
                <w:rFonts w:cs="Arial"/>
                <w:szCs w:val="20"/>
              </w:rPr>
              <w:t xml:space="preserve">Konsolidovaný hrubý dluh sektoru vládních institucí </w:t>
            </w:r>
          </w:p>
        </w:tc>
        <w:tc>
          <w:tcPr>
            <w:tcW w:w="1134" w:type="dxa"/>
            <w:vAlign w:val="center"/>
          </w:tcPr>
          <w:p w:rsidR="00AF52E4" w:rsidRPr="00A544EE" w:rsidRDefault="00AF52E4" w:rsidP="005F0EFC">
            <w:pPr>
              <w:jc w:val="center"/>
            </w:pPr>
            <w:r w:rsidRPr="00A544EE">
              <w:t>mil. Kč</w:t>
            </w:r>
          </w:p>
        </w:tc>
        <w:tc>
          <w:tcPr>
            <w:tcW w:w="1134" w:type="dxa"/>
            <w:vAlign w:val="center"/>
          </w:tcPr>
          <w:p w:rsidR="00AF52E4" w:rsidRPr="001B1F6A" w:rsidRDefault="00AF52E4" w:rsidP="002E7C61">
            <w:pPr>
              <w:jc w:val="center"/>
            </w:pPr>
            <w:r w:rsidRPr="001B1F6A">
              <w:t>1 754 883</w:t>
            </w:r>
          </w:p>
        </w:tc>
        <w:tc>
          <w:tcPr>
            <w:tcW w:w="1134" w:type="dxa"/>
            <w:vAlign w:val="center"/>
          </w:tcPr>
          <w:p w:rsidR="00AF52E4" w:rsidRPr="001B1F6A" w:rsidRDefault="00AF52E4" w:rsidP="001B1F6A">
            <w:pPr>
              <w:jc w:val="center"/>
            </w:pPr>
            <w:r w:rsidRPr="001B1F6A">
              <w:t xml:space="preserve">1 924 </w:t>
            </w:r>
            <w:r w:rsidR="001B1F6A" w:rsidRPr="001B1F6A">
              <w:t>077</w:t>
            </w:r>
          </w:p>
        </w:tc>
        <w:tc>
          <w:tcPr>
            <w:tcW w:w="1168" w:type="dxa"/>
            <w:vAlign w:val="center"/>
          </w:tcPr>
          <w:p w:rsidR="00AF52E4" w:rsidRPr="00357199" w:rsidRDefault="00AF52E4" w:rsidP="001B1F6A">
            <w:pPr>
              <w:jc w:val="center"/>
            </w:pPr>
            <w:r w:rsidRPr="00357199">
              <w:t>1</w:t>
            </w:r>
            <w:r w:rsidR="001B1F6A" w:rsidRPr="00357199">
              <w:t> 922 884</w:t>
            </w:r>
          </w:p>
        </w:tc>
        <w:tc>
          <w:tcPr>
            <w:tcW w:w="1168" w:type="dxa"/>
          </w:tcPr>
          <w:p w:rsidR="00AF52E4" w:rsidRPr="00357199" w:rsidRDefault="00AF52E4" w:rsidP="00357199">
            <w:pPr>
              <w:jc w:val="center"/>
            </w:pPr>
            <w:r w:rsidRPr="00357199">
              <w:t xml:space="preserve">1 739 </w:t>
            </w:r>
            <w:r w:rsidR="001B1F6A" w:rsidRPr="00357199">
              <w:t>3</w:t>
            </w:r>
            <w:r w:rsidR="00357199" w:rsidRPr="00357199">
              <w:t>56</w:t>
            </w:r>
          </w:p>
        </w:tc>
        <w:tc>
          <w:tcPr>
            <w:tcW w:w="1208" w:type="dxa"/>
          </w:tcPr>
          <w:p w:rsidR="00AF52E4" w:rsidRPr="001B1F6A" w:rsidRDefault="00A544EE" w:rsidP="00447B75">
            <w:pPr>
              <w:jc w:val="center"/>
            </w:pPr>
            <w:r w:rsidRPr="001B1F6A">
              <w:t>1 749 1</w:t>
            </w:r>
            <w:r w:rsidR="00447B75" w:rsidRPr="001B1F6A">
              <w:t>41</w:t>
            </w:r>
          </w:p>
        </w:tc>
      </w:tr>
      <w:tr w:rsidR="00AF52E4" w:rsidRPr="00BF41B9" w:rsidTr="00A544EE">
        <w:tc>
          <w:tcPr>
            <w:tcW w:w="1951" w:type="dxa"/>
            <w:vMerge/>
          </w:tcPr>
          <w:p w:rsidR="00AF52E4" w:rsidRPr="00A544EE" w:rsidRDefault="00AF52E4" w:rsidP="00372699"/>
        </w:tc>
        <w:tc>
          <w:tcPr>
            <w:tcW w:w="1134" w:type="dxa"/>
            <w:vAlign w:val="center"/>
          </w:tcPr>
          <w:p w:rsidR="00AF52E4" w:rsidRPr="00A544EE" w:rsidRDefault="00AF52E4" w:rsidP="005F0EFC">
            <w:pPr>
              <w:jc w:val="center"/>
            </w:pPr>
            <w:r w:rsidRPr="00A544EE">
              <w:t>% (HDP)</w:t>
            </w:r>
          </w:p>
        </w:tc>
        <w:tc>
          <w:tcPr>
            <w:tcW w:w="1134" w:type="dxa"/>
            <w:vAlign w:val="center"/>
          </w:tcPr>
          <w:p w:rsidR="00AF52E4" w:rsidRPr="001B1F6A" w:rsidRDefault="00AF52E4" w:rsidP="00281B97">
            <w:pPr>
              <w:jc w:val="center"/>
            </w:pPr>
            <w:r w:rsidRPr="001B1F6A">
              <w:t>36,77</w:t>
            </w:r>
          </w:p>
        </w:tc>
        <w:tc>
          <w:tcPr>
            <w:tcW w:w="1134" w:type="dxa"/>
            <w:vAlign w:val="center"/>
          </w:tcPr>
          <w:p w:rsidR="00AF52E4" w:rsidRPr="001B1F6A" w:rsidRDefault="00AF52E4" w:rsidP="001B1F6A">
            <w:pPr>
              <w:jc w:val="center"/>
            </w:pPr>
            <w:r w:rsidRPr="001B1F6A">
              <w:t>39,8</w:t>
            </w:r>
            <w:r w:rsidR="001B1F6A" w:rsidRPr="001B1F6A">
              <w:t>8</w:t>
            </w:r>
          </w:p>
        </w:tc>
        <w:tc>
          <w:tcPr>
            <w:tcW w:w="1168" w:type="dxa"/>
            <w:vAlign w:val="center"/>
          </w:tcPr>
          <w:p w:rsidR="00AF52E4" w:rsidRPr="001B1F6A" w:rsidRDefault="00AF52E4" w:rsidP="002E7C61">
            <w:pPr>
              <w:jc w:val="center"/>
            </w:pPr>
            <w:r w:rsidRPr="001B1F6A">
              <w:t>39,43</w:t>
            </w:r>
          </w:p>
        </w:tc>
        <w:tc>
          <w:tcPr>
            <w:tcW w:w="1168" w:type="dxa"/>
            <w:vAlign w:val="center"/>
          </w:tcPr>
          <w:p w:rsidR="00AF52E4" w:rsidRPr="001B1F6A" w:rsidRDefault="00AF52E4" w:rsidP="001B1F6A">
            <w:pPr>
              <w:jc w:val="center"/>
            </w:pPr>
            <w:r w:rsidRPr="001B1F6A">
              <w:t>35,</w:t>
            </w:r>
            <w:r w:rsidR="001B1F6A" w:rsidRPr="001B1F6A">
              <w:t>09</w:t>
            </w:r>
          </w:p>
        </w:tc>
        <w:tc>
          <w:tcPr>
            <w:tcW w:w="1208" w:type="dxa"/>
            <w:vAlign w:val="center"/>
          </w:tcPr>
          <w:p w:rsidR="00AF52E4" w:rsidRPr="001B1F6A" w:rsidRDefault="00A544EE" w:rsidP="00447B75">
            <w:pPr>
              <w:jc w:val="center"/>
            </w:pPr>
            <w:r w:rsidRPr="001B1F6A">
              <w:t>34,6</w:t>
            </w:r>
            <w:r w:rsidR="00447B75" w:rsidRPr="001B1F6A">
              <w:t>0</w:t>
            </w:r>
          </w:p>
        </w:tc>
      </w:tr>
    </w:tbl>
    <w:p w:rsidR="00DB5168" w:rsidRDefault="00DB5168" w:rsidP="007D7C61"/>
    <w:p w:rsidR="00CC08DF" w:rsidRDefault="007D7C61" w:rsidP="007D7C61">
      <w:r w:rsidRPr="007D7C61">
        <w:t xml:space="preserve">Mezičtvrtletní růst </w:t>
      </w:r>
      <w:r w:rsidR="00CC08DF" w:rsidRPr="007D7C61">
        <w:t>nominální úrovně dluhu</w:t>
      </w:r>
      <w:r w:rsidRPr="007D7C61">
        <w:t xml:space="preserve"> o 9,8 mld. Kč</w:t>
      </w:r>
      <w:r w:rsidR="00CC08DF" w:rsidRPr="007D7C61">
        <w:t xml:space="preserve"> byl způsoben </w:t>
      </w:r>
      <w:r w:rsidR="009C406F" w:rsidRPr="007D7C61">
        <w:t xml:space="preserve">především </w:t>
      </w:r>
      <w:r w:rsidRPr="007D7C61">
        <w:t xml:space="preserve">růstem objemu emitovaných krátkodobých dluhových cenných papírů </w:t>
      </w:r>
      <w:r w:rsidRPr="00357199">
        <w:t>(+43,</w:t>
      </w:r>
      <w:r w:rsidR="00357199" w:rsidRPr="00357199">
        <w:t>8</w:t>
      </w:r>
      <w:r w:rsidRPr="007D7C61">
        <w:t xml:space="preserve"> mld. Kč). Pokles byl </w:t>
      </w:r>
      <w:r w:rsidRPr="007D7C61">
        <w:lastRenderedPageBreak/>
        <w:t xml:space="preserve">naopak zaznamenán </w:t>
      </w:r>
      <w:r>
        <w:t>v položkách</w:t>
      </w:r>
      <w:r w:rsidRPr="007D7C61">
        <w:t xml:space="preserve"> dlouhodobých cenných papírů (-27,9 mld. Kč)</w:t>
      </w:r>
      <w:r>
        <w:t xml:space="preserve"> a </w:t>
      </w:r>
      <w:r w:rsidRPr="007D7C61">
        <w:t xml:space="preserve">vkladů </w:t>
      </w:r>
      <w:r>
        <w:t xml:space="preserve">přijatých vládními institucemi </w:t>
      </w:r>
      <w:r w:rsidRPr="007D7C61">
        <w:t xml:space="preserve">(-6,9 mld. Kč). </w:t>
      </w:r>
      <w:r w:rsidR="00B06A45" w:rsidRPr="007D7C61">
        <w:t>Dluhové cenné papíry zůstávají dominantním instrumentem s podílem 91,</w:t>
      </w:r>
      <w:r w:rsidRPr="007D7C61">
        <w:t>6</w:t>
      </w:r>
      <w:r w:rsidR="00B06A45" w:rsidRPr="007D7C61">
        <w:t xml:space="preserve"> % na celkovém dluhu vládních institucí.</w:t>
      </w:r>
    </w:p>
    <w:p w:rsidR="007674A6" w:rsidRPr="004920AD" w:rsidRDefault="007674A6" w:rsidP="007674A6">
      <w:pPr>
        <w:pStyle w:val="Poznmky0"/>
      </w:pPr>
      <w:r>
        <w:t>Poznámky:</w:t>
      </w: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 w:rsidR="00C1677B"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EDP a pro hodnocení plnění maastrichtských konvergenčních kritérií.  </w:t>
      </w:r>
    </w:p>
    <w:p w:rsidR="007674A6" w:rsidRPr="002C1411" w:rsidRDefault="007674A6" w:rsidP="007674A6">
      <w:pPr>
        <w:rPr>
          <w:i/>
          <w:sz w:val="18"/>
          <w:szCs w:val="18"/>
        </w:rPr>
      </w:pPr>
    </w:p>
    <w:p w:rsidR="007674A6" w:rsidRPr="002009DA" w:rsidRDefault="007674A6" w:rsidP="007674A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čistých půjček (+) nebo výpůjček (-) v systému národního účetnictví. Ukazatel vyjadřuje schopnost sektoru v daném období financovat (+) jiné sektory ekonomiky nebo potřebu tohoto sektoru být ostatními sektory financován (-).</w:t>
      </w:r>
    </w:p>
    <w:p w:rsidR="007674A6" w:rsidRPr="002009DA" w:rsidRDefault="007674A6" w:rsidP="007674A6">
      <w:pPr>
        <w:rPr>
          <w:rFonts w:cs="Arial"/>
          <w:i/>
          <w:sz w:val="18"/>
          <w:szCs w:val="18"/>
        </w:rPr>
      </w:pPr>
    </w:p>
    <w:p w:rsidR="007674A6" w:rsidRPr="002C1411" w:rsidRDefault="007674A6" w:rsidP="007674A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 w:rsidR="00C1677B"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>přijatých vkladů, emitovaných dluhových cenných papírů a přijatých půjček. U cizoměnových dluhových nástrojů zajištěných proti měnovému riziku je ocenění provedeno na bázi smluvního kurzu.</w:t>
      </w:r>
    </w:p>
    <w:p w:rsidR="007674A6" w:rsidRPr="002C1411" w:rsidRDefault="007674A6" w:rsidP="007674A6">
      <w:pPr>
        <w:rPr>
          <w:i/>
          <w:sz w:val="18"/>
          <w:szCs w:val="18"/>
        </w:rPr>
      </w:pP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Saldo hospodaření je porovnáno s výší HDP v daném čtvrtletí v běžných cenách. Výše konsolidovaného dluhu vládních institucí je porovnána se součtem HDP v běžných cenách za poslední čtyři čtvrtletí. Údaje o saldu hospodaření a dluhu vládních institucí jsou součástí tabulek Transmisního programu (tabulka 25 a</w:t>
      </w:r>
      <w:r w:rsidR="00C1677B"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9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7674A6" w:rsidTr="005F2A98">
        <w:tc>
          <w:tcPr>
            <w:tcW w:w="3369" w:type="dxa"/>
          </w:tcPr>
          <w:p w:rsidR="007674A6" w:rsidRDefault="007674A6" w:rsidP="005F2A98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Václav Rybáček, Ph.D.,</w:t>
            </w:r>
            <w:r w:rsidR="00982CA8">
              <w:rPr>
                <w:i/>
                <w:iCs/>
                <w:sz w:val="18"/>
                <w:szCs w:val="18"/>
              </w:rPr>
              <w:t xml:space="preserve"> ředitel odboru vládních a finančních účtů,</w:t>
            </w:r>
            <w:r w:rsidRPr="002C1411">
              <w:rPr>
                <w:i/>
                <w:iCs/>
                <w:sz w:val="18"/>
                <w:szCs w:val="18"/>
              </w:rPr>
              <w:t xml:space="preserve"> tel.: 274052596, e-mail: </w:t>
            </w:r>
            <w:hyperlink r:id="rId10" w:history="1">
              <w:r w:rsidRPr="003339DD">
                <w:rPr>
                  <w:rStyle w:val="Hypertextovodkaz"/>
                  <w:sz w:val="18"/>
                </w:rPr>
                <w:t>vaclav.rybacek@czso.cz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:rsidTr="005F2A98">
        <w:tc>
          <w:tcPr>
            <w:tcW w:w="3369" w:type="dxa"/>
          </w:tcPr>
          <w:p w:rsidR="007674A6" w:rsidRDefault="007674A6" w:rsidP="005F2A98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  <w:r w:rsidRPr="002C1411">
              <w:rPr>
                <w:i/>
                <w:iCs/>
                <w:sz w:val="18"/>
                <w:szCs w:val="18"/>
              </w:rPr>
              <w:t xml:space="preserve">tel.: 274054232, e-mail: </w:t>
            </w:r>
            <w:hyperlink r:id="rId11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:rsidTr="005F2A98">
        <w:tc>
          <w:tcPr>
            <w:tcW w:w="3369" w:type="dxa"/>
          </w:tcPr>
          <w:p w:rsidR="007674A6" w:rsidRDefault="007674A6" w:rsidP="005F2A98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Termín zveřejnění další </w:t>
            </w:r>
            <w:proofErr w:type="spellStart"/>
            <w:r w:rsidRPr="002C1411">
              <w:rPr>
                <w:i/>
                <w:iCs/>
                <w:sz w:val="18"/>
                <w:szCs w:val="18"/>
              </w:rPr>
              <w:t>RI</w:t>
            </w:r>
            <w:proofErr w:type="spellEnd"/>
            <w:r w:rsidRPr="002C1411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:rsidR="007674A6" w:rsidRPr="007F7CB9" w:rsidRDefault="00AF52E4" w:rsidP="00AF52E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7674A6" w:rsidRPr="007F7CB9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7</w:t>
            </w:r>
            <w:r w:rsidR="00760DE0">
              <w:rPr>
                <w:i/>
                <w:iCs/>
                <w:sz w:val="18"/>
                <w:szCs w:val="18"/>
              </w:rPr>
              <w:t>. 2018</w:t>
            </w:r>
          </w:p>
        </w:tc>
      </w:tr>
    </w:tbl>
    <w:p w:rsidR="007674A6" w:rsidRDefault="007674A6" w:rsidP="007674A6">
      <w:pPr>
        <w:rPr>
          <w:i/>
          <w:iCs/>
          <w:sz w:val="18"/>
          <w:szCs w:val="18"/>
        </w:rPr>
      </w:pPr>
    </w:p>
    <w:p w:rsidR="007674A6" w:rsidRDefault="007674A6" w:rsidP="007674A6">
      <w:pPr>
        <w:rPr>
          <w:i/>
          <w:iCs/>
          <w:sz w:val="18"/>
          <w:szCs w:val="18"/>
        </w:rPr>
      </w:pPr>
    </w:p>
    <w:p w:rsidR="00EA2DE9" w:rsidRPr="00EA2DE9" w:rsidRDefault="00EA2DE9" w:rsidP="00EA2DE9"/>
    <w:sectPr w:rsidR="00EA2DE9" w:rsidRPr="00EA2DE9" w:rsidSect="00A60967">
      <w:headerReference w:type="default" r:id="rId12"/>
      <w:footerReference w:type="default" r:id="rId13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61" w:rsidRDefault="00D31861" w:rsidP="00BA6370">
      <w:r>
        <w:separator/>
      </w:r>
    </w:p>
  </w:endnote>
  <w:endnote w:type="continuationSeparator" w:id="0">
    <w:p w:rsidR="00D31861" w:rsidRDefault="00D318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4756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89CE0B" wp14:editId="1DB2365E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="004E479E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1D7AFB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1</w:t>
                          </w:r>
                          <w:r w:rsidR="000E43CC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="004E479E"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="000E43CC"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1D7AFB">
                      <w:rPr>
                        <w:rFonts w:cs="Arial"/>
                        <w:noProof/>
                        <w:sz w:val="18"/>
                        <w:szCs w:val="15"/>
                      </w:rPr>
                      <w:t>1</w:t>
                    </w:r>
                    <w:r w:rsidR="000E43CC"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DC7ABB" wp14:editId="1D5D35D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61" w:rsidRDefault="00D31861" w:rsidP="00BA6370">
      <w:r>
        <w:separator/>
      </w:r>
    </w:p>
  </w:footnote>
  <w:footnote w:type="continuationSeparator" w:id="0">
    <w:p w:rsidR="00D31861" w:rsidRDefault="00D3186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4756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F48E703" wp14:editId="7AD30593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5120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76"/>
    <w:rsid w:val="00022194"/>
    <w:rsid w:val="00024DDA"/>
    <w:rsid w:val="00031874"/>
    <w:rsid w:val="00031E89"/>
    <w:rsid w:val="00043BF4"/>
    <w:rsid w:val="0005106B"/>
    <w:rsid w:val="000843A5"/>
    <w:rsid w:val="000910DA"/>
    <w:rsid w:val="00096D6C"/>
    <w:rsid w:val="000A18CB"/>
    <w:rsid w:val="000A2AF1"/>
    <w:rsid w:val="000B6F63"/>
    <w:rsid w:val="000D093F"/>
    <w:rsid w:val="000E43CC"/>
    <w:rsid w:val="000F5D76"/>
    <w:rsid w:val="001404AB"/>
    <w:rsid w:val="00151F49"/>
    <w:rsid w:val="0015543C"/>
    <w:rsid w:val="001614B5"/>
    <w:rsid w:val="00171CC7"/>
    <w:rsid w:val="0017231D"/>
    <w:rsid w:val="001810DC"/>
    <w:rsid w:val="001B13D2"/>
    <w:rsid w:val="001B1F6A"/>
    <w:rsid w:val="001B607F"/>
    <w:rsid w:val="001B7272"/>
    <w:rsid w:val="001D369A"/>
    <w:rsid w:val="001D7AFB"/>
    <w:rsid w:val="001F08B3"/>
    <w:rsid w:val="001F2FE0"/>
    <w:rsid w:val="00200854"/>
    <w:rsid w:val="002070FB"/>
    <w:rsid w:val="00210C77"/>
    <w:rsid w:val="00213729"/>
    <w:rsid w:val="002406FA"/>
    <w:rsid w:val="0026107B"/>
    <w:rsid w:val="00264DAF"/>
    <w:rsid w:val="00281B97"/>
    <w:rsid w:val="00295A12"/>
    <w:rsid w:val="002A56D6"/>
    <w:rsid w:val="002B2E47"/>
    <w:rsid w:val="002C48E6"/>
    <w:rsid w:val="002E7C61"/>
    <w:rsid w:val="00304176"/>
    <w:rsid w:val="003301A3"/>
    <w:rsid w:val="0035564A"/>
    <w:rsid w:val="00357199"/>
    <w:rsid w:val="0036141C"/>
    <w:rsid w:val="0036777B"/>
    <w:rsid w:val="0038282A"/>
    <w:rsid w:val="003964A5"/>
    <w:rsid w:val="00397580"/>
    <w:rsid w:val="003A45C8"/>
    <w:rsid w:val="003B416A"/>
    <w:rsid w:val="003C2DCF"/>
    <w:rsid w:val="003C7FE7"/>
    <w:rsid w:val="003D0499"/>
    <w:rsid w:val="003D3576"/>
    <w:rsid w:val="003F526A"/>
    <w:rsid w:val="00405244"/>
    <w:rsid w:val="004154C7"/>
    <w:rsid w:val="00425F10"/>
    <w:rsid w:val="004436EE"/>
    <w:rsid w:val="00447B75"/>
    <w:rsid w:val="0045547F"/>
    <w:rsid w:val="00471DEF"/>
    <w:rsid w:val="00474A48"/>
    <w:rsid w:val="004920AD"/>
    <w:rsid w:val="004A2FD5"/>
    <w:rsid w:val="004A5D0D"/>
    <w:rsid w:val="004D05B3"/>
    <w:rsid w:val="004D7CFA"/>
    <w:rsid w:val="004E479E"/>
    <w:rsid w:val="004F686C"/>
    <w:rsid w:val="004F78E6"/>
    <w:rsid w:val="0050420E"/>
    <w:rsid w:val="00506867"/>
    <w:rsid w:val="00512D99"/>
    <w:rsid w:val="00514205"/>
    <w:rsid w:val="00526E0E"/>
    <w:rsid w:val="00531DBB"/>
    <w:rsid w:val="00545931"/>
    <w:rsid w:val="00546A7F"/>
    <w:rsid w:val="005543FD"/>
    <w:rsid w:val="00573994"/>
    <w:rsid w:val="0057429D"/>
    <w:rsid w:val="005B0489"/>
    <w:rsid w:val="005B2684"/>
    <w:rsid w:val="005D0C9E"/>
    <w:rsid w:val="005E1A31"/>
    <w:rsid w:val="005F0EFC"/>
    <w:rsid w:val="005F79FB"/>
    <w:rsid w:val="00604406"/>
    <w:rsid w:val="00604C56"/>
    <w:rsid w:val="00605F4A"/>
    <w:rsid w:val="00607822"/>
    <w:rsid w:val="006103AA"/>
    <w:rsid w:val="00613BBF"/>
    <w:rsid w:val="00622B80"/>
    <w:rsid w:val="00635BB1"/>
    <w:rsid w:val="0064139A"/>
    <w:rsid w:val="00642760"/>
    <w:rsid w:val="0064756E"/>
    <w:rsid w:val="00667CB5"/>
    <w:rsid w:val="006931CF"/>
    <w:rsid w:val="006A7EAB"/>
    <w:rsid w:val="006D2075"/>
    <w:rsid w:val="006E024F"/>
    <w:rsid w:val="006E4E81"/>
    <w:rsid w:val="00705916"/>
    <w:rsid w:val="00707F7D"/>
    <w:rsid w:val="00712924"/>
    <w:rsid w:val="00717EC5"/>
    <w:rsid w:val="00720C71"/>
    <w:rsid w:val="00724DB5"/>
    <w:rsid w:val="00754C20"/>
    <w:rsid w:val="00760DE0"/>
    <w:rsid w:val="007674A6"/>
    <w:rsid w:val="007A2048"/>
    <w:rsid w:val="007A57F2"/>
    <w:rsid w:val="007B1333"/>
    <w:rsid w:val="007C565C"/>
    <w:rsid w:val="007D624A"/>
    <w:rsid w:val="007D7C61"/>
    <w:rsid w:val="007F4AEB"/>
    <w:rsid w:val="007F75B2"/>
    <w:rsid w:val="00803993"/>
    <w:rsid w:val="008043C4"/>
    <w:rsid w:val="00815D15"/>
    <w:rsid w:val="00830643"/>
    <w:rsid w:val="00831B1B"/>
    <w:rsid w:val="0085371B"/>
    <w:rsid w:val="00855FB3"/>
    <w:rsid w:val="00861D0E"/>
    <w:rsid w:val="008662BB"/>
    <w:rsid w:val="00867569"/>
    <w:rsid w:val="00884CF1"/>
    <w:rsid w:val="00885B92"/>
    <w:rsid w:val="008A750A"/>
    <w:rsid w:val="008B3970"/>
    <w:rsid w:val="008C384C"/>
    <w:rsid w:val="008D0F11"/>
    <w:rsid w:val="008D7FDA"/>
    <w:rsid w:val="008E728B"/>
    <w:rsid w:val="008F31E9"/>
    <w:rsid w:val="008F38CA"/>
    <w:rsid w:val="008F7147"/>
    <w:rsid w:val="008F73B4"/>
    <w:rsid w:val="00915A3B"/>
    <w:rsid w:val="00917C75"/>
    <w:rsid w:val="00927342"/>
    <w:rsid w:val="00982CA8"/>
    <w:rsid w:val="00986DD7"/>
    <w:rsid w:val="00990C86"/>
    <w:rsid w:val="00995ACC"/>
    <w:rsid w:val="009B026E"/>
    <w:rsid w:val="009B55B1"/>
    <w:rsid w:val="009C406F"/>
    <w:rsid w:val="00A0762A"/>
    <w:rsid w:val="00A12EB7"/>
    <w:rsid w:val="00A132F9"/>
    <w:rsid w:val="00A15D66"/>
    <w:rsid w:val="00A32AB9"/>
    <w:rsid w:val="00A36CFE"/>
    <w:rsid w:val="00A4343D"/>
    <w:rsid w:val="00A502F1"/>
    <w:rsid w:val="00A544EE"/>
    <w:rsid w:val="00A60967"/>
    <w:rsid w:val="00A70A83"/>
    <w:rsid w:val="00A81EB3"/>
    <w:rsid w:val="00A86C04"/>
    <w:rsid w:val="00A927E3"/>
    <w:rsid w:val="00A93DE1"/>
    <w:rsid w:val="00A94B28"/>
    <w:rsid w:val="00AA4564"/>
    <w:rsid w:val="00AA66CB"/>
    <w:rsid w:val="00AB3410"/>
    <w:rsid w:val="00AD1D04"/>
    <w:rsid w:val="00AD450F"/>
    <w:rsid w:val="00AD5011"/>
    <w:rsid w:val="00AE305A"/>
    <w:rsid w:val="00AE7FAA"/>
    <w:rsid w:val="00AF1501"/>
    <w:rsid w:val="00AF52E4"/>
    <w:rsid w:val="00B00C1D"/>
    <w:rsid w:val="00B06A45"/>
    <w:rsid w:val="00B30687"/>
    <w:rsid w:val="00B3245E"/>
    <w:rsid w:val="00B55375"/>
    <w:rsid w:val="00B56382"/>
    <w:rsid w:val="00B632CC"/>
    <w:rsid w:val="00B70E16"/>
    <w:rsid w:val="00B7682C"/>
    <w:rsid w:val="00B7752A"/>
    <w:rsid w:val="00B85D5E"/>
    <w:rsid w:val="00B906F2"/>
    <w:rsid w:val="00B973E6"/>
    <w:rsid w:val="00BA12F1"/>
    <w:rsid w:val="00BA439F"/>
    <w:rsid w:val="00BA6370"/>
    <w:rsid w:val="00BB2C9A"/>
    <w:rsid w:val="00BD66E4"/>
    <w:rsid w:val="00BF02C9"/>
    <w:rsid w:val="00BF41B9"/>
    <w:rsid w:val="00C135E6"/>
    <w:rsid w:val="00C14348"/>
    <w:rsid w:val="00C1677B"/>
    <w:rsid w:val="00C20061"/>
    <w:rsid w:val="00C269D4"/>
    <w:rsid w:val="00C3546B"/>
    <w:rsid w:val="00C37ADB"/>
    <w:rsid w:val="00C4160D"/>
    <w:rsid w:val="00C60D47"/>
    <w:rsid w:val="00C65A6E"/>
    <w:rsid w:val="00C8406E"/>
    <w:rsid w:val="00C9073E"/>
    <w:rsid w:val="00CA679D"/>
    <w:rsid w:val="00CB2709"/>
    <w:rsid w:val="00CB2EC7"/>
    <w:rsid w:val="00CB6F89"/>
    <w:rsid w:val="00CC08DF"/>
    <w:rsid w:val="00CC0AE9"/>
    <w:rsid w:val="00CC6422"/>
    <w:rsid w:val="00CE0B66"/>
    <w:rsid w:val="00CE228C"/>
    <w:rsid w:val="00CE5BC2"/>
    <w:rsid w:val="00CE71D9"/>
    <w:rsid w:val="00CF545B"/>
    <w:rsid w:val="00D208F1"/>
    <w:rsid w:val="00D209A7"/>
    <w:rsid w:val="00D27D69"/>
    <w:rsid w:val="00D31861"/>
    <w:rsid w:val="00D33658"/>
    <w:rsid w:val="00D448C2"/>
    <w:rsid w:val="00D666C3"/>
    <w:rsid w:val="00D914A9"/>
    <w:rsid w:val="00D9189F"/>
    <w:rsid w:val="00DB3D52"/>
    <w:rsid w:val="00DB5168"/>
    <w:rsid w:val="00DB7DDE"/>
    <w:rsid w:val="00DD2AC3"/>
    <w:rsid w:val="00DD43D0"/>
    <w:rsid w:val="00DF14D2"/>
    <w:rsid w:val="00DF1723"/>
    <w:rsid w:val="00DF47FE"/>
    <w:rsid w:val="00E0156A"/>
    <w:rsid w:val="00E14573"/>
    <w:rsid w:val="00E16F11"/>
    <w:rsid w:val="00E22A62"/>
    <w:rsid w:val="00E26704"/>
    <w:rsid w:val="00E30385"/>
    <w:rsid w:val="00E31980"/>
    <w:rsid w:val="00E3211D"/>
    <w:rsid w:val="00E6423C"/>
    <w:rsid w:val="00E93830"/>
    <w:rsid w:val="00E93E0E"/>
    <w:rsid w:val="00EA2DE9"/>
    <w:rsid w:val="00EB1ED3"/>
    <w:rsid w:val="00EB44BC"/>
    <w:rsid w:val="00ED5CEB"/>
    <w:rsid w:val="00EE06E6"/>
    <w:rsid w:val="00EF38A3"/>
    <w:rsid w:val="00F02061"/>
    <w:rsid w:val="00F158FD"/>
    <w:rsid w:val="00F214B3"/>
    <w:rsid w:val="00F64D73"/>
    <w:rsid w:val="00F75711"/>
    <w:rsid w:val="00F75F2A"/>
    <w:rsid w:val="00FA3792"/>
    <w:rsid w:val="00FA5B92"/>
    <w:rsid w:val="00FB1DDD"/>
    <w:rsid w:val="00FB687C"/>
    <w:rsid w:val="00FF3DC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oslav.kahoun@czso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clav.rybacek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.czso.cz/pll/rocenka/rocenka.indexnu_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0CB1-CFE7-410F-8C64-37609BD0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Václav Rybáček</cp:lastModifiedBy>
  <cp:revision>34</cp:revision>
  <cp:lastPrinted>2018-04-03T08:05:00Z</cp:lastPrinted>
  <dcterms:created xsi:type="dcterms:W3CDTF">2017-06-30T08:11:00Z</dcterms:created>
  <dcterms:modified xsi:type="dcterms:W3CDTF">2018-04-03T08:07:00Z</dcterms:modified>
</cp:coreProperties>
</file>