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D640CB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6. 2. 2020</w:t>
      </w:r>
    </w:p>
    <w:p w:rsidR="00D640CB" w:rsidRPr="00026F73" w:rsidRDefault="00D640CB" w:rsidP="00D640CB">
      <w:pPr>
        <w:pStyle w:val="Podtitulek"/>
        <w:spacing w:before="280" w:after="0" w:line="360" w:lineRule="exact"/>
      </w:pPr>
      <w:r w:rsidRPr="00AD6C25">
        <w:rPr>
          <w:color w:val="BD1B21"/>
          <w:sz w:val="32"/>
          <w:szCs w:val="32"/>
        </w:rPr>
        <w:t>Stavební produkce</w:t>
      </w:r>
      <w:r w:rsidR="00AD6C25" w:rsidRPr="00AD6C25">
        <w:rPr>
          <w:color w:val="BD1B21"/>
          <w:sz w:val="32"/>
          <w:szCs w:val="32"/>
        </w:rPr>
        <w:t xml:space="preserve"> v roce 2019</w:t>
      </w:r>
      <w:r w:rsidRPr="00AD6C25">
        <w:rPr>
          <w:color w:val="BD1B21"/>
          <w:sz w:val="32"/>
          <w:szCs w:val="32"/>
        </w:rPr>
        <w:t xml:space="preserve"> vzrostla</w:t>
      </w:r>
      <w:r w:rsidR="00AD6C25">
        <w:rPr>
          <w:color w:val="BD1B21"/>
          <w:sz w:val="32"/>
          <w:szCs w:val="32"/>
        </w:rPr>
        <w:t xml:space="preserve"> o 2,3 %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prosinec 2019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prosinci po očištění o vliv počtu pracovních dnů reálně meziročně vzrostla o </w:t>
      </w:r>
      <w:r w:rsidR="000B3A72">
        <w:rPr>
          <w:rFonts w:cs="Arial"/>
        </w:rPr>
        <w:t>6</w:t>
      </w:r>
      <w:r w:rsidRPr="00E40673">
        <w:rPr>
          <w:rFonts w:cs="Arial"/>
        </w:rPr>
        <w:t>,</w:t>
      </w:r>
      <w:r w:rsidR="000B3A72">
        <w:rPr>
          <w:rFonts w:cs="Arial"/>
        </w:rPr>
        <w:t>3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byla meziměsíčně vyšší o </w:t>
      </w:r>
      <w:r w:rsidR="000416EC">
        <w:rPr>
          <w:rFonts w:cs="Arial"/>
        </w:rPr>
        <w:t>1</w:t>
      </w:r>
      <w:r w:rsidRPr="00E40673">
        <w:rPr>
          <w:rFonts w:cs="Arial"/>
        </w:rPr>
        <w:t>,</w:t>
      </w:r>
      <w:r w:rsidR="000416EC">
        <w:rPr>
          <w:rFonts w:cs="Arial"/>
        </w:rPr>
        <w:t>6</w:t>
      </w:r>
      <w:r w:rsidRPr="00E40673">
        <w:rPr>
          <w:rFonts w:cs="Arial"/>
        </w:rPr>
        <w:t xml:space="preserve"> %. Stavební úřady vydaly meziročně o </w:t>
      </w:r>
      <w:r w:rsidR="00780705">
        <w:rPr>
          <w:rFonts w:cs="Arial"/>
        </w:rPr>
        <w:t>16</w:t>
      </w:r>
      <w:r w:rsidRPr="00E40673">
        <w:rPr>
          <w:rFonts w:cs="Arial"/>
        </w:rPr>
        <w:t>,</w:t>
      </w:r>
      <w:r w:rsidR="00780705">
        <w:rPr>
          <w:rFonts w:cs="Arial"/>
        </w:rPr>
        <w:t>3</w:t>
      </w:r>
      <w:r w:rsidRPr="00E40673">
        <w:rPr>
          <w:rFonts w:cs="Arial"/>
        </w:rPr>
        <w:t xml:space="preserve"> % stavebních povolení více a orientační hodnota těchto povolení </w:t>
      </w:r>
      <w:r w:rsidR="00780705">
        <w:rPr>
          <w:rFonts w:cs="Arial"/>
        </w:rPr>
        <w:t>vzrostla</w:t>
      </w:r>
      <w:r w:rsidRPr="00E40673">
        <w:rPr>
          <w:rFonts w:cs="Arial"/>
        </w:rPr>
        <w:t xml:space="preserve"> o </w:t>
      </w:r>
      <w:r w:rsidR="00780705">
        <w:rPr>
          <w:rFonts w:cs="Arial"/>
        </w:rPr>
        <w:t>22</w:t>
      </w:r>
      <w:r w:rsidRPr="00E40673">
        <w:rPr>
          <w:rFonts w:cs="Arial"/>
        </w:rPr>
        <w:t>,</w:t>
      </w:r>
      <w:r w:rsidR="00780705">
        <w:rPr>
          <w:rFonts w:cs="Arial"/>
        </w:rPr>
        <w:t>3</w:t>
      </w:r>
      <w:r w:rsidRPr="00E40673">
        <w:rPr>
          <w:rFonts w:cs="Arial"/>
        </w:rPr>
        <w:t> %. Meziročně bylo zahájeno o</w:t>
      </w:r>
      <w:r w:rsidR="004F35D9">
        <w:rPr>
          <w:rFonts w:cs="Arial"/>
        </w:rPr>
        <w:t xml:space="preserve"> 34,2</w:t>
      </w:r>
      <w:r w:rsidRPr="00E40673">
        <w:rPr>
          <w:rFonts w:cs="Arial"/>
        </w:rPr>
        <w:t xml:space="preserve"> % bytů </w:t>
      </w:r>
      <w:r w:rsidR="004F35D9">
        <w:rPr>
          <w:rFonts w:cs="Arial"/>
        </w:rPr>
        <w:t>více</w:t>
      </w:r>
      <w:r w:rsidRPr="00E40673">
        <w:rPr>
          <w:rFonts w:cs="Arial"/>
        </w:rPr>
        <w:t>. Dokončeno bylo o </w:t>
      </w:r>
      <w:r w:rsidR="000674E2">
        <w:rPr>
          <w:rFonts w:cs="Arial"/>
        </w:rPr>
        <w:t>4,1</w:t>
      </w:r>
      <w:r w:rsidRPr="00E40673">
        <w:rPr>
          <w:rFonts w:cs="Arial"/>
        </w:rPr>
        <w:t xml:space="preserve"> % bytů </w:t>
      </w:r>
      <w:r w:rsidR="000674E2">
        <w:rPr>
          <w:rFonts w:cs="Arial"/>
        </w:rPr>
        <w:t>méně</w:t>
      </w:r>
      <w:r w:rsidRPr="00E40673">
        <w:rPr>
          <w:rFonts w:cs="Arial"/>
        </w:rPr>
        <w:t>.</w:t>
      </w:r>
    </w:p>
    <w:p w:rsidR="00D640CB" w:rsidRDefault="00D640CB" w:rsidP="00D640CB">
      <w:pPr>
        <w:rPr>
          <w:b/>
          <w:bCs/>
          <w:szCs w:val="20"/>
        </w:rPr>
      </w:pPr>
      <w:r w:rsidRPr="00A05A88">
        <w:rPr>
          <w:b/>
        </w:rPr>
        <w:t>Stavební produkce v roce 201</w:t>
      </w:r>
      <w:r>
        <w:rPr>
          <w:b/>
        </w:rPr>
        <w:t>9</w:t>
      </w:r>
      <w:r w:rsidRPr="00A05A88">
        <w:rPr>
          <w:b/>
        </w:rPr>
        <w:t xml:space="preserve"> </w:t>
      </w:r>
      <w:r>
        <w:rPr>
          <w:b/>
        </w:rPr>
        <w:t xml:space="preserve">reálně </w:t>
      </w:r>
      <w:r w:rsidRPr="00A05A88">
        <w:rPr>
          <w:b/>
        </w:rPr>
        <w:t xml:space="preserve">meziročně </w:t>
      </w:r>
      <w:r w:rsidRPr="00A05A88">
        <w:rPr>
          <w:rFonts w:cs="Arial"/>
          <w:b/>
          <w:szCs w:val="20"/>
        </w:rPr>
        <w:t>vzrostla o </w:t>
      </w:r>
      <w:r w:rsidR="00AD6C25">
        <w:rPr>
          <w:rFonts w:cs="Arial"/>
          <w:b/>
          <w:szCs w:val="20"/>
        </w:rPr>
        <w:t>2</w:t>
      </w:r>
      <w:r w:rsidRPr="00A05A88">
        <w:rPr>
          <w:rFonts w:cs="Arial"/>
          <w:b/>
          <w:szCs w:val="20"/>
        </w:rPr>
        <w:t>,</w:t>
      </w:r>
      <w:r w:rsidR="00AD6C25">
        <w:rPr>
          <w:rFonts w:cs="Arial"/>
          <w:b/>
          <w:szCs w:val="20"/>
        </w:rPr>
        <w:t>3</w:t>
      </w:r>
      <w:r w:rsidRPr="00A05A88">
        <w:rPr>
          <w:rFonts w:cs="Arial"/>
          <w:b/>
          <w:szCs w:val="20"/>
        </w:rPr>
        <w:t> %</w:t>
      </w:r>
      <w:r w:rsidRPr="000E4EB9">
        <w:rPr>
          <w:b/>
          <w:i/>
        </w:rPr>
        <w:t>.</w:t>
      </w:r>
      <w:r>
        <w:rPr>
          <w:b/>
        </w:rPr>
        <w:t xml:space="preserve"> </w:t>
      </w:r>
      <w:r w:rsidRPr="00790E16">
        <w:rPr>
          <w:b/>
          <w:bCs/>
          <w:szCs w:val="20"/>
        </w:rPr>
        <w:t>Stavební úřady vydaly meziročně o </w:t>
      </w:r>
      <w:r w:rsidR="00546F32">
        <w:rPr>
          <w:b/>
          <w:bCs/>
          <w:szCs w:val="20"/>
        </w:rPr>
        <w:t>6</w:t>
      </w:r>
      <w:r w:rsidRPr="00790E16">
        <w:rPr>
          <w:b/>
          <w:bCs/>
          <w:szCs w:val="20"/>
        </w:rPr>
        <w:t>,</w:t>
      </w:r>
      <w:r w:rsidR="00546F32">
        <w:rPr>
          <w:b/>
          <w:bCs/>
          <w:szCs w:val="20"/>
        </w:rPr>
        <w:t>3</w:t>
      </w:r>
      <w:r w:rsidRPr="00790E16">
        <w:rPr>
          <w:b/>
          <w:bCs/>
          <w:szCs w:val="20"/>
        </w:rPr>
        <w:t xml:space="preserve"> % stavebních povolení </w:t>
      </w:r>
      <w:r w:rsidR="00546F32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 xml:space="preserve"> a orientační hodnota těchto povolení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546F32">
        <w:rPr>
          <w:b/>
          <w:bCs/>
          <w:szCs w:val="20"/>
        </w:rPr>
        <w:t>15</w:t>
      </w:r>
      <w:r>
        <w:rPr>
          <w:b/>
          <w:bCs/>
          <w:szCs w:val="20"/>
        </w:rPr>
        <w:t>,</w:t>
      </w:r>
      <w:r w:rsidR="00546F32">
        <w:rPr>
          <w:b/>
          <w:bCs/>
          <w:szCs w:val="20"/>
        </w:rPr>
        <w:t>7</w:t>
      </w:r>
      <w:r w:rsidRPr="00790E16">
        <w:rPr>
          <w:b/>
          <w:bCs/>
          <w:szCs w:val="20"/>
        </w:rPr>
        <w:t> %. Bylo zahájeno meziročně o </w:t>
      </w:r>
      <w:r w:rsidR="00C217D4">
        <w:rPr>
          <w:b/>
          <w:bCs/>
          <w:szCs w:val="20"/>
        </w:rPr>
        <w:t>16,8</w:t>
      </w:r>
      <w:r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C47644">
        <w:rPr>
          <w:b/>
          <w:bCs/>
          <w:szCs w:val="20"/>
        </w:rPr>
        <w:t>7,6</w:t>
      </w:r>
      <w:r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D640CB" w:rsidRPr="0039150C" w:rsidRDefault="00D640CB" w:rsidP="00D640C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Pr="0039150C">
        <w:rPr>
          <w:rFonts w:cs="Arial"/>
          <w:bCs/>
          <w:szCs w:val="20"/>
        </w:rPr>
        <w:t>prosinci</w:t>
      </w:r>
      <w:r w:rsidRPr="0039150C">
        <w:rPr>
          <w:rFonts w:cs="Arial"/>
          <w:szCs w:val="20"/>
        </w:rPr>
        <w:t xml:space="preserve"> 2019 byla reálně meziměsíčně vyšší o </w:t>
      </w:r>
      <w:r w:rsidR="00C624D8">
        <w:rPr>
          <w:rFonts w:cs="Arial"/>
          <w:szCs w:val="20"/>
        </w:rPr>
        <w:t>1</w:t>
      </w:r>
      <w:r w:rsidRPr="0039150C">
        <w:rPr>
          <w:rFonts w:cs="Arial"/>
          <w:szCs w:val="20"/>
        </w:rPr>
        <w:t>,</w:t>
      </w:r>
      <w:r w:rsidR="00C624D8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> %. Meziročně vzrostla o </w:t>
      </w:r>
      <w:r w:rsidR="00C624D8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>,</w:t>
      </w:r>
      <w:r w:rsidR="00C624D8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 %. Produkce v pozemním stavitelství se ve srovnání se stejným měsícem minulého roku zvýšila o </w:t>
      </w:r>
      <w:r w:rsidR="00C624D8">
        <w:rPr>
          <w:rFonts w:cs="Arial"/>
          <w:szCs w:val="20"/>
        </w:rPr>
        <w:t>8</w:t>
      </w:r>
      <w:r w:rsidRPr="0039150C">
        <w:rPr>
          <w:rFonts w:cs="Arial"/>
          <w:szCs w:val="20"/>
        </w:rPr>
        <w:t>,</w:t>
      </w:r>
      <w:r w:rsidR="00C624D8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> % (příspěvek +</w:t>
      </w:r>
      <w:r w:rsidR="00C624D8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>,</w:t>
      </w:r>
      <w:r w:rsidR="00C624D8">
        <w:rPr>
          <w:rFonts w:cs="Arial"/>
          <w:szCs w:val="20"/>
        </w:rPr>
        <w:t>1</w:t>
      </w:r>
      <w:r w:rsidRPr="0039150C">
        <w:rPr>
          <w:rFonts w:cs="Arial"/>
          <w:szCs w:val="20"/>
        </w:rPr>
        <w:t xml:space="preserve"> procentního bodu). Produkce inženýrského stavitelství meziročně vzrostla o </w:t>
      </w:r>
      <w:r w:rsidR="00C624D8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>,</w:t>
      </w:r>
      <w:r w:rsidR="00C624D8">
        <w:rPr>
          <w:rFonts w:cs="Arial"/>
          <w:szCs w:val="20"/>
        </w:rPr>
        <w:t>8</w:t>
      </w:r>
      <w:r w:rsidRPr="0039150C">
        <w:rPr>
          <w:rFonts w:cs="Arial"/>
          <w:szCs w:val="20"/>
        </w:rPr>
        <w:t> % (příspěvek +</w:t>
      </w:r>
      <w:r w:rsidR="00C624D8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>,</w:t>
      </w:r>
      <w:r w:rsidR="00C624D8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 xml:space="preserve"> p. b.). Bez očištění byla celková stavební produkce meziročně vyšší o </w:t>
      </w:r>
      <w:r w:rsidR="00576F63">
        <w:rPr>
          <w:rFonts w:cs="Arial"/>
          <w:szCs w:val="20"/>
        </w:rPr>
        <w:t>7</w:t>
      </w:r>
      <w:r w:rsidRPr="0039150C">
        <w:rPr>
          <w:rFonts w:cs="Arial"/>
          <w:szCs w:val="20"/>
        </w:rPr>
        <w:t>,</w:t>
      </w:r>
      <w:r w:rsidR="00576F63">
        <w:rPr>
          <w:rFonts w:cs="Arial"/>
          <w:szCs w:val="20"/>
        </w:rPr>
        <w:t>8</w:t>
      </w:r>
      <w:r w:rsidRPr="0039150C">
        <w:rPr>
          <w:rFonts w:cs="Arial"/>
          <w:szCs w:val="20"/>
        </w:rPr>
        <w:t xml:space="preserve"> % (prosinec 2019 měl ve srovnání se stejným měsícem předchozího roku o jeden pracovní den více). 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v </w:t>
      </w:r>
      <w:r w:rsidRPr="009665EF">
        <w:rPr>
          <w:rFonts w:cs="Arial"/>
          <w:bCs/>
          <w:szCs w:val="20"/>
        </w:rPr>
        <w:t>prosinci</w:t>
      </w:r>
      <w:r w:rsidRPr="009665EF">
        <w:rPr>
          <w:rFonts w:cs="Arial"/>
          <w:szCs w:val="20"/>
        </w:rPr>
        <w:t xml:space="preserve"> 2019 meziročně</w:t>
      </w:r>
      <w:r w:rsidRPr="009665EF">
        <w:rPr>
          <w:rFonts w:cs="Arial"/>
          <w:b/>
          <w:bCs/>
          <w:szCs w:val="20"/>
        </w:rPr>
        <w:t xml:space="preserve"> </w:t>
      </w:r>
      <w:r w:rsidRPr="009665EF">
        <w:rPr>
          <w:rFonts w:cs="Arial"/>
          <w:bCs/>
          <w:szCs w:val="20"/>
        </w:rPr>
        <w:t>zvýšil</w:t>
      </w:r>
      <w:r w:rsidRPr="009665EF">
        <w:rPr>
          <w:rFonts w:cs="Arial"/>
          <w:szCs w:val="20"/>
        </w:rPr>
        <w:t xml:space="preserve"> o </w:t>
      </w:r>
      <w:r w:rsidR="00D35C44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,</w:t>
      </w:r>
      <w:r w:rsidR="00D35C44">
        <w:rPr>
          <w:rFonts w:cs="Arial"/>
          <w:szCs w:val="20"/>
        </w:rPr>
        <w:t>9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v </w:t>
      </w:r>
      <w:r w:rsidRPr="009665EF">
        <w:rPr>
          <w:rFonts w:cs="Arial"/>
          <w:bCs/>
          <w:szCs w:val="20"/>
        </w:rPr>
        <w:t>prosinci</w:t>
      </w:r>
      <w:r w:rsidRPr="009665EF">
        <w:rPr>
          <w:rFonts w:cs="Arial"/>
          <w:szCs w:val="20"/>
        </w:rPr>
        <w:t xml:space="preserve"> 2019 meziročně vzrostla o </w:t>
      </w:r>
      <w:r w:rsidR="00D35C44">
        <w:rPr>
          <w:rFonts w:cs="Arial"/>
          <w:szCs w:val="20"/>
        </w:rPr>
        <w:t>7</w:t>
      </w:r>
      <w:r w:rsidRPr="009665EF">
        <w:rPr>
          <w:rFonts w:cs="Arial"/>
          <w:szCs w:val="20"/>
        </w:rPr>
        <w:t>,</w:t>
      </w:r>
      <w:r w:rsidR="00D35C44">
        <w:rPr>
          <w:rFonts w:cs="Arial"/>
          <w:szCs w:val="20"/>
        </w:rPr>
        <w:t>2</w:t>
      </w:r>
      <w:r w:rsidRPr="009665EF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v prosinci 2019 vydaly </w:t>
      </w:r>
      <w:r w:rsidR="001034B5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</w:t>
      </w:r>
      <w:r w:rsidR="001034B5">
        <w:rPr>
          <w:rFonts w:cs="Arial"/>
          <w:szCs w:val="20"/>
        </w:rPr>
        <w:t>265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1034B5">
        <w:rPr>
          <w:rFonts w:cs="Arial"/>
          <w:szCs w:val="20"/>
        </w:rPr>
        <w:t>16</w:t>
      </w:r>
      <w:r w:rsidRPr="00830A65">
        <w:rPr>
          <w:rFonts w:cs="Arial"/>
          <w:szCs w:val="20"/>
        </w:rPr>
        <w:t>,</w:t>
      </w:r>
      <w:r w:rsidR="001034B5">
        <w:rPr>
          <w:rFonts w:cs="Arial"/>
          <w:szCs w:val="20"/>
        </w:rPr>
        <w:t>3</w:t>
      </w:r>
      <w:r w:rsidRPr="00830A65">
        <w:rPr>
          <w:rFonts w:cs="Arial"/>
          <w:szCs w:val="20"/>
        </w:rPr>
        <w:t xml:space="preserve"> % více.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1034B5">
        <w:rPr>
          <w:rFonts w:cs="Arial"/>
          <w:szCs w:val="20"/>
        </w:rPr>
        <w:t>34</w:t>
      </w:r>
      <w:r w:rsidRPr="00830A65">
        <w:rPr>
          <w:rFonts w:cs="Arial"/>
          <w:szCs w:val="20"/>
        </w:rPr>
        <w:t>,</w:t>
      </w:r>
      <w:r w:rsidR="001034B5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 xml:space="preserve"> mld. Kč a ve srovnání se stejným obdobím roku 2018 </w:t>
      </w:r>
      <w:r w:rsidR="001034B5" w:rsidRPr="009665EF">
        <w:rPr>
          <w:rFonts w:cs="Arial"/>
          <w:szCs w:val="20"/>
        </w:rPr>
        <w:t>vzrostla</w:t>
      </w:r>
      <w:r w:rsidRPr="00830A65">
        <w:rPr>
          <w:rFonts w:cs="Arial"/>
          <w:szCs w:val="20"/>
        </w:rPr>
        <w:t xml:space="preserve"> o </w:t>
      </w:r>
      <w:r w:rsidR="001034B5">
        <w:rPr>
          <w:rFonts w:cs="Arial"/>
          <w:szCs w:val="20"/>
        </w:rPr>
        <w:t>22</w:t>
      </w:r>
      <w:r w:rsidRPr="00830A65">
        <w:rPr>
          <w:rFonts w:cs="Arial"/>
          <w:szCs w:val="20"/>
        </w:rPr>
        <w:t>,</w:t>
      </w:r>
      <w:r w:rsidR="001034B5">
        <w:rPr>
          <w:rFonts w:cs="Arial"/>
          <w:szCs w:val="20"/>
        </w:rPr>
        <w:t>3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v </w:t>
      </w:r>
      <w:r w:rsidRPr="00830A65">
        <w:rPr>
          <w:rFonts w:cs="Arial"/>
          <w:bCs/>
          <w:szCs w:val="20"/>
        </w:rPr>
        <w:t>prosinci</w:t>
      </w:r>
      <w:r w:rsidRPr="00830A65">
        <w:rPr>
          <w:rFonts w:cs="Arial"/>
          <w:szCs w:val="20"/>
        </w:rPr>
        <w:t xml:space="preserve"> 2019 meziročně </w:t>
      </w:r>
      <w:r w:rsidR="004F35D9">
        <w:rPr>
          <w:rFonts w:cs="Arial"/>
          <w:szCs w:val="20"/>
        </w:rPr>
        <w:t>vzrostl</w:t>
      </w:r>
      <w:r w:rsidRPr="00830A65">
        <w:rPr>
          <w:rFonts w:cs="Arial"/>
          <w:szCs w:val="20"/>
        </w:rPr>
        <w:t xml:space="preserve"> o </w:t>
      </w:r>
      <w:r w:rsidR="004F35D9">
        <w:rPr>
          <w:rFonts w:cs="Arial"/>
          <w:szCs w:val="20"/>
        </w:rPr>
        <w:t>34,2</w:t>
      </w:r>
      <w:r w:rsidRPr="00830A65">
        <w:rPr>
          <w:rFonts w:cs="Arial"/>
          <w:szCs w:val="20"/>
        </w:rPr>
        <w:t xml:space="preserve"> % a dosáhl hodnoty </w:t>
      </w:r>
      <w:r w:rsidR="004F35D9">
        <w:rPr>
          <w:rFonts w:cs="Arial"/>
          <w:szCs w:val="20"/>
        </w:rPr>
        <w:t>3 539</w:t>
      </w:r>
      <w:r w:rsidRPr="00830A65">
        <w:rPr>
          <w:rFonts w:cs="Arial"/>
          <w:szCs w:val="20"/>
        </w:rPr>
        <w:t xml:space="preserve"> bytů. V rodinných domech došlo k nárůstu počtu bytů o</w:t>
      </w:r>
      <w:r w:rsidR="004F35D9">
        <w:rPr>
          <w:rFonts w:cs="Arial"/>
          <w:szCs w:val="20"/>
        </w:rPr>
        <w:t xml:space="preserve"> 42,5</w:t>
      </w:r>
      <w:r w:rsidRPr="00830A65">
        <w:rPr>
          <w:rFonts w:cs="Arial"/>
          <w:szCs w:val="20"/>
        </w:rPr>
        <w:t xml:space="preserve"> %. </w:t>
      </w:r>
      <w:r w:rsidRPr="00830A65">
        <w:t xml:space="preserve">V bytových domech </w:t>
      </w:r>
      <w:r w:rsidR="004F35D9">
        <w:t>byl počet zahájených bytů oproti prosinci 2018 dvojnásobný.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v </w:t>
      </w:r>
      <w:r w:rsidRPr="00830A65">
        <w:rPr>
          <w:bCs/>
        </w:rPr>
        <w:t>prosinci</w:t>
      </w:r>
      <w:r w:rsidRPr="00830A65">
        <w:t xml:space="preserve"> 2019 meziročně </w:t>
      </w:r>
      <w:r w:rsidR="00C217D4">
        <w:t>klesl</w:t>
      </w:r>
      <w:r w:rsidRPr="00830A65">
        <w:t xml:space="preserve"> o</w:t>
      </w:r>
      <w:r w:rsidR="00C217D4">
        <w:t xml:space="preserve"> 4,1</w:t>
      </w:r>
      <w:r w:rsidRPr="00830A65">
        <w:t> % a činil</w:t>
      </w:r>
      <w:r w:rsidR="00C217D4">
        <w:t xml:space="preserve"> 4 164 </w:t>
      </w:r>
      <w:r w:rsidRPr="00830A65">
        <w:t>bytů. V rodinných domech došlo k </w:t>
      </w:r>
      <w:r w:rsidR="00C217D4">
        <w:t>poklesu</w:t>
      </w:r>
      <w:r w:rsidRPr="00830A65">
        <w:t xml:space="preserve"> o </w:t>
      </w:r>
      <w:r w:rsidR="00C217D4">
        <w:t>10,9</w:t>
      </w:r>
      <w:r w:rsidRPr="00830A65">
        <w:t xml:space="preserve"> %, v bytových domech počet dokončených bytů </w:t>
      </w:r>
      <w:r w:rsidR="00C217D4">
        <w:t xml:space="preserve">klesl </w:t>
      </w:r>
      <w:r w:rsidRPr="00830A65">
        <w:t>o </w:t>
      </w:r>
      <w:r w:rsidR="00C217D4">
        <w:t>1,4</w:t>
      </w:r>
      <w:r w:rsidRPr="00830A65">
        <w:t xml:space="preserve"> %. </w:t>
      </w:r>
    </w:p>
    <w:p w:rsidR="00D640CB" w:rsidRPr="00041021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listopadu 2019 v EU28 </w:t>
      </w:r>
      <w:r w:rsidRPr="00041021">
        <w:rPr>
          <w:rFonts w:cs="Arial"/>
          <w:szCs w:val="20"/>
        </w:rPr>
        <w:t xml:space="preserve">meziročně </w:t>
      </w:r>
      <w:r w:rsidR="0011654A">
        <w:rPr>
          <w:rFonts w:cs="Arial"/>
          <w:szCs w:val="20"/>
        </w:rPr>
        <w:t>vzrostla</w:t>
      </w:r>
      <w:r w:rsidRPr="00041021">
        <w:rPr>
          <w:rFonts w:cs="Arial"/>
          <w:szCs w:val="20"/>
        </w:rPr>
        <w:t xml:space="preserve"> po očištění o vliv počtu pracovních dnů o </w:t>
      </w:r>
      <w:r w:rsidR="0011654A">
        <w:rPr>
          <w:rFonts w:cs="Arial"/>
          <w:szCs w:val="20"/>
        </w:rPr>
        <w:t>1</w:t>
      </w:r>
      <w:r w:rsidRPr="00041021">
        <w:rPr>
          <w:rFonts w:cs="Arial"/>
          <w:szCs w:val="20"/>
        </w:rPr>
        <w:t>,</w:t>
      </w:r>
      <w:r w:rsidR="0011654A">
        <w:rPr>
          <w:rFonts w:cs="Arial"/>
          <w:szCs w:val="20"/>
        </w:rPr>
        <w:t>4</w:t>
      </w:r>
      <w:r w:rsidRPr="00041021">
        <w:rPr>
          <w:rFonts w:cs="Arial"/>
          <w:szCs w:val="20"/>
        </w:rPr>
        <w:t xml:space="preserve"> %. Pozemní stavitelství se </w:t>
      </w:r>
      <w:r w:rsidR="0011654A">
        <w:rPr>
          <w:rFonts w:cs="Arial"/>
          <w:szCs w:val="20"/>
        </w:rPr>
        <w:t>zvýšilo</w:t>
      </w:r>
      <w:r w:rsidRPr="00041021">
        <w:rPr>
          <w:rFonts w:cs="Arial"/>
          <w:szCs w:val="20"/>
        </w:rPr>
        <w:t xml:space="preserve"> o </w:t>
      </w:r>
      <w:r w:rsidR="0011654A">
        <w:rPr>
          <w:rFonts w:cs="Arial"/>
          <w:szCs w:val="20"/>
        </w:rPr>
        <w:t>1</w:t>
      </w:r>
      <w:r w:rsidRPr="00041021">
        <w:rPr>
          <w:rFonts w:cs="Arial"/>
          <w:szCs w:val="20"/>
        </w:rPr>
        <w:t>,</w:t>
      </w:r>
      <w:r w:rsidR="0011654A">
        <w:rPr>
          <w:rFonts w:cs="Arial"/>
          <w:szCs w:val="20"/>
        </w:rPr>
        <w:t>7</w:t>
      </w:r>
      <w:r w:rsidRPr="00041021">
        <w:rPr>
          <w:rFonts w:cs="Arial"/>
          <w:szCs w:val="20"/>
        </w:rPr>
        <w:t> % a inženýrské stavitelství vzrostlo o </w:t>
      </w:r>
      <w:r w:rsidR="0011654A">
        <w:rPr>
          <w:rFonts w:cs="Arial"/>
          <w:szCs w:val="20"/>
        </w:rPr>
        <w:t>0</w:t>
      </w:r>
      <w:r w:rsidRPr="00041021">
        <w:rPr>
          <w:rFonts w:cs="Arial"/>
          <w:szCs w:val="20"/>
        </w:rPr>
        <w:t>,</w:t>
      </w:r>
      <w:r w:rsidR="0011654A">
        <w:rPr>
          <w:rFonts w:cs="Arial"/>
          <w:szCs w:val="20"/>
        </w:rPr>
        <w:t>5</w:t>
      </w:r>
      <w:r w:rsidRPr="00041021">
        <w:rPr>
          <w:rFonts w:cs="Arial"/>
          <w:szCs w:val="20"/>
        </w:rPr>
        <w:t xml:space="preserve"> %. Údaje za prosinec 2019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4E6E35">
        <w:rPr>
          <w:rFonts w:cs="Arial"/>
          <w:szCs w:val="20"/>
        </w:rPr>
        <w:t>17. 02. 2020</w:t>
      </w:r>
      <w:r w:rsidRPr="00041021">
        <w:rPr>
          <w:rFonts w:cs="Arial"/>
          <w:szCs w:val="20"/>
        </w:rPr>
        <w:t>.</w:t>
      </w:r>
    </w:p>
    <w:p w:rsidR="00A57DB4" w:rsidRDefault="00A57DB4" w:rsidP="00D640CB">
      <w:pPr>
        <w:spacing w:before="200"/>
        <w:rPr>
          <w:b/>
          <w:bCs/>
        </w:rPr>
      </w:pPr>
    </w:p>
    <w:p w:rsidR="00A57DB4" w:rsidRDefault="00A57DB4" w:rsidP="00D640CB">
      <w:pPr>
        <w:spacing w:before="200"/>
        <w:rPr>
          <w:b/>
          <w:bCs/>
        </w:rPr>
      </w:pPr>
    </w:p>
    <w:p w:rsidR="00D640CB" w:rsidRPr="00CB7C6D" w:rsidRDefault="00D640CB" w:rsidP="00D640CB">
      <w:pPr>
        <w:spacing w:before="200"/>
        <w:rPr>
          <w:b/>
          <w:bCs/>
        </w:rPr>
      </w:pPr>
      <w:r w:rsidRPr="00CB7C6D">
        <w:rPr>
          <w:b/>
          <w:bCs/>
        </w:rPr>
        <w:lastRenderedPageBreak/>
        <w:t>Stavebnictví ve 4. čtvrtletí 2019</w:t>
      </w:r>
    </w:p>
    <w:p w:rsidR="00D640CB" w:rsidRPr="009778B3" w:rsidRDefault="00D640CB" w:rsidP="00D640CB">
      <w:pPr>
        <w:spacing w:before="200"/>
        <w:rPr>
          <w:b/>
          <w:bCs/>
        </w:rPr>
      </w:pPr>
      <w:r w:rsidRPr="009778B3">
        <w:rPr>
          <w:rFonts w:cs="Arial"/>
          <w:b/>
        </w:rPr>
        <w:t xml:space="preserve">Stavební produkce </w:t>
      </w:r>
      <w:r w:rsidRPr="009778B3">
        <w:rPr>
          <w:rFonts w:cs="Arial"/>
        </w:rPr>
        <w:t xml:space="preserve">ve 4. čtvrtletí 2019 byla reálně v porovnání s 3. čtvrtletím 2019 </w:t>
      </w:r>
      <w:r w:rsidR="00BF7118">
        <w:rPr>
          <w:rFonts w:cs="Arial"/>
        </w:rPr>
        <w:t>vyš</w:t>
      </w:r>
      <w:r w:rsidRPr="009778B3">
        <w:rPr>
          <w:rFonts w:cs="Arial"/>
        </w:rPr>
        <w:t>ší o </w:t>
      </w:r>
      <w:r w:rsidR="00BF7118">
        <w:rPr>
          <w:rFonts w:cs="Arial"/>
        </w:rPr>
        <w:t>1</w:t>
      </w:r>
      <w:r w:rsidRPr="009778B3">
        <w:rPr>
          <w:rFonts w:cs="Arial"/>
        </w:rPr>
        <w:t>,</w:t>
      </w:r>
      <w:r w:rsidR="00BF7118">
        <w:rPr>
          <w:rFonts w:cs="Arial"/>
        </w:rPr>
        <w:t>2</w:t>
      </w:r>
      <w:r w:rsidRPr="009778B3">
        <w:rPr>
          <w:rFonts w:cs="Arial"/>
        </w:rPr>
        <w:t> %. Meziročně</w:t>
      </w:r>
      <w:r w:rsidRPr="009778B3">
        <w:rPr>
          <w:rStyle w:val="Zvraznn"/>
          <w:rFonts w:ascii="Arial" w:hAnsi="Arial" w:cs="Arial"/>
          <w:szCs w:val="20"/>
        </w:rPr>
        <w:t xml:space="preserve"> </w:t>
      </w:r>
      <w:r w:rsidRPr="009778B3">
        <w:rPr>
          <w:rStyle w:val="Zvraznn"/>
          <w:rFonts w:ascii="Arial" w:hAnsi="Arial" w:cs="Arial"/>
          <w:i w:val="0"/>
          <w:szCs w:val="20"/>
        </w:rPr>
        <w:t>produkce vzrostla o </w:t>
      </w:r>
      <w:r w:rsidR="000F2B0D">
        <w:rPr>
          <w:rStyle w:val="Zvraznn"/>
          <w:rFonts w:ascii="Arial" w:hAnsi="Arial" w:cs="Arial"/>
          <w:i w:val="0"/>
          <w:szCs w:val="20"/>
        </w:rPr>
        <w:t>3</w:t>
      </w:r>
      <w:r w:rsidRPr="009778B3">
        <w:rPr>
          <w:rStyle w:val="Zvraznn"/>
          <w:rFonts w:ascii="Arial" w:hAnsi="Arial" w:cs="Arial"/>
          <w:i w:val="0"/>
          <w:szCs w:val="20"/>
        </w:rPr>
        <w:t>,</w:t>
      </w:r>
      <w:r w:rsidR="000F2B0D">
        <w:rPr>
          <w:rStyle w:val="Zvraznn"/>
          <w:rFonts w:ascii="Arial" w:hAnsi="Arial" w:cs="Arial"/>
          <w:i w:val="0"/>
          <w:szCs w:val="20"/>
        </w:rPr>
        <w:t>3</w:t>
      </w:r>
      <w:r w:rsidRPr="009778B3">
        <w:rPr>
          <w:rStyle w:val="Zvraznn"/>
          <w:rFonts w:ascii="Arial" w:hAnsi="Arial" w:cs="Arial"/>
          <w:i w:val="0"/>
          <w:szCs w:val="20"/>
        </w:rPr>
        <w:t> %</w:t>
      </w:r>
      <w:r w:rsidRPr="009778B3">
        <w:rPr>
          <w:rFonts w:cs="Arial"/>
          <w:i/>
          <w:szCs w:val="20"/>
        </w:rPr>
        <w:t>.</w:t>
      </w:r>
      <w:r w:rsidRPr="009778B3">
        <w:rPr>
          <w:rFonts w:cs="Arial"/>
          <w:szCs w:val="20"/>
        </w:rPr>
        <w:t xml:space="preserve"> </w:t>
      </w:r>
      <w:r w:rsidRPr="009778B3">
        <w:rPr>
          <w:rFonts w:cs="Arial"/>
        </w:rPr>
        <w:t xml:space="preserve">Produkce pozemního stavitelství se meziročně </w:t>
      </w:r>
      <w:r w:rsidR="000F2B0D">
        <w:rPr>
          <w:rFonts w:cs="Arial"/>
        </w:rPr>
        <w:t>zvýšila</w:t>
      </w:r>
      <w:r w:rsidRPr="009778B3">
        <w:rPr>
          <w:rFonts w:cs="Arial"/>
        </w:rPr>
        <w:t xml:space="preserve"> o </w:t>
      </w:r>
      <w:r w:rsidR="000F2B0D">
        <w:rPr>
          <w:rFonts w:cs="Arial"/>
        </w:rPr>
        <w:t>3</w:t>
      </w:r>
      <w:r w:rsidRPr="009778B3">
        <w:rPr>
          <w:rFonts w:cs="Arial"/>
        </w:rPr>
        <w:t>,</w:t>
      </w:r>
      <w:r w:rsidR="000F2B0D">
        <w:rPr>
          <w:rFonts w:cs="Arial"/>
        </w:rPr>
        <w:t>9</w:t>
      </w:r>
      <w:r w:rsidRPr="009778B3">
        <w:rPr>
          <w:rFonts w:cs="Arial"/>
        </w:rPr>
        <w:t xml:space="preserve"> % (příspěvek </w:t>
      </w:r>
      <w:r w:rsidR="000F2B0D">
        <w:rPr>
          <w:rFonts w:cs="Arial"/>
        </w:rPr>
        <w:t>+2</w:t>
      </w:r>
      <w:r w:rsidRPr="009778B3">
        <w:rPr>
          <w:rFonts w:cs="Arial"/>
        </w:rPr>
        <w:t>,</w:t>
      </w:r>
      <w:r w:rsidR="000F2B0D">
        <w:rPr>
          <w:rFonts w:cs="Arial"/>
        </w:rPr>
        <w:t>8</w:t>
      </w:r>
      <w:r w:rsidRPr="009778B3">
        <w:rPr>
          <w:rFonts w:cs="Arial"/>
        </w:rPr>
        <w:t> p. b.) a inženýrské stavitelství zaznamenalo meziroční nárůst stavební produkce o </w:t>
      </w:r>
      <w:r w:rsidR="000F2B0D">
        <w:rPr>
          <w:rFonts w:cs="Arial"/>
        </w:rPr>
        <w:t>1</w:t>
      </w:r>
      <w:r w:rsidRPr="009778B3">
        <w:rPr>
          <w:rFonts w:cs="Arial"/>
        </w:rPr>
        <w:t>,</w:t>
      </w:r>
      <w:r w:rsidR="000F2B0D">
        <w:rPr>
          <w:rFonts w:cs="Arial"/>
        </w:rPr>
        <w:t>9</w:t>
      </w:r>
      <w:r w:rsidRPr="009778B3">
        <w:rPr>
          <w:rFonts w:cs="Arial"/>
        </w:rPr>
        <w:t> % (příspěvek +</w:t>
      </w:r>
      <w:r w:rsidR="000F2B0D">
        <w:rPr>
          <w:rFonts w:cs="Arial"/>
        </w:rPr>
        <w:t>0</w:t>
      </w:r>
      <w:r w:rsidRPr="009778B3">
        <w:rPr>
          <w:rFonts w:cs="Arial"/>
        </w:rPr>
        <w:t>,</w:t>
      </w:r>
      <w:r w:rsidR="000F2B0D">
        <w:rPr>
          <w:rFonts w:cs="Arial"/>
        </w:rPr>
        <w:t>5</w:t>
      </w:r>
      <w:r w:rsidRPr="009778B3">
        <w:rPr>
          <w:rFonts w:cs="Arial"/>
        </w:rPr>
        <w:t> p. b.). Bez očištění byla produkce meziročně vyšší o </w:t>
      </w:r>
      <w:r w:rsidR="005F5940">
        <w:rPr>
          <w:rFonts w:cs="Arial"/>
        </w:rPr>
        <w:t>2</w:t>
      </w:r>
      <w:r w:rsidRPr="009778B3">
        <w:rPr>
          <w:rFonts w:cs="Arial"/>
        </w:rPr>
        <w:t>,</w:t>
      </w:r>
      <w:r w:rsidR="005F5940">
        <w:rPr>
          <w:rFonts w:cs="Arial"/>
        </w:rPr>
        <w:t>7</w:t>
      </w:r>
      <w:r w:rsidRPr="009778B3">
        <w:rPr>
          <w:rFonts w:cs="Arial"/>
        </w:rPr>
        <w:t xml:space="preserve"> % (4. čtvrtletí 2019 mělo ve srovnání se stejným čtvrtletím předchozího roku o jeden pracovní den méně).</w:t>
      </w:r>
    </w:p>
    <w:p w:rsidR="00D640CB" w:rsidRPr="009778B3" w:rsidRDefault="00D640CB" w:rsidP="00D640CB">
      <w:pPr>
        <w:spacing w:before="200"/>
        <w:rPr>
          <w:color w:val="FF0000"/>
        </w:rPr>
      </w:pPr>
      <w:r w:rsidRPr="009778B3">
        <w:rPr>
          <w:b/>
          <w:bCs/>
        </w:rPr>
        <w:t>Průměrný evidenční počet zaměstnanců</w:t>
      </w:r>
      <w:r w:rsidRPr="009778B3">
        <w:rPr>
          <w:rFonts w:cs="Arial"/>
          <w:b/>
          <w:bCs/>
          <w:szCs w:val="20"/>
          <w:vertAlign w:val="superscript"/>
        </w:rPr>
        <w:t xml:space="preserve"> </w:t>
      </w:r>
      <w:r w:rsidRPr="009778B3">
        <w:t>ve stavebnictví se ve 4. čtvrtletí 2019 meziročně</w:t>
      </w:r>
      <w:r w:rsidRPr="009778B3">
        <w:rPr>
          <w:bCs/>
        </w:rPr>
        <w:t xml:space="preserve"> </w:t>
      </w:r>
      <w:r w:rsidRPr="009778B3">
        <w:t>zvýšil o </w:t>
      </w:r>
      <w:r w:rsidR="0080145B">
        <w:t>1</w:t>
      </w:r>
      <w:r w:rsidRPr="009778B3">
        <w:t>,</w:t>
      </w:r>
      <w:r w:rsidR="0080145B">
        <w:t>7</w:t>
      </w:r>
      <w:r w:rsidRPr="009778B3">
        <w:t xml:space="preserve"> %. </w:t>
      </w:r>
      <w:r w:rsidRPr="009778B3">
        <w:rPr>
          <w:b/>
        </w:rPr>
        <w:t>Průměrná hrubá měsíční nominální mzda</w:t>
      </w:r>
      <w:r w:rsidRPr="009778B3">
        <w:t xml:space="preserve"> těchto zaměstnanců ve 4. čtvrtletí 2019 meziročně vzrostla o </w:t>
      </w:r>
      <w:r w:rsidR="0080145B">
        <w:t>7</w:t>
      </w:r>
      <w:r w:rsidRPr="009778B3">
        <w:t>,</w:t>
      </w:r>
      <w:r w:rsidR="0080145B">
        <w:t>3</w:t>
      </w:r>
      <w:r w:rsidRPr="009778B3">
        <w:t> %.</w:t>
      </w:r>
    </w:p>
    <w:p w:rsidR="00D640CB" w:rsidRPr="00D6282D" w:rsidRDefault="00D640CB" w:rsidP="00D640CB">
      <w:pPr>
        <w:spacing w:before="200"/>
      </w:pPr>
      <w:r w:rsidRPr="00D6282D">
        <w:t xml:space="preserve">Stavební podniky s 50 a více zaměstnanci ve 4. čtvrtletí 2019 v tuzemsku uzavřely </w:t>
      </w:r>
      <w:r w:rsidR="006D66EF">
        <w:t>16</w:t>
      </w:r>
      <w:r w:rsidRPr="00D6282D">
        <w:t> </w:t>
      </w:r>
      <w:r w:rsidR="006D66EF">
        <w:t>352</w:t>
      </w:r>
      <w:r w:rsidRPr="00D6282D">
        <w:rPr>
          <w:b/>
        </w:rPr>
        <w:t xml:space="preserve"> stavebních zakázek </w:t>
      </w:r>
      <w:r w:rsidRPr="00D6282D">
        <w:t>a</w:t>
      </w:r>
      <w:r w:rsidRPr="00D6282D">
        <w:rPr>
          <w:bCs/>
        </w:rPr>
        <w:t xml:space="preserve"> </w:t>
      </w:r>
      <w:r w:rsidRPr="00D6282D">
        <w:t>meziročně tento počet klesl o </w:t>
      </w:r>
      <w:r w:rsidR="006D66EF">
        <w:t>6</w:t>
      </w:r>
      <w:r w:rsidRPr="00D6282D">
        <w:t>,</w:t>
      </w:r>
      <w:r w:rsidR="006D66EF">
        <w:t>7</w:t>
      </w:r>
      <w:r w:rsidRPr="00D6282D">
        <w:t xml:space="preserve"> %. </w:t>
      </w:r>
      <w:r w:rsidRPr="00D6282D">
        <w:rPr>
          <w:b/>
          <w:bCs/>
        </w:rPr>
        <w:t>Celková hodnota</w:t>
      </w:r>
      <w:r w:rsidRPr="00D6282D">
        <w:t xml:space="preserve"> těchto zakázek meziročně vzrostla o </w:t>
      </w:r>
      <w:r w:rsidR="006D66EF">
        <w:t>4</w:t>
      </w:r>
      <w:r w:rsidRPr="00D6282D">
        <w:t>,</w:t>
      </w:r>
      <w:r w:rsidR="006D66EF">
        <w:t>3</w:t>
      </w:r>
      <w:r w:rsidRPr="00D6282D">
        <w:t xml:space="preserve"> % a činila </w:t>
      </w:r>
      <w:r w:rsidR="006D66EF">
        <w:t>62</w:t>
      </w:r>
      <w:r w:rsidRPr="00D6282D">
        <w:t>,</w:t>
      </w:r>
      <w:r w:rsidR="004C20D4">
        <w:t>2</w:t>
      </w:r>
      <w:r w:rsidRPr="00D6282D">
        <w:t xml:space="preserve"> mld. Kč, na pozemním stavitelství </w:t>
      </w:r>
      <w:r w:rsidR="006D66EF">
        <w:t>29</w:t>
      </w:r>
      <w:r w:rsidRPr="00D6282D">
        <w:t>,</w:t>
      </w:r>
      <w:r w:rsidR="006D66EF">
        <w:t>6</w:t>
      </w:r>
      <w:r w:rsidRPr="00D6282D">
        <w:t> mld. Kč (růst o </w:t>
      </w:r>
      <w:r w:rsidR="006D66EF">
        <w:t>4</w:t>
      </w:r>
      <w:r w:rsidRPr="00D6282D">
        <w:t>,</w:t>
      </w:r>
      <w:r w:rsidR="006D66EF">
        <w:t>0</w:t>
      </w:r>
      <w:r w:rsidRPr="00D6282D">
        <w:t xml:space="preserve"> %) a na inženýrském stavitelství </w:t>
      </w:r>
      <w:r w:rsidR="006D66EF">
        <w:t>32</w:t>
      </w:r>
      <w:r w:rsidRPr="00D6282D">
        <w:t>,</w:t>
      </w:r>
      <w:r w:rsidR="006D66EF">
        <w:t>6</w:t>
      </w:r>
      <w:r w:rsidRPr="00D6282D">
        <w:t> mld. Kč (růst o </w:t>
      </w:r>
      <w:r w:rsidR="006D66EF">
        <w:t>4</w:t>
      </w:r>
      <w:r w:rsidRPr="00D6282D">
        <w:t>,</w:t>
      </w:r>
      <w:r w:rsidR="006D66EF">
        <w:t>5</w:t>
      </w:r>
      <w:r w:rsidRPr="00D6282D">
        <w:t xml:space="preserve"> %). Průměrná hodnota nově uzavřené stavební zakázky činila </w:t>
      </w:r>
      <w:r w:rsidR="00F51163">
        <w:t>3</w:t>
      </w:r>
      <w:r w:rsidRPr="00D6282D">
        <w:t>,</w:t>
      </w:r>
      <w:r w:rsidR="00F51163">
        <w:t>8</w:t>
      </w:r>
      <w:r w:rsidRPr="00D6282D">
        <w:t> mil. Kč a byla meziročně o </w:t>
      </w:r>
      <w:r w:rsidR="00F51163">
        <w:t>11</w:t>
      </w:r>
      <w:r w:rsidRPr="00D6282D">
        <w:t>,</w:t>
      </w:r>
      <w:r w:rsidR="00F51163">
        <w:t>7</w:t>
      </w:r>
      <w:r w:rsidRPr="00D6282D">
        <w:t> % vyšší.</w:t>
      </w:r>
    </w:p>
    <w:p w:rsidR="00D640CB" w:rsidRPr="00F41C42" w:rsidRDefault="00D640CB" w:rsidP="00D640CB">
      <w:pPr>
        <w:spacing w:before="200"/>
      </w:pPr>
      <w:r w:rsidRPr="00F41C42">
        <w:rPr>
          <w:rFonts w:cs="Arial"/>
          <w:bCs/>
          <w:szCs w:val="20"/>
        </w:rPr>
        <w:t xml:space="preserve">Stavební úřady </w:t>
      </w:r>
      <w:r w:rsidRPr="00F41C42">
        <w:t xml:space="preserve">ve 4. čtvrtletí 2019 </w:t>
      </w:r>
      <w:r w:rsidRPr="00F41C42">
        <w:rPr>
          <w:rFonts w:cs="Arial"/>
          <w:bCs/>
          <w:szCs w:val="20"/>
        </w:rPr>
        <w:t xml:space="preserve">vydaly </w:t>
      </w:r>
      <w:r w:rsidR="00513C64">
        <w:t>21</w:t>
      </w:r>
      <w:r w:rsidRPr="00F41C42">
        <w:t> </w:t>
      </w:r>
      <w:r w:rsidR="00513C64">
        <w:t>834</w:t>
      </w:r>
      <w:r w:rsidRPr="00F41C42">
        <w:rPr>
          <w:rFonts w:cs="Arial"/>
          <w:b/>
          <w:bCs/>
          <w:szCs w:val="20"/>
        </w:rPr>
        <w:t xml:space="preserve"> stavebních povolení, </w:t>
      </w:r>
      <w:r w:rsidRPr="00F41C42">
        <w:rPr>
          <w:rFonts w:cs="Arial"/>
          <w:szCs w:val="20"/>
        </w:rPr>
        <w:t>meziročně o </w:t>
      </w:r>
      <w:r w:rsidR="00513C64">
        <w:rPr>
          <w:rFonts w:cs="Arial"/>
          <w:szCs w:val="20"/>
        </w:rPr>
        <w:t>5</w:t>
      </w:r>
      <w:r w:rsidRPr="00F41C42">
        <w:rPr>
          <w:rFonts w:cs="Arial"/>
          <w:szCs w:val="20"/>
        </w:rPr>
        <w:t>,</w:t>
      </w:r>
      <w:r w:rsidR="00513C64">
        <w:rPr>
          <w:rFonts w:cs="Arial"/>
          <w:szCs w:val="20"/>
        </w:rPr>
        <w:t>6</w:t>
      </w:r>
      <w:r w:rsidRPr="00F41C42">
        <w:rPr>
          <w:rFonts w:cs="Arial"/>
          <w:szCs w:val="20"/>
        </w:rPr>
        <w:t xml:space="preserve"> % více. </w:t>
      </w:r>
      <w:r w:rsidRPr="00F41C42">
        <w:rPr>
          <w:b/>
        </w:rPr>
        <w:t xml:space="preserve">Orientační hodnota </w:t>
      </w:r>
      <w:r w:rsidRPr="00F41C42">
        <w:rPr>
          <w:bCs/>
        </w:rPr>
        <w:t>těchto staveb</w:t>
      </w:r>
      <w:r w:rsidRPr="00F41C42">
        <w:t xml:space="preserve"> činila </w:t>
      </w:r>
      <w:r w:rsidR="00513C64">
        <w:t>115</w:t>
      </w:r>
      <w:r w:rsidRPr="00F41C42">
        <w:t>,</w:t>
      </w:r>
      <w:r w:rsidR="00513C64">
        <w:t>7</w:t>
      </w:r>
      <w:r w:rsidRPr="00F41C42">
        <w:t xml:space="preserve"> mld. Kč a ve srovnání se stejným obdobím roku 2018 </w:t>
      </w:r>
      <w:r w:rsidRPr="00F41C42">
        <w:rPr>
          <w:rFonts w:cs="Arial"/>
          <w:szCs w:val="20"/>
        </w:rPr>
        <w:t>vzrostla</w:t>
      </w:r>
      <w:r w:rsidRPr="00F41C42">
        <w:t xml:space="preserve"> o </w:t>
      </w:r>
      <w:r w:rsidR="00513C64">
        <w:t>15</w:t>
      </w:r>
      <w:r w:rsidRPr="00F41C42">
        <w:t>,</w:t>
      </w:r>
      <w:r w:rsidR="00513C64">
        <w:t>8</w:t>
      </w:r>
      <w:r w:rsidRPr="00F41C42">
        <w:t> %.</w:t>
      </w:r>
    </w:p>
    <w:p w:rsidR="00D640CB" w:rsidRPr="00F41C42" w:rsidRDefault="00D640CB" w:rsidP="00D640CB">
      <w:pPr>
        <w:spacing w:before="200"/>
      </w:pPr>
      <w:r w:rsidRPr="00F41C42">
        <w:rPr>
          <w:b/>
        </w:rPr>
        <w:t>Podlahová plocha</w:t>
      </w:r>
      <w:r w:rsidRPr="00F41C42">
        <w:t xml:space="preserve"> nových budov povolených ve 4. čtvrtletí</w:t>
      </w:r>
      <w:r w:rsidRPr="00F41C42">
        <w:rPr>
          <w:i/>
          <w:iCs/>
        </w:rPr>
        <w:t xml:space="preserve"> </w:t>
      </w:r>
      <w:r w:rsidRPr="00F41C42">
        <w:t xml:space="preserve">2019 činila </w:t>
      </w:r>
      <w:r w:rsidR="00783749">
        <w:t>1</w:t>
      </w:r>
      <w:r w:rsidRPr="00F41C42">
        <w:t> </w:t>
      </w:r>
      <w:r w:rsidR="00783749">
        <w:t>853</w:t>
      </w:r>
      <w:r w:rsidRPr="00F41C42">
        <w:rPr>
          <w:iCs/>
        </w:rPr>
        <w:t> </w:t>
      </w:r>
      <w:r w:rsidRPr="00F41C42">
        <w:t>tis. m</w:t>
      </w:r>
      <w:r w:rsidRPr="00F41C42">
        <w:rPr>
          <w:vertAlign w:val="superscript"/>
        </w:rPr>
        <w:t>2</w:t>
      </w:r>
      <w:r w:rsidRPr="00F41C42">
        <w:t xml:space="preserve">, což v meziročním srovnání znamenalo </w:t>
      </w:r>
      <w:r w:rsidR="00783749">
        <w:t>pokles</w:t>
      </w:r>
      <w:r w:rsidRPr="00F41C42">
        <w:t xml:space="preserve"> o </w:t>
      </w:r>
      <w:r w:rsidR="00783749">
        <w:t>1</w:t>
      </w:r>
      <w:r w:rsidRPr="00F41C42">
        <w:t>,</w:t>
      </w:r>
      <w:r w:rsidR="00783749">
        <w:t>1</w:t>
      </w:r>
      <w:r w:rsidRPr="00F41C42">
        <w:t xml:space="preserve"> %. Podlahová plocha povolených bytových budov </w:t>
      </w:r>
      <w:r w:rsidRPr="00F41C42">
        <w:rPr>
          <w:rFonts w:cs="Arial"/>
          <w:szCs w:val="20"/>
        </w:rPr>
        <w:t>vzrostla</w:t>
      </w:r>
      <w:r w:rsidRPr="00F41C42">
        <w:t xml:space="preserve"> o </w:t>
      </w:r>
      <w:r w:rsidR="0082301C">
        <w:t>19</w:t>
      </w:r>
      <w:r w:rsidRPr="00F41C42">
        <w:t>,</w:t>
      </w:r>
      <w:r w:rsidR="0082301C">
        <w:t>3</w:t>
      </w:r>
      <w:r w:rsidRPr="00F41C42">
        <w:t xml:space="preserve"> %, nebytových budov </w:t>
      </w:r>
      <w:r w:rsidR="0082301C">
        <w:rPr>
          <w:rFonts w:cs="Arial"/>
          <w:szCs w:val="20"/>
        </w:rPr>
        <w:t>klesla</w:t>
      </w:r>
      <w:r w:rsidRPr="00F41C42">
        <w:t xml:space="preserve"> o </w:t>
      </w:r>
      <w:r w:rsidR="0082301C">
        <w:t>16</w:t>
      </w:r>
      <w:r w:rsidRPr="00F41C42">
        <w:t>,</w:t>
      </w:r>
      <w:r w:rsidR="0082301C">
        <w:t>9</w:t>
      </w:r>
      <w:r w:rsidRPr="00F41C42">
        <w:t> %.</w:t>
      </w:r>
    </w:p>
    <w:p w:rsidR="00D640CB" w:rsidRPr="0098139A" w:rsidRDefault="00D640CB" w:rsidP="00D640CB">
      <w:pPr>
        <w:spacing w:before="200"/>
        <w:rPr>
          <w:highlight w:val="yellow"/>
        </w:rPr>
      </w:pPr>
      <w:r w:rsidRPr="00F41C42">
        <w:rPr>
          <w:b/>
        </w:rPr>
        <w:t>Počet zahájených bytů</w:t>
      </w:r>
      <w:r w:rsidRPr="00F41C42">
        <w:t xml:space="preserve"> ve 4. čtvrtletí 2019 se meziročně </w:t>
      </w:r>
      <w:r w:rsidRPr="00F41C42">
        <w:rPr>
          <w:rFonts w:cs="Arial"/>
          <w:szCs w:val="20"/>
        </w:rPr>
        <w:t>se zvýšil</w:t>
      </w:r>
      <w:r w:rsidRPr="00F41C42">
        <w:t xml:space="preserve"> o </w:t>
      </w:r>
      <w:r w:rsidR="004F35D9">
        <w:t>13,9 % a činil 9 540</w:t>
      </w:r>
      <w:r w:rsidRPr="00F41C42">
        <w:t xml:space="preserve"> bytů. Počet zahájených bytů v rodinných domech </w:t>
      </w:r>
      <w:r w:rsidRPr="00F41C42">
        <w:rPr>
          <w:rFonts w:cs="Arial"/>
          <w:szCs w:val="20"/>
        </w:rPr>
        <w:t>vzrostl</w:t>
      </w:r>
      <w:r w:rsidRPr="00F41C42">
        <w:t xml:space="preserve"> o </w:t>
      </w:r>
      <w:r w:rsidR="004F35D9">
        <w:t xml:space="preserve">11,8 </w:t>
      </w:r>
      <w:r w:rsidRPr="00F41C42">
        <w:t xml:space="preserve">%, </w:t>
      </w:r>
      <w:r w:rsidRPr="00F41C42">
        <w:rPr>
          <w:rFonts w:cs="Arial"/>
          <w:szCs w:val="20"/>
        </w:rPr>
        <w:t xml:space="preserve">u bytů v bytových domech byl zaznamenán </w:t>
      </w:r>
      <w:r w:rsidR="004F35D9">
        <w:rPr>
          <w:rFonts w:cs="Arial"/>
          <w:szCs w:val="20"/>
        </w:rPr>
        <w:t>nárůst</w:t>
      </w:r>
      <w:r w:rsidRPr="00F41C42">
        <w:rPr>
          <w:rFonts w:cs="Arial"/>
          <w:szCs w:val="20"/>
        </w:rPr>
        <w:t xml:space="preserve"> o</w:t>
      </w:r>
      <w:r w:rsidR="004F35D9">
        <w:rPr>
          <w:rFonts w:cs="Arial"/>
          <w:szCs w:val="20"/>
        </w:rPr>
        <w:t xml:space="preserve"> 51,9</w:t>
      </w:r>
      <w:r w:rsidRPr="00F41C42">
        <w:rPr>
          <w:rFonts w:cs="Arial"/>
          <w:szCs w:val="20"/>
        </w:rPr>
        <w:t xml:space="preserve"> %</w:t>
      </w:r>
      <w:r w:rsidRPr="00F41C42">
        <w:t>.</w:t>
      </w:r>
    </w:p>
    <w:p w:rsidR="00D640CB" w:rsidRDefault="00D640CB" w:rsidP="00D640CB">
      <w:pPr>
        <w:spacing w:before="200"/>
      </w:pPr>
      <w:r w:rsidRPr="00F41C42">
        <w:rPr>
          <w:b/>
          <w:bCs/>
        </w:rPr>
        <w:t>Počet dokončených bytů</w:t>
      </w:r>
      <w:r w:rsidRPr="00F41C42">
        <w:t xml:space="preserve"> ve 4. čtvrtletí 2019 meziročně vzrostl o</w:t>
      </w:r>
      <w:r w:rsidR="00C217D4">
        <w:t xml:space="preserve"> 0,8</w:t>
      </w:r>
      <w:r w:rsidRPr="00F41C42">
        <w:t xml:space="preserve"> % a činil </w:t>
      </w:r>
      <w:r w:rsidR="00C217D4">
        <w:t>10 671</w:t>
      </w:r>
      <w:r w:rsidRPr="00F41C42">
        <w:t xml:space="preserve"> bytů. Počet dokončených bytů v rodinných domech </w:t>
      </w:r>
      <w:r w:rsidR="00C217D4">
        <w:t xml:space="preserve">se </w:t>
      </w:r>
      <w:r w:rsidR="00D4442C">
        <w:t>s</w:t>
      </w:r>
      <w:bookmarkStart w:id="0" w:name="_GoBack"/>
      <w:bookmarkEnd w:id="0"/>
      <w:r w:rsidR="00C217D4">
        <w:t>nížil</w:t>
      </w:r>
      <w:r w:rsidRPr="00F41C42">
        <w:t xml:space="preserve"> o</w:t>
      </w:r>
      <w:r w:rsidR="00C217D4">
        <w:t xml:space="preserve"> 5,3</w:t>
      </w:r>
      <w:r w:rsidRPr="00F41C42">
        <w:t xml:space="preserve"> %, v bytových domech </w:t>
      </w:r>
      <w:r w:rsidR="00C217D4">
        <w:t>došlo k nárůstu o 14,5</w:t>
      </w:r>
      <w:r w:rsidR="00C217D4" w:rsidRPr="00F41C42">
        <w:t xml:space="preserve"> </w:t>
      </w:r>
      <w:r w:rsidRPr="00F41C42">
        <w:t>%.</w:t>
      </w:r>
    </w:p>
    <w:p w:rsidR="00D640CB" w:rsidRPr="0045300C" w:rsidRDefault="00D640CB" w:rsidP="00D640CB">
      <w:pPr>
        <w:spacing w:before="200"/>
        <w:rPr>
          <w:rFonts w:cs="Arial"/>
          <w:b/>
          <w:bCs/>
          <w:szCs w:val="20"/>
        </w:rPr>
      </w:pPr>
      <w:r w:rsidRPr="0045300C">
        <w:rPr>
          <w:rFonts w:cs="Arial"/>
          <w:b/>
          <w:bCs/>
          <w:szCs w:val="20"/>
        </w:rPr>
        <w:t>Stavebnictví v roce 2019</w:t>
      </w:r>
    </w:p>
    <w:p w:rsidR="00734385" w:rsidRPr="009778B3" w:rsidRDefault="00D640CB" w:rsidP="00734385">
      <w:pPr>
        <w:spacing w:before="200"/>
        <w:rPr>
          <w:b/>
          <w:bCs/>
        </w:rPr>
      </w:pPr>
      <w:r w:rsidRPr="0045300C">
        <w:rPr>
          <w:rFonts w:cs="Arial"/>
          <w:b/>
          <w:szCs w:val="20"/>
        </w:rPr>
        <w:t xml:space="preserve">Stavební produkce </w:t>
      </w:r>
      <w:r w:rsidRPr="0045300C">
        <w:rPr>
          <w:rFonts w:cs="Arial"/>
          <w:szCs w:val="20"/>
        </w:rPr>
        <w:t>v roce 2019 reálně meziročně vzrostla o </w:t>
      </w:r>
      <w:r w:rsidR="001F18DF">
        <w:rPr>
          <w:rFonts w:cs="Arial"/>
          <w:szCs w:val="20"/>
        </w:rPr>
        <w:t>2</w:t>
      </w:r>
      <w:r w:rsidRPr="0045300C">
        <w:rPr>
          <w:rFonts w:cs="Arial"/>
          <w:szCs w:val="20"/>
        </w:rPr>
        <w:t>,</w:t>
      </w:r>
      <w:r w:rsidR="001F18DF">
        <w:rPr>
          <w:rFonts w:cs="Arial"/>
          <w:szCs w:val="20"/>
        </w:rPr>
        <w:t>3</w:t>
      </w:r>
      <w:r w:rsidRPr="0045300C">
        <w:rPr>
          <w:rFonts w:cs="Arial"/>
          <w:szCs w:val="20"/>
        </w:rPr>
        <w:t xml:space="preserve"> %. </w:t>
      </w:r>
      <w:r w:rsidRPr="00486DF5">
        <w:rPr>
          <w:rFonts w:cs="Arial"/>
          <w:szCs w:val="20"/>
        </w:rPr>
        <w:t xml:space="preserve">Produkce pozemního stavitelství </w:t>
      </w:r>
      <w:r w:rsidR="00A070C6">
        <w:rPr>
          <w:rFonts w:cs="Arial"/>
          <w:szCs w:val="20"/>
        </w:rPr>
        <w:t xml:space="preserve">se </w:t>
      </w:r>
      <w:r w:rsidRPr="00486DF5">
        <w:rPr>
          <w:rFonts w:cs="Arial"/>
          <w:szCs w:val="20"/>
        </w:rPr>
        <w:t xml:space="preserve">meziročně </w:t>
      </w:r>
      <w:r w:rsidR="00A070C6">
        <w:rPr>
          <w:rFonts w:cs="Arial"/>
          <w:szCs w:val="20"/>
        </w:rPr>
        <w:t>zvýšila</w:t>
      </w:r>
      <w:r w:rsidRPr="00486DF5">
        <w:rPr>
          <w:rFonts w:cs="Arial"/>
          <w:szCs w:val="20"/>
        </w:rPr>
        <w:t xml:space="preserve"> o </w:t>
      </w:r>
      <w:r w:rsidR="001F18DF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>,</w:t>
      </w:r>
      <w:r w:rsidR="001F18DF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> % (příspěvek +</w:t>
      </w:r>
      <w:r w:rsidR="001F18DF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>,</w:t>
      </w:r>
      <w:r w:rsidR="001F18DF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> p. b.) a inženýrské stavitelství zaznamenalo meziroční růst stavební produkce o </w:t>
      </w:r>
      <w:r w:rsidR="001F18DF">
        <w:rPr>
          <w:rFonts w:cs="Arial"/>
          <w:szCs w:val="20"/>
        </w:rPr>
        <w:t>3</w:t>
      </w:r>
      <w:r w:rsidRPr="00486DF5">
        <w:rPr>
          <w:rFonts w:cs="Arial"/>
          <w:szCs w:val="20"/>
        </w:rPr>
        <w:t>,</w:t>
      </w:r>
      <w:r w:rsidR="001F18DF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> % (příspěvek +</w:t>
      </w:r>
      <w:r w:rsidR="001F18DF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>,</w:t>
      </w:r>
      <w:r w:rsidR="001F18DF">
        <w:rPr>
          <w:rFonts w:cs="Arial"/>
          <w:szCs w:val="20"/>
        </w:rPr>
        <w:t>9</w:t>
      </w:r>
      <w:r w:rsidRPr="00486DF5">
        <w:rPr>
          <w:rFonts w:cs="Arial"/>
          <w:szCs w:val="20"/>
        </w:rPr>
        <w:t> p. b.).</w:t>
      </w:r>
      <w:r w:rsidR="00734385">
        <w:rPr>
          <w:rFonts w:cs="Arial"/>
          <w:szCs w:val="20"/>
        </w:rPr>
        <w:t xml:space="preserve"> </w:t>
      </w:r>
      <w:r w:rsidR="00734385" w:rsidRPr="009778B3">
        <w:rPr>
          <w:rFonts w:cs="Arial"/>
        </w:rPr>
        <w:t>Bez očištění byla produkce meziročně vyšší o </w:t>
      </w:r>
      <w:r w:rsidR="00734385">
        <w:rPr>
          <w:rFonts w:cs="Arial"/>
        </w:rPr>
        <w:t>2</w:t>
      </w:r>
      <w:r w:rsidR="00734385" w:rsidRPr="009778B3">
        <w:rPr>
          <w:rFonts w:cs="Arial"/>
        </w:rPr>
        <w:t>,</w:t>
      </w:r>
      <w:r w:rsidR="00734385">
        <w:rPr>
          <w:rFonts w:cs="Arial"/>
        </w:rPr>
        <w:t>4</w:t>
      </w:r>
      <w:r w:rsidR="00734385" w:rsidRPr="009778B3">
        <w:rPr>
          <w:rFonts w:cs="Arial"/>
        </w:rPr>
        <w:t xml:space="preserve"> % (</w:t>
      </w:r>
      <w:r w:rsidR="00734385">
        <w:rPr>
          <w:rFonts w:cs="Arial"/>
        </w:rPr>
        <w:t>rok</w:t>
      </w:r>
      <w:r w:rsidR="00734385" w:rsidRPr="009778B3">
        <w:rPr>
          <w:rFonts w:cs="Arial"/>
        </w:rPr>
        <w:t xml:space="preserve"> 2019 měl ve srovnání s</w:t>
      </w:r>
      <w:r w:rsidR="00734385">
        <w:rPr>
          <w:rFonts w:cs="Arial"/>
        </w:rPr>
        <w:t> předchozím rokem o jeden pracovní den více</w:t>
      </w:r>
      <w:r w:rsidR="00734385" w:rsidRPr="009778B3">
        <w:rPr>
          <w:rFonts w:cs="Arial"/>
        </w:rPr>
        <w:t>).</w:t>
      </w:r>
    </w:p>
    <w:p w:rsidR="00D640CB" w:rsidRPr="007B6B7E" w:rsidRDefault="00D640CB" w:rsidP="00D640CB">
      <w:pPr>
        <w:rPr>
          <w:rFonts w:cs="Arial"/>
          <w:szCs w:val="20"/>
          <w:highlight w:val="yellow"/>
        </w:rPr>
      </w:pPr>
    </w:p>
    <w:p w:rsidR="00D640CB" w:rsidRPr="00D91A34" w:rsidRDefault="00D640CB" w:rsidP="00D640CB">
      <w:pPr>
        <w:rPr>
          <w:rFonts w:cs="Arial"/>
          <w:color w:val="FF0000"/>
          <w:szCs w:val="20"/>
        </w:rPr>
      </w:pPr>
      <w:r w:rsidRPr="00D91A34">
        <w:rPr>
          <w:rFonts w:cs="Arial"/>
          <w:b/>
          <w:bCs/>
          <w:szCs w:val="20"/>
        </w:rPr>
        <w:t>Průměrný evidenční počet zaměstnanců</w:t>
      </w:r>
      <w:r w:rsidR="00DF734F">
        <w:rPr>
          <w:rFonts w:cs="Arial"/>
          <w:b/>
          <w:bCs/>
          <w:szCs w:val="20"/>
        </w:rPr>
        <w:t xml:space="preserve"> </w:t>
      </w:r>
      <w:r w:rsidRPr="00D91A34">
        <w:rPr>
          <w:rFonts w:cs="Arial"/>
          <w:szCs w:val="20"/>
        </w:rPr>
        <w:t>ve stavebnictví se v roce 2019 meziročně</w:t>
      </w:r>
      <w:r w:rsidRPr="00D91A34">
        <w:rPr>
          <w:rFonts w:cs="Arial"/>
          <w:bCs/>
          <w:szCs w:val="20"/>
        </w:rPr>
        <w:t xml:space="preserve"> </w:t>
      </w:r>
      <w:r w:rsidR="00DF734F">
        <w:rPr>
          <w:rFonts w:cs="Arial"/>
          <w:bCs/>
          <w:szCs w:val="20"/>
        </w:rPr>
        <w:t>zvýšil</w:t>
      </w:r>
      <w:r w:rsidRPr="00D91A34">
        <w:rPr>
          <w:rFonts w:cs="Arial"/>
          <w:szCs w:val="20"/>
        </w:rPr>
        <w:t xml:space="preserve"> o </w:t>
      </w:r>
      <w:r w:rsidR="00DF734F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>,</w:t>
      </w:r>
      <w:r w:rsidR="00DF734F">
        <w:rPr>
          <w:rFonts w:cs="Arial"/>
          <w:szCs w:val="20"/>
        </w:rPr>
        <w:t>0</w:t>
      </w:r>
      <w:r w:rsidRPr="00D91A34">
        <w:rPr>
          <w:rFonts w:cs="Arial"/>
          <w:szCs w:val="20"/>
        </w:rPr>
        <w:t xml:space="preserve"> %. </w:t>
      </w:r>
      <w:r w:rsidRPr="00D91A34">
        <w:rPr>
          <w:rFonts w:cs="Arial"/>
          <w:b/>
          <w:szCs w:val="20"/>
        </w:rPr>
        <w:t xml:space="preserve">Průměrná </w:t>
      </w:r>
      <w:r w:rsidR="00B23525">
        <w:rPr>
          <w:rFonts w:cs="Arial"/>
          <w:b/>
          <w:szCs w:val="20"/>
        </w:rPr>
        <w:t xml:space="preserve">hrubá měsíční </w:t>
      </w:r>
      <w:r w:rsidRPr="00D91A34">
        <w:rPr>
          <w:rFonts w:cs="Arial"/>
          <w:b/>
          <w:szCs w:val="20"/>
        </w:rPr>
        <w:t>nominální mzda</w:t>
      </w:r>
      <w:r w:rsidRPr="00D91A34">
        <w:rPr>
          <w:rFonts w:cs="Arial"/>
          <w:szCs w:val="20"/>
        </w:rPr>
        <w:t xml:space="preserve"> těchto zaměstnanců </w:t>
      </w:r>
      <w:r w:rsidR="006B2481">
        <w:rPr>
          <w:rFonts w:cs="Arial"/>
          <w:szCs w:val="20"/>
        </w:rPr>
        <w:t xml:space="preserve">v roce 2019 </w:t>
      </w:r>
      <w:r w:rsidRPr="00D91A34">
        <w:rPr>
          <w:rFonts w:cs="Arial"/>
          <w:szCs w:val="20"/>
        </w:rPr>
        <w:t>meziročně vzrostla o </w:t>
      </w:r>
      <w:r w:rsidR="00B23525">
        <w:rPr>
          <w:rFonts w:cs="Arial"/>
          <w:szCs w:val="20"/>
        </w:rPr>
        <w:t>6</w:t>
      </w:r>
      <w:r w:rsidRPr="00D91A34">
        <w:rPr>
          <w:rFonts w:cs="Arial"/>
          <w:szCs w:val="20"/>
        </w:rPr>
        <w:t>,</w:t>
      </w:r>
      <w:r w:rsidR="00B23525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> %.</w:t>
      </w:r>
    </w:p>
    <w:p w:rsidR="00D628B5" w:rsidRDefault="00D640CB" w:rsidP="00D640CB">
      <w:pPr>
        <w:spacing w:before="200"/>
        <w:rPr>
          <w:rFonts w:cs="Arial"/>
          <w:szCs w:val="20"/>
        </w:rPr>
      </w:pPr>
      <w:r w:rsidRPr="00486DF5">
        <w:rPr>
          <w:rFonts w:cs="Arial"/>
          <w:szCs w:val="20"/>
        </w:rPr>
        <w:lastRenderedPageBreak/>
        <w:t xml:space="preserve">Stavební podniky s 50 a více zaměstnanci v roce 2019 v tuzemsku uzavřely </w:t>
      </w:r>
      <w:r w:rsidR="00AC2E5B">
        <w:rPr>
          <w:rFonts w:cs="Arial"/>
          <w:szCs w:val="20"/>
        </w:rPr>
        <w:t>60</w:t>
      </w:r>
      <w:r w:rsidRPr="00486DF5">
        <w:rPr>
          <w:rFonts w:cs="Arial"/>
          <w:szCs w:val="20"/>
        </w:rPr>
        <w:t> </w:t>
      </w:r>
      <w:r w:rsidR="00AC2E5B">
        <w:rPr>
          <w:rFonts w:cs="Arial"/>
          <w:szCs w:val="20"/>
        </w:rPr>
        <w:t>763</w:t>
      </w:r>
      <w:r w:rsidRPr="00486DF5">
        <w:rPr>
          <w:rFonts w:cs="Arial"/>
          <w:b/>
          <w:szCs w:val="20"/>
        </w:rPr>
        <w:t xml:space="preserve"> stavebních zakázek </w:t>
      </w:r>
      <w:r w:rsidRPr="00486DF5">
        <w:rPr>
          <w:rFonts w:cs="Arial"/>
          <w:szCs w:val="20"/>
        </w:rPr>
        <w:t>a</w:t>
      </w:r>
      <w:r w:rsidRPr="00486DF5">
        <w:rPr>
          <w:rFonts w:cs="Arial"/>
          <w:bCs/>
          <w:szCs w:val="20"/>
        </w:rPr>
        <w:t xml:space="preserve"> </w:t>
      </w:r>
      <w:r w:rsidRPr="00486DF5">
        <w:rPr>
          <w:rFonts w:cs="Arial"/>
          <w:szCs w:val="20"/>
        </w:rPr>
        <w:t xml:space="preserve">meziročně tento počet </w:t>
      </w:r>
      <w:r w:rsidR="00AC2E5B">
        <w:rPr>
          <w:rFonts w:cs="Arial"/>
          <w:szCs w:val="20"/>
        </w:rPr>
        <w:t>klesl</w:t>
      </w:r>
      <w:r w:rsidRPr="00486DF5">
        <w:rPr>
          <w:rFonts w:cs="Arial"/>
          <w:szCs w:val="20"/>
        </w:rPr>
        <w:t xml:space="preserve"> o </w:t>
      </w:r>
      <w:r w:rsidR="00AC2E5B">
        <w:rPr>
          <w:rFonts w:cs="Arial"/>
          <w:szCs w:val="20"/>
        </w:rPr>
        <w:t>5</w:t>
      </w:r>
      <w:r w:rsidRPr="00486DF5">
        <w:rPr>
          <w:rFonts w:cs="Arial"/>
          <w:szCs w:val="20"/>
        </w:rPr>
        <w:t>,</w:t>
      </w:r>
      <w:r w:rsidR="00AC2E5B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 xml:space="preserve"> %. </w:t>
      </w:r>
      <w:r w:rsidRPr="00486DF5">
        <w:rPr>
          <w:rFonts w:cs="Arial"/>
          <w:b/>
          <w:bCs/>
          <w:szCs w:val="20"/>
        </w:rPr>
        <w:t>Celková hodnota</w:t>
      </w:r>
      <w:r w:rsidRPr="00486DF5">
        <w:rPr>
          <w:rFonts w:cs="Arial"/>
          <w:szCs w:val="20"/>
        </w:rPr>
        <w:t xml:space="preserve"> těchto zakázek meziročně vzrostla o </w:t>
      </w:r>
      <w:r w:rsidR="00EF7715">
        <w:rPr>
          <w:rFonts w:cs="Arial"/>
          <w:szCs w:val="20"/>
        </w:rPr>
        <w:t>5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3</w:t>
      </w:r>
      <w:r w:rsidRPr="00486DF5">
        <w:rPr>
          <w:rFonts w:cs="Arial"/>
          <w:szCs w:val="20"/>
        </w:rPr>
        <w:t xml:space="preserve"> % a činila </w:t>
      </w:r>
      <w:r w:rsidR="00EF7715">
        <w:rPr>
          <w:rFonts w:cs="Arial"/>
          <w:szCs w:val="20"/>
        </w:rPr>
        <w:t>248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5</w:t>
      </w:r>
      <w:r w:rsidRPr="00486DF5">
        <w:rPr>
          <w:rFonts w:cs="Arial"/>
          <w:szCs w:val="20"/>
        </w:rPr>
        <w:t xml:space="preserve"> mld. Kč, v pozemním stavitelství </w:t>
      </w:r>
      <w:r w:rsidR="00EF7715">
        <w:rPr>
          <w:rFonts w:cs="Arial"/>
          <w:szCs w:val="20"/>
        </w:rPr>
        <w:t>108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7</w:t>
      </w:r>
      <w:r w:rsidRPr="00486DF5">
        <w:rPr>
          <w:rFonts w:cs="Arial"/>
          <w:szCs w:val="20"/>
        </w:rPr>
        <w:t> mld. Kč (</w:t>
      </w:r>
      <w:r w:rsidR="00EF7715">
        <w:rPr>
          <w:rFonts w:cs="Arial"/>
          <w:szCs w:val="20"/>
        </w:rPr>
        <w:t>pokles</w:t>
      </w:r>
      <w:r w:rsidRPr="00486DF5">
        <w:rPr>
          <w:rFonts w:cs="Arial"/>
          <w:szCs w:val="20"/>
        </w:rPr>
        <w:t xml:space="preserve"> o </w:t>
      </w:r>
      <w:r w:rsidR="00EF7715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6</w:t>
      </w:r>
      <w:r w:rsidRPr="00486DF5">
        <w:rPr>
          <w:rFonts w:cs="Arial"/>
          <w:szCs w:val="20"/>
        </w:rPr>
        <w:t xml:space="preserve"> %) a v inženýrském stavitelství </w:t>
      </w:r>
      <w:r w:rsidR="00EF7715">
        <w:rPr>
          <w:rFonts w:cs="Arial"/>
          <w:szCs w:val="20"/>
        </w:rPr>
        <w:t>139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8</w:t>
      </w:r>
      <w:r w:rsidRPr="00486DF5">
        <w:rPr>
          <w:rFonts w:cs="Arial"/>
          <w:szCs w:val="20"/>
        </w:rPr>
        <w:t> mld. Kč (růst o </w:t>
      </w:r>
      <w:r w:rsidR="00EF7715">
        <w:rPr>
          <w:rFonts w:cs="Arial"/>
          <w:szCs w:val="20"/>
        </w:rPr>
        <w:t>10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5</w:t>
      </w:r>
      <w:r w:rsidRPr="00486DF5">
        <w:rPr>
          <w:rFonts w:cs="Arial"/>
          <w:szCs w:val="20"/>
        </w:rPr>
        <w:t xml:space="preserve"> %). Průměrná hodnota nově uzavřené stavební zakázky činila </w:t>
      </w:r>
      <w:r w:rsidR="00057CD9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>,</w:t>
      </w:r>
      <w:r w:rsidR="00057CD9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> mil. Kč a byla meziročně o </w:t>
      </w:r>
      <w:r w:rsidR="00057CD9">
        <w:rPr>
          <w:rFonts w:cs="Arial"/>
          <w:szCs w:val="20"/>
        </w:rPr>
        <w:t>11</w:t>
      </w:r>
      <w:r w:rsidRPr="00486DF5">
        <w:rPr>
          <w:rFonts w:cs="Arial"/>
          <w:szCs w:val="20"/>
        </w:rPr>
        <w:t>,</w:t>
      </w:r>
      <w:r w:rsidR="00057CD9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 xml:space="preserve"> % vyšší. </w:t>
      </w:r>
    </w:p>
    <w:p w:rsidR="00D640CB" w:rsidRPr="00486DF5" w:rsidRDefault="00D640CB" w:rsidP="00D640CB">
      <w:pPr>
        <w:spacing w:before="200"/>
        <w:rPr>
          <w:rFonts w:cs="Arial"/>
          <w:szCs w:val="20"/>
        </w:rPr>
      </w:pPr>
      <w:r w:rsidRPr="00486DF5">
        <w:rPr>
          <w:rFonts w:cs="Arial"/>
          <w:szCs w:val="20"/>
        </w:rPr>
        <w:t xml:space="preserve">Ke konci roku 2019 měly stavební podniky s 50 a více zaměstnanci celkem smluvně uzavřeno </w:t>
      </w:r>
      <w:r w:rsidR="00EF7715">
        <w:rPr>
          <w:rFonts w:cs="Arial"/>
          <w:iCs/>
          <w:szCs w:val="20"/>
        </w:rPr>
        <w:t>19</w:t>
      </w:r>
      <w:r w:rsidRPr="00486DF5">
        <w:rPr>
          <w:rFonts w:cs="Arial"/>
          <w:iCs/>
          <w:szCs w:val="20"/>
        </w:rPr>
        <w:t>,</w:t>
      </w:r>
      <w:r w:rsidR="00EF7715">
        <w:rPr>
          <w:rFonts w:cs="Arial"/>
          <w:iCs/>
          <w:szCs w:val="20"/>
        </w:rPr>
        <w:t>4</w:t>
      </w:r>
      <w:r w:rsidRPr="00486DF5">
        <w:rPr>
          <w:rFonts w:cs="Arial"/>
          <w:iCs/>
          <w:szCs w:val="20"/>
        </w:rPr>
        <w:t> </w:t>
      </w:r>
      <w:r w:rsidRPr="00486DF5">
        <w:rPr>
          <w:rFonts w:cs="Arial"/>
          <w:szCs w:val="20"/>
        </w:rPr>
        <w:t>tisíc zakázek (růst</w:t>
      </w:r>
      <w:r w:rsidRPr="00486DF5">
        <w:t xml:space="preserve"> </w:t>
      </w:r>
      <w:r w:rsidRPr="00486DF5">
        <w:rPr>
          <w:rFonts w:cs="Arial"/>
          <w:szCs w:val="20"/>
        </w:rPr>
        <w:t>o </w:t>
      </w:r>
      <w:r w:rsidR="00EF7715">
        <w:rPr>
          <w:rFonts w:cs="Arial"/>
          <w:szCs w:val="20"/>
        </w:rPr>
        <w:t>5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 xml:space="preserve"> %) a tyto zakázky představovaly zásobu dosud neprovedených stavebních prací v celkové hodnotě </w:t>
      </w:r>
      <w:r w:rsidR="00EF7715">
        <w:rPr>
          <w:rFonts w:cs="Arial"/>
          <w:szCs w:val="20"/>
        </w:rPr>
        <w:t>168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> mld. Kč (růst o </w:t>
      </w:r>
      <w:r w:rsidR="00EF7715">
        <w:rPr>
          <w:rFonts w:cs="Arial"/>
          <w:szCs w:val="20"/>
        </w:rPr>
        <w:t>9</w:t>
      </w:r>
      <w:r w:rsidRPr="00486DF5">
        <w:rPr>
          <w:rFonts w:cs="Arial"/>
          <w:szCs w:val="20"/>
        </w:rPr>
        <w:t>,</w:t>
      </w:r>
      <w:r w:rsidR="00EF7715">
        <w:rPr>
          <w:rFonts w:cs="Arial"/>
          <w:szCs w:val="20"/>
        </w:rPr>
        <w:t>8</w:t>
      </w:r>
      <w:r w:rsidRPr="00486DF5">
        <w:rPr>
          <w:rFonts w:cs="Arial"/>
          <w:szCs w:val="20"/>
        </w:rPr>
        <w:t> %).</w:t>
      </w:r>
    </w:p>
    <w:p w:rsidR="00D640CB" w:rsidRPr="007B6B7E" w:rsidRDefault="00D640CB" w:rsidP="00D640CB">
      <w:pPr>
        <w:rPr>
          <w:rFonts w:cs="Arial"/>
          <w:szCs w:val="20"/>
          <w:highlight w:val="yellow"/>
        </w:rPr>
      </w:pPr>
    </w:p>
    <w:p w:rsidR="00D640CB" w:rsidRPr="00D91A34" w:rsidRDefault="00D640CB" w:rsidP="00D640CB">
      <w:pPr>
        <w:rPr>
          <w:rFonts w:cs="Arial"/>
          <w:szCs w:val="20"/>
        </w:rPr>
      </w:pPr>
      <w:r w:rsidRPr="00D91A34">
        <w:rPr>
          <w:rFonts w:cs="Arial"/>
          <w:b/>
          <w:szCs w:val="20"/>
        </w:rPr>
        <w:t>Počet vydaných stavebních povolení</w:t>
      </w:r>
      <w:r w:rsidRPr="00D91A34">
        <w:rPr>
          <w:rFonts w:cs="Arial"/>
          <w:szCs w:val="20"/>
        </w:rPr>
        <w:t xml:space="preserve"> v roce 2019 meziročně </w:t>
      </w:r>
      <w:r w:rsidR="0055124F">
        <w:rPr>
          <w:rFonts w:cs="Arial"/>
          <w:szCs w:val="20"/>
        </w:rPr>
        <w:t>vzrostl</w:t>
      </w:r>
      <w:r w:rsidRPr="00D91A34">
        <w:rPr>
          <w:rFonts w:cs="Arial"/>
          <w:szCs w:val="20"/>
        </w:rPr>
        <w:t xml:space="preserve"> o </w:t>
      </w:r>
      <w:r w:rsidR="0055124F">
        <w:rPr>
          <w:rFonts w:cs="Arial"/>
          <w:szCs w:val="20"/>
        </w:rPr>
        <w:t>6</w:t>
      </w:r>
      <w:r w:rsidRPr="00D91A34">
        <w:rPr>
          <w:rFonts w:cs="Arial"/>
          <w:szCs w:val="20"/>
        </w:rPr>
        <w:t>,</w:t>
      </w:r>
      <w:r w:rsidR="0055124F">
        <w:rPr>
          <w:rFonts w:cs="Arial"/>
          <w:szCs w:val="20"/>
        </w:rPr>
        <w:t>3</w:t>
      </w:r>
      <w:r w:rsidRPr="00D91A34">
        <w:rPr>
          <w:rFonts w:cs="Arial"/>
          <w:szCs w:val="20"/>
        </w:rPr>
        <w:t xml:space="preserve"> %, stavební úřady jich vydaly </w:t>
      </w:r>
      <w:r w:rsidR="0055124F">
        <w:rPr>
          <w:rFonts w:cs="Arial"/>
          <w:szCs w:val="20"/>
        </w:rPr>
        <w:t>86</w:t>
      </w:r>
      <w:r w:rsidRPr="00D91A34">
        <w:rPr>
          <w:rFonts w:cs="Arial"/>
          <w:szCs w:val="20"/>
        </w:rPr>
        <w:t> </w:t>
      </w:r>
      <w:r w:rsidR="0055124F">
        <w:rPr>
          <w:rFonts w:cs="Arial"/>
          <w:szCs w:val="20"/>
        </w:rPr>
        <w:t>283</w:t>
      </w:r>
      <w:r w:rsidRPr="00D91A34">
        <w:rPr>
          <w:rFonts w:cs="Arial"/>
          <w:szCs w:val="20"/>
        </w:rPr>
        <w:t xml:space="preserve">. </w:t>
      </w:r>
      <w:r w:rsidRPr="00D91A34">
        <w:rPr>
          <w:rFonts w:cs="Arial"/>
          <w:b/>
          <w:szCs w:val="20"/>
        </w:rPr>
        <w:t xml:space="preserve">Orientační hodnota </w:t>
      </w:r>
      <w:r w:rsidRPr="00D91A34">
        <w:rPr>
          <w:rFonts w:cs="Arial"/>
          <w:bCs/>
          <w:szCs w:val="20"/>
        </w:rPr>
        <w:t>těchto staveb</w:t>
      </w:r>
      <w:r w:rsidRPr="00D91A34">
        <w:rPr>
          <w:rFonts w:cs="Arial"/>
          <w:szCs w:val="20"/>
        </w:rPr>
        <w:t xml:space="preserve"> činila </w:t>
      </w:r>
      <w:r w:rsidR="0055124F">
        <w:rPr>
          <w:rFonts w:cs="Arial"/>
          <w:szCs w:val="20"/>
        </w:rPr>
        <w:t>414</w:t>
      </w:r>
      <w:r w:rsidRPr="00D91A34">
        <w:rPr>
          <w:rFonts w:cs="Arial"/>
          <w:szCs w:val="20"/>
        </w:rPr>
        <w:t>,</w:t>
      </w:r>
      <w:r w:rsidR="0055124F">
        <w:rPr>
          <w:rFonts w:cs="Arial"/>
          <w:szCs w:val="20"/>
        </w:rPr>
        <w:t>3</w:t>
      </w:r>
      <w:r w:rsidRPr="00D91A34">
        <w:rPr>
          <w:rFonts w:cs="Arial"/>
          <w:szCs w:val="20"/>
        </w:rPr>
        <w:t> mld. Kč a v porovnání s rokem 2018 vzrostla o </w:t>
      </w:r>
      <w:r w:rsidR="0035069F">
        <w:rPr>
          <w:rFonts w:cs="Arial"/>
          <w:szCs w:val="20"/>
        </w:rPr>
        <w:t>15</w:t>
      </w:r>
      <w:r w:rsidRPr="00D91A34">
        <w:rPr>
          <w:rFonts w:cs="Arial"/>
          <w:szCs w:val="20"/>
        </w:rPr>
        <w:t>,</w:t>
      </w:r>
      <w:r w:rsidR="0035069F">
        <w:rPr>
          <w:rFonts w:cs="Arial"/>
          <w:szCs w:val="20"/>
        </w:rPr>
        <w:t>7</w:t>
      </w:r>
      <w:r w:rsidRPr="00D91A34">
        <w:rPr>
          <w:rFonts w:cs="Arial"/>
          <w:szCs w:val="20"/>
        </w:rPr>
        <w:t> %.</w:t>
      </w:r>
    </w:p>
    <w:p w:rsidR="00D640CB" w:rsidRPr="00D91A34" w:rsidRDefault="00D640CB" w:rsidP="00D640CB">
      <w:pPr>
        <w:rPr>
          <w:rFonts w:cs="Arial"/>
          <w:szCs w:val="20"/>
        </w:rPr>
      </w:pPr>
    </w:p>
    <w:p w:rsidR="00D640CB" w:rsidRPr="00D91A34" w:rsidRDefault="00D640CB" w:rsidP="00D640CB">
      <w:pPr>
        <w:rPr>
          <w:rFonts w:cs="Arial"/>
          <w:szCs w:val="20"/>
        </w:rPr>
      </w:pPr>
      <w:r w:rsidRPr="00D91A34">
        <w:rPr>
          <w:rFonts w:cs="Arial"/>
          <w:b/>
          <w:szCs w:val="20"/>
        </w:rPr>
        <w:t>Podlahová plocha</w:t>
      </w:r>
      <w:r w:rsidRPr="00D91A34">
        <w:rPr>
          <w:rFonts w:cs="Arial"/>
          <w:szCs w:val="20"/>
        </w:rPr>
        <w:t xml:space="preserve"> nových budov povolených v roce</w:t>
      </w:r>
      <w:r w:rsidRPr="00D91A34">
        <w:rPr>
          <w:rFonts w:cs="Arial"/>
          <w:i/>
          <w:iCs/>
          <w:szCs w:val="20"/>
        </w:rPr>
        <w:t xml:space="preserve"> </w:t>
      </w:r>
      <w:r w:rsidRPr="00D91A34">
        <w:rPr>
          <w:rFonts w:cs="Arial"/>
          <w:szCs w:val="20"/>
        </w:rPr>
        <w:t xml:space="preserve">2019 činila </w:t>
      </w:r>
      <w:r w:rsidR="0035069F">
        <w:rPr>
          <w:rFonts w:cs="Arial"/>
          <w:szCs w:val="20"/>
        </w:rPr>
        <w:t>7</w:t>
      </w:r>
      <w:r w:rsidRPr="00D91A34">
        <w:rPr>
          <w:rFonts w:cs="Arial"/>
          <w:szCs w:val="20"/>
        </w:rPr>
        <w:t> </w:t>
      </w:r>
      <w:r w:rsidR="0035069F">
        <w:rPr>
          <w:rFonts w:cs="Arial"/>
          <w:szCs w:val="20"/>
        </w:rPr>
        <w:t>146</w:t>
      </w:r>
      <w:r w:rsidRPr="00D91A34">
        <w:rPr>
          <w:rFonts w:cs="Arial"/>
          <w:iCs/>
          <w:szCs w:val="20"/>
        </w:rPr>
        <w:t> </w:t>
      </w:r>
      <w:r w:rsidRPr="00D91A34">
        <w:rPr>
          <w:rFonts w:cs="Arial"/>
          <w:szCs w:val="20"/>
        </w:rPr>
        <w:t>tis. m</w:t>
      </w:r>
      <w:r w:rsidRPr="00D91A34">
        <w:rPr>
          <w:rFonts w:cs="Arial"/>
          <w:szCs w:val="20"/>
          <w:vertAlign w:val="superscript"/>
        </w:rPr>
        <w:t>2</w:t>
      </w:r>
      <w:r w:rsidRPr="00D91A34">
        <w:rPr>
          <w:rFonts w:cs="Arial"/>
          <w:szCs w:val="20"/>
        </w:rPr>
        <w:t>, což v meziročním srovnání znamená růst o </w:t>
      </w:r>
      <w:r w:rsidR="0035069F">
        <w:rPr>
          <w:rFonts w:cs="Arial"/>
          <w:szCs w:val="20"/>
        </w:rPr>
        <w:t>3</w:t>
      </w:r>
      <w:r w:rsidRPr="00D91A34">
        <w:rPr>
          <w:rFonts w:cs="Arial"/>
          <w:szCs w:val="20"/>
        </w:rPr>
        <w:t>,</w:t>
      </w:r>
      <w:r w:rsidR="0035069F">
        <w:rPr>
          <w:rFonts w:cs="Arial"/>
          <w:szCs w:val="20"/>
        </w:rPr>
        <w:t>3</w:t>
      </w:r>
      <w:r w:rsidRPr="00D91A34">
        <w:rPr>
          <w:rFonts w:cs="Arial"/>
          <w:szCs w:val="20"/>
        </w:rPr>
        <w:t> %. Podlahová plocha povolených bytových budov vzrostla o </w:t>
      </w:r>
      <w:r w:rsidR="0035069F">
        <w:rPr>
          <w:rFonts w:cs="Arial"/>
          <w:szCs w:val="20"/>
        </w:rPr>
        <w:t>19</w:t>
      </w:r>
      <w:r w:rsidRPr="00D91A34">
        <w:rPr>
          <w:rFonts w:cs="Arial"/>
          <w:szCs w:val="20"/>
        </w:rPr>
        <w:t>,</w:t>
      </w:r>
      <w:r w:rsidR="0035069F">
        <w:rPr>
          <w:rFonts w:cs="Arial"/>
          <w:szCs w:val="20"/>
        </w:rPr>
        <w:t>0</w:t>
      </w:r>
      <w:r w:rsidRPr="00D91A34">
        <w:rPr>
          <w:rFonts w:cs="Arial"/>
          <w:szCs w:val="20"/>
        </w:rPr>
        <w:t xml:space="preserve"> %, nebytových budov </w:t>
      </w:r>
      <w:r w:rsidR="0035069F">
        <w:rPr>
          <w:rFonts w:cs="Arial"/>
          <w:szCs w:val="20"/>
        </w:rPr>
        <w:t>klesla</w:t>
      </w:r>
      <w:r w:rsidRPr="00D91A34">
        <w:rPr>
          <w:rFonts w:cs="Arial"/>
          <w:szCs w:val="20"/>
        </w:rPr>
        <w:t xml:space="preserve"> o </w:t>
      </w:r>
      <w:r w:rsidR="0035069F">
        <w:rPr>
          <w:rFonts w:cs="Arial"/>
          <w:szCs w:val="20"/>
        </w:rPr>
        <w:t>11</w:t>
      </w:r>
      <w:r w:rsidRPr="00D91A34">
        <w:rPr>
          <w:rFonts w:cs="Arial"/>
          <w:szCs w:val="20"/>
        </w:rPr>
        <w:t>,</w:t>
      </w:r>
      <w:r w:rsidR="0035069F">
        <w:rPr>
          <w:rFonts w:cs="Arial"/>
          <w:szCs w:val="20"/>
        </w:rPr>
        <w:t>5</w:t>
      </w:r>
      <w:r w:rsidRPr="00D91A34">
        <w:rPr>
          <w:rFonts w:cs="Arial"/>
          <w:szCs w:val="20"/>
        </w:rPr>
        <w:t> %.</w:t>
      </w:r>
    </w:p>
    <w:p w:rsidR="00D640CB" w:rsidRPr="00D91A34" w:rsidRDefault="00D640CB" w:rsidP="00D640CB">
      <w:pPr>
        <w:spacing w:before="200"/>
        <w:rPr>
          <w:rFonts w:cs="Arial"/>
          <w:szCs w:val="20"/>
        </w:rPr>
      </w:pPr>
      <w:r w:rsidRPr="00D91A34">
        <w:rPr>
          <w:rFonts w:cs="Arial"/>
          <w:b/>
          <w:szCs w:val="20"/>
        </w:rPr>
        <w:t>Počet zahájených bytů</w:t>
      </w:r>
      <w:r w:rsidRPr="00D91A34">
        <w:rPr>
          <w:rFonts w:cs="Arial"/>
          <w:szCs w:val="20"/>
        </w:rPr>
        <w:t xml:space="preserve"> v roce 2019 se meziročně zvýšil o </w:t>
      </w:r>
      <w:r w:rsidR="004F35D9">
        <w:rPr>
          <w:rFonts w:cs="Arial"/>
          <w:szCs w:val="20"/>
        </w:rPr>
        <w:t>16,8</w:t>
      </w:r>
      <w:r w:rsidRPr="00D91A34">
        <w:rPr>
          <w:rFonts w:cs="Arial"/>
          <w:szCs w:val="20"/>
        </w:rPr>
        <w:t xml:space="preserve"> % a činil </w:t>
      </w:r>
      <w:r w:rsidR="004F35D9">
        <w:rPr>
          <w:rFonts w:cs="Arial"/>
          <w:szCs w:val="20"/>
        </w:rPr>
        <w:t>38 677</w:t>
      </w:r>
      <w:r w:rsidRPr="00D91A34">
        <w:rPr>
          <w:rFonts w:cs="Arial"/>
          <w:szCs w:val="20"/>
        </w:rPr>
        <w:t xml:space="preserve"> bytů. Počet zahájených bytů v rodinných domech vzrostl o </w:t>
      </w:r>
      <w:r w:rsidR="004F35D9">
        <w:rPr>
          <w:rFonts w:cs="Arial"/>
          <w:szCs w:val="20"/>
        </w:rPr>
        <w:t xml:space="preserve">4,0 </w:t>
      </w:r>
      <w:r w:rsidRPr="00D91A34">
        <w:rPr>
          <w:rFonts w:cs="Arial"/>
          <w:szCs w:val="20"/>
        </w:rPr>
        <w:t>%, v bytových domech byl růst o </w:t>
      </w:r>
      <w:r w:rsidR="004F35D9">
        <w:rPr>
          <w:rFonts w:cs="Arial"/>
          <w:szCs w:val="20"/>
        </w:rPr>
        <w:t>71,6</w:t>
      </w:r>
      <w:r w:rsidRPr="00D91A34">
        <w:rPr>
          <w:rFonts w:cs="Arial"/>
          <w:szCs w:val="20"/>
        </w:rPr>
        <w:t> %.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D91A34">
        <w:rPr>
          <w:rFonts w:cs="Arial"/>
          <w:b/>
          <w:bCs/>
          <w:szCs w:val="20"/>
        </w:rPr>
        <w:t>Počet dokončených bytů</w:t>
      </w:r>
      <w:r w:rsidRPr="00D91A34">
        <w:rPr>
          <w:rFonts w:cs="Arial"/>
          <w:szCs w:val="20"/>
        </w:rPr>
        <w:t xml:space="preserve"> v roce 2019 se meziročně zvýšil o </w:t>
      </w:r>
      <w:r w:rsidR="001B4739">
        <w:rPr>
          <w:rFonts w:cs="Arial"/>
          <w:szCs w:val="20"/>
        </w:rPr>
        <w:t>7,6</w:t>
      </w:r>
      <w:r w:rsidRPr="00D91A34">
        <w:rPr>
          <w:rFonts w:cs="Arial"/>
          <w:szCs w:val="20"/>
        </w:rPr>
        <w:t xml:space="preserve"> % a činil </w:t>
      </w:r>
      <w:r w:rsidR="001B4739">
        <w:rPr>
          <w:rFonts w:cs="Arial"/>
          <w:szCs w:val="20"/>
        </w:rPr>
        <w:t>36 422</w:t>
      </w:r>
      <w:r w:rsidRPr="00D91A34">
        <w:rPr>
          <w:rFonts w:cs="Arial"/>
          <w:szCs w:val="20"/>
        </w:rPr>
        <w:t xml:space="preserve"> bytů. Počet dokončených bytů v rodinných domech vzrostl o </w:t>
      </w:r>
      <w:r w:rsidR="001B4739">
        <w:rPr>
          <w:rFonts w:cs="Arial"/>
          <w:szCs w:val="20"/>
        </w:rPr>
        <w:t xml:space="preserve">0,5 </w:t>
      </w:r>
      <w:r w:rsidRPr="00D91A34">
        <w:rPr>
          <w:rFonts w:cs="Arial"/>
          <w:szCs w:val="20"/>
        </w:rPr>
        <w:t>%, v bytových domech došlo k nárůstu o </w:t>
      </w:r>
      <w:r w:rsidR="001B4739">
        <w:rPr>
          <w:rFonts w:cs="Arial"/>
          <w:szCs w:val="20"/>
        </w:rPr>
        <w:t>23,7</w:t>
      </w:r>
      <w:r w:rsidRPr="00D91A34">
        <w:rPr>
          <w:rFonts w:cs="Arial"/>
          <w:szCs w:val="20"/>
        </w:rPr>
        <w:t> %.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D640CB" w:rsidRPr="0098139A" w:rsidRDefault="00D640CB" w:rsidP="00D640CB">
      <w:pPr>
        <w:pStyle w:val="Poznmky0"/>
        <w:pBdr>
          <w:top w:val="none" w:sz="0" w:space="0" w:color="auto"/>
        </w:pBdr>
        <w:spacing w:before="0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</w:p>
    <w:p w:rsidR="00D640CB" w:rsidRPr="0098139A" w:rsidRDefault="00D640CB" w:rsidP="00D640CB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 xml:space="preserve"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 </w:t>
      </w:r>
    </w:p>
    <w:p w:rsidR="00D640CB" w:rsidRDefault="00D640CB" w:rsidP="00D640CB"/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>Ing. Radek Matějka, ředitel odboru statistiky zemědělství a lesnictví, průmyslu, stavebnictví a energetiky, tel.: 274052894,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Pr="007D374D">
        <w:rPr>
          <w:i/>
        </w:rPr>
        <w:t>3. 2. 2020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  <w:t>12. 3. 2020</w:t>
      </w:r>
    </w:p>
    <w:p w:rsidR="00D640CB" w:rsidRPr="00205901" w:rsidRDefault="00D640CB" w:rsidP="00D640C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  <w:highlight w:val="yellow"/>
        </w:rPr>
      </w:pPr>
    </w:p>
    <w:p w:rsidR="00D640CB" w:rsidRPr="0098139A" w:rsidRDefault="00D640CB" w:rsidP="00D640CB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D640CB">
      <w:pPr>
        <w:pStyle w:val="Zkladntext3"/>
        <w:spacing w:line="276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640CB" w:rsidRDefault="00D640CB" w:rsidP="00D640CB">
      <w:pPr>
        <w:pStyle w:val="Zkladntext3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D640CB" w:rsidRPr="0098139A" w:rsidRDefault="00D640CB" w:rsidP="00D640CB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1 Index stavební produkce (meziroční indexy)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2 Index stavební produkce (bazické indexy)</w:t>
      </w:r>
    </w:p>
    <w:p w:rsidR="00D640CB" w:rsidRPr="004920AD" w:rsidRDefault="00D640CB" w:rsidP="00D640CB">
      <w:r w:rsidRPr="0098139A">
        <w:t>Graf 3 Index stavební produkce – mezinárodní porovnání</w:t>
      </w:r>
    </w:p>
    <w:p w:rsidR="00D640CB" w:rsidRPr="00D640CB" w:rsidRDefault="00D640CB" w:rsidP="00D640CB"/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77" w:rsidRDefault="007A3A77" w:rsidP="00BA6370">
      <w:r>
        <w:separator/>
      </w:r>
    </w:p>
  </w:endnote>
  <w:endnote w:type="continuationSeparator" w:id="0">
    <w:p w:rsidR="007A3A77" w:rsidRDefault="007A3A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32F1E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32F1E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AB34FF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77" w:rsidRDefault="007A3A77" w:rsidP="00BA6370">
      <w:r>
        <w:separator/>
      </w:r>
    </w:p>
  </w:footnote>
  <w:footnote w:type="continuationSeparator" w:id="0">
    <w:p w:rsidR="007A3A77" w:rsidRDefault="007A3A7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9AE7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416EC"/>
    <w:rsid w:val="00043BF4"/>
    <w:rsid w:val="00057CD9"/>
    <w:rsid w:val="000674E2"/>
    <w:rsid w:val="000843A5"/>
    <w:rsid w:val="000910DA"/>
    <w:rsid w:val="00096D6C"/>
    <w:rsid w:val="000B3A72"/>
    <w:rsid w:val="000B6F63"/>
    <w:rsid w:val="000D093F"/>
    <w:rsid w:val="000D2FC6"/>
    <w:rsid w:val="000E43CC"/>
    <w:rsid w:val="000F2B0D"/>
    <w:rsid w:val="001034B5"/>
    <w:rsid w:val="0011654A"/>
    <w:rsid w:val="001404AB"/>
    <w:rsid w:val="0017231D"/>
    <w:rsid w:val="001810DC"/>
    <w:rsid w:val="001B4739"/>
    <w:rsid w:val="001B607F"/>
    <w:rsid w:val="001D369A"/>
    <w:rsid w:val="001F08B3"/>
    <w:rsid w:val="001F18DF"/>
    <w:rsid w:val="001F2FE0"/>
    <w:rsid w:val="00200854"/>
    <w:rsid w:val="002070FB"/>
    <w:rsid w:val="00213729"/>
    <w:rsid w:val="002406FA"/>
    <w:rsid w:val="0026107B"/>
    <w:rsid w:val="002B2E47"/>
    <w:rsid w:val="003301A3"/>
    <w:rsid w:val="0035069F"/>
    <w:rsid w:val="00351B4D"/>
    <w:rsid w:val="0036777B"/>
    <w:rsid w:val="0038282A"/>
    <w:rsid w:val="00397580"/>
    <w:rsid w:val="003A45C8"/>
    <w:rsid w:val="003A5934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C20D4"/>
    <w:rsid w:val="004D05B3"/>
    <w:rsid w:val="004E479E"/>
    <w:rsid w:val="004E6E35"/>
    <w:rsid w:val="004F35D9"/>
    <w:rsid w:val="004F686C"/>
    <w:rsid w:val="004F78E6"/>
    <w:rsid w:val="0050420E"/>
    <w:rsid w:val="00512D99"/>
    <w:rsid w:val="00513C64"/>
    <w:rsid w:val="00526170"/>
    <w:rsid w:val="00531DBB"/>
    <w:rsid w:val="00544874"/>
    <w:rsid w:val="00546F32"/>
    <w:rsid w:val="0055124F"/>
    <w:rsid w:val="00573994"/>
    <w:rsid w:val="00576F63"/>
    <w:rsid w:val="005F5940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B2481"/>
    <w:rsid w:val="006D66EF"/>
    <w:rsid w:val="006D7971"/>
    <w:rsid w:val="006E024F"/>
    <w:rsid w:val="006E4E81"/>
    <w:rsid w:val="00707F7D"/>
    <w:rsid w:val="00717EC5"/>
    <w:rsid w:val="00734385"/>
    <w:rsid w:val="00754C20"/>
    <w:rsid w:val="00780705"/>
    <w:rsid w:val="00783749"/>
    <w:rsid w:val="007A2048"/>
    <w:rsid w:val="007A3A77"/>
    <w:rsid w:val="007A57F2"/>
    <w:rsid w:val="007B1333"/>
    <w:rsid w:val="007F4AEB"/>
    <w:rsid w:val="007F75B2"/>
    <w:rsid w:val="0080145B"/>
    <w:rsid w:val="00803993"/>
    <w:rsid w:val="008043C4"/>
    <w:rsid w:val="0082301C"/>
    <w:rsid w:val="00831B1B"/>
    <w:rsid w:val="00831B20"/>
    <w:rsid w:val="00832F1E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A070C6"/>
    <w:rsid w:val="00A0762A"/>
    <w:rsid w:val="00A4343D"/>
    <w:rsid w:val="00A502F1"/>
    <w:rsid w:val="00A57DB4"/>
    <w:rsid w:val="00A70A83"/>
    <w:rsid w:val="00A81EB3"/>
    <w:rsid w:val="00AB3410"/>
    <w:rsid w:val="00AC2E5B"/>
    <w:rsid w:val="00AD6C25"/>
    <w:rsid w:val="00B00C1D"/>
    <w:rsid w:val="00B23525"/>
    <w:rsid w:val="00B55375"/>
    <w:rsid w:val="00B632CC"/>
    <w:rsid w:val="00BA12F1"/>
    <w:rsid w:val="00BA439F"/>
    <w:rsid w:val="00BA6370"/>
    <w:rsid w:val="00BF7118"/>
    <w:rsid w:val="00C217D4"/>
    <w:rsid w:val="00C269D4"/>
    <w:rsid w:val="00C37ADB"/>
    <w:rsid w:val="00C4160D"/>
    <w:rsid w:val="00C47644"/>
    <w:rsid w:val="00C624D8"/>
    <w:rsid w:val="00C8406E"/>
    <w:rsid w:val="00CB2709"/>
    <w:rsid w:val="00CB6F89"/>
    <w:rsid w:val="00CC0AE9"/>
    <w:rsid w:val="00CC67AB"/>
    <w:rsid w:val="00CE228C"/>
    <w:rsid w:val="00CE71D9"/>
    <w:rsid w:val="00CF545B"/>
    <w:rsid w:val="00D209A7"/>
    <w:rsid w:val="00D27D69"/>
    <w:rsid w:val="00D33658"/>
    <w:rsid w:val="00D35C44"/>
    <w:rsid w:val="00D4442C"/>
    <w:rsid w:val="00D448C2"/>
    <w:rsid w:val="00D628B5"/>
    <w:rsid w:val="00D640CB"/>
    <w:rsid w:val="00D666C3"/>
    <w:rsid w:val="00D9189F"/>
    <w:rsid w:val="00DA23D2"/>
    <w:rsid w:val="00DA7E10"/>
    <w:rsid w:val="00DF47FE"/>
    <w:rsid w:val="00DF734F"/>
    <w:rsid w:val="00E0156A"/>
    <w:rsid w:val="00E26704"/>
    <w:rsid w:val="00E31980"/>
    <w:rsid w:val="00E6423C"/>
    <w:rsid w:val="00E93830"/>
    <w:rsid w:val="00E93E0E"/>
    <w:rsid w:val="00EB1ED3"/>
    <w:rsid w:val="00EF7715"/>
    <w:rsid w:val="00F51163"/>
    <w:rsid w:val="00F75F2A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45E1-B97E-42E1-B99C-E2502645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434</TotalTime>
  <Pages>4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46</cp:revision>
  <cp:lastPrinted>2020-02-05T05:51:00Z</cp:lastPrinted>
  <dcterms:created xsi:type="dcterms:W3CDTF">2020-01-29T13:32:00Z</dcterms:created>
  <dcterms:modified xsi:type="dcterms:W3CDTF">2020-02-05T05:55:00Z</dcterms:modified>
</cp:coreProperties>
</file>