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D2" w:rsidRDefault="00D22BD2" w:rsidP="00D22BD2">
      <w:pPr>
        <w:pStyle w:val="Datum"/>
      </w:pPr>
      <w:r>
        <w:t>31</w:t>
      </w:r>
      <w:bookmarkStart w:id="0" w:name="_GoBack"/>
      <w:bookmarkEnd w:id="0"/>
      <w:r>
        <w:t>. 5. 2019</w:t>
      </w:r>
    </w:p>
    <w:p w:rsidR="006D7C31" w:rsidRDefault="00D7237A" w:rsidP="006D7C31">
      <w:pPr>
        <w:pStyle w:val="Nzev"/>
        <w:spacing w:after="360"/>
      </w:pPr>
      <w:r>
        <w:t>Česká ek</w:t>
      </w:r>
      <w:r w:rsidR="00330E26">
        <w:t xml:space="preserve">onomika vzrostla </w:t>
      </w:r>
      <w:proofErr w:type="spellStart"/>
      <w:r w:rsidR="00330E26">
        <w:t>mezičtvrtletně</w:t>
      </w:r>
      <w:proofErr w:type="spellEnd"/>
      <w:r w:rsidR="00330E26">
        <w:t xml:space="preserve"> o 0,6</w:t>
      </w:r>
      <w:r>
        <w:t xml:space="preserve"> %</w:t>
      </w:r>
    </w:p>
    <w:p w:rsidR="006D7C31" w:rsidRPr="00A81EB3" w:rsidRDefault="006D7C31" w:rsidP="006D7C31">
      <w:pPr>
        <w:pStyle w:val="Podtitulek"/>
      </w:pPr>
      <w:r>
        <w:t>Tvorba a užití HDP</w:t>
      </w:r>
      <w:r w:rsidRPr="00431C5C">
        <w:t xml:space="preserve"> </w:t>
      </w:r>
      <w:r>
        <w:t>– 1</w:t>
      </w:r>
      <w:r w:rsidRPr="00431C5C">
        <w:t xml:space="preserve">. čtvrtletí </w:t>
      </w:r>
      <w:r>
        <w:t>2019</w:t>
      </w:r>
    </w:p>
    <w:p w:rsidR="006D7C31" w:rsidRDefault="006D7C31" w:rsidP="006D7C31">
      <w:pPr>
        <w:pStyle w:val="Perex"/>
      </w:pPr>
      <w:r>
        <w:t>Podle zpřesněného odhadu vzrostl hrubý domácí produkt v</w:t>
      </w:r>
      <w:r w:rsidR="00CE4410">
        <w:t xml:space="preserve"> </w:t>
      </w:r>
      <w:r>
        <w:t xml:space="preserve">1. čtvrtletí </w:t>
      </w:r>
      <w:proofErr w:type="spellStart"/>
      <w:r>
        <w:t>mezičtvrtletně</w:t>
      </w:r>
      <w:proofErr w:type="spellEnd"/>
      <w:r>
        <w:t xml:space="preserve"> o</w:t>
      </w:r>
      <w:r w:rsidR="00B033BD">
        <w:t> </w:t>
      </w:r>
      <w:r>
        <w:t>0,</w:t>
      </w:r>
      <w:r w:rsidR="001B2417">
        <w:t>6</w:t>
      </w:r>
      <w:r w:rsidR="00B033BD">
        <w:t> </w:t>
      </w:r>
      <w:r>
        <w:t>% a meziročně o </w:t>
      </w:r>
      <w:r w:rsidR="00D7237A">
        <w:t>2</w:t>
      </w:r>
      <w:r>
        <w:t>,</w:t>
      </w:r>
      <w:r w:rsidR="001B2417">
        <w:t>6</w:t>
      </w:r>
      <w:r>
        <w:t xml:space="preserve"> %. </w:t>
      </w:r>
      <w:r w:rsidR="00D7237A">
        <w:t>R</w:t>
      </w:r>
      <w:r>
        <w:t>ůst</w:t>
      </w:r>
      <w:r w:rsidR="00D7237A">
        <w:t xml:space="preserve"> české ekonomiky</w:t>
      </w:r>
      <w:r>
        <w:t xml:space="preserve"> </w:t>
      </w:r>
      <w:r w:rsidR="00D7237A">
        <w:t xml:space="preserve">byl podpořen </w:t>
      </w:r>
      <w:r w:rsidR="001649DC">
        <w:t xml:space="preserve">především </w:t>
      </w:r>
      <w:r w:rsidR="00D7237A">
        <w:t>domácí poptávkou</w:t>
      </w:r>
      <w:r>
        <w:t>.</w:t>
      </w:r>
    </w:p>
    <w:p w:rsidR="006D7C31" w:rsidRPr="00C14765" w:rsidRDefault="006D7C31" w:rsidP="006D7C31">
      <w:pPr>
        <w:spacing w:before="240"/>
        <w:rPr>
          <w:rFonts w:cs="Arial"/>
          <w:szCs w:val="20"/>
        </w:rPr>
      </w:pPr>
      <w:r w:rsidRPr="00C14765">
        <w:t>Zpřesněný odhad potvrdil, že česk</w:t>
      </w:r>
      <w:r>
        <w:t>á</w:t>
      </w:r>
      <w:r w:rsidRPr="00C14765">
        <w:t xml:space="preserve"> ekonomik</w:t>
      </w:r>
      <w:r>
        <w:t>a</w:t>
      </w:r>
      <w:r w:rsidRPr="00C14765">
        <w:t xml:space="preserve"> v </w:t>
      </w:r>
      <w:r>
        <w:t>1</w:t>
      </w:r>
      <w:r w:rsidRPr="00C14765">
        <w:t>.</w:t>
      </w:r>
      <w:r>
        <w:t xml:space="preserve"> </w:t>
      </w:r>
      <w:r w:rsidRPr="00C14765">
        <w:t xml:space="preserve">čtvrtletí </w:t>
      </w:r>
      <w:r>
        <w:t xml:space="preserve">nadále rostla. </w:t>
      </w:r>
      <w:r w:rsidRPr="00C14765">
        <w:rPr>
          <w:b/>
        </w:rPr>
        <w:t>Hrubý</w:t>
      </w:r>
      <w:r w:rsidR="00CE4410">
        <w:rPr>
          <w:b/>
        </w:rPr>
        <w:t xml:space="preserve"> </w:t>
      </w:r>
      <w:r w:rsidRPr="00C14765">
        <w:rPr>
          <w:b/>
        </w:rPr>
        <w:t>domácí produkt</w:t>
      </w:r>
      <w:r>
        <w:t xml:space="preserve"> (HDP) očištěný o </w:t>
      </w:r>
      <w:r w:rsidRPr="00C14765">
        <w:t>cenové vlivy a</w:t>
      </w:r>
      <w:r>
        <w:t> </w:t>
      </w:r>
      <w:r w:rsidRPr="00C14765">
        <w:t>sezónnost</w:t>
      </w:r>
      <w:r w:rsidRPr="00C14765">
        <w:rPr>
          <w:rStyle w:val="Znakapoznpodarou"/>
          <w:rFonts w:cs="Arial"/>
          <w:szCs w:val="18"/>
        </w:rPr>
        <w:footnoteReference w:id="1"/>
      </w:r>
      <w:r w:rsidRPr="00C14765">
        <w:t xml:space="preserve"> </w:t>
      </w:r>
      <w:r w:rsidRPr="00C14765">
        <w:rPr>
          <w:b/>
        </w:rPr>
        <w:t xml:space="preserve">vzrostl ve srovnání s předchozím čtvrtletím o </w:t>
      </w:r>
      <w:r>
        <w:rPr>
          <w:b/>
        </w:rPr>
        <w:t>0</w:t>
      </w:r>
      <w:r w:rsidRPr="00C14765">
        <w:rPr>
          <w:b/>
        </w:rPr>
        <w:t>,</w:t>
      </w:r>
      <w:r w:rsidR="001B2417">
        <w:rPr>
          <w:b/>
        </w:rPr>
        <w:t>6</w:t>
      </w:r>
      <w:r w:rsidRPr="00C14765">
        <w:rPr>
          <w:b/>
        </w:rPr>
        <w:t xml:space="preserve"> %</w:t>
      </w:r>
      <w:r w:rsidRPr="00C14765">
        <w:t xml:space="preserve">. </w:t>
      </w:r>
      <w:r>
        <w:rPr>
          <w:b/>
        </w:rPr>
        <w:t>Meziročně </w:t>
      </w:r>
      <w:r w:rsidRPr="00C14765">
        <w:rPr>
          <w:b/>
        </w:rPr>
        <w:t xml:space="preserve">se HDP </w:t>
      </w:r>
      <w:r w:rsidRPr="00C14765">
        <w:rPr>
          <w:rFonts w:cs="Arial"/>
          <w:b/>
          <w:szCs w:val="20"/>
        </w:rPr>
        <w:t xml:space="preserve">zvýšil o </w:t>
      </w:r>
      <w:r w:rsidR="004F7D29">
        <w:rPr>
          <w:rFonts w:cs="Arial"/>
          <w:b/>
          <w:szCs w:val="20"/>
        </w:rPr>
        <w:t>2</w:t>
      </w:r>
      <w:r w:rsidRPr="00C14765">
        <w:rPr>
          <w:rFonts w:cs="Arial"/>
          <w:b/>
          <w:szCs w:val="20"/>
        </w:rPr>
        <w:t>,</w:t>
      </w:r>
      <w:r w:rsidR="001B2417">
        <w:rPr>
          <w:rFonts w:cs="Arial"/>
          <w:b/>
          <w:szCs w:val="20"/>
        </w:rPr>
        <w:t>6</w:t>
      </w:r>
      <w:r w:rsidRPr="00C14765">
        <w:rPr>
          <w:rFonts w:cs="Arial"/>
          <w:b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6D7C31" w:rsidRDefault="006D7C31" w:rsidP="006D7C31">
      <w:pPr>
        <w:spacing w:before="240" w:after="240"/>
      </w:pPr>
      <w:r w:rsidRPr="00F41CA8">
        <w:rPr>
          <w:b/>
        </w:rPr>
        <w:t>Hrubá přidaná hodnota</w:t>
      </w:r>
      <w:r w:rsidRPr="00F41CA8">
        <w:t xml:space="preserve"> (HPH) b</w:t>
      </w:r>
      <w:r w:rsidRPr="001A6D9B">
        <w:t xml:space="preserve">yla </w:t>
      </w:r>
      <w:proofErr w:type="spellStart"/>
      <w:r w:rsidRPr="001A6D9B">
        <w:rPr>
          <w:b/>
        </w:rPr>
        <w:t>mezičtvrtletně</w:t>
      </w:r>
      <w:proofErr w:type="spellEnd"/>
      <w:r w:rsidRPr="001A6D9B">
        <w:rPr>
          <w:b/>
        </w:rPr>
        <w:t xml:space="preserve"> </w:t>
      </w:r>
      <w:r w:rsidRPr="005E1C19">
        <w:rPr>
          <w:b/>
        </w:rPr>
        <w:t>vyšší o 0,</w:t>
      </w:r>
      <w:r w:rsidR="001B2417">
        <w:rPr>
          <w:b/>
        </w:rPr>
        <w:t>6</w:t>
      </w:r>
      <w:r w:rsidRPr="005E1C19">
        <w:rPr>
          <w:b/>
        </w:rPr>
        <w:t> %</w:t>
      </w:r>
      <w:r w:rsidR="009B187F">
        <w:rPr>
          <w:b/>
        </w:rPr>
        <w:t xml:space="preserve">. </w:t>
      </w:r>
      <w:r w:rsidR="00F468D4">
        <w:t>HPH</w:t>
      </w:r>
      <w:r w:rsidR="009B187F" w:rsidRPr="009B187F">
        <w:t xml:space="preserve"> ve</w:t>
      </w:r>
      <w:r w:rsidR="00476FE3">
        <w:t> </w:t>
      </w:r>
      <w:r w:rsidR="009B187F" w:rsidRPr="009B187F">
        <w:t>zpracovatelsk</w:t>
      </w:r>
      <w:r w:rsidR="009B187F">
        <w:t>ém</w:t>
      </w:r>
      <w:r w:rsidR="009B187F" w:rsidRPr="009B187F">
        <w:t xml:space="preserve"> průmysl</w:t>
      </w:r>
      <w:r w:rsidR="009B187F">
        <w:t>u</w:t>
      </w:r>
      <w:r w:rsidR="009B187F" w:rsidRPr="009B187F">
        <w:t xml:space="preserve"> </w:t>
      </w:r>
      <w:r w:rsidR="009B187F">
        <w:t>vzrostla o 1,0 %, ve sku</w:t>
      </w:r>
      <w:r w:rsidR="00476FE3">
        <w:t>pině odvětví obchodu, dopravy a </w:t>
      </w:r>
      <w:r w:rsidR="00F468D4">
        <w:t>skladování, ubytování a </w:t>
      </w:r>
      <w:r w:rsidR="009B187F">
        <w:t>pohostinství o 0,7 %. K poklesu HPH do</w:t>
      </w:r>
      <w:r w:rsidR="00476FE3">
        <w:t>šlo ve stavebnictví, a to o 0,4 </w:t>
      </w:r>
      <w:r w:rsidR="009B187F">
        <w:t>%.</w:t>
      </w:r>
      <w:r w:rsidRPr="005E1C19">
        <w:rPr>
          <w:b/>
        </w:rPr>
        <w:t xml:space="preserve"> </w:t>
      </w:r>
      <w:r w:rsidR="009C5A53">
        <w:rPr>
          <w:b/>
        </w:rPr>
        <w:t>M</w:t>
      </w:r>
      <w:r w:rsidRPr="001A6D9B">
        <w:rPr>
          <w:b/>
        </w:rPr>
        <w:t xml:space="preserve">eziročně </w:t>
      </w:r>
      <w:r w:rsidR="009C5A53">
        <w:rPr>
          <w:b/>
        </w:rPr>
        <w:t xml:space="preserve">HPH </w:t>
      </w:r>
      <w:r>
        <w:rPr>
          <w:b/>
        </w:rPr>
        <w:t xml:space="preserve">vzrostla </w:t>
      </w:r>
      <w:r w:rsidRPr="001A6D9B">
        <w:rPr>
          <w:b/>
        </w:rPr>
        <w:t>o</w:t>
      </w:r>
      <w:r w:rsidR="00CE4410">
        <w:rPr>
          <w:b/>
        </w:rPr>
        <w:t> </w:t>
      </w:r>
      <w:r w:rsidR="00D7237A">
        <w:rPr>
          <w:b/>
        </w:rPr>
        <w:t>2</w:t>
      </w:r>
      <w:r w:rsidRPr="001A6D9B">
        <w:rPr>
          <w:b/>
        </w:rPr>
        <w:t>,</w:t>
      </w:r>
      <w:r w:rsidR="00C171C4">
        <w:rPr>
          <w:b/>
        </w:rPr>
        <w:t>6</w:t>
      </w:r>
      <w:r w:rsidR="00CE4410">
        <w:rPr>
          <w:b/>
        </w:rPr>
        <w:t> </w:t>
      </w:r>
      <w:r w:rsidRPr="001A6D9B">
        <w:rPr>
          <w:b/>
        </w:rPr>
        <w:t>%</w:t>
      </w:r>
      <w:r w:rsidRPr="001A6D9B">
        <w:t>. K </w:t>
      </w:r>
      <w:r w:rsidR="009B187F">
        <w:t>jejímu</w:t>
      </w:r>
      <w:r w:rsidRPr="001A6D9B">
        <w:t xml:space="preserve"> růstu nejvýrazněji přispěl zpracovatelský průmysl (</w:t>
      </w:r>
      <w:r w:rsidR="00C171C4">
        <w:t>0</w:t>
      </w:r>
      <w:r w:rsidRPr="001A6D9B">
        <w:t>,</w:t>
      </w:r>
      <w:r w:rsidR="00C171C4">
        <w:t>7</w:t>
      </w:r>
      <w:r w:rsidR="00CE4410">
        <w:t xml:space="preserve"> </w:t>
      </w:r>
      <w:r w:rsidRPr="001A6D9B">
        <w:t>p.</w:t>
      </w:r>
      <w:r>
        <w:t xml:space="preserve"> </w:t>
      </w:r>
      <w:r w:rsidRPr="001A6D9B">
        <w:t>b</w:t>
      </w:r>
      <w:r w:rsidR="00050AC3">
        <w:t>.</w:t>
      </w:r>
      <w:r>
        <w:t>). Růst</w:t>
      </w:r>
      <w:r w:rsidR="00CE4410">
        <w:t xml:space="preserve"> </w:t>
      </w:r>
      <w:r>
        <w:t>v</w:t>
      </w:r>
      <w:r w:rsidR="00F468D4">
        <w:t> </w:t>
      </w:r>
      <w:r>
        <w:t>tomto odvě</w:t>
      </w:r>
      <w:r w:rsidR="00C171C4">
        <w:t>tví byl 2</w:t>
      </w:r>
      <w:r>
        <w:t>,</w:t>
      </w:r>
      <w:r w:rsidR="001B2417">
        <w:t>5</w:t>
      </w:r>
      <w:r>
        <w:t xml:space="preserve"> %. </w:t>
      </w:r>
      <w:r w:rsidR="00BA2AE7">
        <w:t>Dařilo se zejména výrobě strojů a výrobě</w:t>
      </w:r>
      <w:r>
        <w:t xml:space="preserve"> </w:t>
      </w:r>
      <w:r w:rsidR="00CE0A5D">
        <w:t>pryžových a plastových výrobků</w:t>
      </w:r>
      <w:r w:rsidR="004670A8">
        <w:t xml:space="preserve">. </w:t>
      </w:r>
      <w:r w:rsidR="002A4167">
        <w:t>Nižší dynamiku růstu zaznamenala výroba dopravních prostředků a výroba elektrických zařízení</w:t>
      </w:r>
      <w:r w:rsidR="001B2417">
        <w:t>.</w:t>
      </w:r>
      <w:r w:rsidR="004B14C9">
        <w:t xml:space="preserve"> </w:t>
      </w:r>
      <w:r w:rsidR="002A4167">
        <w:t>Mez</w:t>
      </w:r>
      <w:r>
        <w:t xml:space="preserve">iroční pokles </w:t>
      </w:r>
      <w:r w:rsidR="002A4167">
        <w:t>nastal</w:t>
      </w:r>
      <w:r>
        <w:t xml:space="preserve"> v</w:t>
      </w:r>
      <w:r w:rsidR="00CE4410">
        <w:t> </w:t>
      </w:r>
      <w:r w:rsidR="00FC6280">
        <w:t>odvětví těžby a </w:t>
      </w:r>
      <w:r>
        <w:t xml:space="preserve">dobývání. </w:t>
      </w:r>
      <w:r w:rsidR="009B187F">
        <w:t>Ve stavebnictví HPH vzrostla</w:t>
      </w:r>
      <w:r w:rsidR="004670A8">
        <w:t xml:space="preserve"> </w:t>
      </w:r>
      <w:r>
        <w:t xml:space="preserve"> </w:t>
      </w:r>
      <w:r w:rsidR="009C5A53">
        <w:t>o </w:t>
      </w:r>
      <w:r w:rsidR="001B2417">
        <w:t>3</w:t>
      </w:r>
      <w:r w:rsidR="004670A8">
        <w:t>,1</w:t>
      </w:r>
      <w:r w:rsidR="009C5A53">
        <w:t> </w:t>
      </w:r>
      <w:r w:rsidR="004670A8">
        <w:rPr>
          <w:lang w:val="en-US"/>
        </w:rPr>
        <w:t>%</w:t>
      </w:r>
      <w:r w:rsidR="004670A8">
        <w:t>.</w:t>
      </w:r>
      <w:r>
        <w:t xml:space="preserve"> </w:t>
      </w:r>
      <w:r w:rsidR="004670A8">
        <w:t>Dařilo se většině odvětví služeb</w:t>
      </w:r>
      <w:r w:rsidR="009C5A53">
        <w:t>,</w:t>
      </w:r>
      <w:r w:rsidR="004670A8">
        <w:t xml:space="preserve"> </w:t>
      </w:r>
      <w:r w:rsidR="00C447A5">
        <w:t>především</w:t>
      </w:r>
      <w:r>
        <w:t xml:space="preserve"> </w:t>
      </w:r>
      <w:r w:rsidR="004670A8">
        <w:t>odvětví</w:t>
      </w:r>
      <w:r w:rsidR="009C5A53">
        <w:t>m</w:t>
      </w:r>
      <w:r w:rsidR="004670A8">
        <w:t xml:space="preserve"> dopravy a skladování</w:t>
      </w:r>
      <w:r w:rsidR="002E0537">
        <w:t>, informačních a </w:t>
      </w:r>
      <w:r w:rsidR="004B1901">
        <w:t xml:space="preserve">komunikačních </w:t>
      </w:r>
      <w:r w:rsidR="00050AC3">
        <w:t>činností</w:t>
      </w:r>
      <w:r w:rsidR="00FC6280">
        <w:t xml:space="preserve"> a </w:t>
      </w:r>
      <w:r w:rsidR="005E36BC">
        <w:t>podnikatelských</w:t>
      </w:r>
      <w:r w:rsidR="00E26A1C">
        <w:t xml:space="preserve"> služeb</w:t>
      </w:r>
      <w:r w:rsidR="004670A8">
        <w:t>.</w:t>
      </w:r>
    </w:p>
    <w:p w:rsidR="00006624" w:rsidRDefault="006D7C31" w:rsidP="006D7C31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meziroční r</w:t>
      </w:r>
      <w:r w:rsidRPr="00447037">
        <w:rPr>
          <w:rFonts w:cs="Arial"/>
          <w:szCs w:val="20"/>
        </w:rPr>
        <w:t xml:space="preserve">ůst </w:t>
      </w:r>
      <w:r w:rsidRPr="00C87C55">
        <w:rPr>
          <w:rFonts w:cs="Arial"/>
          <w:szCs w:val="20"/>
        </w:rPr>
        <w:t xml:space="preserve">HDP </w:t>
      </w:r>
      <w:r w:rsidRPr="00C87C55">
        <w:t>v </w:t>
      </w:r>
      <w:r>
        <w:t>1</w:t>
      </w:r>
      <w:r w:rsidRPr="00C87C55">
        <w:t xml:space="preserve">. čtvrtletí </w:t>
      </w:r>
      <w:r w:rsidRPr="00C87C55">
        <w:rPr>
          <w:rFonts w:cs="Arial"/>
          <w:szCs w:val="20"/>
        </w:rPr>
        <w:t xml:space="preserve">podpořen </w:t>
      </w:r>
      <w:r w:rsidR="001649DC">
        <w:rPr>
          <w:rFonts w:cs="Arial"/>
          <w:szCs w:val="20"/>
        </w:rPr>
        <w:t>zejména</w:t>
      </w:r>
      <w:r>
        <w:rPr>
          <w:rFonts w:cs="Arial"/>
          <w:szCs w:val="20"/>
        </w:rPr>
        <w:t xml:space="preserve"> domácí</w:t>
      </w:r>
      <w:r w:rsidR="00D7237A">
        <w:rPr>
          <w:rFonts w:cs="Arial"/>
          <w:szCs w:val="20"/>
        </w:rPr>
        <w:t xml:space="preserve"> poptávkou</w:t>
      </w:r>
      <w:r>
        <w:rPr>
          <w:rFonts w:cs="Arial"/>
          <w:szCs w:val="20"/>
        </w:rPr>
        <w:t>.</w:t>
      </w:r>
      <w:r>
        <w:t xml:space="preserve"> </w:t>
      </w:r>
      <w:r w:rsidRPr="00C87C55">
        <w:rPr>
          <w:rFonts w:cs="Arial"/>
          <w:szCs w:val="20"/>
        </w:rPr>
        <w:t>K</w:t>
      </w:r>
      <w:r w:rsidRPr="00447037">
        <w:rPr>
          <w:rFonts w:cs="Arial"/>
          <w:szCs w:val="20"/>
        </w:rPr>
        <w:t> meziročnímu růstu H</w:t>
      </w:r>
      <w:r>
        <w:rPr>
          <w:rFonts w:cs="Arial"/>
          <w:szCs w:val="20"/>
        </w:rPr>
        <w:t>DP (</w:t>
      </w:r>
      <w:r w:rsidR="00D7237A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480547">
        <w:rPr>
          <w:rFonts w:cs="Arial"/>
          <w:szCs w:val="20"/>
        </w:rPr>
        <w:t>6</w:t>
      </w:r>
      <w:r>
        <w:t> </w:t>
      </w:r>
      <w:r w:rsidRPr="00447037">
        <w:rPr>
          <w:rFonts w:cs="Arial"/>
          <w:szCs w:val="20"/>
        </w:rPr>
        <w:t xml:space="preserve">%) </w:t>
      </w:r>
      <w:r w:rsidR="00D7237A">
        <w:rPr>
          <w:rFonts w:cs="Arial"/>
          <w:szCs w:val="20"/>
        </w:rPr>
        <w:t xml:space="preserve">přispěla nejvíce </w:t>
      </w:r>
      <w:r w:rsidR="001649DC">
        <w:rPr>
          <w:rFonts w:cs="Arial"/>
          <w:szCs w:val="20"/>
        </w:rPr>
        <w:t>s</w:t>
      </w:r>
      <w:r w:rsidR="001649DC" w:rsidRPr="00447037">
        <w:rPr>
          <w:rFonts w:cs="Arial"/>
          <w:szCs w:val="20"/>
        </w:rPr>
        <w:t xml:space="preserve">potřeba domácností </w:t>
      </w:r>
      <w:r w:rsidR="00D7237A">
        <w:rPr>
          <w:rFonts w:cs="Arial"/>
          <w:szCs w:val="20"/>
        </w:rPr>
        <w:t>(1,</w:t>
      </w:r>
      <w:r w:rsidR="001649DC">
        <w:rPr>
          <w:rFonts w:cs="Arial"/>
          <w:szCs w:val="20"/>
        </w:rPr>
        <w:t>1</w:t>
      </w:r>
      <w:r w:rsidR="00D7237A">
        <w:rPr>
          <w:rFonts w:cs="Arial"/>
          <w:szCs w:val="20"/>
        </w:rPr>
        <w:t xml:space="preserve"> p. b.</w:t>
      </w:r>
      <w:r w:rsidR="00D7237A" w:rsidRPr="00D7237A">
        <w:rPr>
          <w:rStyle w:val="Znakapoznpodarou"/>
          <w:rFonts w:cs="Arial"/>
          <w:szCs w:val="20"/>
        </w:rPr>
        <w:t xml:space="preserve"> </w:t>
      </w:r>
      <w:r w:rsidR="00D7237A" w:rsidRPr="00447037">
        <w:rPr>
          <w:rStyle w:val="Znakapoznpodarou"/>
          <w:rFonts w:cs="Arial"/>
          <w:szCs w:val="20"/>
        </w:rPr>
        <w:footnoteReference w:id="2"/>
      </w:r>
      <w:r w:rsidR="00006624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  <w:r w:rsidR="00006624">
        <w:rPr>
          <w:rFonts w:cs="Arial"/>
          <w:szCs w:val="20"/>
        </w:rPr>
        <w:t>Příspěvek investičních výdajů</w:t>
      </w:r>
      <w:r w:rsidR="001649DC">
        <w:rPr>
          <w:rFonts w:cs="Arial"/>
          <w:szCs w:val="20"/>
        </w:rPr>
        <w:t>, stejně jako výdajů vládních institucí</w:t>
      </w:r>
      <w:r w:rsidR="00006624">
        <w:rPr>
          <w:rFonts w:cs="Arial"/>
          <w:szCs w:val="20"/>
        </w:rPr>
        <w:t xml:space="preserve"> </w:t>
      </w:r>
      <w:r w:rsidR="007477BC">
        <w:rPr>
          <w:rFonts w:cs="Arial"/>
          <w:szCs w:val="20"/>
        </w:rPr>
        <w:t>činil shodně</w:t>
      </w:r>
      <w:r w:rsidR="0000662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0,</w:t>
      </w:r>
      <w:r w:rsidR="001649D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p. b.</w:t>
      </w:r>
      <w:r w:rsidR="001649DC">
        <w:rPr>
          <w:rFonts w:cs="Arial"/>
          <w:szCs w:val="20"/>
        </w:rPr>
        <w:t xml:space="preserve"> </w:t>
      </w:r>
      <w:r w:rsidR="00D02A8B">
        <w:rPr>
          <w:rFonts w:cs="Arial"/>
          <w:szCs w:val="20"/>
        </w:rPr>
        <w:t>K meziročnímu růstu HDP přispěla také z</w:t>
      </w:r>
      <w:r w:rsidR="007477BC">
        <w:rPr>
          <w:rFonts w:cs="Arial"/>
          <w:szCs w:val="20"/>
        </w:rPr>
        <w:t>ahraniční poptávka</w:t>
      </w:r>
      <w:r w:rsidR="00D02A8B">
        <w:rPr>
          <w:rFonts w:cs="Arial"/>
          <w:szCs w:val="20"/>
        </w:rPr>
        <w:t>, a to rovněž</w:t>
      </w:r>
      <w:r w:rsidR="001649DC">
        <w:rPr>
          <w:rFonts w:cs="Arial"/>
          <w:szCs w:val="20"/>
        </w:rPr>
        <w:t xml:space="preserve"> 0,6 p. b.</w:t>
      </w:r>
      <w:r>
        <w:rPr>
          <w:rFonts w:cs="Arial"/>
          <w:szCs w:val="20"/>
        </w:rPr>
        <w:t xml:space="preserve"> </w:t>
      </w:r>
    </w:p>
    <w:p w:rsidR="006D7C31" w:rsidRPr="0073261E" w:rsidRDefault="006D7C31" w:rsidP="006D7C31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Pr="004822B9">
        <w:rPr>
          <w:rFonts w:cs="Arial"/>
          <w:b/>
          <w:szCs w:val="20"/>
        </w:rPr>
        <w:t>ýdaj</w:t>
      </w:r>
      <w:r>
        <w:rPr>
          <w:rFonts w:cs="Arial"/>
          <w:b/>
          <w:szCs w:val="20"/>
        </w:rPr>
        <w:t>e</w:t>
      </w:r>
      <w:r w:rsidRPr="004822B9">
        <w:rPr>
          <w:rFonts w:cs="Arial"/>
          <w:b/>
          <w:szCs w:val="20"/>
        </w:rPr>
        <w:t xml:space="preserve"> na konečnou spotřebu</w:t>
      </w:r>
      <w:r w:rsidRPr="002A1F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proofErr w:type="spellStart"/>
      <w:r w:rsidR="006A08C2">
        <w:rPr>
          <w:rFonts w:cs="Arial"/>
          <w:szCs w:val="20"/>
        </w:rPr>
        <w:t>mezičtvrtletně</w:t>
      </w:r>
      <w:proofErr w:type="spellEnd"/>
      <w:r w:rsidR="006A08C2">
        <w:rPr>
          <w:rFonts w:cs="Arial"/>
          <w:szCs w:val="20"/>
        </w:rPr>
        <w:t xml:space="preserve"> o 1,6 % a </w:t>
      </w:r>
      <w:r>
        <w:rPr>
          <w:rFonts w:cs="Arial"/>
          <w:szCs w:val="20"/>
        </w:rPr>
        <w:t xml:space="preserve">meziročně o </w:t>
      </w:r>
      <w:r w:rsidR="00D02A8B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D02A8B">
        <w:rPr>
          <w:rFonts w:cs="Arial"/>
          <w:szCs w:val="20"/>
        </w:rPr>
        <w:t>9</w:t>
      </w:r>
      <w:r w:rsidR="00050AC3">
        <w:rPr>
          <w:rFonts w:cs="Arial"/>
          <w:szCs w:val="20"/>
        </w:rPr>
        <w:t xml:space="preserve"> %</w:t>
      </w:r>
      <w:r w:rsidR="00905EA0">
        <w:rPr>
          <w:rFonts w:cs="Arial"/>
          <w:szCs w:val="20"/>
        </w:rPr>
        <w:t>.</w:t>
      </w:r>
      <w:r w:rsidR="00050AC3">
        <w:rPr>
          <w:rFonts w:cs="Arial"/>
          <w:szCs w:val="20"/>
        </w:rPr>
        <w:t xml:space="preserve"> </w:t>
      </w:r>
      <w:r w:rsidR="00905EA0">
        <w:rPr>
          <w:rFonts w:cs="Arial"/>
          <w:szCs w:val="20"/>
        </w:rPr>
        <w:t>Z toho</w:t>
      </w:r>
      <w:r w:rsidR="00050AC3">
        <w:rPr>
          <w:rFonts w:cs="Arial"/>
          <w:szCs w:val="20"/>
        </w:rPr>
        <w:t xml:space="preserve"> </w:t>
      </w:r>
      <w:r w:rsidR="00182DDE">
        <w:rPr>
          <w:rFonts w:cs="Arial"/>
          <w:szCs w:val="20"/>
        </w:rPr>
        <w:t xml:space="preserve">výdaje </w:t>
      </w:r>
      <w:r w:rsidR="00050AC3" w:rsidRPr="00AE6C8C">
        <w:rPr>
          <w:rFonts w:cs="Arial"/>
          <w:b/>
          <w:szCs w:val="20"/>
        </w:rPr>
        <w:t>domácností</w:t>
      </w:r>
      <w:r w:rsidR="00050AC3">
        <w:rPr>
          <w:rFonts w:cs="Arial"/>
          <w:szCs w:val="20"/>
        </w:rPr>
        <w:t xml:space="preserve"> </w:t>
      </w:r>
      <w:r w:rsidR="00182DDE">
        <w:rPr>
          <w:rFonts w:cs="Arial"/>
          <w:szCs w:val="20"/>
        </w:rPr>
        <w:t xml:space="preserve">reálně </w:t>
      </w:r>
      <w:r>
        <w:rPr>
          <w:rFonts w:cs="Arial"/>
          <w:szCs w:val="20"/>
        </w:rPr>
        <w:t>vzrostl</w:t>
      </w:r>
      <w:r w:rsidR="00182DDE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</w:t>
      </w:r>
      <w:r w:rsidR="006A08C2" w:rsidRPr="000C17DA">
        <w:rPr>
          <w:rFonts w:cs="Arial"/>
          <w:szCs w:val="20"/>
        </w:rPr>
        <w:t xml:space="preserve">o </w:t>
      </w:r>
      <w:r w:rsidR="006A08C2">
        <w:rPr>
          <w:rFonts w:cs="Arial"/>
          <w:szCs w:val="20"/>
        </w:rPr>
        <w:t>1,6</w:t>
      </w:r>
      <w:r w:rsidR="006A08C2" w:rsidRPr="000C17DA">
        <w:rPr>
          <w:rFonts w:cs="Arial"/>
          <w:szCs w:val="20"/>
        </w:rPr>
        <w:t> </w:t>
      </w:r>
      <w:r w:rsidR="006A08C2">
        <w:rPr>
          <w:rFonts w:cs="Arial"/>
          <w:szCs w:val="20"/>
        </w:rPr>
        <w:t xml:space="preserve">% </w:t>
      </w:r>
      <w:r w:rsidR="00F468D4">
        <w:rPr>
          <w:rFonts w:cs="Arial"/>
          <w:szCs w:val="20"/>
        </w:rPr>
        <w:t>oproti</w:t>
      </w:r>
      <w:r w:rsidR="006A08C2">
        <w:rPr>
          <w:rFonts w:cs="Arial"/>
          <w:szCs w:val="20"/>
        </w:rPr>
        <w:t> předchozím</w:t>
      </w:r>
      <w:r w:rsidR="00F468D4">
        <w:rPr>
          <w:rFonts w:cs="Arial"/>
          <w:szCs w:val="20"/>
        </w:rPr>
        <w:t>u</w:t>
      </w:r>
      <w:r w:rsidR="006A08C2">
        <w:rPr>
          <w:rFonts w:cs="Arial"/>
          <w:szCs w:val="20"/>
        </w:rPr>
        <w:t xml:space="preserve"> čtvrtletí</w:t>
      </w:r>
      <w:r w:rsidR="004312A0">
        <w:rPr>
          <w:rFonts w:cs="Arial"/>
          <w:szCs w:val="20"/>
        </w:rPr>
        <w:t xml:space="preserve"> </w:t>
      </w:r>
      <w:r w:rsidR="006A08C2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o </w:t>
      </w:r>
      <w:r w:rsidR="00D02A8B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D02A8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% </w:t>
      </w:r>
      <w:r w:rsidR="00F468D4">
        <w:rPr>
          <w:rFonts w:cs="Arial"/>
          <w:szCs w:val="20"/>
        </w:rPr>
        <w:t>oproti stejnému čtvrtletí</w:t>
      </w:r>
      <w:r>
        <w:rPr>
          <w:rFonts w:cs="Arial"/>
          <w:szCs w:val="20"/>
        </w:rPr>
        <w:t xml:space="preserve"> </w:t>
      </w:r>
      <w:r w:rsidR="00C5129F">
        <w:rPr>
          <w:rFonts w:cs="Arial"/>
          <w:szCs w:val="20"/>
        </w:rPr>
        <w:t>minulého</w:t>
      </w:r>
      <w:r>
        <w:rPr>
          <w:rFonts w:cs="Arial"/>
          <w:szCs w:val="20"/>
        </w:rPr>
        <w:t xml:space="preserve"> rok</w:t>
      </w:r>
      <w:r w:rsidR="00F468D4">
        <w:rPr>
          <w:rFonts w:cs="Arial"/>
          <w:szCs w:val="20"/>
        </w:rPr>
        <w:t>u</w:t>
      </w:r>
      <w:r w:rsidR="006A08C2">
        <w:rPr>
          <w:rFonts w:cs="Arial"/>
          <w:szCs w:val="20"/>
        </w:rPr>
        <w:t>.</w:t>
      </w:r>
      <w:r w:rsidR="00905EA0">
        <w:rPr>
          <w:rFonts w:cs="Arial"/>
          <w:szCs w:val="20"/>
        </w:rPr>
        <w:t xml:space="preserve"> </w:t>
      </w:r>
      <w:r w:rsidRPr="0073261E">
        <w:rPr>
          <w:rFonts w:cs="Arial"/>
          <w:b/>
          <w:szCs w:val="20"/>
        </w:rPr>
        <w:t>Výdaje na konečnou spotřebu vládních institucí</w:t>
      </w:r>
      <w:r w:rsidR="00CE4410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zvýšily </w:t>
      </w:r>
      <w:proofErr w:type="spellStart"/>
      <w:r w:rsidR="00166C89" w:rsidRPr="0073261E">
        <w:rPr>
          <w:rFonts w:cs="Arial"/>
          <w:szCs w:val="20"/>
        </w:rPr>
        <w:t>mezičtvrtletn</w:t>
      </w:r>
      <w:r w:rsidR="00905EA0">
        <w:rPr>
          <w:rFonts w:cs="Arial"/>
          <w:szCs w:val="20"/>
        </w:rPr>
        <w:t>ě</w:t>
      </w:r>
      <w:proofErr w:type="spellEnd"/>
      <w:r w:rsidR="00905EA0">
        <w:rPr>
          <w:rFonts w:cs="Arial"/>
          <w:szCs w:val="20"/>
        </w:rPr>
        <w:t xml:space="preserve"> o 1,6 </w:t>
      </w:r>
      <w:r w:rsidR="00166C89">
        <w:rPr>
          <w:rFonts w:cs="Arial"/>
          <w:szCs w:val="20"/>
        </w:rPr>
        <w:t xml:space="preserve">% a </w:t>
      </w:r>
      <w:r>
        <w:rPr>
          <w:rFonts w:cs="Arial"/>
          <w:szCs w:val="20"/>
        </w:rPr>
        <w:t>me</w:t>
      </w:r>
      <w:r w:rsidRPr="0073261E">
        <w:rPr>
          <w:rFonts w:cs="Arial"/>
          <w:szCs w:val="20"/>
        </w:rPr>
        <w:t>ziročně o </w:t>
      </w:r>
      <w:r>
        <w:rPr>
          <w:rFonts w:cs="Arial"/>
          <w:szCs w:val="20"/>
        </w:rPr>
        <w:t>3</w:t>
      </w:r>
      <w:r w:rsidRPr="0073261E">
        <w:rPr>
          <w:rFonts w:cs="Arial"/>
          <w:szCs w:val="20"/>
        </w:rPr>
        <w:t>,</w:t>
      </w:r>
      <w:r w:rsidR="009D3A44">
        <w:rPr>
          <w:rFonts w:cs="Arial"/>
          <w:szCs w:val="20"/>
        </w:rPr>
        <w:t>4</w:t>
      </w:r>
      <w:r w:rsidR="00166C89">
        <w:rPr>
          <w:rFonts w:cs="Arial"/>
          <w:szCs w:val="20"/>
        </w:rPr>
        <w:t> %.</w:t>
      </w:r>
    </w:p>
    <w:p w:rsidR="00897E20" w:rsidRDefault="007A35BC" w:rsidP="00897E20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Tvorba hrubého fixního kapitálu </w:t>
      </w:r>
      <w:r w:rsidR="00623EC3" w:rsidRPr="00623EC3">
        <w:rPr>
          <w:rFonts w:cs="Arial"/>
          <w:szCs w:val="20"/>
        </w:rPr>
        <w:t>(THFK)</w:t>
      </w:r>
      <w:r w:rsidR="00623EC3">
        <w:rPr>
          <w:rFonts w:cs="Arial"/>
          <w:b/>
          <w:szCs w:val="20"/>
        </w:rPr>
        <w:t xml:space="preserve"> </w:t>
      </w:r>
      <w:r w:rsidR="00166C89" w:rsidRPr="00166C89">
        <w:rPr>
          <w:rFonts w:cs="Arial"/>
          <w:szCs w:val="20"/>
        </w:rPr>
        <w:t>v mezičtvrtletním srovnání</w:t>
      </w:r>
      <w:r w:rsidR="00166C89">
        <w:rPr>
          <w:rFonts w:cs="Arial"/>
          <w:szCs w:val="20"/>
        </w:rPr>
        <w:t xml:space="preserve"> poklesla o 2,0 %</w:t>
      </w:r>
      <w:r w:rsidR="00182DDE">
        <w:rPr>
          <w:rFonts w:cs="Arial"/>
          <w:szCs w:val="20"/>
        </w:rPr>
        <w:t>.</w:t>
      </w:r>
      <w:r w:rsidR="00166C89">
        <w:rPr>
          <w:rFonts w:cs="Arial"/>
          <w:szCs w:val="20"/>
        </w:rPr>
        <w:t xml:space="preserve"> </w:t>
      </w:r>
      <w:r w:rsidR="00182DDE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eziročně </w:t>
      </w:r>
      <w:r w:rsidR="00166C89">
        <w:rPr>
          <w:rFonts w:cs="Arial"/>
          <w:szCs w:val="20"/>
        </w:rPr>
        <w:t>však nadále rostla, a to</w:t>
      </w:r>
      <w:r>
        <w:rPr>
          <w:rFonts w:cs="Arial"/>
          <w:szCs w:val="20"/>
        </w:rPr>
        <w:t xml:space="preserve"> o 3,4 %</w:t>
      </w:r>
      <w:r w:rsidR="00166C8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623EC3">
        <w:rPr>
          <w:rFonts w:cs="Arial"/>
          <w:szCs w:val="20"/>
        </w:rPr>
        <w:t>THFK</w:t>
      </w:r>
      <w:r>
        <w:rPr>
          <w:rFonts w:cs="Arial"/>
          <w:szCs w:val="20"/>
        </w:rPr>
        <w:t xml:space="preserve"> byla podpořena zejména </w:t>
      </w:r>
      <w:r w:rsidR="00623EC3">
        <w:rPr>
          <w:rFonts w:cs="Arial"/>
          <w:szCs w:val="20"/>
        </w:rPr>
        <w:t xml:space="preserve">investiční aktivitou </w:t>
      </w:r>
      <w:r>
        <w:rPr>
          <w:rFonts w:cs="Arial"/>
          <w:szCs w:val="20"/>
        </w:rPr>
        <w:t>sektor</w:t>
      </w:r>
      <w:r w:rsidR="00623EC3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vládních institucí.</w:t>
      </w:r>
      <w:r w:rsidR="006D7C31">
        <w:rPr>
          <w:rFonts w:cs="Arial"/>
          <w:szCs w:val="20"/>
        </w:rPr>
        <w:t xml:space="preserve"> Z hlediska typu aktiv </w:t>
      </w:r>
      <w:r w:rsidR="00166C89">
        <w:rPr>
          <w:rFonts w:cs="Arial"/>
          <w:szCs w:val="20"/>
        </w:rPr>
        <w:t xml:space="preserve">významně posílily </w:t>
      </w:r>
      <w:r w:rsidR="006D7C31" w:rsidRPr="00173B79">
        <w:rPr>
          <w:rFonts w:cs="Arial"/>
          <w:szCs w:val="20"/>
        </w:rPr>
        <w:t>investic</w:t>
      </w:r>
      <w:r w:rsidR="00166C89">
        <w:rPr>
          <w:rFonts w:cs="Arial"/>
          <w:szCs w:val="20"/>
        </w:rPr>
        <w:t>e</w:t>
      </w:r>
      <w:r w:rsidR="006D7C31" w:rsidRPr="00173B79">
        <w:rPr>
          <w:rFonts w:cs="Arial"/>
          <w:szCs w:val="20"/>
        </w:rPr>
        <w:t xml:space="preserve"> do </w:t>
      </w:r>
      <w:r w:rsidR="00897E20">
        <w:rPr>
          <w:rFonts w:cs="Arial"/>
          <w:szCs w:val="20"/>
        </w:rPr>
        <w:t>obydlí</w:t>
      </w:r>
      <w:r w:rsidR="00166C89">
        <w:rPr>
          <w:rFonts w:cs="Arial"/>
          <w:szCs w:val="20"/>
        </w:rPr>
        <w:t>, následované investicemi do ostatních budov a staveb.</w:t>
      </w:r>
    </w:p>
    <w:p w:rsidR="006D7C31" w:rsidRDefault="006D7C31" w:rsidP="00897E20">
      <w:pPr>
        <w:spacing w:before="240" w:after="240"/>
        <w:rPr>
          <w:rFonts w:cs="Arial"/>
          <w:szCs w:val="20"/>
        </w:rPr>
      </w:pPr>
      <w:r w:rsidRPr="003A1712">
        <w:rPr>
          <w:rFonts w:cs="Arial"/>
          <w:b/>
          <w:szCs w:val="20"/>
        </w:rPr>
        <w:lastRenderedPageBreak/>
        <w:t>Saldo zahraničního obchodu</w:t>
      </w:r>
      <w:r>
        <w:rPr>
          <w:rFonts w:cs="Arial"/>
          <w:szCs w:val="20"/>
        </w:rPr>
        <w:t xml:space="preserve"> v běžných cenách se v 1. čtvrtletí meziročně </w:t>
      </w:r>
      <w:r w:rsidR="00166C89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166C89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48054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mld. korun. </w:t>
      </w:r>
      <w:r w:rsidR="00166C89">
        <w:rPr>
          <w:rFonts w:cs="Arial"/>
          <w:szCs w:val="20"/>
        </w:rPr>
        <w:t xml:space="preserve">Vývoz zboží a služeb </w:t>
      </w:r>
      <w:proofErr w:type="spellStart"/>
      <w:r w:rsidR="00166C89">
        <w:rPr>
          <w:rFonts w:cs="Arial"/>
          <w:szCs w:val="20"/>
        </w:rPr>
        <w:t>mezičtvrtletně</w:t>
      </w:r>
      <w:proofErr w:type="spellEnd"/>
      <w:r w:rsidR="00166C89">
        <w:rPr>
          <w:rFonts w:cs="Arial"/>
          <w:szCs w:val="20"/>
        </w:rPr>
        <w:t xml:space="preserve"> klesl o 1,0 %, meziročně se zvýšil o </w:t>
      </w:r>
      <w:r w:rsidR="00C85346">
        <w:rPr>
          <w:rFonts w:cs="Arial"/>
          <w:szCs w:val="20"/>
        </w:rPr>
        <w:t xml:space="preserve">2,0 %. </w:t>
      </w:r>
      <w:r w:rsidR="00480547">
        <w:rPr>
          <w:rFonts w:cs="Arial"/>
          <w:szCs w:val="20"/>
        </w:rPr>
        <w:t>Meziroční r</w:t>
      </w:r>
      <w:r w:rsidR="00DD6B92" w:rsidRPr="00DD6B92">
        <w:rPr>
          <w:rFonts w:cs="Arial"/>
          <w:szCs w:val="20"/>
        </w:rPr>
        <w:t xml:space="preserve">ůst vývozu byl tažen </w:t>
      </w:r>
      <w:r w:rsidR="002B0E93">
        <w:rPr>
          <w:rFonts w:cs="Arial"/>
          <w:szCs w:val="20"/>
        </w:rPr>
        <w:t>hlavně</w:t>
      </w:r>
      <w:r w:rsidR="00DD6B92" w:rsidRPr="00DD6B92">
        <w:rPr>
          <w:rFonts w:cs="Arial"/>
          <w:szCs w:val="20"/>
        </w:rPr>
        <w:t xml:space="preserve"> obchodem s chemickými látk</w:t>
      </w:r>
      <w:r w:rsidR="00480547">
        <w:rPr>
          <w:rFonts w:cs="Arial"/>
          <w:szCs w:val="20"/>
        </w:rPr>
        <w:t>ami</w:t>
      </w:r>
      <w:r w:rsidR="00DD6B92" w:rsidRPr="00DD6B92">
        <w:rPr>
          <w:rFonts w:cs="Arial"/>
          <w:szCs w:val="20"/>
        </w:rPr>
        <w:t xml:space="preserve"> a přípravky a také potravinářskými výrobky. Naopak pokles dynamiky růstu vývozu se projevil v obchodě s elektronickými a optickými přístroji a s dopravními prostředky. </w:t>
      </w:r>
      <w:r>
        <w:rPr>
          <w:rFonts w:cs="Arial"/>
          <w:szCs w:val="20"/>
        </w:rPr>
        <w:t xml:space="preserve">Dovoz zboží a služeb </w:t>
      </w:r>
      <w:proofErr w:type="spellStart"/>
      <w:r w:rsidR="00C85346">
        <w:rPr>
          <w:rFonts w:cs="Arial"/>
          <w:szCs w:val="20"/>
        </w:rPr>
        <w:t>mezičtvrtletně</w:t>
      </w:r>
      <w:proofErr w:type="spellEnd"/>
      <w:r w:rsidR="00C85346">
        <w:rPr>
          <w:rFonts w:cs="Arial"/>
          <w:szCs w:val="20"/>
        </w:rPr>
        <w:t xml:space="preserve"> klesl o 0,6 %, meziročně se zvýšil o 2,1 %.</w:t>
      </w:r>
      <w:r w:rsidR="00736144">
        <w:rPr>
          <w:rFonts w:cs="Arial"/>
          <w:szCs w:val="20"/>
        </w:rPr>
        <w:t xml:space="preserve"> Na </w:t>
      </w:r>
      <w:r w:rsidR="00480547">
        <w:rPr>
          <w:rFonts w:cs="Arial"/>
          <w:szCs w:val="20"/>
        </w:rPr>
        <w:t xml:space="preserve">meziročním </w:t>
      </w:r>
      <w:r w:rsidR="00736144">
        <w:rPr>
          <w:rFonts w:cs="Arial"/>
          <w:szCs w:val="20"/>
        </w:rPr>
        <w:t>růstu dovozu se významně podílel</w:t>
      </w:r>
      <w:r w:rsidR="00DD6B92">
        <w:rPr>
          <w:rFonts w:cs="Arial"/>
          <w:szCs w:val="20"/>
        </w:rPr>
        <w:t xml:space="preserve">y </w:t>
      </w:r>
      <w:r w:rsidR="00736144" w:rsidRPr="00B577BC">
        <w:rPr>
          <w:rFonts w:cs="Arial"/>
          <w:szCs w:val="20"/>
        </w:rPr>
        <w:t xml:space="preserve">subdodávky pro </w:t>
      </w:r>
      <w:r w:rsidR="00736144">
        <w:rPr>
          <w:rFonts w:cs="Arial"/>
          <w:szCs w:val="20"/>
        </w:rPr>
        <w:t>elektronické a optické přístroje</w:t>
      </w:r>
      <w:r w:rsidR="00DD6B92">
        <w:rPr>
          <w:rFonts w:cs="Arial"/>
          <w:szCs w:val="20"/>
        </w:rPr>
        <w:t xml:space="preserve"> a stroje a zařízení</w:t>
      </w:r>
      <w:r w:rsidR="00736144">
        <w:rPr>
          <w:rFonts w:cs="Arial"/>
          <w:szCs w:val="20"/>
        </w:rPr>
        <w:t>.</w:t>
      </w:r>
    </w:p>
    <w:p w:rsidR="006D7C31" w:rsidRDefault="006D7C31" w:rsidP="006D7C31">
      <w:pPr>
        <w:spacing w:before="240" w:after="240"/>
        <w:rPr>
          <w:rFonts w:cs="Arial"/>
          <w:szCs w:val="20"/>
        </w:rPr>
      </w:pPr>
      <w:r w:rsidRPr="00B96475">
        <w:rPr>
          <w:rFonts w:cs="Arial"/>
          <w:szCs w:val="20"/>
        </w:rPr>
        <w:t>Z hlediska cenového vývoje v </w:t>
      </w:r>
      <w:r>
        <w:rPr>
          <w:rFonts w:cs="Arial"/>
          <w:szCs w:val="20"/>
        </w:rPr>
        <w:t>1</w:t>
      </w:r>
      <w:r w:rsidRPr="00B96475">
        <w:rPr>
          <w:rFonts w:cs="Arial"/>
          <w:szCs w:val="20"/>
        </w:rPr>
        <w:t xml:space="preserve">. čtvrtletí dosáhl meziroční </w:t>
      </w:r>
      <w:r>
        <w:rPr>
          <w:rFonts w:cs="Arial"/>
          <w:szCs w:val="20"/>
        </w:rPr>
        <w:t xml:space="preserve">celkový </w:t>
      </w:r>
      <w:r w:rsidRPr="00B96475">
        <w:rPr>
          <w:rFonts w:cs="Arial"/>
          <w:szCs w:val="20"/>
        </w:rPr>
        <w:t xml:space="preserve">deflátor </w:t>
      </w:r>
      <w:r>
        <w:rPr>
          <w:rFonts w:cs="Arial"/>
          <w:szCs w:val="20"/>
        </w:rPr>
        <w:t xml:space="preserve">HDP </w:t>
      </w:r>
      <w:r w:rsidR="006A0CE9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6A0CE9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%.</w:t>
      </w:r>
      <w:r w:rsidR="006A0CE9">
        <w:rPr>
          <w:rFonts w:cs="Arial"/>
          <w:szCs w:val="20"/>
        </w:rPr>
        <w:t xml:space="preserve"> Vyšší hodnoty dosáhl naposledy před 10 lety.</w:t>
      </w:r>
    </w:p>
    <w:p w:rsidR="005D5AB2" w:rsidRDefault="005D5AB2" w:rsidP="006D7C31">
      <w:pPr>
        <w:spacing w:before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Pr="00AF011D">
        <w:rPr>
          <w:rStyle w:val="Znakapoznpodarou"/>
        </w:rPr>
        <w:footnoteReference w:id="3"/>
      </w:r>
      <w:r w:rsidRPr="00AF011D">
        <w:rPr>
          <w:rFonts w:cs="Arial"/>
          <w:szCs w:val="20"/>
        </w:rPr>
        <w:t xml:space="preserve"> v </w:t>
      </w:r>
      <w:r w:rsidR="00B87DBB">
        <w:rPr>
          <w:rFonts w:cs="Arial"/>
          <w:szCs w:val="20"/>
        </w:rPr>
        <w:t>1</w:t>
      </w:r>
      <w:r w:rsidRPr="00AF011D">
        <w:rPr>
          <w:rFonts w:cs="Arial"/>
          <w:szCs w:val="20"/>
        </w:rPr>
        <w:t xml:space="preserve">. čtvrtletí vzrostl meziročně o </w:t>
      </w:r>
      <w:r w:rsidR="003D248C">
        <w:rPr>
          <w:rFonts w:cs="Arial"/>
          <w:szCs w:val="20"/>
        </w:rPr>
        <w:t>8</w:t>
      </w:r>
      <w:r w:rsidRPr="00AF011D">
        <w:rPr>
          <w:rFonts w:cs="Arial"/>
          <w:szCs w:val="20"/>
        </w:rPr>
        <w:t>,</w:t>
      </w:r>
      <w:r w:rsidR="003D248C">
        <w:rPr>
          <w:rFonts w:cs="Arial"/>
          <w:szCs w:val="20"/>
        </w:rPr>
        <w:t>1</w:t>
      </w:r>
      <w:r w:rsidRPr="00AF011D">
        <w:rPr>
          <w:rFonts w:cs="Arial"/>
          <w:szCs w:val="20"/>
        </w:rPr>
        <w:t xml:space="preserve"> %.</w:t>
      </w:r>
    </w:p>
    <w:p w:rsidR="00EC19C0" w:rsidRPr="007E5CB4" w:rsidRDefault="006D7C31" w:rsidP="006D7C31">
      <w:pPr>
        <w:spacing w:before="240"/>
      </w:pPr>
      <w:r w:rsidRPr="00315471">
        <w:t xml:space="preserve">Růst české ekonomiky byl i nadále provázen růstem zaměstnanosti. </w:t>
      </w:r>
      <w:r>
        <w:rPr>
          <w:rFonts w:cs="Arial"/>
          <w:szCs w:val="20"/>
        </w:rPr>
        <w:t xml:space="preserve">V tuzemsku bylo v 1. čtvrtletí </w:t>
      </w:r>
      <w:r w:rsidRPr="000B1D93">
        <w:rPr>
          <w:rFonts w:cs="Arial"/>
          <w:szCs w:val="20"/>
        </w:rPr>
        <w:t>zaměstnáno</w:t>
      </w:r>
      <w:r w:rsidRPr="00315471">
        <w:rPr>
          <w:rStyle w:val="Znakapoznpodarou"/>
        </w:rPr>
        <w:footnoteReference w:id="4"/>
      </w:r>
      <w:r>
        <w:rPr>
          <w:rFonts w:cs="Arial"/>
          <w:szCs w:val="20"/>
        </w:rPr>
        <w:t xml:space="preserve"> v průměru 5 </w:t>
      </w:r>
      <w:r w:rsidR="006A0CE9">
        <w:rPr>
          <w:rFonts w:cs="Arial"/>
          <w:szCs w:val="20"/>
        </w:rPr>
        <w:t>480</w:t>
      </w:r>
      <w:r>
        <w:rPr>
          <w:rFonts w:cs="Arial"/>
          <w:szCs w:val="20"/>
        </w:rPr>
        <w:t xml:space="preserve"> tisíc osob. </w:t>
      </w:r>
      <w:r>
        <w:rPr>
          <w:b/>
          <w:bCs/>
        </w:rPr>
        <w:t>Celková z</w:t>
      </w:r>
      <w:r w:rsidRPr="00315471">
        <w:rPr>
          <w:b/>
          <w:bCs/>
        </w:rPr>
        <w:t>aměstnanost</w:t>
      </w:r>
      <w:r w:rsidRPr="00315471">
        <w:t xml:space="preserve"> byla </w:t>
      </w:r>
      <w:r w:rsidRPr="00C013F6">
        <w:rPr>
          <w:b/>
        </w:rPr>
        <w:t xml:space="preserve">oproti předchozímu čtvrtletí </w:t>
      </w:r>
      <w:r w:rsidRPr="00315471">
        <w:rPr>
          <w:b/>
        </w:rPr>
        <w:t>o 0,</w:t>
      </w:r>
      <w:r>
        <w:rPr>
          <w:b/>
        </w:rPr>
        <w:t>5</w:t>
      </w:r>
      <w:r w:rsidRPr="00315471">
        <w:rPr>
          <w:b/>
        </w:rPr>
        <w:t xml:space="preserve"> % vyšší</w:t>
      </w:r>
      <w:r>
        <w:rPr>
          <w:b/>
        </w:rPr>
        <w:t>,</w:t>
      </w:r>
      <w:r w:rsidRPr="00C013F6">
        <w:rPr>
          <w:b/>
        </w:rPr>
        <w:t xml:space="preserve"> meziročně</w:t>
      </w:r>
      <w:r w:rsidRPr="00315471">
        <w:t xml:space="preserve"> </w:t>
      </w:r>
      <w:r w:rsidRPr="00315471">
        <w:rPr>
          <w:b/>
        </w:rPr>
        <w:t xml:space="preserve">vzrostla o </w:t>
      </w:r>
      <w:r>
        <w:rPr>
          <w:b/>
        </w:rPr>
        <w:t>1</w:t>
      </w:r>
      <w:r w:rsidRPr="00315471">
        <w:rPr>
          <w:b/>
        </w:rPr>
        <w:t>,</w:t>
      </w:r>
      <w:r w:rsidR="006A0CE9">
        <w:rPr>
          <w:b/>
        </w:rPr>
        <w:t>4</w:t>
      </w:r>
      <w:r w:rsidRPr="00315471">
        <w:rPr>
          <w:b/>
        </w:rPr>
        <w:t> %</w:t>
      </w:r>
      <w:r w:rsidRPr="00315471">
        <w:t>.</w:t>
      </w:r>
      <w:r w:rsidR="005D5AB2">
        <w:t xml:space="preserve"> Celkem </w:t>
      </w:r>
      <w:r w:rsidR="005D5AB2" w:rsidRPr="0095162E">
        <w:t xml:space="preserve">bylo </w:t>
      </w:r>
      <w:proofErr w:type="spellStart"/>
      <w:r w:rsidR="008A4C52">
        <w:t>mezičtvrtletně</w:t>
      </w:r>
      <w:proofErr w:type="spellEnd"/>
      <w:r w:rsidR="00483540">
        <w:t xml:space="preserve"> </w:t>
      </w:r>
      <w:r w:rsidR="005D5AB2">
        <w:t xml:space="preserve">odpracováno </w:t>
      </w:r>
      <w:r w:rsidR="005D5AB2" w:rsidRPr="0095162E">
        <w:t>o</w:t>
      </w:r>
      <w:r w:rsidR="00483540">
        <w:t> </w:t>
      </w:r>
      <w:r w:rsidR="008A4C52">
        <w:t>0</w:t>
      </w:r>
      <w:r w:rsidR="005D5AB2">
        <w:t>,</w:t>
      </w:r>
      <w:r w:rsidR="008A4C52">
        <w:t>1</w:t>
      </w:r>
      <w:r w:rsidR="00483540">
        <w:t> </w:t>
      </w:r>
      <w:r w:rsidR="005D5AB2" w:rsidRPr="0095162E">
        <w:t>% hodin více</w:t>
      </w:r>
      <w:r w:rsidR="008A4C52">
        <w:t>, meziročně o 2,4 %.</w:t>
      </w:r>
    </w:p>
    <w:p w:rsidR="00EC19C0" w:rsidRPr="004E3EF6" w:rsidRDefault="00EC19C0" w:rsidP="00EC19C0">
      <w:pPr>
        <w:pStyle w:val="Poznmky"/>
        <w:tabs>
          <w:tab w:val="left" w:pos="284"/>
        </w:tabs>
        <w:spacing w:before="240"/>
        <w:ind w:left="4253" w:hanging="4321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EC19C0" w:rsidRPr="004E3EF6" w:rsidRDefault="00EC19C0" w:rsidP="00EC19C0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EC19C0" w:rsidRPr="004E3EF6" w:rsidRDefault="00EC19C0" w:rsidP="00EC19C0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6D7C31">
        <w:t>23</w:t>
      </w:r>
      <w:r w:rsidRPr="004E3EF6">
        <w:t xml:space="preserve">. </w:t>
      </w:r>
      <w:r w:rsidR="006D7C31">
        <w:t>května</w:t>
      </w:r>
      <w:r w:rsidRPr="004E3EF6">
        <w:t xml:space="preserve"> 201</w:t>
      </w:r>
      <w:r w:rsidR="000C01D5">
        <w:t>9</w:t>
      </w:r>
    </w:p>
    <w:p w:rsidR="00EC19C0" w:rsidRPr="00FE1D62" w:rsidRDefault="00EC19C0" w:rsidP="00EC19C0">
      <w:pPr>
        <w:pStyle w:val="Poznamkytexty"/>
        <w:spacing w:before="120"/>
        <w:ind w:left="4253" w:hanging="4253"/>
      </w:pPr>
      <w:r w:rsidRPr="00FE1D62">
        <w:t>Časové řady:</w:t>
      </w:r>
      <w:r w:rsidRPr="00FE1D62">
        <w:tab/>
      </w:r>
      <w:hyperlink r:id="rId9" w:history="1">
        <w:r w:rsidRPr="00FE1D62">
          <w:rPr>
            <w:rStyle w:val="Hypertextovodkaz"/>
          </w:rPr>
          <w:t>https://www.czso.cz/csu/czso/hdp_cr</w:t>
        </w:r>
      </w:hyperlink>
      <w:r w:rsidRPr="00FE1D62">
        <w:t xml:space="preserve"> </w:t>
      </w:r>
    </w:p>
    <w:p w:rsidR="00EC19C0" w:rsidRPr="00424047" w:rsidRDefault="00EC19C0" w:rsidP="00EC19C0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EC19C0" w:rsidRDefault="00EC19C0" w:rsidP="00EC19C0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  <w:t>1</w:t>
      </w:r>
      <w:r w:rsidR="002C7B5A">
        <w:t>4</w:t>
      </w:r>
      <w:r w:rsidRPr="00FE1D62">
        <w:t xml:space="preserve">. </w:t>
      </w:r>
      <w:r w:rsidR="006D7C31">
        <w:t>srpna</w:t>
      </w:r>
      <w:r w:rsidRPr="00FE1D62">
        <w:t xml:space="preserve"> 201</w:t>
      </w:r>
      <w:r w:rsidR="000C01D5">
        <w:t>9</w:t>
      </w:r>
      <w:r w:rsidRPr="00FE1D62">
        <w:t xml:space="preserve"> </w:t>
      </w:r>
      <w:r w:rsidRPr="00FE1D62">
        <w:br/>
        <w:t xml:space="preserve">(Předběžný odhad HDP za </w:t>
      </w:r>
      <w:r w:rsidR="006D7C31">
        <w:t>2</w:t>
      </w:r>
      <w:r w:rsidRPr="00FE1D62">
        <w:t>. čtvrtletí 201</w:t>
      </w:r>
      <w:r w:rsidR="000C01D5">
        <w:t>9</w:t>
      </w:r>
      <w:r w:rsidRPr="00FE1D62">
        <w:t>)</w:t>
      </w:r>
    </w:p>
    <w:p w:rsidR="00D209A7" w:rsidRPr="00EC19C0" w:rsidRDefault="00D209A7" w:rsidP="00EC19C0"/>
    <w:sectPr w:rsidR="00D209A7" w:rsidRPr="00EC19C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93" w:rsidRDefault="00C41993" w:rsidP="00BA6370">
      <w:r>
        <w:separator/>
      </w:r>
    </w:p>
  </w:endnote>
  <w:endnote w:type="continuationSeparator" w:id="0">
    <w:p w:rsidR="00C41993" w:rsidRDefault="00C4199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BB24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93" w:rsidRDefault="00C41993" w:rsidP="00BA6370">
      <w:r>
        <w:separator/>
      </w:r>
    </w:p>
  </w:footnote>
  <w:footnote w:type="continuationSeparator" w:id="0">
    <w:p w:rsidR="00C41993" w:rsidRDefault="00C41993" w:rsidP="00BA6370">
      <w:r>
        <w:continuationSeparator/>
      </w:r>
    </w:p>
  </w:footnote>
  <w:footnote w:id="1">
    <w:p w:rsidR="006D7C31" w:rsidRPr="00652020" w:rsidRDefault="006D7C31" w:rsidP="006D7C31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D7237A" w:rsidRPr="00403FFD" w:rsidRDefault="00D7237A" w:rsidP="00D7237A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5D5AB2" w:rsidRPr="00943006" w:rsidRDefault="005D5AB2" w:rsidP="005D5AB2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6D7C31" w:rsidRPr="00943006" w:rsidRDefault="006D7C31" w:rsidP="006D7C31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A58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0772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899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FE0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E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B95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BC3B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42D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5"/>
    <w:rsid w:val="00006624"/>
    <w:rsid w:val="00035E04"/>
    <w:rsid w:val="00043BF4"/>
    <w:rsid w:val="00050AC3"/>
    <w:rsid w:val="000843A5"/>
    <w:rsid w:val="000910DA"/>
    <w:rsid w:val="000966A5"/>
    <w:rsid w:val="00096D6C"/>
    <w:rsid w:val="000B33D3"/>
    <w:rsid w:val="000B6F63"/>
    <w:rsid w:val="000C01D5"/>
    <w:rsid w:val="000D093F"/>
    <w:rsid w:val="000D2FFB"/>
    <w:rsid w:val="000E43CC"/>
    <w:rsid w:val="00112B77"/>
    <w:rsid w:val="001228C2"/>
    <w:rsid w:val="00137DD4"/>
    <w:rsid w:val="001404AB"/>
    <w:rsid w:val="001505BE"/>
    <w:rsid w:val="001649DC"/>
    <w:rsid w:val="00166C89"/>
    <w:rsid w:val="0017231D"/>
    <w:rsid w:val="001810DC"/>
    <w:rsid w:val="00182DDE"/>
    <w:rsid w:val="001954A0"/>
    <w:rsid w:val="001B2417"/>
    <w:rsid w:val="001B607F"/>
    <w:rsid w:val="001C45D6"/>
    <w:rsid w:val="001D369A"/>
    <w:rsid w:val="001E7966"/>
    <w:rsid w:val="001F00B7"/>
    <w:rsid w:val="001F08B3"/>
    <w:rsid w:val="001F0B38"/>
    <w:rsid w:val="001F2FE0"/>
    <w:rsid w:val="00200854"/>
    <w:rsid w:val="002070FB"/>
    <w:rsid w:val="00213729"/>
    <w:rsid w:val="002406FA"/>
    <w:rsid w:val="00241052"/>
    <w:rsid w:val="00242A23"/>
    <w:rsid w:val="002440F7"/>
    <w:rsid w:val="0026107B"/>
    <w:rsid w:val="002A4167"/>
    <w:rsid w:val="002B0E93"/>
    <w:rsid w:val="002B2E47"/>
    <w:rsid w:val="002B7DCE"/>
    <w:rsid w:val="002C7B5A"/>
    <w:rsid w:val="002D4AD6"/>
    <w:rsid w:val="002E0537"/>
    <w:rsid w:val="002E4017"/>
    <w:rsid w:val="003130FF"/>
    <w:rsid w:val="003301A3"/>
    <w:rsid w:val="00330E26"/>
    <w:rsid w:val="00362452"/>
    <w:rsid w:val="0036777B"/>
    <w:rsid w:val="00380D78"/>
    <w:rsid w:val="0038282A"/>
    <w:rsid w:val="0039657A"/>
    <w:rsid w:val="00397580"/>
    <w:rsid w:val="003A45C8"/>
    <w:rsid w:val="003C2DCF"/>
    <w:rsid w:val="003C7FE7"/>
    <w:rsid w:val="003D0499"/>
    <w:rsid w:val="003D248C"/>
    <w:rsid w:val="003D3576"/>
    <w:rsid w:val="003E3206"/>
    <w:rsid w:val="003F526A"/>
    <w:rsid w:val="00403BD3"/>
    <w:rsid w:val="00405244"/>
    <w:rsid w:val="004154C7"/>
    <w:rsid w:val="00426829"/>
    <w:rsid w:val="004312A0"/>
    <w:rsid w:val="004436EE"/>
    <w:rsid w:val="0045547F"/>
    <w:rsid w:val="004670A8"/>
    <w:rsid w:val="00471DEF"/>
    <w:rsid w:val="00476FE3"/>
    <w:rsid w:val="00480547"/>
    <w:rsid w:val="00483540"/>
    <w:rsid w:val="004920AD"/>
    <w:rsid w:val="004923F3"/>
    <w:rsid w:val="004A41D3"/>
    <w:rsid w:val="004A7E2D"/>
    <w:rsid w:val="004B14C9"/>
    <w:rsid w:val="004B1901"/>
    <w:rsid w:val="004B7E30"/>
    <w:rsid w:val="004D05B3"/>
    <w:rsid w:val="004D125E"/>
    <w:rsid w:val="004E479E"/>
    <w:rsid w:val="004F686C"/>
    <w:rsid w:val="004F78E6"/>
    <w:rsid w:val="004F7D29"/>
    <w:rsid w:val="0050420E"/>
    <w:rsid w:val="00512D99"/>
    <w:rsid w:val="00531DBB"/>
    <w:rsid w:val="005410E5"/>
    <w:rsid w:val="005442A9"/>
    <w:rsid w:val="00573994"/>
    <w:rsid w:val="005A4AFE"/>
    <w:rsid w:val="005B1159"/>
    <w:rsid w:val="005D5AB2"/>
    <w:rsid w:val="005E36BC"/>
    <w:rsid w:val="005E398D"/>
    <w:rsid w:val="005F0B2D"/>
    <w:rsid w:val="005F79FB"/>
    <w:rsid w:val="00604406"/>
    <w:rsid w:val="00605E65"/>
    <w:rsid w:val="00605F4A"/>
    <w:rsid w:val="00607822"/>
    <w:rsid w:val="006103AA"/>
    <w:rsid w:val="00613BBF"/>
    <w:rsid w:val="00622B80"/>
    <w:rsid w:val="00623EC3"/>
    <w:rsid w:val="00624CC7"/>
    <w:rsid w:val="0064139A"/>
    <w:rsid w:val="006931CF"/>
    <w:rsid w:val="006A08C2"/>
    <w:rsid w:val="006A0CE9"/>
    <w:rsid w:val="006D7C31"/>
    <w:rsid w:val="006E024F"/>
    <w:rsid w:val="006E4E81"/>
    <w:rsid w:val="00701811"/>
    <w:rsid w:val="00707F7D"/>
    <w:rsid w:val="00717EC5"/>
    <w:rsid w:val="00736144"/>
    <w:rsid w:val="00741BA4"/>
    <w:rsid w:val="0074303E"/>
    <w:rsid w:val="007477BC"/>
    <w:rsid w:val="00754C20"/>
    <w:rsid w:val="007A2048"/>
    <w:rsid w:val="007A35BC"/>
    <w:rsid w:val="007A57F2"/>
    <w:rsid w:val="007B1333"/>
    <w:rsid w:val="007B5111"/>
    <w:rsid w:val="007B7F05"/>
    <w:rsid w:val="007D6223"/>
    <w:rsid w:val="007F1C1E"/>
    <w:rsid w:val="007F4AEB"/>
    <w:rsid w:val="007F75B2"/>
    <w:rsid w:val="00803993"/>
    <w:rsid w:val="008043C4"/>
    <w:rsid w:val="008202E1"/>
    <w:rsid w:val="00831B1B"/>
    <w:rsid w:val="00855FB3"/>
    <w:rsid w:val="00861D0E"/>
    <w:rsid w:val="00862FC6"/>
    <w:rsid w:val="008662BB"/>
    <w:rsid w:val="00867569"/>
    <w:rsid w:val="00870F1E"/>
    <w:rsid w:val="00882ED4"/>
    <w:rsid w:val="00897E20"/>
    <w:rsid w:val="008A06DD"/>
    <w:rsid w:val="008A4C52"/>
    <w:rsid w:val="008A750A"/>
    <w:rsid w:val="008B3970"/>
    <w:rsid w:val="008B6AF1"/>
    <w:rsid w:val="008C384C"/>
    <w:rsid w:val="008D0F11"/>
    <w:rsid w:val="008F2B27"/>
    <w:rsid w:val="008F73B4"/>
    <w:rsid w:val="00905EA0"/>
    <w:rsid w:val="00917347"/>
    <w:rsid w:val="00942182"/>
    <w:rsid w:val="009429E3"/>
    <w:rsid w:val="009576D4"/>
    <w:rsid w:val="00965891"/>
    <w:rsid w:val="00986DD7"/>
    <w:rsid w:val="009B187F"/>
    <w:rsid w:val="009B55B1"/>
    <w:rsid w:val="009C5A53"/>
    <w:rsid w:val="009D3A44"/>
    <w:rsid w:val="00A0762A"/>
    <w:rsid w:val="00A167E6"/>
    <w:rsid w:val="00A30C40"/>
    <w:rsid w:val="00A32509"/>
    <w:rsid w:val="00A4343D"/>
    <w:rsid w:val="00A502F1"/>
    <w:rsid w:val="00A547CD"/>
    <w:rsid w:val="00A63E97"/>
    <w:rsid w:val="00A70A83"/>
    <w:rsid w:val="00A81EB3"/>
    <w:rsid w:val="00A87CF6"/>
    <w:rsid w:val="00AB3410"/>
    <w:rsid w:val="00AB4F10"/>
    <w:rsid w:val="00AE1E12"/>
    <w:rsid w:val="00B00C1D"/>
    <w:rsid w:val="00B033BD"/>
    <w:rsid w:val="00B55375"/>
    <w:rsid w:val="00B571C2"/>
    <w:rsid w:val="00B632CC"/>
    <w:rsid w:val="00B87DBB"/>
    <w:rsid w:val="00B95079"/>
    <w:rsid w:val="00BA12F1"/>
    <w:rsid w:val="00BA2AE7"/>
    <w:rsid w:val="00BA439F"/>
    <w:rsid w:val="00BA6370"/>
    <w:rsid w:val="00BF5C4C"/>
    <w:rsid w:val="00C171C4"/>
    <w:rsid w:val="00C269D4"/>
    <w:rsid w:val="00C33C64"/>
    <w:rsid w:val="00C37ADB"/>
    <w:rsid w:val="00C4160D"/>
    <w:rsid w:val="00C41993"/>
    <w:rsid w:val="00C447A5"/>
    <w:rsid w:val="00C5129F"/>
    <w:rsid w:val="00C7611F"/>
    <w:rsid w:val="00C8406E"/>
    <w:rsid w:val="00C85346"/>
    <w:rsid w:val="00CA6960"/>
    <w:rsid w:val="00CB2709"/>
    <w:rsid w:val="00CB4034"/>
    <w:rsid w:val="00CB6F89"/>
    <w:rsid w:val="00CC0AE9"/>
    <w:rsid w:val="00CE0A5D"/>
    <w:rsid w:val="00CE228C"/>
    <w:rsid w:val="00CE4410"/>
    <w:rsid w:val="00CE71D9"/>
    <w:rsid w:val="00CF545B"/>
    <w:rsid w:val="00D02A8B"/>
    <w:rsid w:val="00D209A7"/>
    <w:rsid w:val="00D22BD2"/>
    <w:rsid w:val="00D27642"/>
    <w:rsid w:val="00D27D69"/>
    <w:rsid w:val="00D32CD4"/>
    <w:rsid w:val="00D33658"/>
    <w:rsid w:val="00D36A1F"/>
    <w:rsid w:val="00D40C55"/>
    <w:rsid w:val="00D448C2"/>
    <w:rsid w:val="00D6336C"/>
    <w:rsid w:val="00D6622D"/>
    <w:rsid w:val="00D666C3"/>
    <w:rsid w:val="00D7237A"/>
    <w:rsid w:val="00D9189F"/>
    <w:rsid w:val="00DA2784"/>
    <w:rsid w:val="00DC24D4"/>
    <w:rsid w:val="00DD461E"/>
    <w:rsid w:val="00DD6B92"/>
    <w:rsid w:val="00DF47FE"/>
    <w:rsid w:val="00E0156A"/>
    <w:rsid w:val="00E07446"/>
    <w:rsid w:val="00E22A58"/>
    <w:rsid w:val="00E26704"/>
    <w:rsid w:val="00E26A1C"/>
    <w:rsid w:val="00E31980"/>
    <w:rsid w:val="00E3716E"/>
    <w:rsid w:val="00E539F9"/>
    <w:rsid w:val="00E62C8B"/>
    <w:rsid w:val="00E6423C"/>
    <w:rsid w:val="00E72FBF"/>
    <w:rsid w:val="00E93830"/>
    <w:rsid w:val="00E93E0E"/>
    <w:rsid w:val="00E966CE"/>
    <w:rsid w:val="00EB1ED3"/>
    <w:rsid w:val="00EB3142"/>
    <w:rsid w:val="00EC19C0"/>
    <w:rsid w:val="00EC1B98"/>
    <w:rsid w:val="00EF7AED"/>
    <w:rsid w:val="00F15816"/>
    <w:rsid w:val="00F42D27"/>
    <w:rsid w:val="00F43E00"/>
    <w:rsid w:val="00F468D4"/>
    <w:rsid w:val="00F55C21"/>
    <w:rsid w:val="00F75F2A"/>
    <w:rsid w:val="00F80FFC"/>
    <w:rsid w:val="00FA015E"/>
    <w:rsid w:val="00FB687C"/>
    <w:rsid w:val="00FC6280"/>
    <w:rsid w:val="00FD32A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727051DA"/>
  <w15:docId w15:val="{1D8A3637-006D-4E6A-8E57-BA98C65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D622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7D6223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6223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7D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OV~1\AppData\Local\Temp\Rychl&#225;%20informace%20CZ_2019-01-25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8FED-A998-4CE6-8870-4E0907AB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24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Švecová</dc:creator>
  <cp:keywords/>
  <cp:lastModifiedBy>Jana Švecová</cp:lastModifiedBy>
  <cp:revision>11</cp:revision>
  <cp:lastPrinted>2019-05-29T13:04:00Z</cp:lastPrinted>
  <dcterms:created xsi:type="dcterms:W3CDTF">2019-05-29T13:30:00Z</dcterms:created>
  <dcterms:modified xsi:type="dcterms:W3CDTF">2019-05-30T04:48:00Z</dcterms:modified>
</cp:coreProperties>
</file>