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2" w:rsidRDefault="00C44EE4" w:rsidP="00A05D32">
      <w:pPr>
        <w:pStyle w:val="Datum"/>
        <w:spacing w:line="360" w:lineRule="auto"/>
      </w:pPr>
      <w:r>
        <w:t>2</w:t>
      </w:r>
      <w:r w:rsidR="00A05D32">
        <w:t>. </w:t>
      </w:r>
      <w:r>
        <w:t>10</w:t>
      </w:r>
      <w:r w:rsidR="00A05D32">
        <w:t>. 2019</w:t>
      </w:r>
    </w:p>
    <w:p w:rsidR="00A05D32" w:rsidRPr="00D75F5F" w:rsidRDefault="00616E81" w:rsidP="00A05D32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Přebytek hospodaření dosáhl 58,4 mld.</w:t>
      </w:r>
      <w:r w:rsidR="00A42674">
        <w:rPr>
          <w:color w:val="BD1B21"/>
          <w:sz w:val="32"/>
          <w:szCs w:val="32"/>
        </w:rPr>
        <w:t xml:space="preserve"> Kč</w:t>
      </w:r>
    </w:p>
    <w:p w:rsidR="00A05D32" w:rsidRPr="00D75F5F" w:rsidRDefault="00A05D32" w:rsidP="00A05D32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>
        <w:rPr>
          <w:color w:val="auto"/>
          <w:sz w:val="28"/>
          <w:szCs w:val="28"/>
        </w:rPr>
        <w:t>8</w:t>
      </w:r>
    </w:p>
    <w:p w:rsidR="00A05D32" w:rsidRDefault="00A05D32" w:rsidP="00A05D32"/>
    <w:p w:rsidR="00A05D32" w:rsidRPr="00D55535" w:rsidRDefault="00A05D32" w:rsidP="00A05D32">
      <w:pPr>
        <w:rPr>
          <w:b/>
        </w:rPr>
      </w:pPr>
      <w:r w:rsidRPr="00D55535">
        <w:rPr>
          <w:b/>
        </w:rPr>
        <w:t xml:space="preserve">Saldo hospodaření sektoru vládních institucí skončilo za rok 2018 přebytkem ve výši </w:t>
      </w:r>
      <w:r w:rsidRPr="00D55535">
        <w:rPr>
          <w:b/>
        </w:rPr>
        <w:br/>
      </w:r>
      <w:r w:rsidR="0034514E">
        <w:rPr>
          <w:b/>
        </w:rPr>
        <w:t>58,4</w:t>
      </w:r>
      <w:r w:rsidRPr="00D55535">
        <w:rPr>
          <w:b/>
        </w:rPr>
        <w:t xml:space="preserve"> miliardy Kč, jenž v relativním vyjádření odpovídá </w:t>
      </w:r>
      <w:r w:rsidR="0034514E">
        <w:rPr>
          <w:b/>
        </w:rPr>
        <w:t>1,10</w:t>
      </w:r>
      <w:r w:rsidRPr="00D55535">
        <w:rPr>
          <w:b/>
        </w:rPr>
        <w:t xml:space="preserve"> % HDP. </w:t>
      </w:r>
      <w:r w:rsidR="00C44EE4">
        <w:rPr>
          <w:b/>
        </w:rPr>
        <w:t>Oproti prvním notifikacím vzrostl přebytek o</w:t>
      </w:r>
      <w:r w:rsidR="0034514E">
        <w:rPr>
          <w:b/>
        </w:rPr>
        <w:t xml:space="preserve"> 11,0 mld. Kč</w:t>
      </w:r>
      <w:r w:rsidR="00C44EE4">
        <w:rPr>
          <w:b/>
        </w:rPr>
        <w:t xml:space="preserve">. </w:t>
      </w:r>
      <w:r w:rsidRPr="00D55535">
        <w:rPr>
          <w:b/>
        </w:rPr>
        <w:t xml:space="preserve">Výše zadlužení sektoru dosáhla na konci roku 2018 </w:t>
      </w:r>
      <w:r w:rsidRPr="0034514E">
        <w:rPr>
          <w:b/>
        </w:rPr>
        <w:t>úrovně 32,</w:t>
      </w:r>
      <w:r w:rsidR="0034514E" w:rsidRPr="0034514E">
        <w:rPr>
          <w:b/>
        </w:rPr>
        <w:t>5</w:t>
      </w:r>
      <w:r w:rsidR="004B62E6">
        <w:rPr>
          <w:b/>
        </w:rPr>
        <w:t>5</w:t>
      </w:r>
      <w:r w:rsidRPr="0034514E">
        <w:rPr>
          <w:b/>
        </w:rPr>
        <w:t xml:space="preserve"> % HDP</w:t>
      </w:r>
      <w:r w:rsidRPr="00D55535">
        <w:rPr>
          <w:b/>
        </w:rPr>
        <w:t xml:space="preserve"> při meziročním poklesu o </w:t>
      </w:r>
      <w:r w:rsidR="0034514E">
        <w:rPr>
          <w:b/>
        </w:rPr>
        <w:t>2,1</w:t>
      </w:r>
      <w:r w:rsidR="004B62E6">
        <w:rPr>
          <w:b/>
        </w:rPr>
        <w:t>1</w:t>
      </w:r>
      <w:r w:rsidRPr="00D55535">
        <w:rPr>
          <w:b/>
        </w:rPr>
        <w:t xml:space="preserve"> procentního bodu (p.</w:t>
      </w:r>
      <w:r>
        <w:rPr>
          <w:b/>
        </w:rPr>
        <w:t> </w:t>
      </w:r>
      <w:r w:rsidRPr="00D55535">
        <w:rPr>
          <w:b/>
        </w:rPr>
        <w:t xml:space="preserve">b.). Uvedené fiskální údaje sloužící k hodnocení plnění maastrichtských konvergenčních kritérií byly zaslány Evropské komisi v rámci </w:t>
      </w:r>
      <w:r w:rsidR="00C44EE4">
        <w:rPr>
          <w:b/>
        </w:rPr>
        <w:t>druhých</w:t>
      </w:r>
      <w:r w:rsidRPr="00D55535">
        <w:rPr>
          <w:b/>
        </w:rPr>
        <w:t xml:space="preserve"> notifikací v roce 2019.</w:t>
      </w:r>
    </w:p>
    <w:p w:rsidR="00A05D32" w:rsidRDefault="00A05D32" w:rsidP="00A05D32"/>
    <w:p w:rsidR="00D12F43" w:rsidRDefault="00D12F43" w:rsidP="00D12F43">
      <w:pPr>
        <w:rPr>
          <w:rFonts w:cs="Arial"/>
          <w:szCs w:val="20"/>
        </w:rPr>
      </w:pPr>
      <w:r>
        <w:rPr>
          <w:rFonts w:cs="Arial"/>
          <w:szCs w:val="20"/>
        </w:rPr>
        <w:t xml:space="preserve">Saldo </w:t>
      </w:r>
      <w:r w:rsidRPr="00C678D9">
        <w:rPr>
          <w:rFonts w:cs="Arial"/>
          <w:szCs w:val="20"/>
        </w:rPr>
        <w:t>hospodaření vládních institucí v roce 2018 bylo revidováno oproti prvním notifikacím o</w:t>
      </w:r>
      <w:r w:rsidR="00952DEA">
        <w:rPr>
          <w:rFonts w:cs="Arial"/>
          <w:szCs w:val="20"/>
        </w:rPr>
        <w:t> </w:t>
      </w:r>
      <w:bookmarkStart w:id="0" w:name="_GoBack"/>
      <w:bookmarkEnd w:id="0"/>
      <w:r w:rsidR="00C678D9" w:rsidRPr="00C678D9">
        <w:rPr>
          <w:rFonts w:cs="Arial"/>
          <w:szCs w:val="20"/>
        </w:rPr>
        <w:t>11,0</w:t>
      </w:r>
      <w:r w:rsidR="00952DEA">
        <w:rPr>
          <w:rFonts w:cs="Arial"/>
          <w:szCs w:val="20"/>
        </w:rPr>
        <w:t> </w:t>
      </w:r>
      <w:r w:rsidRPr="00C678D9">
        <w:rPr>
          <w:rFonts w:cs="Arial"/>
          <w:szCs w:val="20"/>
        </w:rPr>
        <w:t>mld. Kč. Z</w:t>
      </w:r>
      <w:r>
        <w:rPr>
          <w:rFonts w:cs="Arial"/>
          <w:szCs w:val="20"/>
        </w:rPr>
        <w:t>výšení</w:t>
      </w:r>
      <w:r w:rsidRPr="00276E77">
        <w:rPr>
          <w:rFonts w:cs="Arial"/>
          <w:szCs w:val="20"/>
        </w:rPr>
        <w:t xml:space="preserve"> přebytku bylo způsobeno zejména aktualizovanými údaji </w:t>
      </w:r>
      <w:r>
        <w:rPr>
          <w:rFonts w:cs="Arial"/>
          <w:szCs w:val="20"/>
        </w:rPr>
        <w:t>o daňových příjmech</w:t>
      </w:r>
      <w:r w:rsidR="00FF689A">
        <w:rPr>
          <w:rFonts w:cs="Arial"/>
          <w:szCs w:val="20"/>
        </w:rPr>
        <w:t xml:space="preserve"> (+11,6 mld. Kč), a to zejména </w:t>
      </w:r>
      <w:r w:rsidR="00A02DBC">
        <w:rPr>
          <w:rFonts w:cs="Arial"/>
          <w:szCs w:val="20"/>
        </w:rPr>
        <w:t xml:space="preserve">o </w:t>
      </w:r>
      <w:r w:rsidR="004E1C8C">
        <w:rPr>
          <w:rFonts w:cs="Arial"/>
          <w:szCs w:val="20"/>
        </w:rPr>
        <w:t xml:space="preserve">běžných daní z důchodů </w:t>
      </w:r>
      <w:r w:rsidR="00FF689A">
        <w:rPr>
          <w:rFonts w:cs="Arial"/>
          <w:szCs w:val="20"/>
        </w:rPr>
        <w:t>(+1</w:t>
      </w:r>
      <w:r w:rsidR="004E1C8C">
        <w:rPr>
          <w:rFonts w:cs="Arial"/>
          <w:szCs w:val="20"/>
        </w:rPr>
        <w:t>1</w:t>
      </w:r>
      <w:r w:rsidR="00FF689A">
        <w:rPr>
          <w:rFonts w:cs="Arial"/>
          <w:szCs w:val="20"/>
        </w:rPr>
        <w:t>,8 mld. Kč).</w:t>
      </w:r>
      <w:r w:rsidR="00D87A47">
        <w:rPr>
          <w:rFonts w:cs="Arial"/>
          <w:szCs w:val="20"/>
        </w:rPr>
        <w:t xml:space="preserve"> </w:t>
      </w:r>
    </w:p>
    <w:p w:rsidR="00A05D32" w:rsidRPr="00556B2C" w:rsidRDefault="00A05D32" w:rsidP="00A05D32"/>
    <w:p w:rsidR="00A05D32" w:rsidRPr="00556B2C" w:rsidRDefault="00A05D32" w:rsidP="00A05D32">
      <w:pPr>
        <w:pStyle w:val="TabulkaGraf"/>
      </w:pPr>
      <w:r w:rsidRPr="00556B2C">
        <w:t>Notifikační tabulka deficitu a dluhu vládních institucí, Česká republika, 201</w:t>
      </w:r>
      <w:r>
        <w:t>5</w:t>
      </w:r>
      <w:r w:rsidR="00EA6BA8">
        <w:t>–</w:t>
      </w:r>
      <w:r w:rsidRPr="00556B2C">
        <w:t>201</w:t>
      </w:r>
      <w:r>
        <w:t>8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A05D32" w:rsidRPr="00556B2C" w:rsidTr="00B663A0">
        <w:trPr>
          <w:cantSplit/>
        </w:trPr>
        <w:tc>
          <w:tcPr>
            <w:tcW w:w="3261" w:type="dxa"/>
            <w:vMerge w:val="restart"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A05D32" w:rsidRPr="00556B2C" w:rsidTr="00B663A0">
        <w:trPr>
          <w:cantSplit/>
        </w:trPr>
        <w:tc>
          <w:tcPr>
            <w:tcW w:w="3261" w:type="dxa"/>
            <w:vMerge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−28 260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34 274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78 765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58 396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1 836 255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1 734 720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4 595 783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5 328 738</w:t>
            </w:r>
          </w:p>
        </w:tc>
      </w:tr>
      <w:tr w:rsidR="00CF26F1" w:rsidRPr="00556B2C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−0,61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1,10</w:t>
            </w:r>
          </w:p>
        </w:tc>
      </w:tr>
      <w:tr w:rsidR="00CF26F1" w:rsidRPr="00AB45CA" w:rsidTr="00B663A0">
        <w:tc>
          <w:tcPr>
            <w:tcW w:w="3261" w:type="dxa"/>
            <w:vAlign w:val="center"/>
          </w:tcPr>
          <w:p w:rsidR="00CF26F1" w:rsidRPr="00556B2C" w:rsidRDefault="00CF26F1" w:rsidP="00CF26F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CF26F1" w:rsidRPr="00556B2C" w:rsidRDefault="00CF26F1" w:rsidP="00CF26F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39,96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2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34,66</w:t>
            </w:r>
          </w:p>
        </w:tc>
        <w:tc>
          <w:tcPr>
            <w:tcW w:w="1043" w:type="dxa"/>
            <w:vAlign w:val="center"/>
          </w:tcPr>
          <w:p w:rsidR="00CF26F1" w:rsidRDefault="00CF26F1" w:rsidP="00CF26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32,55</w:t>
            </w:r>
          </w:p>
        </w:tc>
      </w:tr>
    </w:tbl>
    <w:p w:rsidR="00A05D32" w:rsidRPr="00AB45CA" w:rsidRDefault="00A05D32" w:rsidP="00A05D32">
      <w:pPr>
        <w:rPr>
          <w:rFonts w:cs="Arial"/>
          <w:szCs w:val="20"/>
          <w:highlight w:val="yellow"/>
        </w:rPr>
      </w:pPr>
    </w:p>
    <w:p w:rsidR="00A05D32" w:rsidRDefault="00D12F43" w:rsidP="00A05D32">
      <w:pPr>
        <w:rPr>
          <w:rFonts w:cs="Arial"/>
          <w:szCs w:val="20"/>
        </w:rPr>
      </w:pPr>
      <w:r>
        <w:rPr>
          <w:rFonts w:cs="Arial"/>
          <w:szCs w:val="20"/>
        </w:rPr>
        <w:t>Dle revidovaných údajů vzrostly c</w:t>
      </w:r>
      <w:r w:rsidR="00A05D32" w:rsidRPr="00E45FD0">
        <w:rPr>
          <w:rFonts w:cs="Arial"/>
          <w:szCs w:val="20"/>
        </w:rPr>
        <w:t xml:space="preserve">elkové příjmy sektoru vládních institucí meziročně o </w:t>
      </w:r>
      <w:r w:rsidR="00A05D32">
        <w:rPr>
          <w:rFonts w:cs="Arial"/>
          <w:szCs w:val="20"/>
        </w:rPr>
        <w:t>8,</w:t>
      </w:r>
      <w:r w:rsidR="00C175D8">
        <w:rPr>
          <w:rFonts w:cs="Arial"/>
          <w:szCs w:val="20"/>
        </w:rPr>
        <w:t>8</w:t>
      </w:r>
      <w:r w:rsidR="00A05D32" w:rsidRPr="00DF45B4">
        <w:rPr>
          <w:rFonts w:cs="Arial"/>
          <w:szCs w:val="20"/>
        </w:rPr>
        <w:t xml:space="preserve"> %</w:t>
      </w:r>
      <w:r w:rsidR="00A05D32">
        <w:rPr>
          <w:rFonts w:cs="Arial"/>
          <w:szCs w:val="20"/>
        </w:rPr>
        <w:t xml:space="preserve">, což představovalo absolutní nárůst o </w:t>
      </w:r>
      <w:r w:rsidR="00C175D8">
        <w:rPr>
          <w:rFonts w:cs="Arial"/>
          <w:szCs w:val="20"/>
        </w:rPr>
        <w:t>180,2</w:t>
      </w:r>
      <w:r w:rsidR="00A05D32">
        <w:rPr>
          <w:rFonts w:cs="Arial"/>
          <w:szCs w:val="20"/>
        </w:rPr>
        <w:t xml:space="preserve"> mld. Kč</w:t>
      </w:r>
      <w:r w:rsidR="00A05D32" w:rsidRPr="00DF45B4">
        <w:rPr>
          <w:rFonts w:cs="Arial"/>
          <w:szCs w:val="20"/>
        </w:rPr>
        <w:t xml:space="preserve">. </w:t>
      </w:r>
      <w:r w:rsidR="00A05D32">
        <w:rPr>
          <w:rFonts w:cs="Arial"/>
          <w:szCs w:val="20"/>
        </w:rPr>
        <w:t xml:space="preserve">Vzrostly všechny druhy příjmů, z čehož nejvíce </w:t>
      </w:r>
      <w:r w:rsidR="00A05D32" w:rsidRPr="00DF45B4">
        <w:rPr>
          <w:rFonts w:cs="Arial"/>
          <w:szCs w:val="20"/>
        </w:rPr>
        <w:t>sociální příspěvk</w:t>
      </w:r>
      <w:r w:rsidR="00A05D32">
        <w:rPr>
          <w:rFonts w:cs="Arial"/>
          <w:szCs w:val="20"/>
        </w:rPr>
        <w:t>y</w:t>
      </w:r>
      <w:r w:rsidR="00A05D32" w:rsidRPr="00DF45B4">
        <w:rPr>
          <w:rFonts w:cs="Arial"/>
          <w:szCs w:val="20"/>
        </w:rPr>
        <w:t xml:space="preserve"> (</w:t>
      </w:r>
      <w:r w:rsidR="00A05D32">
        <w:rPr>
          <w:rFonts w:cs="Arial"/>
          <w:szCs w:val="20"/>
        </w:rPr>
        <w:t xml:space="preserve">+74,3 mld., resp. </w:t>
      </w:r>
      <w:r w:rsidR="00C175D8">
        <w:rPr>
          <w:rFonts w:cs="Arial"/>
          <w:szCs w:val="20"/>
        </w:rPr>
        <w:t>9,8</w:t>
      </w:r>
      <w:r w:rsidR="00A05D32" w:rsidRPr="00DF45B4">
        <w:rPr>
          <w:rFonts w:cs="Arial"/>
          <w:szCs w:val="20"/>
        </w:rPr>
        <w:t xml:space="preserve"> %), </w:t>
      </w:r>
      <w:r w:rsidR="00A05D32">
        <w:rPr>
          <w:rFonts w:cs="Arial"/>
          <w:szCs w:val="20"/>
        </w:rPr>
        <w:t>důchodové daně (+</w:t>
      </w:r>
      <w:r w:rsidR="00C175D8">
        <w:rPr>
          <w:rFonts w:cs="Arial"/>
          <w:szCs w:val="20"/>
        </w:rPr>
        <w:t>38,5</w:t>
      </w:r>
      <w:r w:rsidR="00A05D32">
        <w:rPr>
          <w:rFonts w:cs="Arial"/>
          <w:szCs w:val="20"/>
        </w:rPr>
        <w:t xml:space="preserve"> mld., resp. </w:t>
      </w:r>
      <w:r w:rsidR="00C175D8">
        <w:rPr>
          <w:rFonts w:cs="Arial"/>
          <w:szCs w:val="20"/>
        </w:rPr>
        <w:t>9,9</w:t>
      </w:r>
      <w:r w:rsidR="00A05D32">
        <w:rPr>
          <w:rFonts w:cs="Arial"/>
          <w:szCs w:val="20"/>
        </w:rPr>
        <w:t xml:space="preserve"> %)</w:t>
      </w:r>
      <w:r w:rsidR="00C175D8">
        <w:rPr>
          <w:rFonts w:cs="Arial"/>
          <w:szCs w:val="20"/>
        </w:rPr>
        <w:t>,</w:t>
      </w:r>
      <w:r w:rsidR="00C175D8" w:rsidRPr="00C175D8">
        <w:rPr>
          <w:rFonts w:cs="Arial"/>
          <w:szCs w:val="20"/>
        </w:rPr>
        <w:t xml:space="preserve"> </w:t>
      </w:r>
      <w:r w:rsidR="00C175D8">
        <w:rPr>
          <w:rFonts w:cs="Arial"/>
          <w:szCs w:val="20"/>
        </w:rPr>
        <w:t>daně z výroby a dovozu (+28,8 mld., resp. 4,6 %)</w:t>
      </w:r>
      <w:r w:rsidR="00A05D32">
        <w:rPr>
          <w:rFonts w:cs="Arial"/>
          <w:szCs w:val="20"/>
        </w:rPr>
        <w:t xml:space="preserve"> a kapitálové transfery (+</w:t>
      </w:r>
      <w:r w:rsidR="00C175D8">
        <w:rPr>
          <w:rFonts w:cs="Arial"/>
          <w:szCs w:val="20"/>
        </w:rPr>
        <w:t>13,2</w:t>
      </w:r>
      <w:r w:rsidR="00A05D32">
        <w:rPr>
          <w:rFonts w:cs="Arial"/>
          <w:szCs w:val="20"/>
        </w:rPr>
        <w:t xml:space="preserve"> mld., resp. </w:t>
      </w:r>
      <w:r w:rsidR="00C175D8">
        <w:rPr>
          <w:rFonts w:cs="Arial"/>
          <w:szCs w:val="20"/>
        </w:rPr>
        <w:t xml:space="preserve">40,4 </w:t>
      </w:r>
      <w:r w:rsidR="00A05D32">
        <w:rPr>
          <w:rFonts w:cs="Arial"/>
          <w:szCs w:val="20"/>
        </w:rPr>
        <w:t>%).</w:t>
      </w:r>
      <w:r w:rsidR="00A05D32" w:rsidRPr="00E45FD0">
        <w:rPr>
          <w:rFonts w:cs="Arial"/>
          <w:szCs w:val="20"/>
        </w:rPr>
        <w:t xml:space="preserve"> </w:t>
      </w:r>
    </w:p>
    <w:p w:rsidR="00A05D32" w:rsidRPr="00677437" w:rsidRDefault="00A05D32" w:rsidP="00A05D32">
      <w:pPr>
        <w:rPr>
          <w:rFonts w:cs="Arial"/>
          <w:szCs w:val="20"/>
          <w:highlight w:val="yellow"/>
        </w:rPr>
      </w:pPr>
    </w:p>
    <w:p w:rsidR="00A05D32" w:rsidRDefault="00A05D32" w:rsidP="00A05D32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výdaje sektoru vládních institucí meziročně </w:t>
      </w:r>
      <w:r>
        <w:rPr>
          <w:rFonts w:cs="Arial"/>
          <w:szCs w:val="20"/>
        </w:rPr>
        <w:t>vzrostly</w:t>
      </w:r>
      <w:r w:rsidRPr="00E45F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roce 2018 </w:t>
      </w:r>
      <w:r w:rsidRPr="00E45FD0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10,</w:t>
      </w:r>
      <w:r w:rsidR="00D71D34">
        <w:rPr>
          <w:rFonts w:cs="Arial"/>
          <w:szCs w:val="20"/>
        </w:rPr>
        <w:t>2</w:t>
      </w:r>
      <w:r w:rsidRPr="00E45FD0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, resp. </w:t>
      </w:r>
      <w:r w:rsidR="00D71D34">
        <w:rPr>
          <w:rFonts w:cs="Arial"/>
          <w:szCs w:val="20"/>
        </w:rPr>
        <w:t>200,6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mld. Kč</w:t>
      </w:r>
      <w:r w:rsidRPr="00E45FD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vzrostly vypla</w:t>
      </w:r>
      <w:r w:rsidR="00D71D34">
        <w:rPr>
          <w:rFonts w:cs="Arial"/>
          <w:szCs w:val="20"/>
        </w:rPr>
        <w:t>cené náhrady zaměstnancům (+58,9</w:t>
      </w:r>
      <w:r>
        <w:rPr>
          <w:rFonts w:cs="Arial"/>
          <w:szCs w:val="20"/>
        </w:rPr>
        <w:t xml:space="preserve"> mld., resp. 12,</w:t>
      </w:r>
      <w:r w:rsidR="00D71D34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%), výdaje na tvorbu </w:t>
      </w:r>
      <w:r w:rsidR="000E2834">
        <w:rPr>
          <w:rFonts w:cs="Arial"/>
          <w:szCs w:val="20"/>
        </w:rPr>
        <w:t xml:space="preserve">hrubého fixního </w:t>
      </w:r>
      <w:r>
        <w:rPr>
          <w:rFonts w:cs="Arial"/>
          <w:szCs w:val="20"/>
        </w:rPr>
        <w:t>kapitálu (+</w:t>
      </w:r>
      <w:r w:rsidR="00D71D34">
        <w:rPr>
          <w:rFonts w:cs="Arial"/>
          <w:szCs w:val="20"/>
        </w:rPr>
        <w:t xml:space="preserve">53,1 </w:t>
      </w:r>
      <w:r>
        <w:rPr>
          <w:rFonts w:cs="Arial"/>
          <w:szCs w:val="20"/>
        </w:rPr>
        <w:t xml:space="preserve">mld., resp. </w:t>
      </w:r>
      <w:r w:rsidR="00D71D34">
        <w:rPr>
          <w:rFonts w:cs="Arial"/>
          <w:szCs w:val="20"/>
        </w:rPr>
        <w:t>31,0</w:t>
      </w:r>
      <w:r>
        <w:rPr>
          <w:rFonts w:cs="Arial"/>
          <w:szCs w:val="20"/>
        </w:rPr>
        <w:t xml:space="preserve"> %) a sociální dávky (+</w:t>
      </w:r>
      <w:r w:rsidR="00284C20">
        <w:rPr>
          <w:rFonts w:cs="Arial"/>
          <w:szCs w:val="20"/>
        </w:rPr>
        <w:t>31,2</w:t>
      </w:r>
      <w:r>
        <w:rPr>
          <w:rFonts w:cs="Arial"/>
          <w:szCs w:val="20"/>
        </w:rPr>
        <w:t xml:space="preserve"> mld., resp. 5,</w:t>
      </w:r>
      <w:r w:rsidR="00284C2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%). 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t>Dluh vládních institucí v roce 2018 meziročně poklesl o 14,</w:t>
      </w:r>
      <w:r w:rsidR="00E7561B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mld. Kč na 1 73</w:t>
      </w:r>
      <w:r w:rsidR="00E7561B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E7561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mld. Kč, což v relativním vyjádření odpovídá </w:t>
      </w:r>
      <w:r w:rsidRPr="00CD42BA">
        <w:rPr>
          <w:rFonts w:cs="Arial"/>
          <w:szCs w:val="20"/>
        </w:rPr>
        <w:t>3</w:t>
      </w:r>
      <w:r>
        <w:rPr>
          <w:rFonts w:cs="Arial"/>
          <w:szCs w:val="20"/>
        </w:rPr>
        <w:t>2</w:t>
      </w:r>
      <w:r w:rsidRPr="00CD42BA">
        <w:rPr>
          <w:rFonts w:cs="Arial"/>
          <w:szCs w:val="20"/>
        </w:rPr>
        <w:t>,</w:t>
      </w:r>
      <w:r w:rsidR="00E7561B">
        <w:rPr>
          <w:rFonts w:cs="Arial"/>
          <w:szCs w:val="20"/>
        </w:rPr>
        <w:t>55</w:t>
      </w:r>
      <w:r w:rsidRPr="00CD42BA">
        <w:rPr>
          <w:rFonts w:cs="Arial"/>
          <w:szCs w:val="20"/>
        </w:rPr>
        <w:t xml:space="preserve"> % HDP</w:t>
      </w:r>
      <w:r>
        <w:rPr>
          <w:rFonts w:cs="Arial"/>
          <w:szCs w:val="20"/>
        </w:rPr>
        <w:t xml:space="preserve">. </w:t>
      </w:r>
      <w:r w:rsidRPr="00CD42BA">
        <w:rPr>
          <w:rFonts w:cs="Arial"/>
          <w:szCs w:val="20"/>
        </w:rPr>
        <w:t xml:space="preserve">Meziročně došlo k poklesu relativní zadluženosti </w:t>
      </w:r>
      <w:r w:rsidRPr="00CD42BA">
        <w:rPr>
          <w:rFonts w:cs="Arial"/>
          <w:szCs w:val="20"/>
        </w:rPr>
        <w:lastRenderedPageBreak/>
        <w:t xml:space="preserve">o </w:t>
      </w:r>
      <w:r w:rsidR="00E7561B">
        <w:rPr>
          <w:rFonts w:cs="Arial"/>
          <w:szCs w:val="20"/>
        </w:rPr>
        <w:t>2,11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p. b. Na</w:t>
      </w:r>
      <w:r w:rsidRPr="00CD42BA">
        <w:rPr>
          <w:rFonts w:cs="Arial"/>
          <w:szCs w:val="20"/>
        </w:rPr>
        <w:t xml:space="preserve"> snížení relativní výše zadlužení </w:t>
      </w:r>
      <w:r>
        <w:rPr>
          <w:rFonts w:cs="Arial"/>
          <w:szCs w:val="20"/>
        </w:rPr>
        <w:t>se podílel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zejména rostoucí nominální HDP (1,</w:t>
      </w:r>
      <w:r w:rsidR="00E7561B">
        <w:rPr>
          <w:rFonts w:cs="Arial"/>
          <w:szCs w:val="20"/>
        </w:rPr>
        <w:t>83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p. b.), pokles nominální výše dluhu přispěl 0</w:t>
      </w:r>
      <w:r w:rsidRPr="00CD42BA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="00E7561B">
        <w:rPr>
          <w:rFonts w:cs="Arial"/>
          <w:szCs w:val="20"/>
        </w:rPr>
        <w:t>8</w:t>
      </w:r>
      <w:r w:rsidRPr="00CD42BA">
        <w:rPr>
          <w:rFonts w:cs="Arial"/>
          <w:szCs w:val="20"/>
        </w:rPr>
        <w:t xml:space="preserve"> p.</w:t>
      </w:r>
      <w:r>
        <w:rPr>
          <w:rFonts w:cs="Arial"/>
          <w:szCs w:val="20"/>
        </w:rPr>
        <w:t xml:space="preserve"> </w:t>
      </w:r>
      <w:r w:rsidRPr="00CD42BA">
        <w:rPr>
          <w:rFonts w:cs="Arial"/>
          <w:szCs w:val="20"/>
        </w:rPr>
        <w:t>b.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pPr>
        <w:rPr>
          <w:rFonts w:cs="Arial"/>
          <w:szCs w:val="20"/>
        </w:rPr>
      </w:pPr>
      <w:r>
        <w:rPr>
          <w:rFonts w:cs="Arial"/>
          <w:szCs w:val="20"/>
        </w:rPr>
        <w:t>Ve struktuře dluhu byl zaznamenán pokles emitovaných dluhových cenných papírů (-4</w:t>
      </w:r>
      <w:r w:rsidR="000115CA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0115CA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mld. Kč), a to zejména krátkodobých (-</w:t>
      </w:r>
      <w:r w:rsidR="000115CA">
        <w:rPr>
          <w:rFonts w:cs="Arial"/>
          <w:szCs w:val="20"/>
        </w:rPr>
        <w:t>40</w:t>
      </w:r>
      <w:r>
        <w:rPr>
          <w:rFonts w:cs="Arial"/>
          <w:szCs w:val="20"/>
        </w:rPr>
        <w:t>,</w:t>
      </w:r>
      <w:r w:rsidR="000115C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mld. Kč). Podíl dluhových cenných papírů poklesl o </w:t>
      </w:r>
      <w:r w:rsidR="000115CA">
        <w:rPr>
          <w:rFonts w:cs="Arial"/>
          <w:szCs w:val="20"/>
        </w:rPr>
        <w:t>2,02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p.</w:t>
      </w:r>
      <w:r w:rsidR="00006F6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b. </w:t>
      </w:r>
      <w:proofErr w:type="gramStart"/>
      <w:r>
        <w:rPr>
          <w:rFonts w:cs="Arial"/>
          <w:szCs w:val="20"/>
        </w:rPr>
        <w:t>na</w:t>
      </w:r>
      <w:proofErr w:type="gramEnd"/>
      <w:r>
        <w:rPr>
          <w:rFonts w:cs="Arial"/>
          <w:szCs w:val="20"/>
        </w:rPr>
        <w:t xml:space="preserve"> 89,6 % a dluhové cenné papíry tak zůstávají dominantní složkou dluhu. Objem přijatých půjček vzrostl o </w:t>
      </w:r>
      <w:r w:rsidR="000115CA">
        <w:rPr>
          <w:rFonts w:cs="Arial"/>
          <w:szCs w:val="20"/>
        </w:rPr>
        <w:t>31,1</w:t>
      </w:r>
      <w:r>
        <w:rPr>
          <w:rFonts w:cs="Arial"/>
          <w:szCs w:val="20"/>
        </w:rPr>
        <w:t xml:space="preserve"> mld. Kč, přičemž u krátkodobých půjček byl zaznamenán nárůst o 42,</w:t>
      </w:r>
      <w:r w:rsidR="000115C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mld. Kč, zatímco objem dlouhodobých půjček poklesl o 11,</w:t>
      </w:r>
      <w:r w:rsidR="000115CA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mld. Kč. Objem přijatých vkladů vzrostl o</w:t>
      </w:r>
      <w:r w:rsidR="00C9006B">
        <w:rPr>
          <w:rFonts w:cs="Arial"/>
          <w:szCs w:val="20"/>
        </w:rPr>
        <w:t> </w:t>
      </w:r>
      <w:r>
        <w:rPr>
          <w:rFonts w:cs="Arial"/>
          <w:szCs w:val="20"/>
        </w:rPr>
        <w:t>2,8 mld. Kč.</w:t>
      </w:r>
    </w:p>
    <w:p w:rsidR="00A05D32" w:rsidRDefault="00A05D32" w:rsidP="00A05D32">
      <w:pPr>
        <w:rPr>
          <w:rFonts w:cs="Arial"/>
          <w:szCs w:val="20"/>
        </w:rPr>
      </w:pPr>
    </w:p>
    <w:p w:rsidR="00A05D32" w:rsidRDefault="00A05D32" w:rsidP="00A05D32">
      <w:r w:rsidRPr="00E155B6">
        <w:rPr>
          <w:rFonts w:cs="Arial"/>
          <w:szCs w:val="20"/>
        </w:rPr>
        <w:t xml:space="preserve">Ukazatele uvedené v tabulce </w:t>
      </w:r>
      <w:r w:rsidR="00C9006B">
        <w:rPr>
          <w:rFonts w:cs="Arial"/>
          <w:szCs w:val="20"/>
        </w:rPr>
        <w:t xml:space="preserve"> </w:t>
      </w:r>
      <w:r w:rsidRPr="00E155B6">
        <w:rPr>
          <w:rFonts w:cs="Arial"/>
          <w:szCs w:val="20"/>
        </w:rPr>
        <w:t xml:space="preserve">byly zaslány </w:t>
      </w:r>
      <w:r>
        <w:rPr>
          <w:rFonts w:cs="Arial"/>
          <w:szCs w:val="20"/>
        </w:rPr>
        <w:t>30.</w:t>
      </w:r>
      <w:r w:rsidRPr="00E155B6">
        <w:rPr>
          <w:rFonts w:cs="Arial"/>
          <w:szCs w:val="20"/>
        </w:rPr>
        <w:t xml:space="preserve"> </w:t>
      </w:r>
      <w:r w:rsidR="007B0A3D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2019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A05D32" w:rsidRDefault="00A05D32" w:rsidP="00A05D32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A05D32" w:rsidRDefault="00A05D32" w:rsidP="00FA1E0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FA1E00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A1E00">
              <w:rPr>
                <w:i/>
                <w:iCs/>
                <w:sz w:val="18"/>
                <w:szCs w:val="18"/>
              </w:rPr>
              <w:t>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A05D32" w:rsidRPr="00645994" w:rsidRDefault="00A05D32" w:rsidP="00A05D32"/>
    <w:p w:rsidR="00A05D32" w:rsidRPr="00A05D32" w:rsidRDefault="00A05D32" w:rsidP="00A05D32"/>
    <w:sectPr w:rsidR="00A05D32" w:rsidRPr="00A05D32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4" w:rsidRDefault="00514514" w:rsidP="00BA6370">
      <w:r>
        <w:separator/>
      </w:r>
    </w:p>
  </w:endnote>
  <w:endnote w:type="continuationSeparator" w:id="0">
    <w:p w:rsidR="00514514" w:rsidRDefault="005145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14BE6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4" w:rsidRDefault="00514514" w:rsidP="00BA6370">
      <w:r>
        <w:separator/>
      </w:r>
    </w:p>
  </w:footnote>
  <w:footnote w:type="continuationSeparator" w:id="0">
    <w:p w:rsidR="00514514" w:rsidRDefault="005145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F119F1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3FA43F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E8750A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B0BE4B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7CFCCB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7D7185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7E500D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06DE6D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4"/>
    <w:rsid w:val="00006F6F"/>
    <w:rsid w:val="000115CA"/>
    <w:rsid w:val="00043BF4"/>
    <w:rsid w:val="000843A5"/>
    <w:rsid w:val="000910DA"/>
    <w:rsid w:val="00096D6C"/>
    <w:rsid w:val="000B6F63"/>
    <w:rsid w:val="000D093F"/>
    <w:rsid w:val="000E2834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530D5"/>
    <w:rsid w:val="0026107B"/>
    <w:rsid w:val="00284C20"/>
    <w:rsid w:val="002B2E47"/>
    <w:rsid w:val="003301A3"/>
    <w:rsid w:val="0034514E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62E6"/>
    <w:rsid w:val="004B7E30"/>
    <w:rsid w:val="004D05B3"/>
    <w:rsid w:val="004E1C8C"/>
    <w:rsid w:val="004E479E"/>
    <w:rsid w:val="004F686C"/>
    <w:rsid w:val="004F78E6"/>
    <w:rsid w:val="0050420E"/>
    <w:rsid w:val="00512D99"/>
    <w:rsid w:val="00514514"/>
    <w:rsid w:val="00531DBB"/>
    <w:rsid w:val="005442A9"/>
    <w:rsid w:val="00573994"/>
    <w:rsid w:val="005B6374"/>
    <w:rsid w:val="005F79FB"/>
    <w:rsid w:val="00604406"/>
    <w:rsid w:val="00605F4A"/>
    <w:rsid w:val="00607822"/>
    <w:rsid w:val="006103AA"/>
    <w:rsid w:val="00613BBF"/>
    <w:rsid w:val="00616E81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0A3D"/>
    <w:rsid w:val="007B1333"/>
    <w:rsid w:val="007F4AEB"/>
    <w:rsid w:val="007F75B2"/>
    <w:rsid w:val="00803993"/>
    <w:rsid w:val="008043C4"/>
    <w:rsid w:val="00806BEF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52DEA"/>
    <w:rsid w:val="00965891"/>
    <w:rsid w:val="00986DD7"/>
    <w:rsid w:val="009B55B1"/>
    <w:rsid w:val="009C336D"/>
    <w:rsid w:val="00A02DBC"/>
    <w:rsid w:val="00A05D32"/>
    <w:rsid w:val="00A0762A"/>
    <w:rsid w:val="00A42674"/>
    <w:rsid w:val="00A4343D"/>
    <w:rsid w:val="00A502F1"/>
    <w:rsid w:val="00A70A83"/>
    <w:rsid w:val="00A81EB3"/>
    <w:rsid w:val="00A8665F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175D8"/>
    <w:rsid w:val="00C269D4"/>
    <w:rsid w:val="00C37ADB"/>
    <w:rsid w:val="00C4160D"/>
    <w:rsid w:val="00C44EE4"/>
    <w:rsid w:val="00C678D9"/>
    <w:rsid w:val="00C7611F"/>
    <w:rsid w:val="00C8406E"/>
    <w:rsid w:val="00C9006B"/>
    <w:rsid w:val="00CA6960"/>
    <w:rsid w:val="00CB2709"/>
    <w:rsid w:val="00CB6F89"/>
    <w:rsid w:val="00CC0AE9"/>
    <w:rsid w:val="00CE228C"/>
    <w:rsid w:val="00CE71D9"/>
    <w:rsid w:val="00CF26F1"/>
    <w:rsid w:val="00CF545B"/>
    <w:rsid w:val="00D12F43"/>
    <w:rsid w:val="00D209A7"/>
    <w:rsid w:val="00D27D69"/>
    <w:rsid w:val="00D33658"/>
    <w:rsid w:val="00D448C2"/>
    <w:rsid w:val="00D666C3"/>
    <w:rsid w:val="00D71D34"/>
    <w:rsid w:val="00D87A47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7561B"/>
    <w:rsid w:val="00E93830"/>
    <w:rsid w:val="00E93E0E"/>
    <w:rsid w:val="00EA6BA8"/>
    <w:rsid w:val="00EB1ED3"/>
    <w:rsid w:val="00EF7AED"/>
    <w:rsid w:val="00F75F2A"/>
    <w:rsid w:val="00F80FFC"/>
    <w:rsid w:val="00F829E8"/>
    <w:rsid w:val="00FA015E"/>
    <w:rsid w:val="00FA1E00"/>
    <w:rsid w:val="00FB687C"/>
    <w:rsid w:val="00FF68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4:docId w14:val="15267B94"/>
  <w15:docId w15:val="{C85E69E8-CFE4-408E-8241-FFE42DD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A0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05D32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5D32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AB1E-88BC-4229-9447-3D618AC6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258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30</cp:revision>
  <cp:lastPrinted>2019-10-01T07:13:00Z</cp:lastPrinted>
  <dcterms:created xsi:type="dcterms:W3CDTF">2019-04-02T06:33:00Z</dcterms:created>
  <dcterms:modified xsi:type="dcterms:W3CDTF">2019-10-01T08:10:00Z</dcterms:modified>
</cp:coreProperties>
</file>